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EndPr/>
      <w:sdtContent>
        <w:p w14:paraId="5633A7B7" w14:textId="77777777" w:rsidR="00870A24" w:rsidRDefault="00870A24" w:rsidP="00F72D28">
          <w:pPr>
            <w:pStyle w:val="Title"/>
            <w:rPr>
              <w:rFonts w:asciiTheme="minorHAnsi" w:eastAsiaTheme="minorEastAsia" w:hAnsiTheme="minorHAnsi" w:cstheme="minorBidi"/>
              <w:b w:val="0"/>
              <w:color w:val="181818" w:themeColor="background1" w:themeShade="1A"/>
              <w:spacing w:val="0"/>
              <w:sz w:val="28"/>
              <w:szCs w:val="28"/>
            </w:rPr>
          </w:pPr>
        </w:p>
        <w:p w14:paraId="3A35CA5C" w14:textId="77777777" w:rsidR="005634A3" w:rsidRDefault="005634A3" w:rsidP="00F72D28">
          <w:pPr>
            <w:pStyle w:val="Title"/>
          </w:pPr>
        </w:p>
        <w:p w14:paraId="01438AE1" w14:textId="052010EB" w:rsidR="00563C1F" w:rsidRDefault="00EC6066" w:rsidP="00F72D28">
          <w:pPr>
            <w:pStyle w:val="Title"/>
          </w:pPr>
          <w:r>
            <w:t xml:space="preserve">Reply </w:t>
          </w:r>
          <w:r w:rsidR="00DD03DC">
            <w:t>F</w:t>
          </w:r>
          <w:r>
            <w:t>orm</w:t>
          </w:r>
        </w:p>
        <w:p w14:paraId="031F2108" w14:textId="793B616E" w:rsidR="007E7997" w:rsidRPr="00C01571" w:rsidRDefault="00D77369" w:rsidP="00D77369">
          <w:pPr>
            <w:pStyle w:val="Subtitle"/>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8570EC0"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D470B7" w:rsidRPr="00C01571">
            <w:rPr>
              <w:rFonts w:cs="Arial"/>
              <w:b/>
              <w:sz w:val="36"/>
              <w:szCs w:val="36"/>
            </w:rPr>
            <w:t xml:space="preserve">Consultation </w:t>
          </w:r>
          <w:r w:rsidR="00DD03DC" w:rsidRPr="00C01571">
            <w:rPr>
              <w:rFonts w:cs="Arial"/>
              <w:b/>
              <w:sz w:val="36"/>
              <w:szCs w:val="36"/>
            </w:rPr>
            <w:t>Paper</w:t>
          </w:r>
          <w:r w:rsidR="00780FEC" w:rsidRPr="00C01571">
            <w:rPr>
              <w:rFonts w:cs="Arial"/>
              <w:b/>
              <w:sz w:val="36"/>
              <w:szCs w:val="36"/>
            </w:rPr>
            <w:t xml:space="preserve"> </w:t>
          </w:r>
          <w:r w:rsidR="00B7619F" w:rsidRPr="00B7619F">
            <w:rPr>
              <w:rFonts w:cs="Arial"/>
              <w:b/>
              <w:sz w:val="36"/>
              <w:szCs w:val="36"/>
            </w:rPr>
            <w:t xml:space="preserve">on </w:t>
          </w:r>
          <w:r w:rsidR="00AE378E">
            <w:rPr>
              <w:rFonts w:cs="Arial"/>
              <w:b/>
              <w:sz w:val="36"/>
              <w:szCs w:val="36"/>
            </w:rPr>
            <w:t>EMIR Article 7d Reporting</w: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Subtitle"/>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stParagraph"/>
            <w:rPr>
              <w:lang w:val="en-GB"/>
            </w:rPr>
          </w:pPr>
          <w:r w:rsidRPr="00DB2FD6">
            <w:rPr>
              <w:lang w:val="en-GB"/>
            </w:rPr>
            <w:t>respond to the question stated;</w:t>
          </w:r>
        </w:p>
        <w:p w14:paraId="72FD40F6" w14:textId="77777777" w:rsidR="002533FC" w:rsidRPr="00DB2FD6" w:rsidRDefault="002533FC" w:rsidP="00EC6066">
          <w:pPr>
            <w:pStyle w:val="ListParagraph"/>
            <w:rPr>
              <w:lang w:val="en-GB"/>
            </w:rPr>
          </w:pPr>
          <w:r w:rsidRPr="00DB2FD6">
            <w:rPr>
              <w:lang w:val="en-GB"/>
            </w:rPr>
            <w:t>indicate the specific question to which the comment relates;</w:t>
          </w:r>
        </w:p>
        <w:p w14:paraId="78B206B7" w14:textId="77777777" w:rsidR="002533FC" w:rsidRPr="00E13D25" w:rsidRDefault="002533FC" w:rsidP="00EC6066">
          <w:pPr>
            <w:pStyle w:val="ListParagraph"/>
          </w:pPr>
          <w:r w:rsidRPr="00E13D25">
            <w:t>contain a clear rationale; and</w:t>
          </w:r>
        </w:p>
        <w:p w14:paraId="60B8834E" w14:textId="77777777" w:rsidR="002533FC" w:rsidRPr="00DB2FD6" w:rsidRDefault="002533FC" w:rsidP="00EC6066">
          <w:pPr>
            <w:pStyle w:val="ListParagraph"/>
            <w:rPr>
              <w:lang w:val="en-GB"/>
            </w:rPr>
          </w:pPr>
          <w:r w:rsidRPr="00DB2FD6">
            <w:rPr>
              <w:lang w:val="en-GB"/>
            </w:rPr>
            <w:t>describe any alternatives ESMA should consider.</w:t>
          </w:r>
        </w:p>
        <w:p w14:paraId="219225AC" w14:textId="2CB11116" w:rsidR="002533FC" w:rsidRPr="005B6B12" w:rsidRDefault="002533FC" w:rsidP="002533FC">
          <w:r w:rsidRPr="005B6B12">
            <w:t xml:space="preserve">ESMA will consider all comments received by </w:t>
          </w:r>
          <w:r w:rsidR="005A4BBA">
            <w:rPr>
              <w:b/>
              <w:bCs/>
              <w:color w:val="auto"/>
            </w:rPr>
            <w:t>12</w:t>
          </w:r>
          <w:r w:rsidR="4A420E9D" w:rsidRPr="00EE24AE">
            <w:rPr>
              <w:b/>
              <w:bCs/>
              <w:color w:val="auto"/>
            </w:rPr>
            <w:t xml:space="preserve"> </w:t>
          </w:r>
          <w:r w:rsidR="005A4BBA">
            <w:rPr>
              <w:b/>
              <w:bCs/>
              <w:color w:val="auto"/>
            </w:rPr>
            <w:t>October</w:t>
          </w:r>
          <w:r w:rsidR="0029727F" w:rsidRPr="00EE24AE">
            <w:rPr>
              <w:b/>
              <w:color w:val="auto"/>
            </w:rPr>
            <w:t xml:space="preserve"> 202</w:t>
          </w:r>
          <w:r w:rsidR="00B7619F" w:rsidRPr="00EE24AE">
            <w:rPr>
              <w:b/>
              <w:color w:val="auto"/>
            </w:rPr>
            <w:t>6</w:t>
          </w:r>
          <w:r w:rsidRPr="00EE24AE">
            <w:rPr>
              <w:bCs/>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Subtitle"/>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64132969"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8650FE">
            <w:rPr>
              <w:bCs/>
            </w:rPr>
            <w:t>TCCR</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49E3AC15"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w:t>
          </w:r>
          <w:r w:rsidR="008650FE">
            <w:rPr>
              <w:bCs/>
            </w:rPr>
            <w:t>TCCR</w:t>
          </w:r>
          <w:r w:rsidRPr="00C5469A">
            <w:rPr>
              <w:bCs/>
            </w:rPr>
            <w:t xml:space="preserve">_nameofrespondent. </w:t>
          </w:r>
        </w:p>
        <w:p w14:paraId="210BE93A" w14:textId="54740095"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w:t>
          </w:r>
          <w:r w:rsidR="008650FE">
            <w:rPr>
              <w:bCs/>
            </w:rPr>
            <w:t>TCCR</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381708DC" w:rsidR="00EC6066" w:rsidRPr="005B6B12" w:rsidRDefault="00EC6066" w:rsidP="00EC6066">
          <w:pPr>
            <w:rPr>
              <w:b/>
            </w:rPr>
          </w:pPr>
          <w:r w:rsidRPr="005B6B12">
            <w:rPr>
              <w:b/>
            </w:rPr>
            <w:t>Who should read this paper?</w:t>
          </w:r>
        </w:p>
      </w:sdtContent>
    </w:sdt>
    <w:p w14:paraId="50C0B880" w14:textId="54217AED" w:rsidR="005171FF" w:rsidRDefault="00C102DB">
      <w:pPr>
        <w:spacing w:after="120" w:line="264" w:lineRule="auto"/>
        <w:jc w:val="left"/>
        <w:rPr>
          <w:rFonts w:asciiTheme="majorHAnsi" w:eastAsiaTheme="majorEastAsia" w:hAnsiTheme="majorHAnsi" w:cstheme="majorBidi"/>
          <w:sz w:val="28"/>
          <w:szCs w:val="24"/>
          <w:highlight w:val="yellow"/>
        </w:rPr>
      </w:pPr>
      <w:r w:rsidRPr="00C102DB">
        <w:t>All interested stakeholders are invited to respond to this consultation paper. In particular, responses are sought from clearing members, counterparties accessing recognised third country central counterparties services as clients of clearing members, as well as recognised TC-CCPs. The paper may also be of interest to industry associations representing market participants, as well as to public authorities and other stakeholders with an interest in clearing markets.</w:t>
      </w:r>
      <w:r w:rsidR="005171FF">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Heading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635BCA" w:rsidRPr="00557BD2" w14:paraId="183FA56F" w14:textId="77777777" w:rsidTr="00BA6D09">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alias w:val="Name of the company / organisation"/>
            <w:tag w:val="Name of the company / organisation"/>
            <w:id w:val="-803776227"/>
            <w:placeholder>
              <w:docPart w:val="2B0FF21738C1433DBAFB661809AC1F87"/>
            </w:placeholder>
          </w:sdtPr>
          <w:sdtEndPr/>
          <w:sdtContent>
            <w:tc>
              <w:tcPr>
                <w:tcW w:w="4531" w:type="dxa"/>
              </w:tcPr>
              <w:p w14:paraId="76683ED7" w14:textId="3ED3656A" w:rsidR="00635BCA" w:rsidRPr="00557BD2" w:rsidRDefault="00CA05D6" w:rsidP="00D21C35">
                <w:r w:rsidRPr="001C2128">
                  <w:rPr>
                    <w:rFonts w:ascii="Segoe UI" w:hAnsi="Segoe UI" w:cs="Segoe UI"/>
                    <w:sz w:val="21"/>
                    <w:szCs w:val="21"/>
                  </w:rPr>
                  <w:t>CCP Global</w:t>
                </w:r>
              </w:p>
            </w:tc>
          </w:sdtContent>
        </w:sdt>
      </w:tr>
      <w:tr w:rsidR="00B17279" w:rsidRPr="00557BD2" w14:paraId="4FC13461" w14:textId="77777777" w:rsidTr="00BA6D09">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comboBox>
              <w:listItem w:displayText="Choose an item" w:value="Choose an item"/>
              <w:listItem w:displayText="Stakeholder" w:value="Stakeholder"/>
              <w:listItem w:displayText="Financial Counterparty of OTC derivatives transactions" w:value="Financial Counterparty of OTC derivatives transactions"/>
              <w:listItem w:displayText="Non-financial Counterparty of OTC derivatives transactions" w:value="Non-financial Counterparty of OTC derivatives transactions"/>
              <w:listItem w:displayText="Central Counterparty" w:value="Central Counterparty"/>
              <w:listItem w:displayText="Other" w:value="Other"/>
            </w:comboBox>
          </w:sdtPr>
          <w:sdtEndPr/>
          <w:sdtContent>
            <w:tc>
              <w:tcPr>
                <w:tcW w:w="4531" w:type="dxa"/>
              </w:tcPr>
              <w:p w14:paraId="1185A96B" w14:textId="517F5FDC" w:rsidR="00B17279" w:rsidRDefault="00CA05D6" w:rsidP="00B17279">
                <w:r>
                  <w:t>Central Counterparty</w:t>
                </w:r>
              </w:p>
            </w:tc>
          </w:sdtContent>
        </w:sdt>
      </w:tr>
      <w:permEnd w:id="1315974205"/>
      <w:tr w:rsidR="00B17279" w:rsidRPr="00557BD2" w14:paraId="7387C961" w14:textId="77777777" w:rsidTr="00BA6D09">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1"/>
              <w14:checkedState w14:val="2612" w14:font="MS Gothic"/>
              <w14:uncheckedState w14:val="2610" w14:font="MS Gothic"/>
            </w14:checkbox>
          </w:sdtPr>
          <w:sdtEndPr/>
          <w:sdtContent>
            <w:permStart w:id="1982091919" w:edGrp="everyone" w:displacedByCustomXml="prev"/>
            <w:tc>
              <w:tcPr>
                <w:tcW w:w="4531" w:type="dxa"/>
              </w:tcPr>
              <w:p w14:paraId="10359AFE" w14:textId="3249885D" w:rsidR="00B17279" w:rsidRDefault="00CA05D6" w:rsidP="00B17279">
                <w:r>
                  <w:rPr>
                    <w:rFonts w:ascii="MS Gothic" w:eastAsia="MS Gothic" w:hAnsi="MS Gothic" w:hint="eastAsia"/>
                  </w:rPr>
                  <w:t>☒</w:t>
                </w:r>
              </w:p>
            </w:tc>
            <w:permEnd w:id="1982091919" w:displacedByCustomXml="next"/>
          </w:sdtContent>
        </w:sdt>
      </w:tr>
      <w:tr w:rsidR="00B17279" w:rsidRPr="00557BD2" w14:paraId="3D982432" w14:textId="77777777" w:rsidTr="00BA6D09">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104175425" w:edGrp="everyone" w:displacedByCustomXml="prev"/>
            <w:tc>
              <w:tcPr>
                <w:tcW w:w="4531" w:type="dxa"/>
              </w:tcPr>
              <w:p w14:paraId="6A619B85" w14:textId="26D1A73A" w:rsidR="00B17279" w:rsidRPr="00557BD2" w:rsidRDefault="00CA05D6" w:rsidP="00B17279">
                <w:r>
                  <w:t>International</w:t>
                </w:r>
              </w:p>
            </w:tc>
            <w:permEnd w:id="1104175425" w:displacedByCustomXml="next"/>
          </w:sdtContent>
        </w:sdt>
      </w:tr>
    </w:tbl>
    <w:p w14:paraId="5683698C" w14:textId="77777777" w:rsidR="00B17279" w:rsidRPr="00053B66" w:rsidRDefault="00B17279" w:rsidP="00635BCA"/>
    <w:p w14:paraId="5D0F86B1" w14:textId="49DACBB9" w:rsidR="00413D4F" w:rsidRDefault="00635BCA" w:rsidP="00635BCA">
      <w:pPr>
        <w:pStyle w:val="Heading1"/>
        <w:rPr>
          <w:lang w:val="fr-BE"/>
        </w:rPr>
      </w:pPr>
      <w:r w:rsidRPr="00557BD2">
        <w:rPr>
          <w:lang w:val="fr-BE"/>
        </w:rPr>
        <w:t>Questions</w:t>
      </w:r>
    </w:p>
    <w:p w14:paraId="45B5E493" w14:textId="77777777" w:rsidR="00772944" w:rsidRDefault="00772944" w:rsidP="00772944">
      <w:pPr>
        <w:pStyle w:val="Questionstyle"/>
        <w:numPr>
          <w:ilvl w:val="0"/>
          <w:numId w:val="14"/>
        </w:numPr>
        <w:tabs>
          <w:tab w:val="clear" w:pos="567"/>
        </w:tabs>
        <w:spacing w:before="120" w:after="120"/>
        <w:ind w:left="851" w:hanging="709"/>
        <w:rPr>
          <w:color w:val="auto"/>
        </w:rPr>
      </w:pPr>
      <w:r>
        <w:t>Do stakeholders agree with ESMA’s assessment of data availability under existing reporting frameworks?</w:t>
      </w:r>
    </w:p>
    <w:p w14:paraId="6E0EB923" w14:textId="77777777" w:rsidR="00772944" w:rsidRDefault="00772944" w:rsidP="00772944">
      <w:r>
        <w:t>&lt;ESMA_QUESTION_TCCR_1&gt;</w:t>
      </w:r>
    </w:p>
    <w:p w14:paraId="788D807F" w14:textId="77777777" w:rsidR="00CA05D6" w:rsidRDefault="00CA05D6" w:rsidP="00CA05D6">
      <w:pPr>
        <w:tabs>
          <w:tab w:val="left" w:pos="1728"/>
          <w:tab w:val="left" w:pos="10773"/>
        </w:tabs>
        <w:spacing w:beforeLines="120" w:before="288" w:afterLines="120" w:after="288"/>
        <w:rPr>
          <w:rFonts w:ascii="Segoe UI" w:hAnsi="Segoe UI" w:cs="Segoe UI"/>
          <w:bCs/>
          <w:sz w:val="21"/>
          <w:szCs w:val="21"/>
        </w:rPr>
      </w:pPr>
      <w:permStart w:id="1961835906" w:edGrp="everyone"/>
      <w:r w:rsidRPr="00CC1FFF">
        <w:rPr>
          <w:rFonts w:ascii="Segoe UI" w:hAnsi="Segoe UI" w:cs="Segoe UI"/>
          <w:bCs/>
          <w:sz w:val="21"/>
          <w:szCs w:val="21"/>
        </w:rPr>
        <w:t>The Global Association of Central Counterparties (“CCP Global”) is the international association for central counterparties (“CCPs”), representing 45 members that operate more than 60 individual CCPs across the Americas, EMEA</w:t>
      </w:r>
      <w:r>
        <w:rPr>
          <w:rFonts w:ascii="Segoe UI" w:hAnsi="Segoe UI" w:cs="Segoe UI"/>
          <w:bCs/>
          <w:sz w:val="21"/>
          <w:szCs w:val="21"/>
        </w:rPr>
        <w:t>,</w:t>
      </w:r>
      <w:r w:rsidRPr="00CC1FFF">
        <w:rPr>
          <w:rFonts w:ascii="Segoe UI" w:hAnsi="Segoe UI" w:cs="Segoe UI"/>
          <w:bCs/>
          <w:sz w:val="21"/>
          <w:szCs w:val="21"/>
        </w:rPr>
        <w:t xml:space="preserve"> and the Asia-Pacific region.</w:t>
      </w:r>
      <w:r>
        <w:rPr>
          <w:rFonts w:ascii="Segoe UI" w:hAnsi="Segoe UI" w:cs="Segoe UI"/>
          <w:bCs/>
          <w:sz w:val="21"/>
          <w:szCs w:val="21"/>
        </w:rPr>
        <w:t xml:space="preserve"> </w:t>
      </w:r>
      <w:r w:rsidRPr="001C2128">
        <w:rPr>
          <w:rFonts w:ascii="Segoe UI" w:hAnsi="Segoe UI" w:cs="Segoe UI"/>
          <w:bCs/>
          <w:sz w:val="21"/>
          <w:szCs w:val="21"/>
        </w:rPr>
        <w:t xml:space="preserve">CCP Global appreciates the opportunity to respond </w:t>
      </w:r>
      <w:r w:rsidRPr="005D31B9">
        <w:rPr>
          <w:rFonts w:ascii="Segoe UI" w:hAnsi="Segoe UI" w:cs="Segoe UI"/>
          <w:bCs/>
          <w:sz w:val="21"/>
          <w:szCs w:val="21"/>
        </w:rPr>
        <w:t xml:space="preserve">to the </w:t>
      </w:r>
      <w:r w:rsidRPr="009723DB">
        <w:rPr>
          <w:rFonts w:ascii="Segoe UI" w:hAnsi="Segoe UI" w:cs="Segoe UI"/>
          <w:bCs/>
          <w:sz w:val="21"/>
          <w:szCs w:val="21"/>
        </w:rPr>
        <w:t>European Securities and Markets Authority</w:t>
      </w:r>
      <w:r>
        <w:rPr>
          <w:rFonts w:ascii="Segoe UI" w:hAnsi="Segoe UI" w:cs="Segoe UI"/>
          <w:bCs/>
          <w:sz w:val="21"/>
          <w:szCs w:val="21"/>
        </w:rPr>
        <w:t xml:space="preserve">’s (“ESMA”) </w:t>
      </w:r>
      <w:r w:rsidRPr="009723DB">
        <w:rPr>
          <w:rFonts w:ascii="Segoe UI" w:hAnsi="Segoe UI" w:cs="Segoe UI"/>
          <w:bCs/>
          <w:sz w:val="21"/>
          <w:szCs w:val="21"/>
        </w:rPr>
        <w:t>Consultation Paper on EMIR Article 7d Reporting</w:t>
      </w:r>
      <w:r w:rsidRPr="005D31B9">
        <w:rPr>
          <w:rStyle w:val="FootnoteReference"/>
          <w:rFonts w:ascii="Segoe UI" w:hAnsi="Segoe UI" w:cs="Segoe UI"/>
          <w:bCs/>
          <w:sz w:val="21"/>
          <w:szCs w:val="21"/>
        </w:rPr>
        <w:footnoteReference w:id="2"/>
      </w:r>
      <w:r w:rsidRPr="005D31B9">
        <w:rPr>
          <w:rFonts w:ascii="Segoe UI" w:hAnsi="Segoe UI" w:cs="Segoe UI"/>
          <w:bCs/>
          <w:sz w:val="21"/>
          <w:szCs w:val="21"/>
        </w:rPr>
        <w:t xml:space="preserve"> (the “</w:t>
      </w:r>
      <w:r>
        <w:rPr>
          <w:rFonts w:ascii="Segoe UI" w:hAnsi="Segoe UI" w:cs="Segoe UI"/>
          <w:bCs/>
          <w:sz w:val="21"/>
          <w:szCs w:val="21"/>
        </w:rPr>
        <w:t>Consultation Paper</w:t>
      </w:r>
      <w:r w:rsidRPr="005D31B9">
        <w:rPr>
          <w:rFonts w:ascii="Segoe UI" w:hAnsi="Segoe UI" w:cs="Segoe UI"/>
          <w:bCs/>
          <w:sz w:val="21"/>
          <w:szCs w:val="21"/>
        </w:rPr>
        <w:t>”).</w:t>
      </w:r>
      <w:r>
        <w:rPr>
          <w:rFonts w:ascii="Segoe UI" w:hAnsi="Segoe UI" w:cs="Segoe UI"/>
          <w:bCs/>
          <w:sz w:val="21"/>
          <w:szCs w:val="21"/>
        </w:rPr>
        <w:t xml:space="preserve"> We acknowledge</w:t>
      </w:r>
      <w:r w:rsidRPr="00F02F2A">
        <w:rPr>
          <w:rFonts w:ascii="Segoe UI" w:hAnsi="Segoe UI" w:cs="Segoe UI"/>
          <w:bCs/>
          <w:sz w:val="21"/>
          <w:szCs w:val="21"/>
        </w:rPr>
        <w:t xml:space="preserve"> ESMA’s </w:t>
      </w:r>
      <w:r>
        <w:rPr>
          <w:rFonts w:ascii="Segoe UI" w:hAnsi="Segoe UI" w:cs="Segoe UI"/>
          <w:bCs/>
          <w:sz w:val="21"/>
          <w:szCs w:val="21"/>
        </w:rPr>
        <w:t>role in</w:t>
      </w:r>
      <w:r w:rsidRPr="00F02F2A">
        <w:rPr>
          <w:rFonts w:ascii="Segoe UI" w:hAnsi="Segoe UI" w:cs="Segoe UI"/>
          <w:bCs/>
          <w:sz w:val="21"/>
          <w:szCs w:val="21"/>
        </w:rPr>
        <w:t xml:space="preserve"> ensuring that competent authorities have appropriate information to monitor the clearing activity of EU counterparties at recognised third-country CCPs (“TC-CCPs”). We appreciate ESMA’s efforts to develop a reporting framework that seeks to make use of information already available through existing reporting channels.</w:t>
      </w:r>
      <w:r>
        <w:rPr>
          <w:rFonts w:ascii="Segoe UI" w:hAnsi="Segoe UI" w:cs="Segoe UI"/>
          <w:bCs/>
          <w:sz w:val="21"/>
          <w:szCs w:val="21"/>
        </w:rPr>
        <w:t xml:space="preserve"> </w:t>
      </w:r>
    </w:p>
    <w:p w14:paraId="67876E56" w14:textId="77777777" w:rsidR="00CA05D6" w:rsidRPr="00FB35D1" w:rsidRDefault="00CA05D6" w:rsidP="00CA05D6">
      <w:pPr>
        <w:tabs>
          <w:tab w:val="left" w:pos="1728"/>
          <w:tab w:val="left" w:pos="10773"/>
        </w:tabs>
        <w:spacing w:beforeLines="120" w:before="288" w:afterLines="120" w:after="288"/>
        <w:rPr>
          <w:rFonts w:ascii="Segoe UI" w:hAnsi="Segoe UI" w:cs="Segoe UI"/>
          <w:bCs/>
          <w:sz w:val="21"/>
          <w:szCs w:val="21"/>
        </w:rPr>
      </w:pPr>
      <w:r>
        <w:rPr>
          <w:rFonts w:ascii="Segoe UI" w:hAnsi="Segoe UI" w:cs="Segoe UI"/>
          <w:bCs/>
          <w:sz w:val="21"/>
          <w:szCs w:val="21"/>
        </w:rPr>
        <w:t xml:space="preserve">At the same time, we remain concerned about the introduction of new reporting requirements on EU firms clearing at TC-CCPs. As set out by ESMA in its consultation, the consistent feedback from national supervisors is that (i) the information to be reported under Article 7d is not necessary for their supervisory or monitoring activities; (ii) the existing EMIR Article 9 reporting already provides sufficient information to meet supervisory objectives; and (iii) a new parallel reporting obligation under Article 7d would likely duplicate existing requirements and entail </w:t>
      </w:r>
      <w:r w:rsidRPr="003B0655">
        <w:rPr>
          <w:rFonts w:ascii="Segoe UI" w:hAnsi="Segoe UI" w:cs="Segoe UI"/>
          <w:bCs/>
          <w:sz w:val="21"/>
          <w:szCs w:val="21"/>
        </w:rPr>
        <w:t>a disproportionate operational and compliance burden for reporting entities</w:t>
      </w:r>
      <w:r>
        <w:rPr>
          <w:rFonts w:ascii="Segoe UI" w:hAnsi="Segoe UI" w:cs="Segoe UI"/>
          <w:bCs/>
          <w:sz w:val="21"/>
          <w:szCs w:val="21"/>
        </w:rPr>
        <w:t xml:space="preserve">. We would therefore suggest that the </w:t>
      </w:r>
      <w:r>
        <w:rPr>
          <w:rFonts w:ascii="Segoe UI" w:hAnsi="Segoe UI" w:cs="Segoe UI"/>
          <w:bCs/>
          <w:sz w:val="21"/>
          <w:szCs w:val="21"/>
        </w:rPr>
        <w:lastRenderedPageBreak/>
        <w:t xml:space="preserve">deletion of Article 7d should be a prime candidate for any further legislative efforts to reduce the regulatory burden on EU firms, in line with the wider EU simplification agenda. This should be done before industry implementation of the proposed 7d reporting framework in order to deliver meaningful burden </w:t>
      </w:r>
      <w:r w:rsidRPr="00FB35D1">
        <w:rPr>
          <w:rFonts w:ascii="Segoe UI" w:hAnsi="Segoe UI" w:cs="Segoe UI"/>
          <w:bCs/>
          <w:sz w:val="21"/>
          <w:szCs w:val="21"/>
        </w:rPr>
        <w:t>reduction.</w:t>
      </w:r>
      <w:r>
        <w:rPr>
          <w:rFonts w:ascii="Segoe UI" w:hAnsi="Segoe UI" w:cs="Segoe UI"/>
          <w:bCs/>
          <w:sz w:val="21"/>
          <w:szCs w:val="21"/>
        </w:rPr>
        <w:t xml:space="preserve"> Given that ESMA cannot amend Level 1 legislation, we suggest that ESMA formally brings this issue to the attention of the Commission, noting the feedback received from national supervisors in the course of preparing the RTS.   </w:t>
      </w:r>
    </w:p>
    <w:p w14:paraId="28BBECBA" w14:textId="77777777" w:rsidR="00CA05D6" w:rsidRDefault="00CA05D6" w:rsidP="00CA05D6">
      <w:pPr>
        <w:rPr>
          <w:rFonts w:ascii="Segoe UI" w:hAnsi="Segoe UI" w:cs="Segoe UI"/>
          <w:bCs/>
          <w:sz w:val="21"/>
          <w:szCs w:val="21"/>
        </w:rPr>
      </w:pPr>
      <w:r w:rsidRPr="00FB35D1">
        <w:rPr>
          <w:rFonts w:ascii="Segoe UI" w:hAnsi="Segoe UI" w:cs="Segoe UI"/>
          <w:bCs/>
          <w:sz w:val="21"/>
          <w:szCs w:val="21"/>
        </w:rPr>
        <w:t xml:space="preserve">In the meantime, CCP Global encourages ESMA to continue to ensure that the RTS does not result in unnecessary duplication or operational burden for reporting entities. This is particularly important given that the reporting obligation under Article 7d applies directly to clearing members and clients and may therefore affect the ease with which EU counterparties can access and make use of recognised TC-CCPs. In CCP </w:t>
      </w:r>
      <w:proofErr w:type="spellStart"/>
      <w:r w:rsidRPr="00FB35D1">
        <w:rPr>
          <w:rFonts w:ascii="Segoe UI" w:hAnsi="Segoe UI" w:cs="Segoe UI"/>
          <w:bCs/>
          <w:sz w:val="21"/>
          <w:szCs w:val="21"/>
        </w:rPr>
        <w:t>Global’s</w:t>
      </w:r>
      <w:proofErr w:type="spellEnd"/>
      <w:r w:rsidRPr="00FB35D1">
        <w:rPr>
          <w:rFonts w:ascii="Segoe UI" w:hAnsi="Segoe UI" w:cs="Segoe UI"/>
          <w:bCs/>
          <w:sz w:val="21"/>
          <w:szCs w:val="21"/>
        </w:rPr>
        <w:t xml:space="preserve"> view, the </w:t>
      </w:r>
      <w:r>
        <w:rPr>
          <w:rFonts w:ascii="Segoe UI" w:hAnsi="Segoe UI" w:cs="Segoe UI"/>
          <w:bCs/>
          <w:sz w:val="21"/>
          <w:szCs w:val="21"/>
        </w:rPr>
        <w:t xml:space="preserve">reporting </w:t>
      </w:r>
      <w:r w:rsidRPr="00FB35D1">
        <w:rPr>
          <w:rFonts w:ascii="Segoe UI" w:hAnsi="Segoe UI" w:cs="Segoe UI"/>
          <w:bCs/>
          <w:sz w:val="21"/>
          <w:szCs w:val="21"/>
        </w:rPr>
        <w:t>framework should seek to minimise the burden associated with its collection, reconciliation, and submission.</w:t>
      </w:r>
    </w:p>
    <w:p w14:paraId="46F0BEC7" w14:textId="77777777" w:rsidR="00CA05D6" w:rsidRPr="00F52B28" w:rsidRDefault="00CA05D6" w:rsidP="00CA05D6">
      <w:pPr>
        <w:tabs>
          <w:tab w:val="left" w:pos="1728"/>
          <w:tab w:val="left" w:pos="10773"/>
        </w:tabs>
        <w:spacing w:beforeLines="120" w:before="288" w:afterLines="120" w:after="288"/>
        <w:rPr>
          <w:rFonts w:ascii="Segoe UI" w:hAnsi="Segoe UI" w:cs="Segoe UI"/>
          <w:bCs/>
          <w:sz w:val="21"/>
          <w:szCs w:val="21"/>
        </w:rPr>
      </w:pPr>
      <w:r w:rsidRPr="00F52B28">
        <w:rPr>
          <w:rFonts w:ascii="Segoe UI" w:hAnsi="Segoe UI" w:cs="Segoe UI"/>
          <w:bCs/>
          <w:sz w:val="21"/>
          <w:szCs w:val="21"/>
        </w:rPr>
        <w:t>CCP Global broadly agrees with ESMA’s assessment of the availability of information under existing reporting frameworks. However, we would emphasise that the identification of a data gap does not, in itself, establish that additional reporting at a particular level of detail is necessary or proportionate.</w:t>
      </w:r>
      <w:r>
        <w:rPr>
          <w:rFonts w:ascii="Segoe UI" w:hAnsi="Segoe UI" w:cs="Segoe UI"/>
          <w:bCs/>
          <w:sz w:val="21"/>
          <w:szCs w:val="21"/>
        </w:rPr>
        <w:t xml:space="preserve"> </w:t>
      </w:r>
      <w:r w:rsidRPr="00F52B28">
        <w:rPr>
          <w:rFonts w:ascii="Segoe UI" w:hAnsi="Segoe UI" w:cs="Segoe UI"/>
          <w:bCs/>
          <w:sz w:val="21"/>
          <w:szCs w:val="21"/>
        </w:rPr>
        <w:t xml:space="preserve">As recognised in the Consultation Paper, existing reporting frameworks already provide ESMA and national competent authorities with significant information relevant to monitoring clearing activity at recognised TC-CCPs. In this context, </w:t>
      </w:r>
      <w:r>
        <w:rPr>
          <w:rFonts w:ascii="Segoe UI" w:hAnsi="Segoe UI" w:cs="Segoe UI"/>
          <w:bCs/>
          <w:sz w:val="21"/>
          <w:szCs w:val="21"/>
        </w:rPr>
        <w:t xml:space="preserve">any future legislative efforts to reduce the burden on EU firms </w:t>
      </w:r>
      <w:r w:rsidRPr="00F52B28">
        <w:rPr>
          <w:rFonts w:ascii="Segoe UI" w:hAnsi="Segoe UI" w:cs="Segoe UI"/>
          <w:bCs/>
          <w:sz w:val="21"/>
          <w:szCs w:val="21"/>
        </w:rPr>
        <w:t>should consider not only whether particular information is currently available, but also whether obtaining additional information is necessary to address a clearly identified supervisory or monitoring need</w:t>
      </w:r>
      <w:r>
        <w:rPr>
          <w:rFonts w:ascii="Segoe UI" w:hAnsi="Segoe UI" w:cs="Segoe UI"/>
          <w:bCs/>
          <w:sz w:val="21"/>
          <w:szCs w:val="21"/>
        </w:rPr>
        <w:t>.</w:t>
      </w:r>
      <w:r w:rsidRPr="00F52B28">
        <w:rPr>
          <w:rFonts w:ascii="Segoe UI" w:hAnsi="Segoe UI" w:cs="Segoe UI"/>
          <w:bCs/>
          <w:sz w:val="21"/>
          <w:szCs w:val="21"/>
        </w:rPr>
        <w:t xml:space="preserve"> </w:t>
      </w:r>
      <w:r>
        <w:rPr>
          <w:rFonts w:ascii="Segoe UI" w:hAnsi="Segoe UI" w:cs="Segoe UI"/>
          <w:bCs/>
          <w:sz w:val="21"/>
          <w:szCs w:val="21"/>
        </w:rPr>
        <w:t>For any</w:t>
      </w:r>
      <w:r w:rsidRPr="00F52B28">
        <w:rPr>
          <w:rFonts w:ascii="Segoe UI" w:hAnsi="Segoe UI" w:cs="Segoe UI"/>
          <w:bCs/>
          <w:sz w:val="21"/>
          <w:szCs w:val="21"/>
        </w:rPr>
        <w:t xml:space="preserve"> additional information, the level of detail of reporting </w:t>
      </w:r>
      <w:r>
        <w:rPr>
          <w:rFonts w:ascii="Segoe UI" w:hAnsi="Segoe UI" w:cs="Segoe UI"/>
          <w:bCs/>
          <w:sz w:val="21"/>
          <w:szCs w:val="21"/>
        </w:rPr>
        <w:t xml:space="preserve">imposed on clearing members and/or clients, as applicable, </w:t>
      </w:r>
      <w:r w:rsidRPr="00F52B28">
        <w:rPr>
          <w:rFonts w:ascii="Segoe UI" w:hAnsi="Segoe UI" w:cs="Segoe UI"/>
          <w:bCs/>
          <w:sz w:val="21"/>
          <w:szCs w:val="21"/>
        </w:rPr>
        <w:t>should be</w:t>
      </w:r>
      <w:r>
        <w:rPr>
          <w:rFonts w:ascii="Segoe UI" w:hAnsi="Segoe UI" w:cs="Segoe UI"/>
          <w:bCs/>
          <w:sz w:val="21"/>
          <w:szCs w:val="21"/>
        </w:rPr>
        <w:t xml:space="preserve"> as narrow as possible. </w:t>
      </w:r>
      <w:r w:rsidRPr="00F52B28">
        <w:rPr>
          <w:rFonts w:ascii="Segoe UI" w:hAnsi="Segoe UI" w:cs="Segoe UI"/>
          <w:bCs/>
          <w:sz w:val="21"/>
          <w:szCs w:val="21"/>
        </w:rPr>
        <w:t xml:space="preserve"> </w:t>
      </w:r>
    </w:p>
    <w:p w14:paraId="62DBCFA7" w14:textId="77777777" w:rsidR="00CA05D6" w:rsidRDefault="00CA05D6" w:rsidP="00772944">
      <w:pPr>
        <w:rPr>
          <w:rFonts w:ascii="Segoe UI" w:hAnsi="Segoe UI" w:cs="Segoe UI"/>
          <w:bCs/>
          <w:sz w:val="21"/>
          <w:szCs w:val="21"/>
        </w:rPr>
      </w:pPr>
      <w:r>
        <w:rPr>
          <w:rFonts w:ascii="Segoe UI" w:hAnsi="Segoe UI" w:cs="Segoe UI"/>
          <w:bCs/>
          <w:sz w:val="21"/>
          <w:szCs w:val="21"/>
        </w:rPr>
        <w:t xml:space="preserve">Broadly, we appreciate the work ESMA undertook to assess the data availability under existing reporting regimes and want to emphasize certain of the limitations that exist pertaining to TC-CCP’s access to client-level information. </w:t>
      </w:r>
      <w:r>
        <w:rPr>
          <w:rFonts w:ascii="Segoe UI" w:eastAsia="Yu Mincho" w:hAnsi="Segoe UI" w:cs="Segoe UI" w:hint="eastAsia"/>
          <w:bCs/>
          <w:sz w:val="21"/>
          <w:szCs w:val="21"/>
          <w:lang w:eastAsia="ja-JP"/>
        </w:rPr>
        <w:t>M</w:t>
      </w:r>
      <w:r>
        <w:rPr>
          <w:rFonts w:ascii="Segoe UI" w:hAnsi="Segoe UI" w:cs="Segoe UI"/>
          <w:bCs/>
          <w:sz w:val="21"/>
          <w:szCs w:val="21"/>
        </w:rPr>
        <w:t xml:space="preserve">any TC-CCPs do not have access to granular client-level information, particularly where omnibus clearing models </w:t>
      </w:r>
      <w:r w:rsidRPr="00D03DB7">
        <w:rPr>
          <w:rFonts w:ascii="Segoe UI" w:hAnsi="Segoe UI" w:cs="Segoe UI"/>
          <w:bCs/>
          <w:sz w:val="21"/>
          <w:szCs w:val="21"/>
        </w:rPr>
        <w:t>are used</w:t>
      </w:r>
      <w:r>
        <w:rPr>
          <w:rFonts w:ascii="Segoe UI" w:hAnsi="Segoe UI" w:cs="Segoe UI"/>
          <w:bCs/>
          <w:sz w:val="21"/>
          <w:szCs w:val="21"/>
        </w:rPr>
        <w:t>, which is a common access model for EU clients clearing at TC-CCPs</w:t>
      </w:r>
      <w:r w:rsidRPr="00D03DB7">
        <w:rPr>
          <w:rFonts w:ascii="Segoe UI" w:hAnsi="Segoe UI" w:cs="Segoe UI"/>
          <w:bCs/>
          <w:sz w:val="21"/>
          <w:szCs w:val="21"/>
        </w:rPr>
        <w:t>.</w:t>
      </w:r>
      <w:r>
        <w:rPr>
          <w:rFonts w:ascii="Segoe UI" w:hAnsi="Segoe UI" w:cs="Segoe UI"/>
          <w:bCs/>
          <w:sz w:val="21"/>
          <w:szCs w:val="21"/>
        </w:rPr>
        <w:t xml:space="preserve"> U</w:t>
      </w:r>
      <w:r w:rsidRPr="00AC4380">
        <w:rPr>
          <w:rFonts w:ascii="Segoe UI" w:hAnsi="Segoe UI" w:cs="Segoe UI"/>
          <w:bCs/>
          <w:sz w:val="21"/>
          <w:szCs w:val="21"/>
        </w:rPr>
        <w:t>nder a</w:t>
      </w:r>
      <w:r>
        <w:rPr>
          <w:rFonts w:ascii="Segoe UI" w:hAnsi="Segoe UI" w:cs="Segoe UI"/>
          <w:bCs/>
          <w:sz w:val="21"/>
          <w:szCs w:val="21"/>
        </w:rPr>
        <w:t xml:space="preserve"> customer</w:t>
      </w:r>
      <w:r w:rsidRPr="00AC4380">
        <w:rPr>
          <w:rFonts w:ascii="Segoe UI" w:hAnsi="Segoe UI" w:cs="Segoe UI"/>
          <w:bCs/>
          <w:sz w:val="21"/>
          <w:szCs w:val="21"/>
        </w:rPr>
        <w:t xml:space="preserve"> omnibus clearing model</w:t>
      </w:r>
      <w:r>
        <w:rPr>
          <w:rFonts w:ascii="Segoe UI" w:hAnsi="Segoe UI" w:cs="Segoe UI"/>
          <w:bCs/>
          <w:sz w:val="21"/>
          <w:szCs w:val="21"/>
        </w:rPr>
        <w:t>,</w:t>
      </w:r>
      <w:r w:rsidRPr="00AC4380">
        <w:rPr>
          <w:rFonts w:ascii="Segoe UI" w:hAnsi="Segoe UI" w:cs="Segoe UI"/>
          <w:bCs/>
          <w:sz w:val="21"/>
          <w:szCs w:val="21"/>
        </w:rPr>
        <w:t xml:space="preserve"> the TC-CCP’s contractual relationship is with its clearing member and the TC-CCP does not itself hold client-level identifying information</w:t>
      </w:r>
      <w:r>
        <w:rPr>
          <w:rFonts w:ascii="Segoe UI" w:hAnsi="Segoe UI" w:cs="Segoe UI"/>
          <w:bCs/>
          <w:sz w:val="21"/>
          <w:szCs w:val="21"/>
        </w:rPr>
        <w:t xml:space="preserve">, including </w:t>
      </w:r>
      <w:r w:rsidRPr="00AC4380">
        <w:rPr>
          <w:rFonts w:ascii="Segoe UI" w:hAnsi="Segoe UI" w:cs="Segoe UI"/>
          <w:bCs/>
          <w:sz w:val="21"/>
          <w:szCs w:val="21"/>
        </w:rPr>
        <w:t>the client-level value of instruments cleared and margin posted.</w:t>
      </w:r>
      <w:r>
        <w:rPr>
          <w:rFonts w:ascii="Segoe UI" w:hAnsi="Segoe UI" w:cs="Segoe UI"/>
          <w:bCs/>
          <w:sz w:val="21"/>
          <w:szCs w:val="21"/>
        </w:rPr>
        <w:t xml:space="preserve"> </w:t>
      </w:r>
      <w:r w:rsidRPr="00A2645A">
        <w:rPr>
          <w:rFonts w:ascii="Segoe UI" w:hAnsi="Segoe UI" w:cs="Segoe UI"/>
          <w:bCs/>
          <w:sz w:val="21"/>
          <w:szCs w:val="21"/>
        </w:rPr>
        <w:t xml:space="preserve">While EU clearing members and clients, rather than TC-CCPs, generally hold the more accurate and complete information </w:t>
      </w:r>
      <w:r>
        <w:rPr>
          <w:rFonts w:ascii="Segoe UI" w:eastAsia="Yu Mincho" w:hAnsi="Segoe UI" w:cs="Segoe UI" w:hint="eastAsia"/>
          <w:bCs/>
          <w:sz w:val="21"/>
          <w:szCs w:val="21"/>
          <w:lang w:eastAsia="ja-JP"/>
        </w:rPr>
        <w:t xml:space="preserve">covered by </w:t>
      </w:r>
      <w:r w:rsidRPr="00A2645A">
        <w:rPr>
          <w:rFonts w:ascii="Segoe UI" w:hAnsi="Segoe UI" w:cs="Segoe UI"/>
          <w:bCs/>
          <w:sz w:val="21"/>
          <w:szCs w:val="21"/>
        </w:rPr>
        <w:t xml:space="preserve">the </w:t>
      </w:r>
      <w:r>
        <w:rPr>
          <w:rFonts w:ascii="Segoe UI" w:eastAsia="Yu Mincho" w:hAnsi="Segoe UI" w:cs="Segoe UI" w:hint="eastAsia"/>
          <w:bCs/>
          <w:sz w:val="21"/>
          <w:szCs w:val="21"/>
          <w:lang w:eastAsia="ja-JP"/>
        </w:rPr>
        <w:t>proposed reporting framework</w:t>
      </w:r>
      <w:r w:rsidRPr="00A2645A">
        <w:rPr>
          <w:rFonts w:ascii="Segoe UI" w:hAnsi="Segoe UI" w:cs="Segoe UI"/>
          <w:bCs/>
          <w:sz w:val="21"/>
          <w:szCs w:val="21"/>
        </w:rPr>
        <w:t>, we remain concerned that the introduction of a new reporting framework would provide limited additional supervisory value while substantially duplicating information already available under existing reporting arrangements.</w:t>
      </w:r>
    </w:p>
    <w:permEnd w:id="1961835906"/>
    <w:p w14:paraId="70BF2304" w14:textId="7580A235" w:rsidR="00772944" w:rsidRDefault="00772944" w:rsidP="00772944">
      <w:r>
        <w:lastRenderedPageBreak/>
        <w:t>&lt;ESMA_QUESTION_TCCR_1&gt;</w:t>
      </w:r>
    </w:p>
    <w:p w14:paraId="6FAF4018" w14:textId="77777777" w:rsidR="00772944" w:rsidRDefault="00772944" w:rsidP="00772944"/>
    <w:p w14:paraId="313ACB6F"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proposal to require annual reporting by the last business day of January, covering the preceding calendar year? If not, please explain your reasoning, including any operational constraints or alternative timelines.</w:t>
      </w:r>
    </w:p>
    <w:p w14:paraId="379B3EC3" w14:textId="77777777" w:rsidR="00772944" w:rsidRDefault="00772944" w:rsidP="00772944">
      <w:r>
        <w:t>&lt;ESMA_QUESTION_TCCR_2&gt;</w:t>
      </w:r>
    </w:p>
    <w:p w14:paraId="59C385B9" w14:textId="15B41AF3" w:rsidR="00772944" w:rsidRDefault="00CA05D6" w:rsidP="00772944">
      <w:permStart w:id="975325410" w:edGrp="everyone"/>
      <w:r w:rsidRPr="00F52B28">
        <w:rPr>
          <w:rFonts w:ascii="Segoe UI" w:hAnsi="Segoe UI" w:cs="Segoe UI"/>
          <w:bCs/>
          <w:sz w:val="21"/>
          <w:szCs w:val="21"/>
        </w:rPr>
        <w:t>CCP Global encourages ESMA to provide clearing members and clients with a sufficiently long period to prepare and submit the annual report. In particular, where reporting is required at the level of the parent undertaking, additional time may be necessary to collect, reconcile</w:t>
      </w:r>
      <w:r>
        <w:rPr>
          <w:rFonts w:ascii="Segoe UI" w:hAnsi="Segoe UI" w:cs="Segoe UI"/>
          <w:bCs/>
          <w:sz w:val="21"/>
          <w:szCs w:val="21"/>
        </w:rPr>
        <w:t>,</w:t>
      </w:r>
      <w:r w:rsidRPr="00F52B28">
        <w:rPr>
          <w:rFonts w:ascii="Segoe UI" w:hAnsi="Segoe UI" w:cs="Segoe UI"/>
          <w:bCs/>
          <w:sz w:val="21"/>
          <w:szCs w:val="21"/>
        </w:rPr>
        <w:t xml:space="preserve"> and validate information from different subsidiaries, including where entities within the same group act as clearing members and/or clients across different TC-CCPs, or where an institution acts both as a clearing member and as a client of the same TC-CCP.</w:t>
      </w:r>
    </w:p>
    <w:permEnd w:id="975325410"/>
    <w:p w14:paraId="3CEDDD9A" w14:textId="77777777" w:rsidR="00772944" w:rsidRDefault="00772944" w:rsidP="00772944">
      <w:r>
        <w:t>&lt;ESMA_QUESTION_TCCR_2&gt;</w:t>
      </w:r>
    </w:p>
    <w:p w14:paraId="0C5B3D28" w14:textId="77777777" w:rsidR="00772944" w:rsidRDefault="00772944" w:rsidP="00772944"/>
    <w:p w14:paraId="2345E3B3" w14:textId="77777777" w:rsidR="00772944" w:rsidRDefault="00772944" w:rsidP="00772944">
      <w:pPr>
        <w:pStyle w:val="Questionstyle"/>
        <w:numPr>
          <w:ilvl w:val="0"/>
          <w:numId w:val="14"/>
        </w:numPr>
        <w:tabs>
          <w:tab w:val="clear" w:pos="567"/>
        </w:tabs>
        <w:spacing w:before="120" w:after="120"/>
        <w:ind w:left="851" w:hanging="709"/>
      </w:pPr>
      <w:r>
        <w:t xml:space="preserve">Do stakeholders agree with ESMA’s proposed transitional application mechanism? In particular, do stakeholders consider that the proposed arrangements provide sufficient time to prepare for the first reporting cycle while ensuring timely availability of the information? </w:t>
      </w:r>
    </w:p>
    <w:p w14:paraId="4B3D1E65" w14:textId="77777777" w:rsidR="00772944" w:rsidRDefault="00772944" w:rsidP="00772944">
      <w:r>
        <w:t>&lt;ESMA_QUESTION_TCCR_3&gt;</w:t>
      </w:r>
    </w:p>
    <w:p w14:paraId="02C3F6C4" w14:textId="77777777" w:rsidR="00772944" w:rsidRDefault="00772944" w:rsidP="00772944">
      <w:permStart w:id="528381897" w:edGrp="everyone"/>
      <w:r>
        <w:t>TYPE YOUR TEXT HERE</w:t>
      </w:r>
    </w:p>
    <w:permEnd w:id="528381897"/>
    <w:p w14:paraId="32DE6A29" w14:textId="77777777" w:rsidR="00772944" w:rsidRDefault="00772944" w:rsidP="00772944">
      <w:r>
        <w:t>&lt;ESMA_QUESTION_TCCR_3&gt;</w:t>
      </w:r>
    </w:p>
    <w:p w14:paraId="199B8024" w14:textId="77777777" w:rsidR="00772944" w:rsidRDefault="00772944" w:rsidP="00772944"/>
    <w:p w14:paraId="7D8F9601"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proposed approach to the categorisation of instruments for the purposes of Article 7d reporting, based on recital 17, the classes of instruments covered by T1-CCP recognition and the corresponding asset classes? If not, would stakeholders prefer the use of the ISO 10962 Classification of Financial Instruments (CFI), or another approach, to identify both the type of instrument and the associated asset class? Please explain your reasoning, including any implications in terms of data availability and reporting burden.</w:t>
      </w:r>
    </w:p>
    <w:p w14:paraId="087A95A9" w14:textId="77777777" w:rsidR="00772944" w:rsidRDefault="00772944" w:rsidP="00772944">
      <w:r>
        <w:lastRenderedPageBreak/>
        <w:t>&lt;ESMA_QUESTION_TCCR_4&gt;</w:t>
      </w:r>
    </w:p>
    <w:p w14:paraId="61CC1A15" w14:textId="77777777" w:rsidR="00772944" w:rsidRDefault="00772944" w:rsidP="00772944">
      <w:permStart w:id="1396466673" w:edGrp="everyone"/>
      <w:r>
        <w:t>TYPE YOUR TEXT HERE</w:t>
      </w:r>
    </w:p>
    <w:permEnd w:id="1396466673"/>
    <w:p w14:paraId="6E117F7A" w14:textId="77777777" w:rsidR="00772944" w:rsidRDefault="00772944" w:rsidP="00772944">
      <w:r>
        <w:t>&lt;ESMA_QUESTION_TCCR_4&gt;</w:t>
      </w:r>
    </w:p>
    <w:p w14:paraId="30546215" w14:textId="77777777" w:rsidR="00772944" w:rsidRDefault="00772944" w:rsidP="00772944"/>
    <w:p w14:paraId="304395B9" w14:textId="77777777" w:rsidR="00772944" w:rsidRDefault="00772944" w:rsidP="00772944">
      <w:pPr>
        <w:pStyle w:val="Questionstyle"/>
        <w:numPr>
          <w:ilvl w:val="0"/>
          <w:numId w:val="14"/>
        </w:numPr>
        <w:tabs>
          <w:tab w:val="clear" w:pos="567"/>
        </w:tabs>
        <w:spacing w:before="120" w:after="120"/>
        <w:ind w:left="851" w:hanging="709"/>
      </w:pPr>
      <w:r>
        <w:t>Do stakeholders agree with the proposed methodology for calculating average values cleared over one year, based on aggregate month</w:t>
      </w:r>
      <w:r>
        <w:rPr>
          <w:rFonts w:ascii="Cambria Math" w:hAnsi="Cambria Math" w:cs="Cambria Math"/>
        </w:rPr>
        <w:noBreakHyphen/>
      </w:r>
      <w:r>
        <w:t>end average positions, with a breakdown by Union currency and asset class? Please explain your views, including any implications for data availability, operational feasibility or reporting burden.</w:t>
      </w:r>
    </w:p>
    <w:p w14:paraId="2BD3A8BC" w14:textId="77777777" w:rsidR="00772944" w:rsidRDefault="00772944" w:rsidP="00772944">
      <w:r>
        <w:t>&lt;ESMA_QUESTION_TCCR_5&gt;</w:t>
      </w:r>
    </w:p>
    <w:p w14:paraId="71FCF58F" w14:textId="5F8A26BB" w:rsidR="00772944" w:rsidRDefault="00CA05D6" w:rsidP="00772944">
      <w:permStart w:id="719744548" w:edGrp="everyone"/>
      <w:r w:rsidRPr="00F52B28">
        <w:rPr>
          <w:rFonts w:ascii="Segoe UI" w:hAnsi="Segoe UI" w:cs="Segoe UI"/>
          <w:bCs/>
          <w:sz w:val="21"/>
          <w:szCs w:val="21"/>
        </w:rPr>
        <w:t>CCP Global has no objection to the proposed methodology based on aggregate month-end average positions, provided that the reporting requirement is limited to positions denominated in Union currencies, in line with the approach set out in the Consultation Paper and draft RTS.</w:t>
      </w:r>
      <w:r>
        <w:rPr>
          <w:rFonts w:ascii="Segoe UI" w:hAnsi="Segoe UI" w:cs="Segoe UI"/>
          <w:bCs/>
          <w:sz w:val="21"/>
          <w:szCs w:val="21"/>
        </w:rPr>
        <w:t xml:space="preserve"> </w:t>
      </w:r>
      <w:r w:rsidRPr="00AC4380">
        <w:rPr>
          <w:rFonts w:ascii="Segoe UI" w:hAnsi="Segoe UI" w:cs="Segoe UI"/>
          <w:bCs/>
          <w:sz w:val="21"/>
          <w:szCs w:val="21"/>
        </w:rPr>
        <w:t xml:space="preserve">This limitation is consistent with the supervisory objective of Article 7d, which is directed at the exposure of the Union financial system; positions denominated in non-Union currencies are not directly relevant to that objective, and requiring reporting entities </w:t>
      </w:r>
      <w:r>
        <w:rPr>
          <w:rFonts w:ascii="Segoe UI" w:hAnsi="Segoe UI" w:cs="Segoe UI"/>
          <w:bCs/>
          <w:sz w:val="21"/>
          <w:szCs w:val="21"/>
        </w:rPr>
        <w:t>with</w:t>
      </w:r>
      <w:r w:rsidRPr="00AC4380">
        <w:rPr>
          <w:rFonts w:ascii="Segoe UI" w:hAnsi="Segoe UI" w:cs="Segoe UI"/>
          <w:bCs/>
          <w:sz w:val="21"/>
          <w:szCs w:val="21"/>
        </w:rPr>
        <w:t xml:space="preserve"> activity at a recognised TC-CCP denominated in non-Union currencies to identify, convert, and reconcile such positions would impose operational burden without corresponding supervisory value.</w:t>
      </w:r>
      <w:r>
        <w:rPr>
          <w:rFonts w:ascii="Segoe UI" w:hAnsi="Segoe UI" w:cs="Segoe UI"/>
          <w:bCs/>
          <w:sz w:val="21"/>
          <w:szCs w:val="21"/>
        </w:rPr>
        <w:t xml:space="preserve"> </w:t>
      </w:r>
      <w:r w:rsidRPr="00F52B28">
        <w:rPr>
          <w:rFonts w:ascii="Segoe UI" w:hAnsi="Segoe UI" w:cs="Segoe UI"/>
          <w:bCs/>
          <w:sz w:val="21"/>
          <w:szCs w:val="21"/>
        </w:rPr>
        <w:t>For the avoidance of doubt and to support consistent implementation, CCP Global suggests that the exclusion of positions denominated in non-Union currencies from this reporting field should be expressly reflected in the final reporting instructions and validation rules. Clear instructions at this level would help avoid divergent interpretations and unnecessary data transformations by reporting entities</w:t>
      </w:r>
      <w:r>
        <w:rPr>
          <w:rFonts w:ascii="Segoe UI" w:hAnsi="Segoe UI" w:cs="Segoe UI"/>
          <w:bCs/>
          <w:sz w:val="21"/>
          <w:szCs w:val="21"/>
        </w:rPr>
        <w:t>.</w:t>
      </w:r>
    </w:p>
    <w:permEnd w:id="719744548"/>
    <w:p w14:paraId="106550CF" w14:textId="77777777" w:rsidR="00772944" w:rsidRDefault="00772944" w:rsidP="00772944">
      <w:r>
        <w:t>&lt;ESMA_QUESTION_TCCR_5&gt;</w:t>
      </w:r>
    </w:p>
    <w:p w14:paraId="19D9D15F" w14:textId="77777777" w:rsidR="00772944" w:rsidRDefault="00772944" w:rsidP="00772944"/>
    <w:p w14:paraId="5441D784" w14:textId="77777777" w:rsidR="00772944" w:rsidRDefault="00772944" w:rsidP="00772944">
      <w:pPr>
        <w:pStyle w:val="Questionstyle"/>
        <w:numPr>
          <w:ilvl w:val="0"/>
          <w:numId w:val="14"/>
        </w:numPr>
        <w:tabs>
          <w:tab w:val="clear" w:pos="567"/>
        </w:tabs>
        <w:spacing w:before="120" w:after="120"/>
        <w:ind w:left="851" w:hanging="709"/>
      </w:pPr>
      <w:r>
        <w:t>Do stakeholders agree that, for the purposes of Article 7d(1)(c), initial margin provides a more meaningful and proportionate indicator of exposure to recognised third country CCPs than variation margin, and with the proposal to report margins at a less granular level than average values cleared, in particular by reporting initial margin per CCP recognised under Article 25?</w:t>
      </w:r>
    </w:p>
    <w:p w14:paraId="7CF5D105" w14:textId="77777777" w:rsidR="00772944" w:rsidRDefault="00772944" w:rsidP="00772944">
      <w:r>
        <w:t>&lt;ESMA_QUESTION_TCCR_6&gt;</w:t>
      </w:r>
    </w:p>
    <w:p w14:paraId="7D60A67F" w14:textId="77777777" w:rsidR="00772944" w:rsidRDefault="00772944" w:rsidP="00772944">
      <w:permStart w:id="536377789" w:edGrp="everyone"/>
      <w:r>
        <w:t>TYPE YOUR TEXT HERE</w:t>
      </w:r>
    </w:p>
    <w:permEnd w:id="536377789"/>
    <w:p w14:paraId="7FE055BC" w14:textId="77777777" w:rsidR="00772944" w:rsidRDefault="00772944" w:rsidP="00772944">
      <w:r>
        <w:lastRenderedPageBreak/>
        <w:t>&lt;ESMA_QUESTION_TCCR_6&gt;</w:t>
      </w:r>
    </w:p>
    <w:p w14:paraId="5C461A63" w14:textId="77777777" w:rsidR="00772944" w:rsidRDefault="00772944" w:rsidP="00772944"/>
    <w:p w14:paraId="086F2302" w14:textId="77777777" w:rsidR="00772944" w:rsidRDefault="00772944" w:rsidP="00772944">
      <w:pPr>
        <w:pStyle w:val="Questionstyle"/>
        <w:numPr>
          <w:ilvl w:val="0"/>
          <w:numId w:val="14"/>
        </w:numPr>
        <w:tabs>
          <w:tab w:val="clear" w:pos="567"/>
        </w:tabs>
        <w:spacing w:before="120" w:after="120"/>
        <w:ind w:left="851" w:hanging="709"/>
      </w:pPr>
      <w:r>
        <w:t>Do stakeholders also agree with ESMA’s proposal to calculate reported initial margin as the average of month end observations over the reporting year? Alternatively, would either (i) the average of quarter end observations or (ii) the reporting of quarter end observations individually provide a more proportionate and operationally feasible approach?</w:t>
      </w:r>
    </w:p>
    <w:p w14:paraId="2A9EAB71" w14:textId="77777777" w:rsidR="00772944" w:rsidRDefault="00772944" w:rsidP="00772944">
      <w:r>
        <w:t>&lt;ESMA_QUESTION_TCCR_7&gt;</w:t>
      </w:r>
    </w:p>
    <w:p w14:paraId="2423CBDE" w14:textId="77777777" w:rsidR="00772944" w:rsidRDefault="00772944" w:rsidP="00772944">
      <w:permStart w:id="319102224" w:edGrp="everyone"/>
      <w:r>
        <w:t>TYPE YOUR TEXT HERE</w:t>
      </w:r>
    </w:p>
    <w:permEnd w:id="319102224"/>
    <w:p w14:paraId="0C50D7DF" w14:textId="77777777" w:rsidR="00772944" w:rsidRDefault="00772944" w:rsidP="00772944">
      <w:r>
        <w:t>&lt;ESMA_QUESTION_TCCR_7&gt;</w:t>
      </w:r>
    </w:p>
    <w:p w14:paraId="14763FC9" w14:textId="77777777" w:rsidR="00772944" w:rsidRDefault="00772944" w:rsidP="00772944"/>
    <w:p w14:paraId="1779B739" w14:textId="77777777" w:rsidR="00772944" w:rsidRDefault="00772944" w:rsidP="00772944">
      <w:pPr>
        <w:pStyle w:val="Questionstyle"/>
        <w:numPr>
          <w:ilvl w:val="0"/>
          <w:numId w:val="14"/>
        </w:numPr>
        <w:tabs>
          <w:tab w:val="clear" w:pos="567"/>
        </w:tabs>
        <w:spacing w:before="120" w:after="120"/>
        <w:ind w:left="851" w:hanging="709"/>
      </w:pPr>
      <w:r>
        <w:t>To what extent is it operationally feasible to obtain, provide and report initial margin information for the purposes of Article 7d reporting? ESMA would particularly welcome views from reporting entities, clearing members and other stakeholders involved in the reporting chain on the level of aggregation at which such information is available, the effort required to extract such information, and any associated implementation costs or operational burden.</w:t>
      </w:r>
    </w:p>
    <w:p w14:paraId="3376B7D6" w14:textId="77777777" w:rsidR="00772944" w:rsidRDefault="00772944" w:rsidP="00772944">
      <w:r>
        <w:t>&lt;ESMA_QUESTION_TCCR_8&gt;</w:t>
      </w:r>
    </w:p>
    <w:p w14:paraId="6C775412" w14:textId="77777777" w:rsidR="00772944" w:rsidRDefault="00772944" w:rsidP="00772944">
      <w:permStart w:id="546269201" w:edGrp="everyone"/>
      <w:r>
        <w:t>TYPE YOUR TEXT HERE</w:t>
      </w:r>
    </w:p>
    <w:permEnd w:id="546269201"/>
    <w:p w14:paraId="38E133BF" w14:textId="77777777" w:rsidR="00772944" w:rsidRDefault="00772944" w:rsidP="00772944">
      <w:r>
        <w:t>&lt;ESMA_QUESTION_TCCR_8&gt;</w:t>
      </w:r>
    </w:p>
    <w:p w14:paraId="328AEDF2" w14:textId="77777777" w:rsidR="00772944" w:rsidRDefault="00772944" w:rsidP="00772944"/>
    <w:p w14:paraId="16D7224D"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proposal to adopt Option B (distinguishing between EU and non</w:t>
      </w:r>
      <w:r>
        <w:rPr>
          <w:rFonts w:ascii="Cambria Math" w:hAnsi="Cambria Math" w:cs="Cambria Math"/>
        </w:rPr>
        <w:noBreakHyphen/>
      </w:r>
      <w:r>
        <w:t>EU entities within a group) as the baseline level of granularity for consolidated reporting under Article 7d(1)(b)? If not, which of the alternative options (Option A — fully consolidated reporting, or Option C — full entity</w:t>
      </w:r>
      <w:r>
        <w:rPr>
          <w:rFonts w:ascii="Cambria Math" w:hAnsi="Cambria Math" w:cs="Cambria Math"/>
        </w:rPr>
        <w:noBreakHyphen/>
      </w:r>
      <w:r>
        <w:t>level breakdown) would stakeholders prefer, and for what reasons?</w:t>
      </w:r>
    </w:p>
    <w:p w14:paraId="564B9F17" w14:textId="77777777" w:rsidR="00772944" w:rsidRDefault="00772944" w:rsidP="00772944">
      <w:r>
        <w:t>&lt;ESMA_QUESTION_TCCR_9&gt;</w:t>
      </w:r>
    </w:p>
    <w:p w14:paraId="2E231B42" w14:textId="77777777" w:rsidR="00772944" w:rsidRDefault="00772944" w:rsidP="00772944">
      <w:permStart w:id="1896043658" w:edGrp="everyone"/>
      <w:r>
        <w:t>TYPE YOUR TEXT HERE</w:t>
      </w:r>
    </w:p>
    <w:permEnd w:id="1896043658"/>
    <w:p w14:paraId="13D98E04" w14:textId="77777777" w:rsidR="00772944" w:rsidRDefault="00772944" w:rsidP="00772944">
      <w:r>
        <w:t>&lt;ESMA_QUESTION_TCCR_9&gt;</w:t>
      </w:r>
    </w:p>
    <w:p w14:paraId="1C29FD88" w14:textId="77777777" w:rsidR="00772944" w:rsidRDefault="00772944" w:rsidP="00772944"/>
    <w:p w14:paraId="11F0083A" w14:textId="77777777" w:rsidR="00772944" w:rsidRDefault="00772944" w:rsidP="00772944">
      <w:pPr>
        <w:pStyle w:val="Questionstyle"/>
        <w:numPr>
          <w:ilvl w:val="0"/>
          <w:numId w:val="14"/>
        </w:numPr>
        <w:tabs>
          <w:tab w:val="clear" w:pos="567"/>
        </w:tabs>
        <w:spacing w:before="120" w:after="120"/>
        <w:ind w:left="851" w:hanging="709"/>
      </w:pPr>
      <w:r>
        <w:t>What are the operational implications and implementation costs of Options A, B and C, including data availability and any additional allocation or aggregation logic required?</w:t>
      </w:r>
    </w:p>
    <w:p w14:paraId="407846ED" w14:textId="77777777" w:rsidR="00772944" w:rsidRDefault="00772944" w:rsidP="00772944">
      <w:r>
        <w:t>&lt;ESMA_QUESTION_TCCR_10&gt;</w:t>
      </w:r>
    </w:p>
    <w:p w14:paraId="6145D23B" w14:textId="77777777" w:rsidR="00772944" w:rsidRDefault="00772944" w:rsidP="00772944">
      <w:permStart w:id="1751663536" w:edGrp="everyone"/>
      <w:r>
        <w:t>TYPE YOUR TEXT HERE</w:t>
      </w:r>
    </w:p>
    <w:permEnd w:id="1751663536"/>
    <w:p w14:paraId="4E9EFCFF" w14:textId="77777777" w:rsidR="00772944" w:rsidRDefault="00772944" w:rsidP="00772944">
      <w:r>
        <w:t>&lt;ESMA_QUESTION_TCCR_10&gt;</w:t>
      </w:r>
    </w:p>
    <w:p w14:paraId="445C9B21" w14:textId="77777777" w:rsidR="00772944" w:rsidRDefault="00772944" w:rsidP="00772944"/>
    <w:p w14:paraId="2FB80852"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proposal to require reporting under Article 7d in CSV format? If not, do stakeholders consider that another format would be more appropriate? Please explain your reasoning, including any implications in terms of operational feasibility, implementation costs or data processing. In addition, ESMA would welcome evidence on whether the proposed CSV format would materially reduce implementation complexity relative to alternative formats, including from the perspective of smaller reporting entities.</w:t>
      </w:r>
    </w:p>
    <w:p w14:paraId="422408A2" w14:textId="77777777" w:rsidR="00772944" w:rsidRDefault="00772944" w:rsidP="00772944">
      <w:r>
        <w:t>&lt;ESMA_QUESTION_TCCR_11&gt;</w:t>
      </w:r>
    </w:p>
    <w:p w14:paraId="7B6BF654" w14:textId="77777777" w:rsidR="00772944" w:rsidRDefault="00772944" w:rsidP="00772944">
      <w:permStart w:id="2085827393" w:edGrp="everyone"/>
      <w:r>
        <w:t>TYPE YOUR TEXT HERE</w:t>
      </w:r>
    </w:p>
    <w:permEnd w:id="2085827393"/>
    <w:p w14:paraId="77D5FFA8" w14:textId="77777777" w:rsidR="00772944" w:rsidRDefault="00772944" w:rsidP="00772944">
      <w:r>
        <w:t>&lt;ESMA_QUESTION_TCCR_11&gt;</w:t>
      </w:r>
    </w:p>
    <w:p w14:paraId="67BDB5B5" w14:textId="77777777" w:rsidR="00772944" w:rsidRDefault="00772944" w:rsidP="00772944"/>
    <w:p w14:paraId="73F0CD52" w14:textId="77777777" w:rsidR="00772944" w:rsidRDefault="00772944" w:rsidP="00772944"/>
    <w:p w14:paraId="77092DBB" w14:textId="77777777" w:rsidR="00772944" w:rsidRPr="00772944" w:rsidRDefault="00772944" w:rsidP="00772944">
      <w:pPr>
        <w:rPr>
          <w:lang w:val="fr-BE"/>
        </w:rPr>
      </w:pPr>
    </w:p>
    <w:sectPr w:rsidR="00772944" w:rsidRPr="00772944"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2B1CB" w14:textId="77777777" w:rsidR="005F397F" w:rsidRDefault="005F397F" w:rsidP="007E7997">
      <w:pPr>
        <w:spacing w:line="240" w:lineRule="auto"/>
      </w:pPr>
      <w:r>
        <w:separator/>
      </w:r>
    </w:p>
  </w:endnote>
  <w:endnote w:type="continuationSeparator" w:id="0">
    <w:p w14:paraId="03B3D8B3" w14:textId="77777777" w:rsidR="005F397F" w:rsidRDefault="005F397F" w:rsidP="007E7997">
      <w:pPr>
        <w:spacing w:line="240" w:lineRule="auto"/>
      </w:pPr>
      <w:r>
        <w:continuationSeparator/>
      </w:r>
    </w:p>
  </w:endnote>
  <w:endnote w:type="continuationNotice" w:id="1">
    <w:p w14:paraId="2B26A265" w14:textId="77777777" w:rsidR="005F397F" w:rsidRDefault="005F39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00710" w14:textId="77777777" w:rsidR="005F397F" w:rsidRDefault="005F397F" w:rsidP="007E7997">
      <w:pPr>
        <w:spacing w:line="240" w:lineRule="auto"/>
      </w:pPr>
      <w:r>
        <w:separator/>
      </w:r>
    </w:p>
  </w:footnote>
  <w:footnote w:type="continuationSeparator" w:id="0">
    <w:p w14:paraId="7AD625B8" w14:textId="77777777" w:rsidR="005F397F" w:rsidRDefault="005F397F" w:rsidP="007E7997">
      <w:pPr>
        <w:spacing w:line="240" w:lineRule="auto"/>
      </w:pPr>
      <w:r>
        <w:continuationSeparator/>
      </w:r>
    </w:p>
  </w:footnote>
  <w:footnote w:type="continuationNotice" w:id="1">
    <w:p w14:paraId="24F83359" w14:textId="77777777" w:rsidR="005F397F" w:rsidRDefault="005F397F">
      <w:pPr>
        <w:spacing w:after="0" w:line="240" w:lineRule="auto"/>
      </w:pPr>
    </w:p>
  </w:footnote>
  <w:footnote w:id="2">
    <w:p w14:paraId="215E4C20" w14:textId="77777777" w:rsidR="00CA05D6" w:rsidRPr="009210F9" w:rsidRDefault="00CA05D6" w:rsidP="00CA05D6">
      <w:pPr>
        <w:pStyle w:val="FootnoteText"/>
        <w:rPr>
          <w:rFonts w:ascii="Segoe UI" w:hAnsi="Segoe UI" w:cs="Segoe UI"/>
          <w:sz w:val="18"/>
          <w:szCs w:val="18"/>
        </w:rPr>
      </w:pPr>
      <w:r w:rsidRPr="005D31B9">
        <w:rPr>
          <w:rStyle w:val="FootnoteReference"/>
        </w:rPr>
        <w:footnoteRef/>
      </w:r>
      <w:r>
        <w:rPr>
          <w:rFonts w:ascii="Segoe UI" w:hAnsi="Segoe UI" w:cs="Segoe UI"/>
          <w:sz w:val="18"/>
          <w:szCs w:val="18"/>
        </w:rPr>
        <w:t xml:space="preserve"> </w:t>
      </w:r>
      <w:r w:rsidRPr="00A4151B">
        <w:rPr>
          <w:rFonts w:ascii="Segoe UI" w:hAnsi="Segoe UI" w:cs="Segoe UI"/>
          <w:sz w:val="18"/>
          <w:szCs w:val="18"/>
        </w:rPr>
        <w:t xml:space="preserve">ESMA Consultation Paper on EMIR Article 7d Reporting </w:t>
      </w:r>
      <w:r>
        <w:rPr>
          <w:rFonts w:ascii="Segoe UI" w:hAnsi="Segoe UI" w:cs="Segoe UI"/>
          <w:sz w:val="18"/>
          <w:szCs w:val="18"/>
        </w:rPr>
        <w:t>(August 2026)</w:t>
      </w:r>
      <w:r w:rsidRPr="009210F9">
        <w:rPr>
          <w:rFonts w:ascii="Segoe UI" w:hAnsi="Segoe UI" w:cs="Segoe UI"/>
          <w:sz w:val="18"/>
          <w:szCs w:val="18"/>
        </w:rPr>
        <w:t>:</w:t>
      </w:r>
      <w:r w:rsidRPr="00776AE4">
        <w:t xml:space="preserve"> </w:t>
      </w:r>
      <w:hyperlink r:id="rId1" w:history="1">
        <w:r>
          <w:rPr>
            <w:rStyle w:val="Hyperlink"/>
            <w:rFonts w:ascii="Segoe UI" w:hAnsi="Segoe UI" w:cs="Segoe UI"/>
            <w:sz w:val="18"/>
            <w:szCs w:val="18"/>
          </w:rPr>
          <w:t>Link</w:t>
        </w:r>
      </w:hyperlink>
      <w:r>
        <w:rPr>
          <w:rFonts w:ascii="Segoe UI" w:hAnsi="Segoe UI" w:cs="Segoe UI"/>
          <w:sz w:val="18"/>
          <w:szCs w:val="18"/>
        </w:rPr>
        <w:t>.</w:t>
      </w:r>
      <w:r w:rsidRPr="009210F9">
        <w:rPr>
          <w:rFonts w:ascii="Segoe UI" w:hAnsi="Segoe UI" w:cs="Segoe UI"/>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5E4D532D" w:rsidR="00D77369" w:rsidRPr="00A51B24" w:rsidRDefault="00D77369" w:rsidP="008858FE">
    <w:pPr>
      <w:pStyle w:val="Header"/>
      <w:rPr>
        <w:bCs/>
        <w:caps/>
        <w:color w:val="FF0000" w:themeColor="accent6"/>
        <w:sz w:val="22"/>
      </w:rPr>
    </w:pPr>
    <w:r w:rsidRPr="00EE24AE">
      <w:rPr>
        <w:rStyle w:val="ESMAConfidentialRestricted"/>
        <w:noProof/>
      </w:rPr>
      <w:drawing>
        <wp:anchor distT="0" distB="0" distL="114300" distR="114300" simplePos="0" relativeHeight="251661312"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5A4BBA">
      <w:t>18</w:t>
    </w:r>
    <w:r w:rsidR="00306F0E" w:rsidRPr="00EE24AE">
      <w:t xml:space="preserve"> </w:t>
    </w:r>
    <w:r w:rsidR="005A4BBA">
      <w:t>August</w:t>
    </w:r>
    <w:r w:rsidR="00EB238F" w:rsidRPr="00EE24AE">
      <w:t xml:space="preserve"> </w:t>
    </w:r>
    <w:r w:rsidR="00A51B24" w:rsidRPr="00EE24AE">
      <w:t>202</w:t>
    </w:r>
    <w:r w:rsidR="00FF6828">
      <w:t>6</w:t>
    </w:r>
  </w:p>
  <w:p w14:paraId="10BD5565" w14:textId="1C9D8EA9" w:rsidR="008C61D9" w:rsidRDefault="00A866AB" w:rsidP="00C57EE7">
    <w:pPr>
      <w:jc w:val="right"/>
    </w:pPr>
    <w:r w:rsidRPr="00A866AB">
      <w:rPr>
        <w:color w:val="001B4F" w:themeColor="text1" w:themeShade="80"/>
        <w:sz w:val="16"/>
      </w:rPr>
      <w:t>ESMA12-2121844265-6120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3054"/>
        </w:tabs>
        <w:ind w:left="3054" w:hanging="360"/>
      </w:pPr>
      <w:rPr>
        <w:rFonts w:ascii="Symbol" w:hAnsi="Symbol" w:hint="default"/>
        <w:sz w:val="20"/>
      </w:rPr>
    </w:lvl>
    <w:lvl w:ilvl="1" w:tentative="1">
      <w:start w:val="1"/>
      <w:numFmt w:val="bullet"/>
      <w:lvlText w:val="o"/>
      <w:lvlJc w:val="left"/>
      <w:pPr>
        <w:tabs>
          <w:tab w:val="num" w:pos="3774"/>
        </w:tabs>
        <w:ind w:left="3774" w:hanging="360"/>
      </w:pPr>
      <w:rPr>
        <w:rFonts w:ascii="Courier New" w:hAnsi="Courier New" w:hint="default"/>
        <w:sz w:val="20"/>
      </w:rPr>
    </w:lvl>
    <w:lvl w:ilvl="2" w:tentative="1">
      <w:start w:val="1"/>
      <w:numFmt w:val="bullet"/>
      <w:lvlText w:val=""/>
      <w:lvlJc w:val="left"/>
      <w:pPr>
        <w:tabs>
          <w:tab w:val="num" w:pos="4494"/>
        </w:tabs>
        <w:ind w:left="4494" w:hanging="360"/>
      </w:pPr>
      <w:rPr>
        <w:rFonts w:ascii="Wingdings" w:hAnsi="Wingdings" w:hint="default"/>
        <w:sz w:val="20"/>
      </w:rPr>
    </w:lvl>
    <w:lvl w:ilvl="3" w:tentative="1">
      <w:start w:val="1"/>
      <w:numFmt w:val="bullet"/>
      <w:lvlText w:val=""/>
      <w:lvlJc w:val="left"/>
      <w:pPr>
        <w:tabs>
          <w:tab w:val="num" w:pos="5214"/>
        </w:tabs>
        <w:ind w:left="5214" w:hanging="360"/>
      </w:pPr>
      <w:rPr>
        <w:rFonts w:ascii="Wingdings" w:hAnsi="Wingdings" w:hint="default"/>
        <w:sz w:val="20"/>
      </w:rPr>
    </w:lvl>
    <w:lvl w:ilvl="4" w:tentative="1">
      <w:start w:val="1"/>
      <w:numFmt w:val="bullet"/>
      <w:lvlText w:val=""/>
      <w:lvlJc w:val="left"/>
      <w:pPr>
        <w:tabs>
          <w:tab w:val="num" w:pos="5934"/>
        </w:tabs>
        <w:ind w:left="5934" w:hanging="360"/>
      </w:pPr>
      <w:rPr>
        <w:rFonts w:ascii="Wingdings" w:hAnsi="Wingdings" w:hint="default"/>
        <w:sz w:val="20"/>
      </w:rPr>
    </w:lvl>
    <w:lvl w:ilvl="5" w:tentative="1">
      <w:start w:val="1"/>
      <w:numFmt w:val="bullet"/>
      <w:lvlText w:val=""/>
      <w:lvlJc w:val="left"/>
      <w:pPr>
        <w:tabs>
          <w:tab w:val="num" w:pos="6654"/>
        </w:tabs>
        <w:ind w:left="6654" w:hanging="360"/>
      </w:pPr>
      <w:rPr>
        <w:rFonts w:ascii="Wingdings" w:hAnsi="Wingdings" w:hint="default"/>
        <w:sz w:val="20"/>
      </w:rPr>
    </w:lvl>
    <w:lvl w:ilvl="6" w:tentative="1">
      <w:start w:val="1"/>
      <w:numFmt w:val="bullet"/>
      <w:lvlText w:val=""/>
      <w:lvlJc w:val="left"/>
      <w:pPr>
        <w:tabs>
          <w:tab w:val="num" w:pos="7374"/>
        </w:tabs>
        <w:ind w:left="7374" w:hanging="360"/>
      </w:pPr>
      <w:rPr>
        <w:rFonts w:ascii="Wingdings" w:hAnsi="Wingdings" w:hint="default"/>
        <w:sz w:val="20"/>
      </w:rPr>
    </w:lvl>
    <w:lvl w:ilvl="7" w:tentative="1">
      <w:start w:val="1"/>
      <w:numFmt w:val="bullet"/>
      <w:lvlText w:val=""/>
      <w:lvlJc w:val="left"/>
      <w:pPr>
        <w:tabs>
          <w:tab w:val="num" w:pos="8094"/>
        </w:tabs>
        <w:ind w:left="8094" w:hanging="360"/>
      </w:pPr>
      <w:rPr>
        <w:rFonts w:ascii="Wingdings" w:hAnsi="Wingdings" w:hint="default"/>
        <w:sz w:val="20"/>
      </w:rPr>
    </w:lvl>
    <w:lvl w:ilvl="8" w:tentative="1">
      <w:start w:val="1"/>
      <w:numFmt w:val="bullet"/>
      <w:lvlText w:val=""/>
      <w:lvlJc w:val="left"/>
      <w:pPr>
        <w:tabs>
          <w:tab w:val="num" w:pos="8814"/>
        </w:tabs>
        <w:ind w:left="8814"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61840"/>
    <w:multiLevelType w:val="hybridMultilevel"/>
    <w:tmpl w:val="6624CD50"/>
    <w:lvl w:ilvl="0" w:tplc="30EC5BE8">
      <w:start w:val="1"/>
      <w:numFmt w:val="bullet"/>
      <w:pStyle w:val="ListParagraph"/>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8"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AD1101"/>
    <w:multiLevelType w:val="multilevel"/>
    <w:tmpl w:val="647663A2"/>
    <w:lvl w:ilvl="0">
      <w:start w:val="1"/>
      <w:numFmt w:val="decimal"/>
      <w:pStyle w:val="Heading1"/>
      <w:lvlText w:val="%1"/>
      <w:lvlJc w:val="left"/>
      <w:pPr>
        <w:ind w:left="4686" w:hanging="432"/>
      </w:pPr>
    </w:lvl>
    <w:lvl w:ilvl="1">
      <w:start w:val="1"/>
      <w:numFmt w:val="decimal"/>
      <w:pStyle w:val="Heading2"/>
      <w:lvlText w:val="%1.%2"/>
      <w:lvlJc w:val="left"/>
      <w:pPr>
        <w:ind w:left="823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1"/>
  </w:num>
  <w:num w:numId="2" w16cid:durableId="270287514">
    <w:abstractNumId w:val="4"/>
  </w:num>
  <w:num w:numId="3" w16cid:durableId="1675497260">
    <w:abstractNumId w:val="9"/>
  </w:num>
  <w:num w:numId="4" w16cid:durableId="1146706333">
    <w:abstractNumId w:val="3"/>
  </w:num>
  <w:num w:numId="5" w16cid:durableId="1502348752">
    <w:abstractNumId w:val="0"/>
  </w:num>
  <w:num w:numId="6" w16cid:durableId="1544101585">
    <w:abstractNumId w:val="5"/>
  </w:num>
  <w:num w:numId="7" w16cid:durableId="896626050">
    <w:abstractNumId w:val="12"/>
  </w:num>
  <w:num w:numId="8" w16cid:durableId="806780153">
    <w:abstractNumId w:val="2"/>
  </w:num>
  <w:num w:numId="9" w16cid:durableId="1677002603">
    <w:abstractNumId w:val="10"/>
  </w:num>
  <w:num w:numId="10" w16cid:durableId="22487393">
    <w:abstractNumId w:val="8"/>
  </w:num>
  <w:num w:numId="11" w16cid:durableId="270942799">
    <w:abstractNumId w:val="7"/>
  </w:num>
  <w:num w:numId="12" w16cid:durableId="10230698">
    <w:abstractNumId w:val="7"/>
    <w:lvlOverride w:ilvl="0">
      <w:startOverride w:val="1"/>
    </w:lvlOverride>
  </w:num>
  <w:num w:numId="13" w16cid:durableId="1914856611">
    <w:abstractNumId w:val="1"/>
  </w:num>
  <w:num w:numId="14" w16cid:durableId="297614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AKJPSVJiin/8gR/qfNgoDiRTH+EC67sMXNuBjddLcjdNc5MHfRj8sltTfhaQT/Koq46oiAQ/z8mPfyhRJ1xqJA==" w:salt="E15doo68Dej3AWX6B0fDV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17B15"/>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05C"/>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942"/>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3BA"/>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A96"/>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2DC8"/>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27E56"/>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3CD3"/>
    <w:rsid w:val="0016408C"/>
    <w:rsid w:val="00164153"/>
    <w:rsid w:val="00164468"/>
    <w:rsid w:val="001646B2"/>
    <w:rsid w:val="00165987"/>
    <w:rsid w:val="00165B05"/>
    <w:rsid w:val="00165F27"/>
    <w:rsid w:val="00166381"/>
    <w:rsid w:val="00166568"/>
    <w:rsid w:val="00166ED0"/>
    <w:rsid w:val="001675D5"/>
    <w:rsid w:val="001678F4"/>
    <w:rsid w:val="00167E6A"/>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C3A"/>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511"/>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377"/>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A1B"/>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5FB9"/>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6C2"/>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0FE3"/>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D90"/>
    <w:rsid w:val="00236FCF"/>
    <w:rsid w:val="002372D3"/>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0BE"/>
    <w:rsid w:val="002475F6"/>
    <w:rsid w:val="00247837"/>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799"/>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1C0A"/>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0B4D"/>
    <w:rsid w:val="002B159F"/>
    <w:rsid w:val="002B1BEA"/>
    <w:rsid w:val="002B1E5E"/>
    <w:rsid w:val="002B1FBE"/>
    <w:rsid w:val="002B20CA"/>
    <w:rsid w:val="002B2422"/>
    <w:rsid w:val="002B2467"/>
    <w:rsid w:val="002B2D98"/>
    <w:rsid w:val="002B30BB"/>
    <w:rsid w:val="002B342E"/>
    <w:rsid w:val="002B358A"/>
    <w:rsid w:val="002B35CC"/>
    <w:rsid w:val="002B4AD7"/>
    <w:rsid w:val="002B5800"/>
    <w:rsid w:val="002B59F0"/>
    <w:rsid w:val="002B5B01"/>
    <w:rsid w:val="002B6654"/>
    <w:rsid w:val="002B698F"/>
    <w:rsid w:val="002B73FB"/>
    <w:rsid w:val="002B7497"/>
    <w:rsid w:val="002B76FE"/>
    <w:rsid w:val="002B7955"/>
    <w:rsid w:val="002B7F6D"/>
    <w:rsid w:val="002C066F"/>
    <w:rsid w:val="002C06A9"/>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AE7"/>
    <w:rsid w:val="002C5DC6"/>
    <w:rsid w:val="002C615B"/>
    <w:rsid w:val="002C687A"/>
    <w:rsid w:val="002C6F5E"/>
    <w:rsid w:val="002C713B"/>
    <w:rsid w:val="002C7239"/>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6CE1"/>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10314"/>
    <w:rsid w:val="0031033C"/>
    <w:rsid w:val="00310469"/>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4"/>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A4B"/>
    <w:rsid w:val="00347D6A"/>
    <w:rsid w:val="00350CA1"/>
    <w:rsid w:val="00350D45"/>
    <w:rsid w:val="00350F2B"/>
    <w:rsid w:val="003510C9"/>
    <w:rsid w:val="003514E5"/>
    <w:rsid w:val="00351757"/>
    <w:rsid w:val="003519DA"/>
    <w:rsid w:val="00351BE3"/>
    <w:rsid w:val="00352A2C"/>
    <w:rsid w:val="00352DA9"/>
    <w:rsid w:val="003535E3"/>
    <w:rsid w:val="00353629"/>
    <w:rsid w:val="00353E8B"/>
    <w:rsid w:val="003540E9"/>
    <w:rsid w:val="00354133"/>
    <w:rsid w:val="00355176"/>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2F5"/>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07D"/>
    <w:rsid w:val="00390E7C"/>
    <w:rsid w:val="00391000"/>
    <w:rsid w:val="00391E8C"/>
    <w:rsid w:val="003923A0"/>
    <w:rsid w:val="00392652"/>
    <w:rsid w:val="003929A1"/>
    <w:rsid w:val="00392A6B"/>
    <w:rsid w:val="00392A82"/>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9A7"/>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3CE"/>
    <w:rsid w:val="003B6E20"/>
    <w:rsid w:val="003B6F36"/>
    <w:rsid w:val="003B79FB"/>
    <w:rsid w:val="003B7CCB"/>
    <w:rsid w:val="003B7D3F"/>
    <w:rsid w:val="003C059F"/>
    <w:rsid w:val="003C16C6"/>
    <w:rsid w:val="003C1710"/>
    <w:rsid w:val="003C1D0D"/>
    <w:rsid w:val="003C232C"/>
    <w:rsid w:val="003C2C9B"/>
    <w:rsid w:val="003C2E99"/>
    <w:rsid w:val="003C2FC0"/>
    <w:rsid w:val="003C3001"/>
    <w:rsid w:val="003C3303"/>
    <w:rsid w:val="003C35E6"/>
    <w:rsid w:val="003C365A"/>
    <w:rsid w:val="003C397B"/>
    <w:rsid w:val="003C43CD"/>
    <w:rsid w:val="003C484E"/>
    <w:rsid w:val="003C4EB5"/>
    <w:rsid w:val="003C5050"/>
    <w:rsid w:val="003C50CE"/>
    <w:rsid w:val="003C522D"/>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182"/>
    <w:rsid w:val="003D7321"/>
    <w:rsid w:val="003E014B"/>
    <w:rsid w:val="003E038A"/>
    <w:rsid w:val="003E0405"/>
    <w:rsid w:val="003E0CF9"/>
    <w:rsid w:val="003E1371"/>
    <w:rsid w:val="003E14F6"/>
    <w:rsid w:val="003E196A"/>
    <w:rsid w:val="003E2368"/>
    <w:rsid w:val="003E24CC"/>
    <w:rsid w:val="003E2717"/>
    <w:rsid w:val="003E2B10"/>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2F"/>
    <w:rsid w:val="003F7C9B"/>
    <w:rsid w:val="003F7F1F"/>
    <w:rsid w:val="004003A2"/>
    <w:rsid w:val="00400F2F"/>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46C"/>
    <w:rsid w:val="004325FF"/>
    <w:rsid w:val="00432848"/>
    <w:rsid w:val="0043284D"/>
    <w:rsid w:val="00432AC4"/>
    <w:rsid w:val="00432FC9"/>
    <w:rsid w:val="0043354B"/>
    <w:rsid w:val="00433A3D"/>
    <w:rsid w:val="00433AD8"/>
    <w:rsid w:val="00433CA1"/>
    <w:rsid w:val="00433FA5"/>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A50"/>
    <w:rsid w:val="00440D4E"/>
    <w:rsid w:val="004414EF"/>
    <w:rsid w:val="00441977"/>
    <w:rsid w:val="00441B89"/>
    <w:rsid w:val="004424E6"/>
    <w:rsid w:val="00442518"/>
    <w:rsid w:val="0044299D"/>
    <w:rsid w:val="00442A7C"/>
    <w:rsid w:val="00442FCD"/>
    <w:rsid w:val="00444272"/>
    <w:rsid w:val="00444295"/>
    <w:rsid w:val="00444714"/>
    <w:rsid w:val="004448AC"/>
    <w:rsid w:val="00444A3E"/>
    <w:rsid w:val="00444F94"/>
    <w:rsid w:val="00445696"/>
    <w:rsid w:val="00445B7E"/>
    <w:rsid w:val="00445BC4"/>
    <w:rsid w:val="00445E7B"/>
    <w:rsid w:val="004468C4"/>
    <w:rsid w:val="00446B31"/>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24B6"/>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3AF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B7875"/>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4E4A"/>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C2"/>
    <w:rsid w:val="004F5C2F"/>
    <w:rsid w:val="004F5F52"/>
    <w:rsid w:val="004F641D"/>
    <w:rsid w:val="004F64A1"/>
    <w:rsid w:val="004F6BEB"/>
    <w:rsid w:val="004F6FEB"/>
    <w:rsid w:val="004F7198"/>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AE1"/>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4A3"/>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93B"/>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BBA"/>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4BA0"/>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A98"/>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9D4"/>
    <w:rsid w:val="005F2A47"/>
    <w:rsid w:val="005F32BC"/>
    <w:rsid w:val="005F32FB"/>
    <w:rsid w:val="005F37AE"/>
    <w:rsid w:val="005F37FB"/>
    <w:rsid w:val="005F397F"/>
    <w:rsid w:val="005F3BBA"/>
    <w:rsid w:val="005F4337"/>
    <w:rsid w:val="005F49ED"/>
    <w:rsid w:val="005F4CCD"/>
    <w:rsid w:val="005F4E6E"/>
    <w:rsid w:val="005F4E92"/>
    <w:rsid w:val="005F50D8"/>
    <w:rsid w:val="005F5534"/>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7A"/>
    <w:rsid w:val="006203BE"/>
    <w:rsid w:val="00621487"/>
    <w:rsid w:val="006216AC"/>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5C85"/>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9D6"/>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657"/>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098"/>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803"/>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94"/>
    <w:rsid w:val="006E54A6"/>
    <w:rsid w:val="006E55E7"/>
    <w:rsid w:val="006E56E1"/>
    <w:rsid w:val="006E5CFD"/>
    <w:rsid w:val="006E5FD9"/>
    <w:rsid w:val="006E6300"/>
    <w:rsid w:val="006E65C6"/>
    <w:rsid w:val="006E6651"/>
    <w:rsid w:val="006E66F1"/>
    <w:rsid w:val="006E6A98"/>
    <w:rsid w:val="006E6AF5"/>
    <w:rsid w:val="006E6F60"/>
    <w:rsid w:val="006E785C"/>
    <w:rsid w:val="006E791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6AB7"/>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2"/>
    <w:rsid w:val="0073302D"/>
    <w:rsid w:val="007330FF"/>
    <w:rsid w:val="007333C0"/>
    <w:rsid w:val="007333E9"/>
    <w:rsid w:val="0073380E"/>
    <w:rsid w:val="00733A79"/>
    <w:rsid w:val="00733D35"/>
    <w:rsid w:val="00733F83"/>
    <w:rsid w:val="00734107"/>
    <w:rsid w:val="007341E4"/>
    <w:rsid w:val="00734573"/>
    <w:rsid w:val="00734839"/>
    <w:rsid w:val="00734F2C"/>
    <w:rsid w:val="00734F43"/>
    <w:rsid w:val="00735382"/>
    <w:rsid w:val="00735451"/>
    <w:rsid w:val="007354B6"/>
    <w:rsid w:val="00735657"/>
    <w:rsid w:val="00735C87"/>
    <w:rsid w:val="00735E80"/>
    <w:rsid w:val="00736117"/>
    <w:rsid w:val="00740052"/>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6E8F"/>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363"/>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707"/>
    <w:rsid w:val="00772944"/>
    <w:rsid w:val="00772ACD"/>
    <w:rsid w:val="00772BA7"/>
    <w:rsid w:val="00772EDB"/>
    <w:rsid w:val="00773003"/>
    <w:rsid w:val="00773718"/>
    <w:rsid w:val="007739B5"/>
    <w:rsid w:val="00773B45"/>
    <w:rsid w:val="00773BAA"/>
    <w:rsid w:val="00773D9D"/>
    <w:rsid w:val="0077428B"/>
    <w:rsid w:val="007746D7"/>
    <w:rsid w:val="007749F3"/>
    <w:rsid w:val="0077506E"/>
    <w:rsid w:val="007750F2"/>
    <w:rsid w:val="00775136"/>
    <w:rsid w:val="00775C32"/>
    <w:rsid w:val="0077682F"/>
    <w:rsid w:val="007768B8"/>
    <w:rsid w:val="00776991"/>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E30"/>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C0D"/>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530"/>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6A14"/>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9D8"/>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79"/>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3EB7"/>
    <w:rsid w:val="00804763"/>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3EAE"/>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548F"/>
    <w:rsid w:val="00835949"/>
    <w:rsid w:val="00835A34"/>
    <w:rsid w:val="0083602D"/>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8FE"/>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0FE"/>
    <w:rsid w:val="00865852"/>
    <w:rsid w:val="0086587C"/>
    <w:rsid w:val="00865D34"/>
    <w:rsid w:val="00865DC6"/>
    <w:rsid w:val="008660C4"/>
    <w:rsid w:val="0086668A"/>
    <w:rsid w:val="008673FA"/>
    <w:rsid w:val="00867707"/>
    <w:rsid w:val="00867794"/>
    <w:rsid w:val="00867919"/>
    <w:rsid w:val="00870A24"/>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3D73"/>
    <w:rsid w:val="00894515"/>
    <w:rsid w:val="008949C9"/>
    <w:rsid w:val="00894BC1"/>
    <w:rsid w:val="00895081"/>
    <w:rsid w:val="00895385"/>
    <w:rsid w:val="00895F4A"/>
    <w:rsid w:val="0089621C"/>
    <w:rsid w:val="0089636C"/>
    <w:rsid w:val="008964DA"/>
    <w:rsid w:val="00896B12"/>
    <w:rsid w:val="00897688"/>
    <w:rsid w:val="00897895"/>
    <w:rsid w:val="008979B0"/>
    <w:rsid w:val="00897A9E"/>
    <w:rsid w:val="00897EC7"/>
    <w:rsid w:val="00897F0F"/>
    <w:rsid w:val="008A0247"/>
    <w:rsid w:val="008A026F"/>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1D9"/>
    <w:rsid w:val="008C6A59"/>
    <w:rsid w:val="008C6B22"/>
    <w:rsid w:val="008C6E68"/>
    <w:rsid w:val="008C767A"/>
    <w:rsid w:val="008C7BD3"/>
    <w:rsid w:val="008C7C6F"/>
    <w:rsid w:val="008D03BE"/>
    <w:rsid w:val="008D073F"/>
    <w:rsid w:val="008D0C5F"/>
    <w:rsid w:val="008D0E55"/>
    <w:rsid w:val="008D0E92"/>
    <w:rsid w:val="008D0EAE"/>
    <w:rsid w:val="008D127D"/>
    <w:rsid w:val="008D18FF"/>
    <w:rsid w:val="008D1A97"/>
    <w:rsid w:val="008D2642"/>
    <w:rsid w:val="008D310F"/>
    <w:rsid w:val="008D3190"/>
    <w:rsid w:val="008D38E9"/>
    <w:rsid w:val="008D3FBB"/>
    <w:rsid w:val="008D402B"/>
    <w:rsid w:val="008D4059"/>
    <w:rsid w:val="008D4264"/>
    <w:rsid w:val="008D4358"/>
    <w:rsid w:val="008D4CDF"/>
    <w:rsid w:val="008D5790"/>
    <w:rsid w:val="008D5C28"/>
    <w:rsid w:val="008D60F2"/>
    <w:rsid w:val="008D6386"/>
    <w:rsid w:val="008D6716"/>
    <w:rsid w:val="008D7023"/>
    <w:rsid w:val="008D7161"/>
    <w:rsid w:val="008D71B6"/>
    <w:rsid w:val="008D7909"/>
    <w:rsid w:val="008D795B"/>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1B83"/>
    <w:rsid w:val="008F29DA"/>
    <w:rsid w:val="008F2D5D"/>
    <w:rsid w:val="008F3010"/>
    <w:rsid w:val="008F3070"/>
    <w:rsid w:val="008F35EC"/>
    <w:rsid w:val="008F39FB"/>
    <w:rsid w:val="008F3D0D"/>
    <w:rsid w:val="008F3D56"/>
    <w:rsid w:val="008F4C8C"/>
    <w:rsid w:val="008F54C4"/>
    <w:rsid w:val="008F54CA"/>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9A4"/>
    <w:rsid w:val="00912A82"/>
    <w:rsid w:val="00913079"/>
    <w:rsid w:val="009133A2"/>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3D21"/>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2D57"/>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27C"/>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0F"/>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1E21"/>
    <w:rsid w:val="009B23F5"/>
    <w:rsid w:val="009B240B"/>
    <w:rsid w:val="009B2BFF"/>
    <w:rsid w:val="009B2FD0"/>
    <w:rsid w:val="009B32E3"/>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829"/>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C99"/>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1E6"/>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899"/>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4B2"/>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B24"/>
    <w:rsid w:val="00A51D32"/>
    <w:rsid w:val="00A520F5"/>
    <w:rsid w:val="00A52152"/>
    <w:rsid w:val="00A521EA"/>
    <w:rsid w:val="00A521ED"/>
    <w:rsid w:val="00A52313"/>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6AB"/>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0E92"/>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B8A"/>
    <w:rsid w:val="00AC4C35"/>
    <w:rsid w:val="00AC50E9"/>
    <w:rsid w:val="00AC50FD"/>
    <w:rsid w:val="00AC5949"/>
    <w:rsid w:val="00AC5AED"/>
    <w:rsid w:val="00AC5CCD"/>
    <w:rsid w:val="00AC5CED"/>
    <w:rsid w:val="00AC631D"/>
    <w:rsid w:val="00AC670D"/>
    <w:rsid w:val="00AC6BA0"/>
    <w:rsid w:val="00AC6BD6"/>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705"/>
    <w:rsid w:val="00AE2CC4"/>
    <w:rsid w:val="00AE2F10"/>
    <w:rsid w:val="00AE33F4"/>
    <w:rsid w:val="00AE378E"/>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0F3"/>
    <w:rsid w:val="00AF71CA"/>
    <w:rsid w:val="00AF761C"/>
    <w:rsid w:val="00AF781B"/>
    <w:rsid w:val="00AF7C11"/>
    <w:rsid w:val="00AF7E24"/>
    <w:rsid w:val="00AF7E46"/>
    <w:rsid w:val="00B00963"/>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775"/>
    <w:rsid w:val="00B26E5D"/>
    <w:rsid w:val="00B27499"/>
    <w:rsid w:val="00B275D7"/>
    <w:rsid w:val="00B2764F"/>
    <w:rsid w:val="00B27EDD"/>
    <w:rsid w:val="00B303A1"/>
    <w:rsid w:val="00B30903"/>
    <w:rsid w:val="00B30933"/>
    <w:rsid w:val="00B30BCC"/>
    <w:rsid w:val="00B31386"/>
    <w:rsid w:val="00B314F3"/>
    <w:rsid w:val="00B31666"/>
    <w:rsid w:val="00B31A88"/>
    <w:rsid w:val="00B31B09"/>
    <w:rsid w:val="00B31CC8"/>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125"/>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19F"/>
    <w:rsid w:val="00B767E0"/>
    <w:rsid w:val="00B773A7"/>
    <w:rsid w:val="00B7765E"/>
    <w:rsid w:val="00B77662"/>
    <w:rsid w:val="00B777E2"/>
    <w:rsid w:val="00B80369"/>
    <w:rsid w:val="00B8053F"/>
    <w:rsid w:val="00B80879"/>
    <w:rsid w:val="00B8136E"/>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D09"/>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0E8"/>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A7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2DB"/>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2955"/>
    <w:rsid w:val="00C438BE"/>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57EE7"/>
    <w:rsid w:val="00C600A2"/>
    <w:rsid w:val="00C603E4"/>
    <w:rsid w:val="00C60425"/>
    <w:rsid w:val="00C604AB"/>
    <w:rsid w:val="00C60620"/>
    <w:rsid w:val="00C6063C"/>
    <w:rsid w:val="00C60778"/>
    <w:rsid w:val="00C60B79"/>
    <w:rsid w:val="00C617BD"/>
    <w:rsid w:val="00C61B3B"/>
    <w:rsid w:val="00C62014"/>
    <w:rsid w:val="00C62999"/>
    <w:rsid w:val="00C62B79"/>
    <w:rsid w:val="00C638E3"/>
    <w:rsid w:val="00C63E3B"/>
    <w:rsid w:val="00C64929"/>
    <w:rsid w:val="00C64E25"/>
    <w:rsid w:val="00C65438"/>
    <w:rsid w:val="00C6550A"/>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1D67"/>
    <w:rsid w:val="00C8292C"/>
    <w:rsid w:val="00C83F8E"/>
    <w:rsid w:val="00C84820"/>
    <w:rsid w:val="00C84A0F"/>
    <w:rsid w:val="00C84FA0"/>
    <w:rsid w:val="00C85513"/>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5D6"/>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56A"/>
    <w:rsid w:val="00CC2E6D"/>
    <w:rsid w:val="00CC2FE7"/>
    <w:rsid w:val="00CC309D"/>
    <w:rsid w:val="00CC3711"/>
    <w:rsid w:val="00CC412F"/>
    <w:rsid w:val="00CC4D20"/>
    <w:rsid w:val="00CC5174"/>
    <w:rsid w:val="00CC5205"/>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208"/>
    <w:rsid w:val="00CF36F9"/>
    <w:rsid w:val="00CF374D"/>
    <w:rsid w:val="00CF3F92"/>
    <w:rsid w:val="00CF423C"/>
    <w:rsid w:val="00CF42BA"/>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CF7FE4"/>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6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6D9E"/>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5932"/>
    <w:rsid w:val="00D66499"/>
    <w:rsid w:val="00D66561"/>
    <w:rsid w:val="00D668E2"/>
    <w:rsid w:val="00D67136"/>
    <w:rsid w:val="00D67BB2"/>
    <w:rsid w:val="00D67D72"/>
    <w:rsid w:val="00D70685"/>
    <w:rsid w:val="00D70800"/>
    <w:rsid w:val="00D71CAA"/>
    <w:rsid w:val="00D72513"/>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0E96"/>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6AF"/>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3F8C"/>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5F99"/>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1BCC"/>
    <w:rsid w:val="00E02098"/>
    <w:rsid w:val="00E0221B"/>
    <w:rsid w:val="00E02534"/>
    <w:rsid w:val="00E02FC9"/>
    <w:rsid w:val="00E034A3"/>
    <w:rsid w:val="00E03793"/>
    <w:rsid w:val="00E04282"/>
    <w:rsid w:val="00E04C42"/>
    <w:rsid w:val="00E04CD1"/>
    <w:rsid w:val="00E04F36"/>
    <w:rsid w:val="00E05459"/>
    <w:rsid w:val="00E0559A"/>
    <w:rsid w:val="00E056B8"/>
    <w:rsid w:val="00E0696E"/>
    <w:rsid w:val="00E06C4B"/>
    <w:rsid w:val="00E06E20"/>
    <w:rsid w:val="00E0777E"/>
    <w:rsid w:val="00E0798B"/>
    <w:rsid w:val="00E07C32"/>
    <w:rsid w:val="00E100D7"/>
    <w:rsid w:val="00E11057"/>
    <w:rsid w:val="00E1105F"/>
    <w:rsid w:val="00E1169A"/>
    <w:rsid w:val="00E116E6"/>
    <w:rsid w:val="00E11C7E"/>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5AFB"/>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4A"/>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64A"/>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45"/>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5"/>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0E2"/>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4AE"/>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EF79C4"/>
    <w:rsid w:val="00F002A0"/>
    <w:rsid w:val="00F006C5"/>
    <w:rsid w:val="00F00731"/>
    <w:rsid w:val="00F00A7D"/>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17708"/>
    <w:rsid w:val="00F20024"/>
    <w:rsid w:val="00F205B9"/>
    <w:rsid w:val="00F2079A"/>
    <w:rsid w:val="00F20BF3"/>
    <w:rsid w:val="00F20C06"/>
    <w:rsid w:val="00F2136E"/>
    <w:rsid w:val="00F219DE"/>
    <w:rsid w:val="00F21E8B"/>
    <w:rsid w:val="00F226E0"/>
    <w:rsid w:val="00F22B59"/>
    <w:rsid w:val="00F2338B"/>
    <w:rsid w:val="00F23A73"/>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7FA"/>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451"/>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4F5A"/>
    <w:rsid w:val="00F55736"/>
    <w:rsid w:val="00F55D8C"/>
    <w:rsid w:val="00F56990"/>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3DF"/>
    <w:rsid w:val="00F9665F"/>
    <w:rsid w:val="00F96973"/>
    <w:rsid w:val="00F96A6B"/>
    <w:rsid w:val="00F96ACC"/>
    <w:rsid w:val="00F96D9D"/>
    <w:rsid w:val="00F97465"/>
    <w:rsid w:val="00F974E5"/>
    <w:rsid w:val="00F97A98"/>
    <w:rsid w:val="00FA00DB"/>
    <w:rsid w:val="00FA02FB"/>
    <w:rsid w:val="00FA09D7"/>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A5"/>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28C"/>
    <w:rsid w:val="00FC3778"/>
    <w:rsid w:val="00FC3993"/>
    <w:rsid w:val="00FC4ACE"/>
    <w:rsid w:val="00FC505B"/>
    <w:rsid w:val="00FC52E5"/>
    <w:rsid w:val="00FC574B"/>
    <w:rsid w:val="00FC5986"/>
    <w:rsid w:val="00FC5A30"/>
    <w:rsid w:val="00FC5E51"/>
    <w:rsid w:val="00FC6043"/>
    <w:rsid w:val="00FC61AB"/>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B19"/>
    <w:rsid w:val="00FE1DDC"/>
    <w:rsid w:val="00FE1EEE"/>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828"/>
    <w:rsid w:val="00FF6C07"/>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A6D7CC81-0D09-4BAF-931F-13A1A736F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19F"/>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rsid w:val="00F205B9"/>
    <w:pPr>
      <w:numPr>
        <w:numId w:val="0"/>
      </w:numPr>
      <w:ind w:left="792" w:hanging="432"/>
    </w:pPr>
    <w:rPr>
      <w:b/>
      <w:color w:val="00379F" w:themeColor="text1"/>
      <w:sz w:val="28"/>
    </w:rPr>
  </w:style>
  <w:style w:type="character" w:customStyle="1" w:styleId="Title1Char">
    <w:name w:val="Title 1 Char"/>
    <w:basedOn w:val="DefaultParagraphFont"/>
    <w:link w:val="Title1"/>
    <w:rsid w:val="00F205B9"/>
    <w:rPr>
      <w:rFonts w:asciiTheme="majorHAnsi" w:hAnsiTheme="majorHAnsi" w:cstheme="majorHAnsi"/>
      <w:b/>
      <w:color w:val="00379F" w:themeColor="text1"/>
      <w:sz w:val="28"/>
      <w:szCs w:val="22"/>
      <w:lang w:val="pt-PT"/>
    </w:rPr>
  </w:style>
  <w:style w:type="paragraph" w:styleId="ListParagraph">
    <w:name w:val="List Paragraph"/>
    <w:aliases w:val="Paragraphe EI,Paragraphe de liste1,EC"/>
    <w:basedOn w:val="Normal"/>
    <w:link w:val="ListParagraphChar"/>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stParagraph"/>
    <w:link w:val="Title3Char"/>
    <w:autoRedefine/>
    <w:rsid w:val="00F205B9"/>
    <w:pPr>
      <w:numPr>
        <w:ilvl w:val="3"/>
        <w:numId w:val="4"/>
      </w:numPr>
    </w:pPr>
  </w:style>
  <w:style w:type="character" w:customStyle="1" w:styleId="Title3Char">
    <w:name w:val="Title 3 Char"/>
    <w:basedOn w:val="DefaultParagraphFon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color w:val="181818" w:themeColor="background1" w:themeShade="1A"/>
      <w:sz w:val="22"/>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le">
    <w:name w:val="Title"/>
    <w:basedOn w:val="Normal"/>
    <w:next w:val="Normal"/>
    <w:link w:val="Title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sz w:val="22"/>
      <w:lang w:val="en-GB"/>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sz w:val="22"/>
      <w:lang w:val="en-GB"/>
    </w:rPr>
  </w:style>
  <w:style w:type="paragraph" w:styleId="Caption">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rsid w:val="00AA054E"/>
    <w:rPr>
      <w:i/>
      <w:iCs/>
      <w:color w:val="0055F7"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rsid w:val="00F205B9"/>
    <w:pPr>
      <w:framePr w:wrap="around"/>
      <w:tabs>
        <w:tab w:val="right" w:leader="dot" w:pos="440"/>
      </w:tabs>
      <w:ind w:left="220"/>
    </w:pPr>
  </w:style>
  <w:style w:type="paragraph" w:styleId="TOC3">
    <w:name w:val="toc 3"/>
    <w:basedOn w:val="TOC1"/>
    <w:next w:val="Normal"/>
    <w:uiPriority w:val="39"/>
    <w:unhideWhenUsed/>
    <w:qFormat/>
    <w:rsid w:val="00AD0B10"/>
    <w:pPr>
      <w:framePr w:wrap="around"/>
      <w:ind w:left="442"/>
    </w:pPr>
  </w:style>
  <w:style w:type="character" w:styleId="Hyperlink">
    <w:name w:val="Hyperlink"/>
    <w:basedOn w:val="DefaultParagraphFon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DefaultParagraphFon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7A1A9D"/>
    <w:pPr>
      <w:spacing w:after="0" w:line="240" w:lineRule="auto"/>
    </w:pPr>
    <w:rPr>
      <w:sz w:val="16"/>
    </w:rPr>
  </w:style>
  <w:style w:type="character" w:customStyle="1" w:styleId="FootnoteTextChar">
    <w:name w:val="Footnote Text Char"/>
    <w:basedOn w:val="DefaultParagraphFont"/>
    <w:link w:val="FootnoteText"/>
    <w:uiPriority w:val="99"/>
    <w:rsid w:val="007A1A9D"/>
    <w:rPr>
      <w:color w:val="181818" w:themeColor="background1" w:themeShade="1A"/>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qFormat/>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rsid w:val="00F205B9"/>
    <w:pPr>
      <w:framePr w:wrap="around"/>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unhideWhenUsed/>
    <w:rsid w:val="00D33C31"/>
    <w:pPr>
      <w:spacing w:line="240" w:lineRule="auto"/>
    </w:pPr>
    <w:rPr>
      <w:sz w:val="20"/>
    </w:rPr>
  </w:style>
  <w:style w:type="character" w:customStyle="1" w:styleId="CommentTextChar">
    <w:name w:val="Comment Text Char"/>
    <w:basedOn w:val="DefaultParagraphFont"/>
    <w:link w:val="CommentText"/>
    <w:uiPriority w:val="99"/>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rong"/>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Header"/>
    <w:qFormat/>
    <w:rsid w:val="00AF6B1E"/>
  </w:style>
  <w:style w:type="paragraph" w:customStyle="1" w:styleId="Pageheader">
    <w:name w:val="Page header"/>
    <w:basedOn w:val="Header"/>
    <w:next w:val="Header"/>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rsid w:val="00F205B9"/>
    <w:pPr>
      <w:spacing w:after="100"/>
      <w:ind w:left="880"/>
    </w:pPr>
  </w:style>
  <w:style w:type="paragraph" w:styleId="TOC6">
    <w:name w:val="toc 6"/>
    <w:basedOn w:val="Normal"/>
    <w:next w:val="Normal"/>
    <w:uiPriority w:val="39"/>
    <w:semiHidden/>
    <w:unhideWhenUsed/>
    <w:qFormat/>
    <w:rsid w:val="00F205B9"/>
    <w:pPr>
      <w:spacing w:after="100"/>
      <w:ind w:left="1100"/>
    </w:pPr>
  </w:style>
  <w:style w:type="paragraph" w:styleId="TOC7">
    <w:name w:val="toc 7"/>
    <w:basedOn w:val="Normal"/>
    <w:next w:val="Normal"/>
    <w:uiPriority w:val="39"/>
    <w:semiHidden/>
    <w:unhideWhenUsed/>
    <w:qFormat/>
    <w:rsid w:val="00F205B9"/>
    <w:pPr>
      <w:spacing w:after="100"/>
      <w:ind w:left="1320"/>
    </w:pPr>
  </w:style>
  <w:style w:type="paragraph" w:styleId="TOC8">
    <w:name w:val="toc 8"/>
    <w:basedOn w:val="Normal"/>
    <w:next w:val="Normal"/>
    <w:uiPriority w:val="39"/>
    <w:semiHidden/>
    <w:unhideWhenUsed/>
    <w:qFormat/>
    <w:rsid w:val="00F205B9"/>
    <w:pPr>
      <w:spacing w:after="100"/>
      <w:ind w:left="1540"/>
    </w:pPr>
  </w:style>
  <w:style w:type="paragraph" w:styleId="TOC9">
    <w:name w:val="toc 9"/>
    <w:basedOn w:val="Normal"/>
    <w:next w:val="Normal"/>
    <w:uiPriority w:val="39"/>
    <w:semiHidden/>
    <w:unhideWhenUsed/>
    <w:qFormat/>
    <w:rsid w:val="00F205B9"/>
    <w:pPr>
      <w:spacing w:after="100"/>
      <w:ind w:left="1760"/>
    </w:pPr>
  </w:style>
  <w:style w:type="character" w:styleId="FollowedHyperlink">
    <w:name w:val="FollowedHyperlink"/>
    <w:basedOn w:val="DefaultParagraphFont"/>
    <w:uiPriority w:val="99"/>
    <w:semiHidden/>
    <w:unhideWhenUsed/>
    <w:rsid w:val="0043139E"/>
    <w:rPr>
      <w:color w:val="0174AF" w:themeColor="followedHyperlink"/>
      <w:u w:val="single"/>
    </w:rPr>
  </w:style>
  <w:style w:type="character" w:customStyle="1" w:styleId="ListParagraphChar">
    <w:name w:val="List Paragraph Char"/>
    <w:aliases w:val="Paragraphe EI Char,Paragraphe de liste1 Char,EC Char"/>
    <w:link w:val="ListParagraph"/>
    <w:uiPriority w:val="34"/>
    <w:locked/>
    <w:rsid w:val="00EC6066"/>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061F32"/>
    <w:rPr>
      <w:rFonts w:ascii="Segoe UI" w:hAnsi="Segoe UI" w:cs="Segoe UI" w:hint="default"/>
      <w:sz w:val="18"/>
      <w:szCs w:val="18"/>
    </w:rPr>
  </w:style>
  <w:style w:type="character" w:customStyle="1" w:styleId="cf11">
    <w:name w:val="cf11"/>
    <w:basedOn w:val="DefaultParagraphFont"/>
    <w:rsid w:val="00061F32"/>
    <w:rPr>
      <w:rFonts w:ascii="Segoe UI" w:hAnsi="Segoe UI" w:cs="Segoe UI" w:hint="default"/>
      <w:color w:val="333333"/>
      <w:sz w:val="18"/>
      <w:szCs w:val="18"/>
      <w:shd w:val="clear" w:color="auto" w:fill="FFFFFF"/>
    </w:rPr>
  </w:style>
  <w:style w:type="character" w:styleId="Mention">
    <w:name w:val="Mention"/>
    <w:basedOn w:val="DefaultParagraphFont"/>
    <w:uiPriority w:val="99"/>
    <w:unhideWhenUsed/>
    <w:rsid w:val="00251F26"/>
    <w:rPr>
      <w:color w:val="2B579A"/>
      <w:shd w:val="clear" w:color="auto" w:fill="E1DFDD"/>
    </w:rPr>
  </w:style>
  <w:style w:type="character" w:styleId="PlaceholderText">
    <w:name w:val="Placeholder Text"/>
    <w:basedOn w:val="DefaultParagraphFont"/>
    <w:uiPriority w:val="99"/>
    <w:semiHidden/>
    <w:rsid w:val="00635BCA"/>
    <w:rPr>
      <w:color w:val="808080"/>
    </w:rPr>
  </w:style>
  <w:style w:type="paragraph" w:customStyle="1" w:styleId="para">
    <w:name w:val="para"/>
    <w:basedOn w:val="ListParagraph"/>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DefaultParagraphFont"/>
    <w:link w:val="para"/>
    <w:rsid w:val="00641F03"/>
    <w:rPr>
      <w:bCs/>
      <w:iCs/>
      <w:color w:val="181818" w:themeColor="background1" w:themeShade="1A"/>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sma.europa.eu/sites/default/files/2026-08/ESMA12-2121844265-6008_-_Consultation_Paper_on_EMIR_Article_7d.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C006E6" w:rsidP="00C006E6">
          <w:pPr>
            <w:pStyle w:val="2B0FF21738C1433DBAFB661809AC1F871"/>
          </w:pPr>
          <w:r w:rsidRPr="00DA1A90">
            <w:rPr>
              <w:rStyle w:val="PlaceholderText"/>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C006E6" w:rsidP="00C006E6">
          <w:pPr>
            <w:pStyle w:val="B6E42B0E299148B09DE18600D49992C91"/>
          </w:pPr>
          <w:r w:rsidRPr="00DA1A90">
            <w:rPr>
              <w:rStyle w:val="PlaceholderText"/>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C006E6" w:rsidP="00C006E6">
          <w:pPr>
            <w:pStyle w:val="2C1105927AE5462D802EE598D84A45F61"/>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02DC8"/>
    <w:rsid w:val="00127E56"/>
    <w:rsid w:val="0015768C"/>
    <w:rsid w:val="001B6511"/>
    <w:rsid w:val="001D0361"/>
    <w:rsid w:val="002802A1"/>
    <w:rsid w:val="00281F35"/>
    <w:rsid w:val="002B46E7"/>
    <w:rsid w:val="002C7239"/>
    <w:rsid w:val="002E146C"/>
    <w:rsid w:val="0034145D"/>
    <w:rsid w:val="003514E5"/>
    <w:rsid w:val="003D1413"/>
    <w:rsid w:val="00400F2F"/>
    <w:rsid w:val="00430EC2"/>
    <w:rsid w:val="00433FA5"/>
    <w:rsid w:val="00440BBE"/>
    <w:rsid w:val="004D67E0"/>
    <w:rsid w:val="004E4CF9"/>
    <w:rsid w:val="00502AA2"/>
    <w:rsid w:val="00526B46"/>
    <w:rsid w:val="005609FD"/>
    <w:rsid w:val="00591427"/>
    <w:rsid w:val="0059793B"/>
    <w:rsid w:val="005D66AB"/>
    <w:rsid w:val="006216AC"/>
    <w:rsid w:val="006D3543"/>
    <w:rsid w:val="006E5494"/>
    <w:rsid w:val="006E791C"/>
    <w:rsid w:val="00714CF1"/>
    <w:rsid w:val="00736117"/>
    <w:rsid w:val="00740052"/>
    <w:rsid w:val="00813189"/>
    <w:rsid w:val="00813EAE"/>
    <w:rsid w:val="008222A0"/>
    <w:rsid w:val="00836D47"/>
    <w:rsid w:val="00982D57"/>
    <w:rsid w:val="00993537"/>
    <w:rsid w:val="009B6B9C"/>
    <w:rsid w:val="009C0B17"/>
    <w:rsid w:val="00A44918"/>
    <w:rsid w:val="00A563E1"/>
    <w:rsid w:val="00AB0E92"/>
    <w:rsid w:val="00B22006"/>
    <w:rsid w:val="00B26775"/>
    <w:rsid w:val="00B46CAE"/>
    <w:rsid w:val="00BE5A7C"/>
    <w:rsid w:val="00C006E6"/>
    <w:rsid w:val="00C528E6"/>
    <w:rsid w:val="00CF3208"/>
    <w:rsid w:val="00D25DE9"/>
    <w:rsid w:val="00D40353"/>
    <w:rsid w:val="00D9677A"/>
    <w:rsid w:val="00DC3796"/>
    <w:rsid w:val="00DC4211"/>
    <w:rsid w:val="00E03F6C"/>
    <w:rsid w:val="00F81463"/>
    <w:rsid w:val="00FA09D7"/>
    <w:rsid w:val="00FE02D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02D3"/>
    <w:rPr>
      <w:color w:val="808080"/>
    </w:rPr>
  </w:style>
  <w:style w:type="paragraph" w:customStyle="1" w:styleId="2B0FF21738C1433DBAFB661809AC1F871">
    <w:name w:val="2B0FF21738C1433DBAFB661809AC1F871"/>
    <w:rsid w:val="00C006E6"/>
    <w:pPr>
      <w:spacing w:after="250" w:line="276" w:lineRule="auto"/>
      <w:jc w:val="both"/>
    </w:pPr>
    <w:rPr>
      <w:color w:val="1A1A1A" w:themeColor="background1" w:themeShade="1A"/>
      <w:szCs w:val="20"/>
      <w:lang w:eastAsia="en-US"/>
    </w:rPr>
  </w:style>
  <w:style w:type="paragraph" w:customStyle="1" w:styleId="B6E42B0E299148B09DE18600D49992C91">
    <w:name w:val="B6E42B0E299148B09DE18600D49992C91"/>
    <w:rsid w:val="00C006E6"/>
    <w:pPr>
      <w:spacing w:after="250" w:line="276" w:lineRule="auto"/>
      <w:jc w:val="both"/>
    </w:pPr>
    <w:rPr>
      <w:color w:val="1A1A1A" w:themeColor="background1" w:themeShade="1A"/>
      <w:szCs w:val="20"/>
      <w:lang w:eastAsia="en-US"/>
    </w:rPr>
  </w:style>
  <w:style w:type="paragraph" w:customStyle="1" w:styleId="2C1105927AE5462D802EE598D84A45F61">
    <w:name w:val="2C1105927AE5462D802EE598D84A45F61"/>
    <w:rsid w:val="00C006E6"/>
    <w:pPr>
      <w:spacing w:after="250" w:line="276" w:lineRule="auto"/>
      <w:jc w:val="both"/>
    </w:pPr>
    <w:rPr>
      <w:color w:val="1A1A1A" w:themeColor="background1" w:themeShade="1A"/>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MD Policy Document" ma:contentTypeID="0x010100503F0D35E53D034B940919FAB1A37C88010200886C2D374374F346A8C0877FBBFFF5A6" ma:contentTypeVersion="33" ma:contentTypeDescription="" ma:contentTypeScope="" ma:versionID="57cf31132a3ab548408b31b9c49364ea">
  <xsd:schema xmlns:xsd="http://www.w3.org/2001/XMLSchema" xmlns:xs="http://www.w3.org/2001/XMLSchema" xmlns:p="http://schemas.microsoft.com/office/2006/metadata/properties" xmlns:ns2="d0fb0f98-34f9-4d57-9559-eb8efd17aa5e" xmlns:ns3="6f12cd6b-8b2a-4dd7-980a-cc1ae6d63939" xmlns:ns4="http://schemas.microsoft.com/sharepoint/v4" targetNamespace="http://schemas.microsoft.com/office/2006/metadata/properties" ma:root="true" ma:fieldsID="c8cead7b0efef077b84ac3f94c1384b5" ns2:_="" ns3:_="" ns4:_="">
    <xsd:import namespace="d0fb0f98-34f9-4d57-9559-eb8efd17aa5e"/>
    <xsd:import namespace="6f12cd6b-8b2a-4dd7-980a-cc1ae6d63939"/>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adfed02cb80f4453940112edc610ae0b"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4:IconOverlay" minOccurs="0"/>
                <xsd:element ref="ns3:MediaServiceGenerationTime" minOccurs="0"/>
                <xsd:element ref="ns3:MediaServiceEventHashCode"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default="" ma:fieldId="{caa5aeb1-a664-4849-b60f-be2335e12657}" ma:sspId="d4b01e31-ead0-4f68-a8e9-2aaca35f2e62" ma:termSetId="f69c9a53-5413-4cfb-bcb5-5dda08801a4b" ma:anchorId="00000000-0000-0000-0000-000000000000" ma:open="true" ma:isKeyword="false">
      <xsd:complexType>
        <xsd:sequence>
          <xsd:element ref="pc:Terms" minOccurs="0" maxOccurs="1"/>
        </xsd:sequence>
      </xsd:complexType>
    </xsd:element>
    <xsd:element name="adfed02cb80f4453940112edc610ae0b" ma:index="21" nillable="true" ma:taxonomy="true" ma:internalName="adfed02cb80f4453940112edc610ae0b" ma:taxonomyFieldName="MultiTopic" ma:displayName="MultiTopic" ma:readOnly="false" ma:fieldId="{adfed02c-b80f-4453-9401-12edc610ae0b}" ma:taxonomyMulti="true" ma:sspId="d4b01e31-ead0-4f68-a8e9-2aaca35f2e62" ma:termSetId="53d8606b-b8d1-487f-aeb7-9497ccd07a27"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12cd6b-8b2a-4dd7-980a-cc1ae6d63939"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3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5</Value>
      <Value>42</Value>
    </TaxCatchAll>
    <_dlc_DocId xmlns="d0fb0f98-34f9-4d57-9559-eb8efd17aa5e">ESMA12-2121844265-6120</_dlc_DocId>
    <_dlc_DocIdUrl xmlns="d0fb0f98-34f9-4d57-9559-eb8efd17aa5e">
      <Url>https://securitiesandmarketsauth.sharepoint.com/sites/sherpa-daru/_layouts/15/DocIdRedir.aspx?ID=ESMA12-2121844265-6120</Url>
      <Description>ESMA12-2121844265-6120</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Note</TermName>
          <TermId xmlns="http://schemas.microsoft.com/office/infopath/2007/PartnerControls">b9e1c92e-303a-4555-86f0-5c711c65937e</TermId>
        </TermInfo>
      </Terms>
    </eed0a0b2ea6941718a34434e243f3d8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2023</Year>
    <a9b3b1dad23b4ba58c3f3e36a96e1d9c xmlns="d0fb0f98-34f9-4d57-9559-eb8efd17aa5e">
      <Terms xmlns="http://schemas.microsoft.com/office/infopath/2007/PartnerControls"/>
    </a9b3b1dad23b4ba58c3f3e36a96e1d9c>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Derivative reporting</TermName>
          <TermId xmlns="http://schemas.microsoft.com/office/infopath/2007/PartnerControls">c0453927-c279-4b83-b28c-a7e89261ef79</TermId>
        </TermInfo>
      </Terms>
    </caa5aeb1a6644849b60fbe2335e12657>
    <IconOverlay xmlns="http://schemas.microsoft.com/sharepoint/v4" xsi:nil="true"/>
    <adfed02cb80f4453940112edc610ae0b xmlns="d0fb0f98-34f9-4d57-9559-eb8efd17aa5e">
      <Terms xmlns="http://schemas.microsoft.com/office/infopath/2007/PartnerControls"/>
    </adfed02cb80f4453940112edc610ae0b>
    <lcf76f155ced4ddcb4097134ff3c332f xmlns="6f12cd6b-8b2a-4dd7-980a-cc1ae6d639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2.xml><?xml version="1.0" encoding="utf-8"?>
<ds:datastoreItem xmlns:ds="http://schemas.openxmlformats.org/officeDocument/2006/customXml" ds:itemID="{385CFE0B-7B49-4A4A-A10A-067979E528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6f12cd6b-8b2a-4dd7-980a-cc1ae6d6393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4.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5.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 ds:uri="http://schemas.microsoft.com/sharepoint/v4"/>
    <ds:schemaRef ds:uri="6f12cd6b-8b2a-4dd7-980a-cc1ae6d63939"/>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2011</Words>
  <Characters>12070</Characters>
  <Application>Microsoft Office Word</Application>
  <DocSecurity>8</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14053</CharactersWithSpaces>
  <SharedDoc>false</SharedDoc>
  <HLinks>
    <vt:vector size="18"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Karolina Ziółkowska</cp:lastModifiedBy>
  <cp:revision>2</cp:revision>
  <cp:lastPrinted>2023-09-09T09:53:00Z</cp:lastPrinted>
  <dcterms:created xsi:type="dcterms:W3CDTF">2026-10-12T13:57:00Z</dcterms:created>
  <dcterms:modified xsi:type="dcterms:W3CDTF">2026-10-12T13:57:00Z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0x010100503F0D35E53D034B940919FAB1A37C88010200886C2D374374F346A8C0877FBBFFF5A6</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0ca70d09-8a79-408e-9d34-d08e44b130e5</vt:lpwstr>
  </property>
  <property fmtid="{D5CDD505-2E9C-101B-9397-08002B2CF9AE}" pid="8" name="Topic">
    <vt:lpwstr>42</vt:lpwstr>
  </property>
  <property fmtid="{D5CDD505-2E9C-101B-9397-08002B2CF9AE}" pid="9" name="ConfidentialityLevel">
    <vt:lpwstr>6;#Regular|07f1e362-856b-423d-bea6-a14079762141</vt:lpwstr>
  </property>
  <property fmtid="{D5CDD505-2E9C-101B-9397-08002B2CF9AE}" pid="10" name="DocumentType">
    <vt:lpwstr>5;#Note|b9e1c92e-303a-4555-86f0-5c711c65937e</vt:lpwstr>
  </property>
  <property fmtid="{D5CDD505-2E9C-101B-9397-08002B2CF9AE}" pid="11" name="Order">
    <vt:r8>52000</vt:r8>
  </property>
  <property fmtid="{D5CDD505-2E9C-101B-9397-08002B2CF9AE}" pid="12" name="DocumentSetDescription">
    <vt:lpwstr/>
  </property>
  <property fmtid="{D5CDD505-2E9C-101B-9397-08002B2CF9AE}" pid="13" name="TeamName">
    <vt:lpwstr>43;#Post-Trading|22dee67e-8766-4361-bbd4-81c804883283</vt:lpwstr>
  </property>
  <property fmtid="{D5CDD505-2E9C-101B-9397-08002B2CF9AE}" pid="14" name="SubTopic">
    <vt:lpwstr>1280;#EMIR – PTRRS – Consultation RTS CO Exemption|056223a5-11fb-4521-a115-cc7a80111c26</vt:lpwstr>
  </property>
  <property fmtid="{D5CDD505-2E9C-101B-9397-08002B2CF9AE}" pid="15" name="_ExtendedDescription">
    <vt:lpwstr/>
  </property>
  <property fmtid="{D5CDD505-2E9C-101B-9397-08002B2CF9AE}" pid="16" name="URL">
    <vt:lpwstr/>
  </property>
  <property fmtid="{D5CDD505-2E9C-101B-9397-08002B2CF9AE}" pid="17" name="MSIP_Label_05ae7051-b702-462d-8e81-9ac0b6085f00_Extended_MSFT_Method">
    <vt:lpwstr>Standard</vt:lpwstr>
  </property>
  <property fmtid="{D5CDD505-2E9C-101B-9397-08002B2CF9AE}" pid="18" name="MSIP_Label_05ae7051-b702-462d-8e81-9ac0b6085f00_Removed">
    <vt:lpwstr>False</vt:lpwstr>
  </property>
  <property fmtid="{D5CDD505-2E9C-101B-9397-08002B2CF9AE}" pid="19" name="MSIP_Label_05ae7051-b702-462d-8e81-9ac0b6085f00_ActionId">
    <vt:lpwstr>39f833d7-6386-4e82-a49c-e2fb28295084</vt:lpwstr>
  </property>
  <property fmtid="{D5CDD505-2E9C-101B-9397-08002B2CF9AE}" pid="20" name="MSIP_Label_05ae7051-b702-462d-8e81-9ac0b6085f00_Name">
    <vt:lpwstr>Regular</vt:lpwstr>
  </property>
  <property fmtid="{D5CDD505-2E9C-101B-9397-08002B2CF9AE}" pid="21" name="MSIP_Label_05ae7051-b702-462d-8e81-9ac0b6085f00_SetDate">
    <vt:lpwstr>2025-06-17T12:33:41Z</vt:lpwstr>
  </property>
  <property fmtid="{D5CDD505-2E9C-101B-9397-08002B2CF9AE}" pid="22" name="MSIP_Label_05ae7051-b702-462d-8e81-9ac0b6085f00_SiteId">
    <vt:lpwstr>e406f268-4ae7-4c80-8994-02493da00c03</vt:lpwstr>
  </property>
  <property fmtid="{D5CDD505-2E9C-101B-9397-08002B2CF9AE}" pid="23" name="MSIP_Label_05ae7051-b702-462d-8e81-9ac0b6085f00_Enabled">
    <vt:lpwstr>True</vt:lpwstr>
  </property>
  <property fmtid="{D5CDD505-2E9C-101B-9397-08002B2CF9AE}" pid="24" name="Sensitivity">
    <vt:lpwstr>Regular</vt:lpwstr>
  </property>
  <property fmtid="{D5CDD505-2E9C-101B-9397-08002B2CF9AE}" pid="25" name="docLang">
    <vt:lpwstr>en</vt:lpwstr>
  </property>
  <property fmtid="{D5CDD505-2E9C-101B-9397-08002B2CF9AE}" pid="26" name="MediaServiceImageTags">
    <vt:lpwstr/>
  </property>
  <property fmtid="{D5CDD505-2E9C-101B-9397-08002B2CF9AE}" pid="27" name="MultiTopic">
    <vt:lpwstr/>
  </property>
</Properties>
</file>