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793B616E"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Content>
            <w:tc>
              <w:tcPr>
                <w:tcW w:w="4531" w:type="dxa"/>
              </w:tcPr>
              <w:p w14:paraId="76683ED7" w14:textId="1A9E754E" w:rsidR="00635BCA" w:rsidRPr="00557BD2" w:rsidRDefault="00B575A5" w:rsidP="00D21C35">
                <w:r>
                  <w:t>ISDA</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Content>
            <w:tc>
              <w:tcPr>
                <w:tcW w:w="4531" w:type="dxa"/>
              </w:tcPr>
              <w:p w14:paraId="1185A96B" w14:textId="57F391CE" w:rsidR="00B17279" w:rsidRDefault="00B575A5" w:rsidP="00B17279">
                <w:r>
                  <w:t>Stakeholder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1982091919" w:edGrp="everyone" w:displacedByCustomXml="prev"/>
            <w:tc>
              <w:tcPr>
                <w:tcW w:w="4531" w:type="dxa"/>
              </w:tcPr>
              <w:p w14:paraId="10359AFE" w14:textId="08AAB81D" w:rsidR="00B17279" w:rsidRDefault="00B575A5"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1B0B14AF" w:rsidR="00B17279" w:rsidRPr="00557BD2" w:rsidRDefault="00B575A5" w:rsidP="00B17279">
                <w:r>
                  <w:t>International</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5048F33A" w14:textId="77777777" w:rsidR="00B575A5" w:rsidRPr="006636F2" w:rsidRDefault="00B575A5" w:rsidP="00B575A5">
      <w:pPr>
        <w:spacing w:after="120"/>
        <w:rPr>
          <w:rFonts w:ascii="Times New Roman" w:hAnsi="Times New Roman" w:cs="Times New Roman"/>
          <w:b/>
          <w:sz w:val="24"/>
          <w:szCs w:val="24"/>
        </w:rPr>
      </w:pPr>
      <w:permStart w:id="1961835906" w:edGrp="everyone"/>
      <w:r w:rsidRPr="006636F2">
        <w:rPr>
          <w:rFonts w:ascii="Times New Roman" w:hAnsi="Times New Roman" w:cs="Times New Roman"/>
          <w:b/>
          <w:sz w:val="24"/>
          <w:szCs w:val="24"/>
        </w:rPr>
        <w:t>Executive Summary</w:t>
      </w:r>
    </w:p>
    <w:p w14:paraId="19A7CA6B"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ISDA </w:t>
      </w:r>
      <w:r>
        <w:rPr>
          <w:rFonts w:ascii="Times New Roman" w:hAnsi="Times New Roman" w:cs="Times New Roman"/>
          <w:bCs/>
          <w:sz w:val="24"/>
          <w:szCs w:val="24"/>
        </w:rPr>
        <w:t>appreciates</w:t>
      </w:r>
      <w:r w:rsidRPr="006636F2">
        <w:rPr>
          <w:rFonts w:ascii="Times New Roman" w:hAnsi="Times New Roman" w:cs="Times New Roman"/>
          <w:bCs/>
          <w:sz w:val="24"/>
          <w:szCs w:val="24"/>
        </w:rPr>
        <w:t xml:space="preserve"> </w:t>
      </w:r>
      <w:r>
        <w:rPr>
          <w:rFonts w:ascii="Times New Roman" w:hAnsi="Times New Roman" w:cs="Times New Roman"/>
          <w:bCs/>
          <w:sz w:val="24"/>
          <w:szCs w:val="24"/>
        </w:rPr>
        <w:t xml:space="preserve">the opportunity to respond to ESMA’s consultation paper on the reporting framework under EMIR for clearing activity at recognized third-country CCPs. Notably, we welcome </w:t>
      </w:r>
      <w:r w:rsidRPr="006636F2">
        <w:rPr>
          <w:rFonts w:ascii="Times New Roman" w:hAnsi="Times New Roman" w:cs="Times New Roman"/>
          <w:bCs/>
          <w:sz w:val="24"/>
          <w:szCs w:val="24"/>
        </w:rPr>
        <w:t>ESMA's acknowledgement, in paragraphs 15 and 16 of the Consultation Paper (CP), that its consultation with N</w:t>
      </w:r>
      <w:r>
        <w:rPr>
          <w:rFonts w:ascii="Times New Roman" w:hAnsi="Times New Roman" w:cs="Times New Roman"/>
          <w:bCs/>
          <w:sz w:val="24"/>
          <w:szCs w:val="24"/>
        </w:rPr>
        <w:t xml:space="preserve">ational </w:t>
      </w:r>
      <w:r w:rsidRPr="006636F2">
        <w:rPr>
          <w:rFonts w:ascii="Times New Roman" w:hAnsi="Times New Roman" w:cs="Times New Roman"/>
          <w:bCs/>
          <w:sz w:val="24"/>
          <w:szCs w:val="24"/>
        </w:rPr>
        <w:t>C</w:t>
      </w:r>
      <w:r>
        <w:rPr>
          <w:rFonts w:ascii="Times New Roman" w:hAnsi="Times New Roman" w:cs="Times New Roman"/>
          <w:bCs/>
          <w:sz w:val="24"/>
          <w:szCs w:val="24"/>
        </w:rPr>
        <w:t xml:space="preserve">ompetent </w:t>
      </w:r>
      <w:r w:rsidRPr="006636F2">
        <w:rPr>
          <w:rFonts w:ascii="Times New Roman" w:hAnsi="Times New Roman" w:cs="Times New Roman"/>
          <w:bCs/>
          <w:sz w:val="24"/>
          <w:szCs w:val="24"/>
        </w:rPr>
        <w:t>A</w:t>
      </w:r>
      <w:r>
        <w:rPr>
          <w:rFonts w:ascii="Times New Roman" w:hAnsi="Times New Roman" w:cs="Times New Roman"/>
          <w:bCs/>
          <w:sz w:val="24"/>
          <w:szCs w:val="24"/>
        </w:rPr>
        <w:t>uthoritie</w:t>
      </w:r>
      <w:r w:rsidRPr="006636F2">
        <w:rPr>
          <w:rFonts w:ascii="Times New Roman" w:hAnsi="Times New Roman" w:cs="Times New Roman"/>
          <w:bCs/>
          <w:sz w:val="24"/>
          <w:szCs w:val="24"/>
        </w:rPr>
        <w:t>s</w:t>
      </w:r>
      <w:r>
        <w:rPr>
          <w:rFonts w:ascii="Times New Roman" w:hAnsi="Times New Roman" w:cs="Times New Roman"/>
          <w:bCs/>
          <w:sz w:val="24"/>
          <w:szCs w:val="24"/>
        </w:rPr>
        <w:t xml:space="preserve"> (</w:t>
      </w:r>
      <w:r w:rsidRPr="006636F2">
        <w:rPr>
          <w:rFonts w:ascii="Times New Roman" w:hAnsi="Times New Roman" w:cs="Times New Roman"/>
          <w:bCs/>
          <w:sz w:val="24"/>
          <w:szCs w:val="24"/>
        </w:rPr>
        <w:t>NCAs</w:t>
      </w:r>
      <w:r>
        <w:rPr>
          <w:rFonts w:ascii="Times New Roman" w:hAnsi="Times New Roman" w:cs="Times New Roman"/>
          <w:bCs/>
          <w:sz w:val="24"/>
          <w:szCs w:val="24"/>
        </w:rPr>
        <w:t>)</w:t>
      </w:r>
      <w:r w:rsidRPr="006636F2">
        <w:rPr>
          <w:rFonts w:ascii="Times New Roman" w:hAnsi="Times New Roman" w:cs="Times New Roman"/>
          <w:bCs/>
          <w:sz w:val="24"/>
          <w:szCs w:val="24"/>
        </w:rPr>
        <w:t xml:space="preserve"> did not identify a supervisory basis for the Article 7d reporting obligation, and that existing reporting was considered by supervisors to already meet their needs. We think it is important to draw out the consequences of that finding before turning to the specific questions raised in</w:t>
      </w:r>
      <w:r>
        <w:rPr>
          <w:rFonts w:ascii="Times New Roman" w:hAnsi="Times New Roman" w:cs="Times New Roman"/>
          <w:bCs/>
          <w:sz w:val="24"/>
          <w:szCs w:val="24"/>
        </w:rPr>
        <w:t xml:space="preserve"> </w:t>
      </w:r>
      <w:r w:rsidRPr="006636F2">
        <w:rPr>
          <w:rFonts w:ascii="Times New Roman" w:hAnsi="Times New Roman" w:cs="Times New Roman"/>
          <w:bCs/>
          <w:sz w:val="24"/>
          <w:szCs w:val="24"/>
        </w:rPr>
        <w:t xml:space="preserve">the CP. The roll-out of a new reporting regime, with no supervisory benefit, is contrary to the broader ambitions of the EU with respect to simplification and burden reduction (SBR). </w:t>
      </w:r>
    </w:p>
    <w:p w14:paraId="550D363F"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We appreciate that in the report, ESMA considers thoroughly what information is already available under existing reporting requirements. However, where a data gap is identified, the report does not discuss whether the information proposed to be reported is necessary for a defined supervisory purpose that requires ESMA to collect it regardless of the compliance cost involved. We note that Recital 17 of Regulation (EU) 2024/2987 requires that, in specifying the content of Article 7d reporting, ESMA shall “ensure that the obligation does not create additional reporting requirements, unless necessary”. However, in the CP, while ESMA does identify areas where gaps exist, there is no discussion of what is deemed necessary, and paragraph 16's reference to supporting a “broader understanding” of EU exposures does not </w:t>
      </w:r>
      <w:r w:rsidRPr="006636F2">
        <w:rPr>
          <w:rFonts w:ascii="Times New Roman" w:hAnsi="Times New Roman" w:cs="Times New Roman"/>
          <w:bCs/>
          <w:sz w:val="24"/>
          <w:szCs w:val="24"/>
        </w:rPr>
        <w:lastRenderedPageBreak/>
        <w:t>supply the kind of defined purpose Recital 17 appears to contemplate. We would welcome ESMA identifying, field by field</w:t>
      </w:r>
      <w:r>
        <w:rPr>
          <w:rFonts w:ascii="Times New Roman" w:hAnsi="Times New Roman" w:cs="Times New Roman"/>
          <w:bCs/>
          <w:sz w:val="24"/>
          <w:szCs w:val="24"/>
        </w:rPr>
        <w:t>, and asset class by asset class,</w:t>
      </w:r>
      <w:r w:rsidRPr="006636F2">
        <w:rPr>
          <w:rFonts w:ascii="Times New Roman" w:hAnsi="Times New Roman" w:cs="Times New Roman"/>
          <w:bCs/>
          <w:sz w:val="24"/>
          <w:szCs w:val="24"/>
        </w:rPr>
        <w:t xml:space="preserve"> and for all in-scope products, the specific purpose that satisfies this test for each element of the draft R</w:t>
      </w:r>
      <w:r>
        <w:rPr>
          <w:rFonts w:ascii="Times New Roman" w:hAnsi="Times New Roman" w:cs="Times New Roman"/>
          <w:bCs/>
          <w:sz w:val="24"/>
          <w:szCs w:val="24"/>
        </w:rPr>
        <w:t xml:space="preserve">egulatory </w:t>
      </w:r>
      <w:r w:rsidRPr="006636F2">
        <w:rPr>
          <w:rFonts w:ascii="Times New Roman" w:hAnsi="Times New Roman" w:cs="Times New Roman"/>
          <w:bCs/>
          <w:sz w:val="24"/>
          <w:szCs w:val="24"/>
        </w:rPr>
        <w:t>T</w:t>
      </w:r>
      <w:r>
        <w:rPr>
          <w:rFonts w:ascii="Times New Roman" w:hAnsi="Times New Roman" w:cs="Times New Roman"/>
          <w:bCs/>
          <w:sz w:val="24"/>
          <w:szCs w:val="24"/>
        </w:rPr>
        <w:t xml:space="preserve">echnical </w:t>
      </w:r>
      <w:r w:rsidRPr="006636F2">
        <w:rPr>
          <w:rFonts w:ascii="Times New Roman" w:hAnsi="Times New Roman" w:cs="Times New Roman"/>
          <w:bCs/>
          <w:sz w:val="24"/>
          <w:szCs w:val="24"/>
        </w:rPr>
        <w:t>S</w:t>
      </w:r>
      <w:r>
        <w:rPr>
          <w:rFonts w:ascii="Times New Roman" w:hAnsi="Times New Roman" w:cs="Times New Roman"/>
          <w:bCs/>
          <w:sz w:val="24"/>
          <w:szCs w:val="24"/>
        </w:rPr>
        <w:t>tandards (</w:t>
      </w:r>
      <w:r w:rsidRPr="006636F2">
        <w:rPr>
          <w:rFonts w:ascii="Times New Roman" w:hAnsi="Times New Roman" w:cs="Times New Roman"/>
          <w:bCs/>
          <w:sz w:val="24"/>
          <w:szCs w:val="24"/>
        </w:rPr>
        <w:t>RTS</w:t>
      </w:r>
      <w:r>
        <w:rPr>
          <w:rFonts w:ascii="Times New Roman" w:hAnsi="Times New Roman" w:cs="Times New Roman"/>
          <w:bCs/>
          <w:sz w:val="24"/>
          <w:szCs w:val="24"/>
        </w:rPr>
        <w:t>)</w:t>
      </w:r>
      <w:r w:rsidRPr="006636F2">
        <w:rPr>
          <w:rFonts w:ascii="Times New Roman" w:hAnsi="Times New Roman" w:cs="Times New Roman"/>
          <w:bCs/>
          <w:sz w:val="24"/>
          <w:szCs w:val="24"/>
        </w:rPr>
        <w:t xml:space="preserve"> that goes beyond what is already available elsewhere.</w:t>
      </w:r>
    </w:p>
    <w:p w14:paraId="76E704BF"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A recurring reporting obligation that generates ongoing compliance costs across the industry should be traceable to an identified and clear regulatory objective, such as a specific risk to be monitored or a supervisory decision the data is meant to inform. However, as acknowledged in the report, NCAs consulted by ESMA did not see a supervisory need for this information, and ESMA itself notes that a new reporting line under Article 7d is not needed given transactions data reported under the EMIR Article 9 transaction reporting regime. This questions the proportionality of Article 7d as a standalone obligation and we encourage the co-legislators to consider reforms to the Level 1 text. </w:t>
      </w:r>
    </w:p>
    <w:p w14:paraId="17AE08E1" w14:textId="77777777" w:rsidR="00B575A5" w:rsidRPr="006636F2" w:rsidRDefault="00B575A5" w:rsidP="00B575A5">
      <w:pPr>
        <w:spacing w:after="120"/>
        <w:rPr>
          <w:rFonts w:ascii="Times New Roman" w:hAnsi="Times New Roman" w:cs="Times New Roman"/>
          <w:b/>
          <w:sz w:val="24"/>
          <w:szCs w:val="24"/>
        </w:rPr>
      </w:pPr>
      <w:r w:rsidRPr="006636F2">
        <w:rPr>
          <w:rFonts w:ascii="Times New Roman" w:hAnsi="Times New Roman" w:cs="Times New Roman"/>
          <w:bCs/>
          <w:sz w:val="24"/>
          <w:szCs w:val="24"/>
        </w:rPr>
        <w:t xml:space="preserve">We recognise that ESMA's mandate requires it to produce these technical standards regardless of its own assessment of the merits of the underlying provision, and </w:t>
      </w:r>
      <w:r>
        <w:rPr>
          <w:rFonts w:ascii="Times New Roman" w:hAnsi="Times New Roman" w:cs="Times New Roman"/>
          <w:sz w:val="24"/>
          <w:szCs w:val="24"/>
        </w:rPr>
        <w:t xml:space="preserve">that ESMA itself </w:t>
      </w:r>
      <w:r w:rsidRPr="006636F2">
        <w:rPr>
          <w:rFonts w:ascii="Times New Roman" w:hAnsi="Times New Roman" w:cs="Times New Roman"/>
          <w:bCs/>
          <w:sz w:val="24"/>
          <w:szCs w:val="24"/>
        </w:rPr>
        <w:t xml:space="preserve">has no power to amend or repeal Level 1 text. We note, however, that ESMA has on other occasions used its powers under Regulation (EU) No 1095/2010 to draw the Commission's and co-legislators' attention to concerns about the design of Level 1 requirements. Given that the proportionality concerns raised above stem directly from ESMA's own evidence, gathered through its own NCA consultation, we would encourage ESMA to bring these findings formally to the attention of the Commission through that process, so that the continued existence of Article 7d in its current form can be assessed on its merits, separately from the technical </w:t>
      </w:r>
      <w:r>
        <w:rPr>
          <w:rFonts w:ascii="Times New Roman" w:hAnsi="Times New Roman" w:cs="Times New Roman"/>
          <w:bCs/>
          <w:sz w:val="24"/>
          <w:szCs w:val="24"/>
        </w:rPr>
        <w:t>aspects</w:t>
      </w:r>
      <w:r w:rsidRPr="006636F2">
        <w:rPr>
          <w:rFonts w:ascii="Times New Roman" w:hAnsi="Times New Roman" w:cs="Times New Roman"/>
          <w:bCs/>
          <w:sz w:val="24"/>
          <w:szCs w:val="24"/>
        </w:rPr>
        <w:t xml:space="preserve"> addressed in the remainder of this response.</w:t>
      </w:r>
    </w:p>
    <w:p w14:paraId="0A974C06"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sz w:val="24"/>
          <w:szCs w:val="24"/>
        </w:rPr>
        <w:t xml:space="preserve">As a result, there is a valid case </w:t>
      </w:r>
      <w:r>
        <w:rPr>
          <w:rFonts w:ascii="Times New Roman" w:hAnsi="Times New Roman" w:cs="Times New Roman"/>
          <w:sz w:val="24"/>
          <w:szCs w:val="24"/>
        </w:rPr>
        <w:t>for considering the</w:t>
      </w:r>
      <w:r w:rsidRPr="006636F2">
        <w:rPr>
          <w:rFonts w:ascii="Times New Roman" w:hAnsi="Times New Roman" w:cs="Times New Roman"/>
          <w:sz w:val="24"/>
          <w:szCs w:val="24"/>
        </w:rPr>
        <w:t xml:space="preserve"> r</w:t>
      </w:r>
      <w:r w:rsidRPr="006636F2">
        <w:rPr>
          <w:rFonts w:ascii="Times New Roman" w:hAnsi="Times New Roman" w:cs="Times New Roman"/>
          <w:bCs/>
          <w:sz w:val="24"/>
          <w:szCs w:val="24"/>
        </w:rPr>
        <w:t>emoval of the Article 7d reporting requirement</w:t>
      </w:r>
      <w:r>
        <w:rPr>
          <w:rFonts w:ascii="Times New Roman" w:hAnsi="Times New Roman" w:cs="Times New Roman"/>
          <w:bCs/>
          <w:sz w:val="24"/>
          <w:szCs w:val="24"/>
        </w:rPr>
        <w:t xml:space="preserve"> in primary legislation</w:t>
      </w:r>
      <w:r>
        <w:rPr>
          <w:rFonts w:ascii="Times New Roman" w:hAnsi="Times New Roman" w:cs="Times New Roman"/>
          <w:sz w:val="24"/>
          <w:szCs w:val="24"/>
        </w:rPr>
        <w:t>. It</w:t>
      </w:r>
      <w:r w:rsidRPr="006636F2">
        <w:rPr>
          <w:rFonts w:ascii="Times New Roman" w:hAnsi="Times New Roman" w:cs="Times New Roman"/>
          <w:bCs/>
          <w:sz w:val="24"/>
          <w:szCs w:val="24"/>
        </w:rPr>
        <w:t xml:space="preserve"> would be most helpful if </w:t>
      </w:r>
      <w:r>
        <w:rPr>
          <w:rFonts w:ascii="Times New Roman" w:hAnsi="Times New Roman" w:cs="Times New Roman"/>
          <w:sz w:val="24"/>
          <w:szCs w:val="24"/>
        </w:rPr>
        <w:t>this</w:t>
      </w:r>
      <w:r w:rsidRPr="006636F2">
        <w:rPr>
          <w:rFonts w:ascii="Times New Roman" w:hAnsi="Times New Roman" w:cs="Times New Roman"/>
          <w:bCs/>
          <w:sz w:val="24"/>
          <w:szCs w:val="24"/>
        </w:rPr>
        <w:t xml:space="preserve"> could be decided and communicated before market participants begin implementation </w:t>
      </w:r>
      <w:r>
        <w:rPr>
          <w:rFonts w:ascii="Times New Roman" w:hAnsi="Times New Roman" w:cs="Times New Roman"/>
          <w:sz w:val="24"/>
          <w:szCs w:val="24"/>
        </w:rPr>
        <w:t>and incur the</w:t>
      </w:r>
      <w:r w:rsidRPr="006636F2">
        <w:rPr>
          <w:rFonts w:ascii="Times New Roman" w:hAnsi="Times New Roman" w:cs="Times New Roman"/>
          <w:bCs/>
          <w:sz w:val="24"/>
          <w:szCs w:val="24"/>
        </w:rPr>
        <w:t xml:space="preserve"> associated time and operational </w:t>
      </w:r>
      <w:r>
        <w:rPr>
          <w:rFonts w:ascii="Times New Roman" w:hAnsi="Times New Roman" w:cs="Times New Roman"/>
          <w:sz w:val="24"/>
          <w:szCs w:val="24"/>
        </w:rPr>
        <w:t>development</w:t>
      </w:r>
      <w:r w:rsidRPr="006636F2">
        <w:rPr>
          <w:rFonts w:ascii="Times New Roman" w:hAnsi="Times New Roman" w:cs="Times New Roman"/>
          <w:bCs/>
          <w:sz w:val="24"/>
          <w:szCs w:val="24"/>
        </w:rPr>
        <w:t xml:space="preserve"> costs.</w:t>
      </w:r>
    </w:p>
    <w:p w14:paraId="694C4311"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sz w:val="24"/>
          <w:szCs w:val="24"/>
        </w:rPr>
        <w:t>On the proposed requirements, acknowledging that</w:t>
      </w:r>
      <w:r w:rsidRPr="006636F2">
        <w:rPr>
          <w:rFonts w:ascii="Times New Roman" w:hAnsi="Times New Roman" w:cs="Times New Roman"/>
          <w:bCs/>
          <w:sz w:val="24"/>
          <w:szCs w:val="24"/>
        </w:rPr>
        <w:t xml:space="preserve"> ESMA has sought to minimise duplication with existing reporting, we note that this additional reporting would create significant challenges for firms. The information to be reported, for example in respect of non-EU entities within EU groups, would require a different sourcing and aggregation approach </w:t>
      </w:r>
      <w:r w:rsidRPr="006636F2">
        <w:rPr>
          <w:rFonts w:ascii="Times New Roman" w:hAnsi="Times New Roman" w:cs="Times New Roman"/>
          <w:sz w:val="24"/>
          <w:szCs w:val="24"/>
        </w:rPr>
        <w:t xml:space="preserve">in comparison to </w:t>
      </w:r>
      <w:r w:rsidRPr="006636F2">
        <w:rPr>
          <w:rFonts w:ascii="Times New Roman" w:hAnsi="Times New Roman" w:cs="Times New Roman"/>
          <w:bCs/>
          <w:sz w:val="24"/>
          <w:szCs w:val="24"/>
        </w:rPr>
        <w:t>existing reporting</w:t>
      </w:r>
      <w:r w:rsidRPr="006636F2">
        <w:rPr>
          <w:rFonts w:ascii="Times New Roman" w:hAnsi="Times New Roman" w:cs="Times New Roman"/>
          <w:sz w:val="24"/>
          <w:szCs w:val="24"/>
        </w:rPr>
        <w:t xml:space="preserve"> frameworks</w:t>
      </w:r>
      <w:r w:rsidRPr="006636F2">
        <w:rPr>
          <w:rFonts w:ascii="Times New Roman" w:hAnsi="Times New Roman" w:cs="Times New Roman"/>
          <w:bCs/>
          <w:sz w:val="24"/>
          <w:szCs w:val="24"/>
        </w:rPr>
        <w:t xml:space="preserve">. This would put EU groups at a competitive disadvantage. </w:t>
      </w:r>
      <w:r>
        <w:rPr>
          <w:rFonts w:ascii="Times New Roman" w:hAnsi="Times New Roman" w:cs="Times New Roman"/>
          <w:bCs/>
          <w:sz w:val="24"/>
          <w:szCs w:val="24"/>
        </w:rPr>
        <w:t xml:space="preserve">In addition, some of the information </w:t>
      </w:r>
      <w:r>
        <w:rPr>
          <w:rFonts w:ascii="Times New Roman" w:hAnsi="Times New Roman" w:cs="Times New Roman"/>
          <w:sz w:val="24"/>
          <w:szCs w:val="24"/>
        </w:rPr>
        <w:t>that</w:t>
      </w:r>
      <w:r>
        <w:rPr>
          <w:rFonts w:ascii="Times New Roman" w:hAnsi="Times New Roman" w:cs="Times New Roman"/>
          <w:bCs/>
          <w:sz w:val="24"/>
          <w:szCs w:val="24"/>
        </w:rPr>
        <w:t xml:space="preserve"> would be required as part of this reporting is not readily available in the form contemplated by ESMA: a</w:t>
      </w:r>
      <w:r w:rsidRPr="006E7AF4">
        <w:rPr>
          <w:rFonts w:ascii="Times New Roman" w:hAnsi="Times New Roman" w:cs="Times New Roman"/>
          <w:bCs/>
          <w:sz w:val="24"/>
          <w:szCs w:val="24"/>
        </w:rPr>
        <w:t xml:space="preserve"> client</w:t>
      </w:r>
      <w:r>
        <w:rPr>
          <w:rFonts w:ascii="Times New Roman" w:hAnsi="Times New Roman" w:cs="Times New Roman"/>
          <w:bCs/>
          <w:sz w:val="24"/>
          <w:szCs w:val="24"/>
        </w:rPr>
        <w:t xml:space="preserve"> </w:t>
      </w:r>
      <w:r w:rsidRPr="006E7AF4">
        <w:rPr>
          <w:rFonts w:ascii="Times New Roman" w:hAnsi="Times New Roman" w:cs="Times New Roman"/>
          <w:bCs/>
          <w:sz w:val="24"/>
          <w:szCs w:val="24"/>
        </w:rPr>
        <w:t xml:space="preserve">typically knows </w:t>
      </w:r>
      <w:r>
        <w:rPr>
          <w:rFonts w:ascii="Times New Roman" w:hAnsi="Times New Roman" w:cs="Times New Roman"/>
          <w:bCs/>
          <w:sz w:val="24"/>
          <w:szCs w:val="24"/>
        </w:rPr>
        <w:t>the margin</w:t>
      </w:r>
      <w:r w:rsidRPr="006E7AF4">
        <w:rPr>
          <w:rFonts w:ascii="Times New Roman" w:hAnsi="Times New Roman" w:cs="Times New Roman"/>
          <w:bCs/>
          <w:sz w:val="24"/>
          <w:szCs w:val="24"/>
        </w:rPr>
        <w:t xml:space="preserve"> it has posted to its clearing member, which is not a one-for-one match with the clearing member’s margin at the CCP.</w:t>
      </w:r>
      <w:r>
        <w:rPr>
          <w:rFonts w:ascii="Times New Roman" w:hAnsi="Times New Roman" w:cs="Times New Roman"/>
          <w:bCs/>
          <w:sz w:val="24"/>
          <w:szCs w:val="24"/>
        </w:rPr>
        <w:t xml:space="preserve"> Fund managers </w:t>
      </w:r>
      <w:r w:rsidRPr="00DB1040">
        <w:rPr>
          <w:rFonts w:ascii="Times New Roman" w:hAnsi="Times New Roman" w:cs="Times New Roman"/>
          <w:bCs/>
          <w:sz w:val="24"/>
          <w:szCs w:val="24"/>
        </w:rPr>
        <w:t>would</w:t>
      </w:r>
      <w:r>
        <w:rPr>
          <w:rFonts w:ascii="Times New Roman" w:hAnsi="Times New Roman" w:cs="Times New Roman"/>
          <w:bCs/>
          <w:sz w:val="24"/>
          <w:szCs w:val="24"/>
        </w:rPr>
        <w:t xml:space="preserve"> also</w:t>
      </w:r>
      <w:r w:rsidRPr="00DB1040">
        <w:rPr>
          <w:rFonts w:ascii="Times New Roman" w:hAnsi="Times New Roman" w:cs="Times New Roman"/>
          <w:bCs/>
          <w:sz w:val="24"/>
          <w:szCs w:val="24"/>
        </w:rPr>
        <w:t xml:space="preserve"> be dependent on </w:t>
      </w:r>
      <w:r>
        <w:rPr>
          <w:rFonts w:ascii="Times New Roman" w:hAnsi="Times New Roman" w:cs="Times New Roman"/>
          <w:sz w:val="24"/>
          <w:szCs w:val="24"/>
        </w:rPr>
        <w:t xml:space="preserve">data from </w:t>
      </w:r>
      <w:r w:rsidRPr="00DB1040">
        <w:rPr>
          <w:rFonts w:ascii="Times New Roman" w:hAnsi="Times New Roman" w:cs="Times New Roman"/>
          <w:bCs/>
          <w:sz w:val="24"/>
          <w:szCs w:val="24"/>
        </w:rPr>
        <w:t xml:space="preserve">multiple </w:t>
      </w:r>
      <w:r>
        <w:rPr>
          <w:rFonts w:ascii="Times New Roman" w:hAnsi="Times New Roman" w:cs="Times New Roman"/>
          <w:bCs/>
          <w:sz w:val="24"/>
          <w:szCs w:val="24"/>
        </w:rPr>
        <w:t xml:space="preserve">clearing members </w:t>
      </w:r>
      <w:r w:rsidRPr="00DB1040">
        <w:rPr>
          <w:rFonts w:ascii="Times New Roman" w:hAnsi="Times New Roman" w:cs="Times New Roman"/>
          <w:bCs/>
          <w:sz w:val="24"/>
          <w:szCs w:val="24"/>
        </w:rPr>
        <w:lastRenderedPageBreak/>
        <w:t>across hundreds of funds, likely in different formats and with account references requiring internal mapping</w:t>
      </w:r>
      <w:r>
        <w:rPr>
          <w:rFonts w:ascii="Times New Roman" w:hAnsi="Times New Roman" w:cs="Times New Roman"/>
          <w:bCs/>
          <w:sz w:val="24"/>
          <w:szCs w:val="24"/>
        </w:rPr>
        <w:t>.</w:t>
      </w:r>
    </w:p>
    <w:p w14:paraId="2DB5C88E"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If, notwithstanding the above considerations, further reporting is nevertheless deemed to be required based on the EMIR </w:t>
      </w:r>
      <w:r w:rsidRPr="006636F2">
        <w:rPr>
          <w:rFonts w:ascii="Times New Roman" w:hAnsi="Times New Roman" w:cs="Times New Roman"/>
          <w:sz w:val="24"/>
          <w:szCs w:val="24"/>
        </w:rPr>
        <w:t>Article 7d Level 1 provisions</w:t>
      </w:r>
      <w:r w:rsidRPr="006636F2">
        <w:rPr>
          <w:rFonts w:ascii="Times New Roman" w:hAnsi="Times New Roman" w:cs="Times New Roman"/>
          <w:bCs/>
          <w:sz w:val="24"/>
          <w:szCs w:val="24"/>
        </w:rPr>
        <w:t>, ESMA should consider narrowing the scope of the reporting, by excluding entities with no derivatives or S</w:t>
      </w:r>
      <w:r>
        <w:rPr>
          <w:rFonts w:ascii="Times New Roman" w:hAnsi="Times New Roman" w:cs="Times New Roman"/>
          <w:bCs/>
          <w:sz w:val="24"/>
          <w:szCs w:val="24"/>
        </w:rPr>
        <w:t xml:space="preserve">ecurities </w:t>
      </w:r>
      <w:r w:rsidRPr="006636F2">
        <w:rPr>
          <w:rFonts w:ascii="Times New Roman" w:hAnsi="Times New Roman" w:cs="Times New Roman"/>
          <w:bCs/>
          <w:sz w:val="24"/>
          <w:szCs w:val="24"/>
        </w:rPr>
        <w:t>F</w:t>
      </w:r>
      <w:r>
        <w:rPr>
          <w:rFonts w:ascii="Times New Roman" w:hAnsi="Times New Roman" w:cs="Times New Roman"/>
          <w:bCs/>
          <w:sz w:val="24"/>
          <w:szCs w:val="24"/>
        </w:rPr>
        <w:t xml:space="preserve">inancing </w:t>
      </w:r>
      <w:r w:rsidRPr="006636F2">
        <w:rPr>
          <w:rFonts w:ascii="Times New Roman" w:hAnsi="Times New Roman" w:cs="Times New Roman"/>
          <w:bCs/>
          <w:sz w:val="24"/>
          <w:szCs w:val="24"/>
        </w:rPr>
        <w:t>T</w:t>
      </w:r>
      <w:r>
        <w:rPr>
          <w:rFonts w:ascii="Times New Roman" w:hAnsi="Times New Roman" w:cs="Times New Roman"/>
          <w:bCs/>
          <w:sz w:val="24"/>
          <w:szCs w:val="24"/>
        </w:rPr>
        <w:t>ransactions (</w:t>
      </w:r>
      <w:r w:rsidRPr="006636F2">
        <w:rPr>
          <w:rFonts w:ascii="Times New Roman" w:hAnsi="Times New Roman" w:cs="Times New Roman"/>
          <w:bCs/>
          <w:sz w:val="24"/>
          <w:szCs w:val="24"/>
        </w:rPr>
        <w:t>SFT</w:t>
      </w:r>
      <w:r>
        <w:rPr>
          <w:rFonts w:ascii="Times New Roman" w:hAnsi="Times New Roman" w:cs="Times New Roman"/>
          <w:bCs/>
          <w:sz w:val="24"/>
          <w:szCs w:val="24"/>
        </w:rPr>
        <w:t>)</w:t>
      </w:r>
      <w:r w:rsidRPr="006636F2">
        <w:rPr>
          <w:rFonts w:ascii="Times New Roman" w:hAnsi="Times New Roman" w:cs="Times New Roman"/>
          <w:bCs/>
          <w:sz w:val="24"/>
          <w:szCs w:val="24"/>
        </w:rPr>
        <w:t xml:space="preserve"> activity. ESMA should also confirm that  the scope of reportable information (including initial margin) is limited only to </w:t>
      </w:r>
      <w:r w:rsidRPr="006636F2">
        <w:rPr>
          <w:rFonts w:ascii="Times New Roman" w:hAnsi="Times New Roman" w:cs="Times New Roman"/>
          <w:sz w:val="24"/>
          <w:szCs w:val="24"/>
        </w:rPr>
        <w:t>activity</w:t>
      </w:r>
      <w:r w:rsidRPr="006636F2">
        <w:rPr>
          <w:rFonts w:ascii="Times New Roman" w:hAnsi="Times New Roman" w:cs="Times New Roman"/>
          <w:bCs/>
          <w:sz w:val="24"/>
          <w:szCs w:val="24"/>
        </w:rPr>
        <w:t xml:space="preserve"> at CCPs where Union-currency instruments are cleared, only at Tier 1 CCPs and that clearing mem</w:t>
      </w:r>
      <w:r>
        <w:rPr>
          <w:rFonts w:ascii="Times New Roman" w:hAnsi="Times New Roman" w:cs="Times New Roman"/>
          <w:bCs/>
          <w:sz w:val="24"/>
          <w:szCs w:val="24"/>
        </w:rPr>
        <w:t>b</w:t>
      </w:r>
      <w:r w:rsidRPr="006636F2">
        <w:rPr>
          <w:rFonts w:ascii="Times New Roman" w:hAnsi="Times New Roman" w:cs="Times New Roman"/>
          <w:bCs/>
          <w:sz w:val="24"/>
          <w:szCs w:val="24"/>
        </w:rPr>
        <w:t xml:space="preserve">ers report their house activity only. </w:t>
      </w:r>
    </w:p>
    <w:p w14:paraId="31DBC036"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On </w:t>
      </w:r>
      <w:r w:rsidRPr="006636F2">
        <w:rPr>
          <w:rFonts w:ascii="Times New Roman" w:hAnsi="Times New Roman" w:cs="Times New Roman"/>
          <w:sz w:val="24"/>
          <w:szCs w:val="24"/>
        </w:rPr>
        <w:t>implementation</w:t>
      </w:r>
      <w:r w:rsidRPr="006636F2">
        <w:rPr>
          <w:rFonts w:ascii="Times New Roman" w:hAnsi="Times New Roman" w:cs="Times New Roman"/>
          <w:bCs/>
          <w:sz w:val="24"/>
          <w:szCs w:val="24"/>
        </w:rPr>
        <w:t>, we ask that the submission deadline</w:t>
      </w:r>
      <w:r w:rsidRPr="006636F2">
        <w:rPr>
          <w:rFonts w:ascii="Times New Roman" w:hAnsi="Times New Roman" w:cs="Times New Roman"/>
          <w:sz w:val="24"/>
          <w:szCs w:val="24"/>
        </w:rPr>
        <w:t xml:space="preserve"> for Article 7d reporting should </w:t>
      </w:r>
      <w:r w:rsidRPr="006636F2">
        <w:rPr>
          <w:rFonts w:ascii="Times New Roman" w:hAnsi="Times New Roman" w:cs="Times New Roman"/>
          <w:bCs/>
          <w:sz w:val="24"/>
          <w:szCs w:val="24"/>
        </w:rPr>
        <w:t>be set</w:t>
      </w:r>
      <w:r>
        <w:rPr>
          <w:rFonts w:ascii="Times New Roman" w:hAnsi="Times New Roman" w:cs="Times New Roman"/>
          <w:bCs/>
          <w:sz w:val="24"/>
          <w:szCs w:val="24"/>
        </w:rPr>
        <w:t>,</w:t>
      </w:r>
      <w:r w:rsidRPr="006636F2">
        <w:rPr>
          <w:rFonts w:ascii="Times New Roman" w:hAnsi="Times New Roman" w:cs="Times New Roman"/>
          <w:sz w:val="24"/>
          <w:szCs w:val="24"/>
        </w:rPr>
        <w:t xml:space="preserve"> for practical reasons</w:t>
      </w:r>
      <w:r>
        <w:rPr>
          <w:rFonts w:ascii="Times New Roman" w:hAnsi="Times New Roman" w:cs="Times New Roman"/>
          <w:sz w:val="24"/>
          <w:szCs w:val="24"/>
        </w:rPr>
        <w:t>,</w:t>
      </w:r>
      <w:r w:rsidRPr="006636F2">
        <w:rPr>
          <w:rFonts w:ascii="Times New Roman" w:hAnsi="Times New Roman" w:cs="Times New Roman"/>
          <w:sz w:val="24"/>
          <w:szCs w:val="24"/>
        </w:rPr>
        <w:t xml:space="preserve">  </w:t>
      </w:r>
      <w:r w:rsidRPr="006636F2">
        <w:rPr>
          <w:rFonts w:ascii="Times New Roman" w:hAnsi="Times New Roman" w:cs="Times New Roman"/>
          <w:bCs/>
          <w:sz w:val="24"/>
          <w:szCs w:val="24"/>
        </w:rPr>
        <w:t>at the last business day of March rather than January each year</w:t>
      </w:r>
      <w:r w:rsidRPr="006636F2">
        <w:rPr>
          <w:rFonts w:ascii="Times New Roman" w:hAnsi="Times New Roman" w:cs="Times New Roman"/>
          <w:sz w:val="24"/>
          <w:szCs w:val="24"/>
        </w:rPr>
        <w:t>. We also believe that</w:t>
      </w:r>
      <w:r>
        <w:rPr>
          <w:rFonts w:ascii="Times New Roman" w:hAnsi="Times New Roman" w:cs="Times New Roman"/>
          <w:sz w:val="24"/>
          <w:szCs w:val="24"/>
        </w:rPr>
        <w:t xml:space="preserve"> </w:t>
      </w:r>
      <w:r w:rsidRPr="006636F2">
        <w:rPr>
          <w:rFonts w:ascii="Times New Roman" w:hAnsi="Times New Roman" w:cs="Times New Roman"/>
          <w:bCs/>
          <w:sz w:val="24"/>
          <w:szCs w:val="24"/>
        </w:rPr>
        <w:t>retroactive reporting for calendar years from 2025</w:t>
      </w:r>
      <w:r>
        <w:rPr>
          <w:rFonts w:ascii="Times New Roman" w:hAnsi="Times New Roman" w:cs="Times New Roman"/>
          <w:bCs/>
          <w:sz w:val="24"/>
          <w:szCs w:val="24"/>
        </w:rPr>
        <w:t xml:space="preserve"> onwards</w:t>
      </w:r>
      <w:r w:rsidRPr="006636F2">
        <w:rPr>
          <w:rFonts w:ascii="Times New Roman" w:hAnsi="Times New Roman" w:cs="Times New Roman"/>
          <w:sz w:val="24"/>
          <w:szCs w:val="24"/>
        </w:rPr>
        <w:t xml:space="preserve"> is </w:t>
      </w:r>
      <w:r>
        <w:rPr>
          <w:rFonts w:ascii="Times New Roman" w:hAnsi="Times New Roman" w:cs="Times New Roman"/>
          <w:sz w:val="24"/>
          <w:szCs w:val="24"/>
        </w:rPr>
        <w:t xml:space="preserve">overly </w:t>
      </w:r>
      <w:r w:rsidRPr="006636F2">
        <w:rPr>
          <w:rFonts w:ascii="Times New Roman" w:hAnsi="Times New Roman" w:cs="Times New Roman"/>
          <w:sz w:val="24"/>
          <w:szCs w:val="24"/>
        </w:rPr>
        <w:t xml:space="preserve">burdensome </w:t>
      </w:r>
      <w:r>
        <w:rPr>
          <w:rFonts w:ascii="Times New Roman" w:hAnsi="Times New Roman" w:cs="Times New Roman"/>
          <w:sz w:val="24"/>
          <w:szCs w:val="24"/>
        </w:rPr>
        <w:t>and does not provide</w:t>
      </w:r>
      <w:r w:rsidRPr="006636F2">
        <w:rPr>
          <w:rFonts w:ascii="Times New Roman" w:hAnsi="Times New Roman" w:cs="Times New Roman"/>
          <w:sz w:val="24"/>
          <w:szCs w:val="24"/>
        </w:rPr>
        <w:t xml:space="preserve"> additional supervisory value</w:t>
      </w:r>
      <w:r>
        <w:rPr>
          <w:rFonts w:ascii="Times New Roman" w:hAnsi="Times New Roman" w:cs="Times New Roman"/>
          <w:sz w:val="24"/>
          <w:szCs w:val="24"/>
        </w:rPr>
        <w:t>. In addition, we ask that</w:t>
      </w:r>
      <w:r w:rsidRPr="006636F2">
        <w:rPr>
          <w:rFonts w:ascii="Times New Roman" w:hAnsi="Times New Roman" w:cs="Times New Roman"/>
          <w:bCs/>
          <w:sz w:val="24"/>
          <w:szCs w:val="24"/>
        </w:rPr>
        <w:t xml:space="preserve"> a phased implementation </w:t>
      </w:r>
      <w:r w:rsidRPr="006636F2">
        <w:rPr>
          <w:rFonts w:ascii="Times New Roman" w:hAnsi="Times New Roman" w:cs="Times New Roman"/>
          <w:sz w:val="24"/>
          <w:szCs w:val="24"/>
        </w:rPr>
        <w:t xml:space="preserve">of requirements, </w:t>
      </w:r>
      <w:r w:rsidRPr="006636F2">
        <w:rPr>
          <w:rFonts w:ascii="Times New Roman" w:hAnsi="Times New Roman" w:cs="Times New Roman"/>
          <w:bCs/>
          <w:sz w:val="24"/>
          <w:szCs w:val="24"/>
        </w:rPr>
        <w:t>starting with clearing members before extending to clients, be adopted.</w:t>
      </w:r>
    </w:p>
    <w:p w14:paraId="56699C2D" w14:textId="77777777" w:rsidR="00B575A5" w:rsidRPr="006636F2" w:rsidRDefault="00B575A5" w:rsidP="00B575A5">
      <w:pPr>
        <w:spacing w:after="120"/>
        <w:rPr>
          <w:rFonts w:ascii="Times New Roman" w:hAnsi="Times New Roman" w:cs="Times New Roman"/>
          <w:bCs/>
          <w:sz w:val="24"/>
          <w:szCs w:val="24"/>
        </w:rPr>
      </w:pPr>
      <w:r>
        <w:rPr>
          <w:rFonts w:ascii="Times New Roman" w:hAnsi="Times New Roman" w:cs="Times New Roman"/>
          <w:bCs/>
          <w:sz w:val="24"/>
          <w:szCs w:val="24"/>
        </w:rPr>
        <w:t>We also suggest the following simplifications to the reporting requirement:</w:t>
      </w:r>
    </w:p>
    <w:p w14:paraId="2C994BE8" w14:textId="77777777" w:rsidR="00B575A5" w:rsidRPr="006636F2" w:rsidRDefault="00B575A5" w:rsidP="00B575A5">
      <w:pPr>
        <w:pStyle w:val="ListParagraph"/>
        <w:numPr>
          <w:ilvl w:val="0"/>
          <w:numId w:val="17"/>
        </w:numPr>
        <w:spacing w:after="120" w:line="259" w:lineRule="auto"/>
        <w:contextualSpacing/>
        <w:jc w:val="left"/>
        <w:rPr>
          <w:rFonts w:ascii="Times New Roman" w:hAnsi="Times New Roman" w:cs="Times New Roman"/>
          <w:bCs/>
          <w:sz w:val="24"/>
          <w:szCs w:val="24"/>
          <w:lang w:val="en-GB"/>
        </w:rPr>
      </w:pPr>
      <w:r w:rsidRPr="006636F2">
        <w:rPr>
          <w:rFonts w:ascii="Times New Roman" w:hAnsi="Times New Roman" w:cs="Times New Roman"/>
          <w:bCs/>
          <w:sz w:val="24"/>
          <w:szCs w:val="24"/>
          <w:lang w:val="en-GB"/>
        </w:rPr>
        <w:t xml:space="preserve">a simplified instrument categorisation </w:t>
      </w:r>
      <w:r>
        <w:rPr>
          <w:rFonts w:ascii="Times New Roman" w:hAnsi="Times New Roman" w:cs="Times New Roman"/>
          <w:bCs/>
          <w:sz w:val="24"/>
          <w:szCs w:val="24"/>
          <w:lang w:val="en-GB"/>
        </w:rPr>
        <w:t>and</w:t>
      </w:r>
      <w:r w:rsidRPr="006636F2">
        <w:rPr>
          <w:rFonts w:ascii="Times New Roman" w:hAnsi="Times New Roman" w:cs="Times New Roman"/>
          <w:bCs/>
          <w:sz w:val="24"/>
          <w:szCs w:val="24"/>
          <w:lang w:val="en-GB"/>
        </w:rPr>
        <w:t xml:space="preserve"> a reduced list of asset classes, </w:t>
      </w:r>
    </w:p>
    <w:p w14:paraId="1001C9CB" w14:textId="77777777" w:rsidR="00B575A5" w:rsidRPr="006636F2" w:rsidRDefault="00B575A5" w:rsidP="00B575A5">
      <w:pPr>
        <w:pStyle w:val="ListParagraph"/>
        <w:numPr>
          <w:ilvl w:val="0"/>
          <w:numId w:val="17"/>
        </w:numPr>
        <w:spacing w:after="120" w:line="259" w:lineRule="auto"/>
        <w:contextualSpacing/>
        <w:jc w:val="left"/>
        <w:rPr>
          <w:rFonts w:ascii="Times New Roman" w:hAnsi="Times New Roman" w:cs="Times New Roman"/>
          <w:bCs/>
          <w:sz w:val="24"/>
          <w:szCs w:val="24"/>
          <w:lang w:val="en-GB"/>
        </w:rPr>
      </w:pPr>
      <w:r w:rsidRPr="006636F2">
        <w:rPr>
          <w:rFonts w:ascii="Times New Roman" w:hAnsi="Times New Roman" w:cs="Times New Roman"/>
          <w:bCs/>
          <w:sz w:val="24"/>
          <w:szCs w:val="24"/>
          <w:lang w:val="en-GB"/>
        </w:rPr>
        <w:t>the option to aggregate</w:t>
      </w:r>
      <w:r>
        <w:rPr>
          <w:rFonts w:ascii="Times New Roman" w:hAnsi="Times New Roman" w:cs="Times New Roman"/>
          <w:bCs/>
          <w:sz w:val="24"/>
          <w:szCs w:val="24"/>
          <w:lang w:val="en-GB"/>
        </w:rPr>
        <w:t xml:space="preserve"> and convert</w:t>
      </w:r>
      <w:r w:rsidRPr="006636F2">
        <w:rPr>
          <w:rFonts w:ascii="Times New Roman" w:hAnsi="Times New Roman" w:cs="Times New Roman"/>
          <w:bCs/>
          <w:sz w:val="24"/>
          <w:szCs w:val="24"/>
          <w:lang w:val="en-GB"/>
        </w:rPr>
        <w:t xml:space="preserve"> non-euro Union currencies, </w:t>
      </w:r>
    </w:p>
    <w:p w14:paraId="2FA7214D" w14:textId="77777777" w:rsidR="00B575A5" w:rsidRPr="006636F2" w:rsidRDefault="00B575A5" w:rsidP="00B575A5">
      <w:pPr>
        <w:pStyle w:val="ListParagraph"/>
        <w:numPr>
          <w:ilvl w:val="0"/>
          <w:numId w:val="17"/>
        </w:numPr>
        <w:spacing w:after="120" w:line="259" w:lineRule="auto"/>
        <w:contextualSpacing/>
        <w:jc w:val="left"/>
        <w:rPr>
          <w:rFonts w:ascii="Times New Roman" w:hAnsi="Times New Roman" w:cs="Times New Roman"/>
          <w:bCs/>
          <w:sz w:val="24"/>
          <w:szCs w:val="24"/>
          <w:lang w:val="en-GB"/>
        </w:rPr>
      </w:pPr>
      <w:r w:rsidRPr="006636F2">
        <w:rPr>
          <w:rFonts w:ascii="Times New Roman" w:hAnsi="Times New Roman" w:cs="Times New Roman"/>
          <w:bCs/>
          <w:sz w:val="24"/>
          <w:szCs w:val="24"/>
          <w:lang w:val="en-GB"/>
        </w:rPr>
        <w:t>initial margin</w:t>
      </w:r>
      <w:r>
        <w:rPr>
          <w:rFonts w:ascii="Times New Roman" w:hAnsi="Times New Roman" w:cs="Times New Roman"/>
          <w:bCs/>
          <w:sz w:val="24"/>
          <w:szCs w:val="24"/>
          <w:lang w:val="en-GB"/>
        </w:rPr>
        <w:t xml:space="preserve"> (IM)</w:t>
      </w:r>
      <w:r w:rsidRPr="006636F2">
        <w:rPr>
          <w:rFonts w:ascii="Times New Roman" w:hAnsi="Times New Roman" w:cs="Times New Roman"/>
          <w:bCs/>
          <w:sz w:val="24"/>
          <w:szCs w:val="24"/>
          <w:lang w:val="en-GB"/>
        </w:rPr>
        <w:t xml:space="preserve"> to be reported as a year-end point-in-time figure (or, failing that, a quarter-end average) only at Tier 1 CCPs where Union-currency instruments are cleared and where available for the part related to Union-currency instruments, and </w:t>
      </w:r>
    </w:p>
    <w:p w14:paraId="39B5556C" w14:textId="77777777" w:rsidR="00B575A5" w:rsidRPr="006636F2" w:rsidRDefault="00B575A5" w:rsidP="00B575A5">
      <w:pPr>
        <w:pStyle w:val="ListParagraph"/>
        <w:numPr>
          <w:ilvl w:val="0"/>
          <w:numId w:val="17"/>
        </w:numPr>
        <w:spacing w:after="120" w:line="259" w:lineRule="auto"/>
        <w:contextualSpacing/>
        <w:jc w:val="left"/>
        <w:rPr>
          <w:rFonts w:ascii="Times New Roman" w:hAnsi="Times New Roman" w:cs="Times New Roman"/>
          <w:bCs/>
          <w:sz w:val="24"/>
          <w:szCs w:val="24"/>
          <w:lang w:val="en-GB"/>
        </w:rPr>
      </w:pPr>
      <w:r w:rsidRPr="006636F2">
        <w:rPr>
          <w:rFonts w:ascii="Times New Roman" w:hAnsi="Times New Roman" w:cs="Times New Roman"/>
          <w:bCs/>
          <w:sz w:val="24"/>
          <w:szCs w:val="24"/>
          <w:lang w:val="en-GB"/>
        </w:rPr>
        <w:t>fully consolidated group reporting (Option A).</w:t>
      </w:r>
    </w:p>
    <w:p w14:paraId="7C9AF0E3" w14:textId="212D597E" w:rsidR="00B575A5" w:rsidRPr="006636F2" w:rsidRDefault="00B575A5" w:rsidP="00B575A5">
      <w:pPr>
        <w:spacing w:after="120"/>
        <w:rPr>
          <w:rFonts w:ascii="Times New Roman" w:hAnsi="Times New Roman" w:cs="Times New Roman"/>
          <w:b/>
          <w:sz w:val="24"/>
          <w:szCs w:val="24"/>
        </w:rPr>
      </w:pPr>
      <w:r>
        <w:rPr>
          <w:rFonts w:ascii="Times New Roman" w:hAnsi="Times New Roman" w:cs="Times New Roman"/>
          <w:b/>
          <w:sz w:val="24"/>
          <w:szCs w:val="24"/>
        </w:rPr>
        <w:t>Response to Q1</w:t>
      </w:r>
    </w:p>
    <w:p w14:paraId="2D0707C4" w14:textId="77777777" w:rsidR="00B575A5" w:rsidRPr="006636F2" w:rsidRDefault="00B575A5" w:rsidP="00B575A5">
      <w:pPr>
        <w:spacing w:after="120"/>
        <w:rPr>
          <w:rFonts w:ascii="Times New Roman" w:hAnsi="Times New Roman" w:cs="Times New Roman"/>
          <w:sz w:val="24"/>
          <w:szCs w:val="24"/>
        </w:rPr>
      </w:pPr>
      <w:r w:rsidRPr="31D81FB3">
        <w:rPr>
          <w:rFonts w:ascii="Times New Roman" w:hAnsi="Times New Roman" w:cs="Times New Roman"/>
          <w:sz w:val="24"/>
          <w:szCs w:val="24"/>
        </w:rPr>
        <w:t>Yes, we agree with ESMA’s assessment of data availability under existing reporting frameworks available to ESMA. We appreciate ESMA’s acknowledgement that existing reporting such as EMIR Article 9, SFTR and annual data requests addressed to the supervisory authorities of Tier 1 CCPs “already provides sufficient information to meet supervisory objectives”. We also agree with ESMA’s conclusion that the information to be reported under Article 7d does not appear to provide supervisory value, and that even EU supervisors consider that a new reporting under Article 7d would result in duplicating reporting requirements.</w:t>
      </w:r>
    </w:p>
    <w:p w14:paraId="01C1C70B"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In light of the above, we would respectfully suggest that the concerns underpinning the Article 7d reporting are already satisfied and no additional requirements should be needed.  If this is not an approach which is deemed consistent with Article 7d as currently drafted,  we suggest that removal of any additional reporting requirements be considered at an appropriate stage, which should be before firms start any implementation with the associated time and operational </w:t>
      </w:r>
      <w:r w:rsidRPr="006636F2">
        <w:rPr>
          <w:rFonts w:ascii="Times New Roman" w:hAnsi="Times New Roman" w:cs="Times New Roman"/>
          <w:bCs/>
          <w:sz w:val="24"/>
          <w:szCs w:val="24"/>
        </w:rPr>
        <w:lastRenderedPageBreak/>
        <w:t xml:space="preserve">costs that would be borne across the industry (including for national competent authorities and ESMA), especially for corporate and buyside entities who may not currently fall within the scope of EMIR requirements (including also non-EU entities of EU groups) but who would be newly </w:t>
      </w:r>
      <w:r>
        <w:rPr>
          <w:rFonts w:ascii="Times New Roman" w:hAnsi="Times New Roman" w:cs="Times New Roman"/>
          <w:bCs/>
          <w:sz w:val="24"/>
          <w:szCs w:val="24"/>
        </w:rPr>
        <w:t xml:space="preserve">made </w:t>
      </w:r>
      <w:r w:rsidRPr="006636F2">
        <w:rPr>
          <w:rFonts w:ascii="Times New Roman" w:hAnsi="Times New Roman" w:cs="Times New Roman"/>
          <w:bCs/>
          <w:sz w:val="24"/>
          <w:szCs w:val="24"/>
        </w:rPr>
        <w:t>subject to these requirements due to the expansion of the product scope anticipated by this reporting requirement. For example, this should be considered as part of any simpli</w:t>
      </w:r>
      <w:r>
        <w:rPr>
          <w:rFonts w:ascii="Times New Roman" w:hAnsi="Times New Roman" w:cs="Times New Roman"/>
          <w:bCs/>
          <w:sz w:val="24"/>
          <w:szCs w:val="24"/>
        </w:rPr>
        <w:t>fi</w:t>
      </w:r>
      <w:r w:rsidRPr="006636F2">
        <w:rPr>
          <w:rFonts w:ascii="Times New Roman" w:hAnsi="Times New Roman" w:cs="Times New Roman"/>
          <w:bCs/>
          <w:sz w:val="24"/>
          <w:szCs w:val="24"/>
        </w:rPr>
        <w:t>cation initiative or future revision of EMIR, in light of ESMA’s observations regarding duplication and lack of supervisory value of the reporting.</w:t>
      </w:r>
    </w:p>
    <w:p w14:paraId="01FDA680" w14:textId="77777777" w:rsidR="00B575A5" w:rsidRPr="006636F2" w:rsidRDefault="00B575A5" w:rsidP="00B575A5">
      <w:pPr>
        <w:spacing w:after="120"/>
        <w:rPr>
          <w:rFonts w:ascii="Times New Roman" w:hAnsi="Times New Roman" w:cs="Times New Roman"/>
          <w:bCs/>
          <w:sz w:val="24"/>
          <w:szCs w:val="24"/>
          <w:u w:val="single"/>
        </w:rPr>
      </w:pPr>
      <w:r w:rsidRPr="006636F2">
        <w:rPr>
          <w:rFonts w:ascii="Times New Roman" w:hAnsi="Times New Roman" w:cs="Times New Roman"/>
          <w:bCs/>
          <w:sz w:val="24"/>
          <w:szCs w:val="24"/>
          <w:u w:val="single"/>
        </w:rPr>
        <w:t>Currency scope</w:t>
      </w:r>
    </w:p>
    <w:p w14:paraId="7AE92423"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While only Union currencies are to be taken into account when reporting the average value of positions under fields 6 ("Average Value Cleared") and 7 ("Average Value Cleared Attributable to Non-EU Entities") of Table 2 (in line with the Level 1 text, which expressly limits this requirement to Union currencies), initial margins under Table 3 ("Initial Margin") appear to be reportable at all CCPs, even where there is no transactional activity in Union currencies at such CCPs. This difference in treatment seems counterintuitive. In our view, reporting should always be limited to activity in Union currencies for all information referred to in points (a) to (e). While we acknowledge that the reference to "Union currencies" only appears expressly in point (b), there is nothing to suggest that the legislator intended a different scope for the other categories of information listed under points (a), (c), (d) and (e). In the absence of explicit clarification to the contrary, a consistent interpretation of these provisions should therefore prevail. Hence, we believe that reporting is only required where an in-scope entity has trading activity denominated in a Union currency cleared at the relevant CCP.</w:t>
      </w:r>
    </w:p>
    <w:p w14:paraId="5D1C46EC"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sz w:val="24"/>
          <w:szCs w:val="24"/>
        </w:rPr>
        <w:t>Where reporting entities are able to directly identify the portion of Initial Margin attributable to transactions in Union currencies, we consider that only that portion should be reported. However, where such identification is not possible, reporting entities should not be required to develop allocation methodologies for this purpose, and in such cases the total Initial Margin posted to the CCP should be reported.</w:t>
      </w:r>
    </w:p>
    <w:p w14:paraId="20D9B9CE" w14:textId="77777777" w:rsidR="00B575A5" w:rsidRPr="006636F2" w:rsidRDefault="00B575A5" w:rsidP="00B575A5">
      <w:pPr>
        <w:spacing w:after="120"/>
        <w:rPr>
          <w:rFonts w:ascii="Times New Roman" w:hAnsi="Times New Roman" w:cs="Times New Roman"/>
          <w:bCs/>
          <w:sz w:val="24"/>
          <w:szCs w:val="24"/>
          <w:u w:val="single"/>
        </w:rPr>
      </w:pPr>
      <w:r w:rsidRPr="006636F2">
        <w:rPr>
          <w:rFonts w:ascii="Times New Roman" w:hAnsi="Times New Roman" w:cs="Times New Roman"/>
          <w:bCs/>
          <w:sz w:val="24"/>
          <w:szCs w:val="24"/>
          <w:u w:val="single"/>
        </w:rPr>
        <w:t>CCP scope</w:t>
      </w:r>
    </w:p>
    <w:p w14:paraId="5BB9E728"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While Article 7d and the draft RTS refer to activity at any “CCP recognised under Article 25”, we note that ESMA only refers to activity at Tier 1 CCPs in the report. We support the approach referred to in the ESMA report and would welcome clarification through Article 1 of the draft RTS that ESMA only expects reporting under Article 7d in respect of activity at Tier 1 CCPs. This would deliver meaningful simpli</w:t>
      </w:r>
      <w:r>
        <w:rPr>
          <w:rFonts w:ascii="Times New Roman" w:hAnsi="Times New Roman" w:cs="Times New Roman"/>
          <w:bCs/>
          <w:sz w:val="24"/>
          <w:szCs w:val="24"/>
        </w:rPr>
        <w:t>fi</w:t>
      </w:r>
      <w:r w:rsidRPr="006636F2">
        <w:rPr>
          <w:rFonts w:ascii="Times New Roman" w:hAnsi="Times New Roman" w:cs="Times New Roman"/>
          <w:bCs/>
          <w:sz w:val="24"/>
          <w:szCs w:val="24"/>
        </w:rPr>
        <w:t xml:space="preserve">cation, especially considering that ESMA has access to information from Tier 2 CCPs through its direct supervisory powers.  </w:t>
      </w:r>
    </w:p>
    <w:p w14:paraId="05E5C2C6" w14:textId="77777777" w:rsidR="00B575A5" w:rsidRPr="006636F2" w:rsidRDefault="00B575A5" w:rsidP="00B575A5">
      <w:pPr>
        <w:spacing w:after="120"/>
        <w:rPr>
          <w:rFonts w:ascii="Times New Roman" w:hAnsi="Times New Roman" w:cs="Times New Roman"/>
          <w:bCs/>
          <w:sz w:val="24"/>
          <w:szCs w:val="24"/>
          <w:u w:val="single"/>
        </w:rPr>
      </w:pPr>
      <w:r w:rsidRPr="006636F2">
        <w:rPr>
          <w:rFonts w:ascii="Times New Roman" w:hAnsi="Times New Roman" w:cs="Times New Roman"/>
          <w:bCs/>
          <w:sz w:val="24"/>
          <w:szCs w:val="24"/>
          <w:u w:val="single"/>
        </w:rPr>
        <w:t>Counterparty scope</w:t>
      </w:r>
    </w:p>
    <w:p w14:paraId="5A6DE638"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lastRenderedPageBreak/>
        <w:t>The CP does not include a question on the counterparty scope, but we would like to raise a number of concerns on this issue. We appreciate that under Article 1, ESMA has sought to minimise duplication in reporting by identifying the specific contents of the reporting obligation for different types of reporting entities. This leads to a</w:t>
      </w:r>
      <w:r w:rsidRPr="006636F2" w:rsidDel="00D42E32">
        <w:rPr>
          <w:rFonts w:ascii="Times New Roman" w:hAnsi="Times New Roman" w:cs="Times New Roman"/>
          <w:bCs/>
          <w:sz w:val="24"/>
          <w:szCs w:val="24"/>
        </w:rPr>
        <w:t xml:space="preserve"> </w:t>
      </w:r>
      <w:r w:rsidRPr="006636F2">
        <w:rPr>
          <w:rFonts w:ascii="Times New Roman" w:hAnsi="Times New Roman" w:cs="Times New Roman"/>
          <w:bCs/>
          <w:sz w:val="24"/>
          <w:szCs w:val="24"/>
        </w:rPr>
        <w:t>granular scope definition, with practical questions on what contents should</w:t>
      </w:r>
      <w:r>
        <w:rPr>
          <w:rFonts w:ascii="Times New Roman" w:hAnsi="Times New Roman" w:cs="Times New Roman"/>
          <w:bCs/>
          <w:sz w:val="24"/>
          <w:szCs w:val="24"/>
        </w:rPr>
        <w:t xml:space="preserve"> exactly</w:t>
      </w:r>
      <w:r w:rsidRPr="006636F2">
        <w:rPr>
          <w:rFonts w:ascii="Times New Roman" w:hAnsi="Times New Roman" w:cs="Times New Roman"/>
          <w:bCs/>
          <w:sz w:val="24"/>
          <w:szCs w:val="24"/>
        </w:rPr>
        <w:t xml:space="preserve"> be produced by EU clients (depending also on the clearing member they use: EU, non-EU part of an EU group and non-EU not part of an EU group), EU clearing members, and EU parent undertakings of groups subject to EU consolidated supervision. </w:t>
      </w:r>
    </w:p>
    <w:p w14:paraId="4525C657"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While the </w:t>
      </w:r>
      <w:r>
        <w:rPr>
          <w:rFonts w:ascii="Times New Roman" w:hAnsi="Times New Roman" w:cs="Times New Roman"/>
          <w:bCs/>
          <w:sz w:val="24"/>
          <w:szCs w:val="24"/>
        </w:rPr>
        <w:t>CP</w:t>
      </w:r>
      <w:r w:rsidRPr="006636F2">
        <w:rPr>
          <w:rFonts w:ascii="Times New Roman" w:hAnsi="Times New Roman" w:cs="Times New Roman"/>
          <w:bCs/>
          <w:sz w:val="24"/>
          <w:szCs w:val="24"/>
        </w:rPr>
        <w:t xml:space="preserve"> (per the reporting scope described in paragraph 42 and 61) indicates that EU clients using a non-EU clearing member outside an EU group should report </w:t>
      </w:r>
      <w:r w:rsidRPr="006636F2">
        <w:rPr>
          <w:rFonts w:ascii="Times New Roman" w:hAnsi="Times New Roman" w:cs="Times New Roman"/>
          <w:sz w:val="24"/>
          <w:szCs w:val="24"/>
        </w:rPr>
        <w:t>margin only for non-derivatives and non-SFT instruments, Article 1 appears to require reporting of all margin under Article 3. Article 1 should be amended to align with the approach set</w:t>
      </w:r>
      <w:r w:rsidRPr="006636F2">
        <w:rPr>
          <w:rFonts w:ascii="Times New Roman" w:hAnsi="Times New Roman" w:cs="Times New Roman"/>
          <w:bCs/>
          <w:sz w:val="24"/>
          <w:szCs w:val="24"/>
        </w:rPr>
        <w:t xml:space="preserve"> out in the consultation paper, particularly given that margin data for derivatives and SFTs is already available through EMIR and SFTR reporting.</w:t>
      </w:r>
      <w:r>
        <w:rPr>
          <w:rFonts w:ascii="Times New Roman" w:hAnsi="Times New Roman" w:cs="Times New Roman"/>
          <w:bCs/>
          <w:sz w:val="24"/>
          <w:szCs w:val="24"/>
        </w:rPr>
        <w:t xml:space="preserve"> T</w:t>
      </w:r>
      <w:r w:rsidRPr="003F2760">
        <w:rPr>
          <w:rFonts w:ascii="Times New Roman" w:hAnsi="Times New Roman" w:cs="Times New Roman"/>
          <w:bCs/>
          <w:sz w:val="24"/>
          <w:szCs w:val="24"/>
        </w:rPr>
        <w:t>he current RTS drafting is overly broad and would drive duplicative reporting for the majority of entities</w:t>
      </w:r>
      <w:r>
        <w:rPr>
          <w:rFonts w:ascii="Times New Roman" w:hAnsi="Times New Roman" w:cs="Times New Roman"/>
          <w:bCs/>
          <w:sz w:val="24"/>
          <w:szCs w:val="24"/>
        </w:rPr>
        <w:t xml:space="preserve">. </w:t>
      </w:r>
      <w:r w:rsidRPr="003F2760">
        <w:rPr>
          <w:rFonts w:ascii="Times New Roman" w:hAnsi="Times New Roman" w:cs="Times New Roman"/>
          <w:bCs/>
          <w:sz w:val="24"/>
          <w:szCs w:val="24"/>
        </w:rPr>
        <w:t xml:space="preserve">If ESMA has identified a specific </w:t>
      </w:r>
      <w:r>
        <w:rPr>
          <w:rFonts w:ascii="Times New Roman" w:hAnsi="Times New Roman" w:cs="Times New Roman"/>
          <w:bCs/>
          <w:sz w:val="24"/>
          <w:szCs w:val="24"/>
        </w:rPr>
        <w:t xml:space="preserve">data need to satisfy regulatory objectives, </w:t>
      </w:r>
      <w:r w:rsidRPr="003F2760">
        <w:rPr>
          <w:rFonts w:ascii="Times New Roman" w:hAnsi="Times New Roman" w:cs="Times New Roman"/>
          <w:bCs/>
          <w:sz w:val="24"/>
          <w:szCs w:val="24"/>
        </w:rPr>
        <w:t>the RTS should be explicitly narrowed to that scenario rather than applying broadly</w:t>
      </w:r>
      <w:r>
        <w:rPr>
          <w:rFonts w:ascii="Times New Roman" w:hAnsi="Times New Roman" w:cs="Times New Roman"/>
          <w:bCs/>
          <w:sz w:val="24"/>
          <w:szCs w:val="24"/>
        </w:rPr>
        <w:t>.</w:t>
      </w:r>
    </w:p>
    <w:p w14:paraId="5536C2D5"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On the “group subject to consolidated supervision” point, we note that this term is not defined, </w:t>
      </w:r>
      <w:r>
        <w:rPr>
          <w:rFonts w:ascii="Times New Roman" w:hAnsi="Times New Roman" w:cs="Times New Roman"/>
          <w:bCs/>
          <w:sz w:val="24"/>
          <w:szCs w:val="24"/>
        </w:rPr>
        <w:t xml:space="preserve">as a </w:t>
      </w:r>
      <w:r>
        <w:rPr>
          <w:rFonts w:ascii="Times New Roman" w:hAnsi="Times New Roman" w:cs="Times New Roman"/>
          <w:sz w:val="24"/>
          <w:szCs w:val="24"/>
        </w:rPr>
        <w:t>result</w:t>
      </w:r>
      <w:r>
        <w:rPr>
          <w:rFonts w:ascii="Times New Roman" w:hAnsi="Times New Roman" w:cs="Times New Roman"/>
          <w:bCs/>
          <w:sz w:val="24"/>
          <w:szCs w:val="24"/>
        </w:rPr>
        <w:t xml:space="preserve"> of which</w:t>
      </w:r>
      <w:r w:rsidRPr="006636F2">
        <w:rPr>
          <w:rFonts w:ascii="Times New Roman" w:hAnsi="Times New Roman" w:cs="Times New Roman"/>
          <w:bCs/>
          <w:sz w:val="24"/>
          <w:szCs w:val="24"/>
        </w:rPr>
        <w:t xml:space="preserve"> the scope of application is unclear.</w:t>
      </w:r>
      <w:r>
        <w:rPr>
          <w:rFonts w:ascii="Times New Roman" w:hAnsi="Times New Roman" w:cs="Times New Roman"/>
          <w:bCs/>
          <w:sz w:val="24"/>
          <w:szCs w:val="24"/>
        </w:rPr>
        <w:t xml:space="preserve"> </w:t>
      </w:r>
      <w:r w:rsidRPr="006636F2">
        <w:rPr>
          <w:rFonts w:ascii="Times New Roman" w:hAnsi="Times New Roman" w:cs="Times New Roman"/>
          <w:bCs/>
          <w:sz w:val="24"/>
          <w:szCs w:val="24"/>
        </w:rPr>
        <w:t xml:space="preserve">We also note that non-EU entities </w:t>
      </w:r>
      <w:r>
        <w:rPr>
          <w:rFonts w:ascii="Times New Roman" w:hAnsi="Times New Roman" w:cs="Times New Roman"/>
          <w:sz w:val="24"/>
          <w:szCs w:val="24"/>
        </w:rPr>
        <w:t>that</w:t>
      </w:r>
      <w:r w:rsidRPr="006636F2">
        <w:rPr>
          <w:rFonts w:ascii="Times New Roman" w:hAnsi="Times New Roman" w:cs="Times New Roman"/>
          <w:bCs/>
          <w:sz w:val="24"/>
          <w:szCs w:val="24"/>
        </w:rPr>
        <w:t xml:space="preserve"> are part of EU groups are not subject to EMIR. Including such entities </w:t>
      </w:r>
      <w:r>
        <w:rPr>
          <w:rFonts w:ascii="Times New Roman" w:hAnsi="Times New Roman" w:cs="Times New Roman"/>
          <w:bCs/>
          <w:sz w:val="24"/>
          <w:szCs w:val="24"/>
        </w:rPr>
        <w:t>with</w:t>
      </w:r>
      <w:r w:rsidRPr="006636F2">
        <w:rPr>
          <w:rFonts w:ascii="Times New Roman" w:hAnsi="Times New Roman" w:cs="Times New Roman"/>
          <w:bCs/>
          <w:sz w:val="24"/>
          <w:szCs w:val="24"/>
        </w:rPr>
        <w:t xml:space="preserve">in </w:t>
      </w:r>
      <w:r>
        <w:rPr>
          <w:rFonts w:ascii="Times New Roman" w:hAnsi="Times New Roman" w:cs="Times New Roman"/>
          <w:bCs/>
          <w:sz w:val="24"/>
          <w:szCs w:val="24"/>
        </w:rPr>
        <w:t xml:space="preserve">the </w:t>
      </w:r>
      <w:r w:rsidRPr="006636F2">
        <w:rPr>
          <w:rFonts w:ascii="Times New Roman" w:hAnsi="Times New Roman" w:cs="Times New Roman"/>
          <w:bCs/>
          <w:sz w:val="24"/>
          <w:szCs w:val="24"/>
        </w:rPr>
        <w:t xml:space="preserve">scope </w:t>
      </w:r>
      <w:r>
        <w:rPr>
          <w:rFonts w:ascii="Times New Roman" w:hAnsi="Times New Roman" w:cs="Times New Roman"/>
          <w:sz w:val="24"/>
          <w:szCs w:val="24"/>
        </w:rPr>
        <w:t>would introduce a</w:t>
      </w:r>
      <w:r w:rsidRPr="006636F2">
        <w:rPr>
          <w:rFonts w:ascii="Times New Roman" w:hAnsi="Times New Roman" w:cs="Times New Roman"/>
          <w:bCs/>
          <w:sz w:val="24"/>
          <w:szCs w:val="24"/>
        </w:rPr>
        <w:t xml:space="preserve"> competitive disadvantage and complexity for EU groups, </w:t>
      </w:r>
      <w:r>
        <w:rPr>
          <w:rFonts w:ascii="Times New Roman" w:hAnsi="Times New Roman" w:cs="Times New Roman"/>
          <w:sz w:val="24"/>
          <w:szCs w:val="24"/>
        </w:rPr>
        <w:t>with</w:t>
      </w:r>
      <w:r w:rsidRPr="006636F2">
        <w:rPr>
          <w:rFonts w:ascii="Times New Roman" w:hAnsi="Times New Roman" w:cs="Times New Roman"/>
          <w:bCs/>
          <w:sz w:val="24"/>
          <w:szCs w:val="24"/>
        </w:rPr>
        <w:t xml:space="preserve"> uncertain benefits.</w:t>
      </w:r>
    </w:p>
    <w:p w14:paraId="30DD4D4E" w14:textId="77777777" w:rsidR="00B575A5" w:rsidRDefault="00B575A5" w:rsidP="00B575A5">
      <w:pPr>
        <w:spacing w:after="120"/>
        <w:rPr>
          <w:rFonts w:ascii="Times New Roman" w:hAnsi="Times New Roman" w:cs="Times New Roman"/>
          <w:sz w:val="24"/>
          <w:szCs w:val="24"/>
        </w:rPr>
      </w:pPr>
      <w:r>
        <w:rPr>
          <w:rFonts w:ascii="Times New Roman" w:hAnsi="Times New Roman" w:cs="Times New Roman"/>
          <w:sz w:val="24"/>
          <w:szCs w:val="24"/>
        </w:rPr>
        <w:t>In addition,</w:t>
      </w:r>
      <w:r w:rsidRPr="006636F2">
        <w:rPr>
          <w:rFonts w:ascii="Times New Roman" w:hAnsi="Times New Roman" w:cs="Times New Roman"/>
          <w:sz w:val="24"/>
          <w:szCs w:val="24"/>
        </w:rPr>
        <w:t xml:space="preserve"> entities that do not engage in any derivatives activity should not be subject to the reporting requirement. Such entities might typically be unaware that they fall </w:t>
      </w:r>
      <w:r>
        <w:rPr>
          <w:rFonts w:ascii="Times New Roman" w:hAnsi="Times New Roman" w:cs="Times New Roman"/>
          <w:sz w:val="24"/>
          <w:szCs w:val="24"/>
        </w:rPr>
        <w:t>within</w:t>
      </w:r>
      <w:r w:rsidRPr="006636F2">
        <w:rPr>
          <w:rFonts w:ascii="Times New Roman" w:hAnsi="Times New Roman" w:cs="Times New Roman"/>
          <w:sz w:val="24"/>
          <w:szCs w:val="24"/>
        </w:rPr>
        <w:t xml:space="preserve"> the scope of a derivatives regulation.  </w:t>
      </w:r>
    </w:p>
    <w:p w14:paraId="34EB80B4" w14:textId="77777777" w:rsidR="00B575A5" w:rsidRPr="006636F2" w:rsidRDefault="00B575A5" w:rsidP="00B575A5">
      <w:pPr>
        <w:spacing w:after="120"/>
        <w:rPr>
          <w:rFonts w:ascii="Times New Roman" w:hAnsi="Times New Roman" w:cs="Times New Roman"/>
          <w:sz w:val="24"/>
          <w:szCs w:val="24"/>
        </w:rPr>
      </w:pPr>
      <w:r>
        <w:rPr>
          <w:rFonts w:ascii="Times New Roman" w:hAnsi="Times New Roman" w:cs="Times New Roman"/>
          <w:sz w:val="24"/>
          <w:szCs w:val="24"/>
        </w:rPr>
        <w:t xml:space="preserve">We also note that ESMA should not underestimate the effort that will be required to report the information, as currently contemplated. </w:t>
      </w:r>
      <w:r>
        <w:rPr>
          <w:rFonts w:ascii="Times New Roman" w:hAnsi="Times New Roman" w:cs="Times New Roman"/>
          <w:bCs/>
          <w:sz w:val="24"/>
          <w:szCs w:val="24"/>
        </w:rPr>
        <w:t xml:space="preserve">Fund managers, clearing through multiple clearing members, will need to reconcile information on the various data points required from </w:t>
      </w:r>
      <w:r w:rsidRPr="00DB1040">
        <w:rPr>
          <w:rFonts w:ascii="Times New Roman" w:hAnsi="Times New Roman" w:cs="Times New Roman"/>
          <w:bCs/>
          <w:sz w:val="24"/>
          <w:szCs w:val="24"/>
        </w:rPr>
        <w:t xml:space="preserve">multiple </w:t>
      </w:r>
      <w:r>
        <w:rPr>
          <w:rFonts w:ascii="Times New Roman" w:hAnsi="Times New Roman" w:cs="Times New Roman"/>
          <w:bCs/>
          <w:sz w:val="24"/>
          <w:szCs w:val="24"/>
        </w:rPr>
        <w:t xml:space="preserve">clearing members </w:t>
      </w:r>
      <w:r w:rsidRPr="00DB1040">
        <w:rPr>
          <w:rFonts w:ascii="Times New Roman" w:hAnsi="Times New Roman" w:cs="Times New Roman"/>
          <w:bCs/>
          <w:sz w:val="24"/>
          <w:szCs w:val="24"/>
        </w:rPr>
        <w:t>data across hundreds of funds, likely in different formats and with account references requiring internal mapping</w:t>
      </w:r>
      <w:r>
        <w:rPr>
          <w:rFonts w:ascii="Times New Roman" w:hAnsi="Times New Roman" w:cs="Times New Roman"/>
          <w:bCs/>
          <w:sz w:val="24"/>
          <w:szCs w:val="24"/>
        </w:rPr>
        <w:t>.</w:t>
      </w:r>
    </w:p>
    <w:p w14:paraId="49B54B49" w14:textId="77777777" w:rsidR="00B575A5" w:rsidRPr="006636F2" w:rsidRDefault="00B575A5" w:rsidP="00B575A5">
      <w:pPr>
        <w:spacing w:after="120"/>
        <w:rPr>
          <w:rFonts w:ascii="Times New Roman" w:hAnsi="Times New Roman" w:cs="Times New Roman"/>
          <w:sz w:val="24"/>
          <w:szCs w:val="24"/>
        </w:rPr>
      </w:pPr>
      <w:r w:rsidRPr="006636F2">
        <w:rPr>
          <w:rFonts w:ascii="Times New Roman" w:hAnsi="Times New Roman" w:cs="Times New Roman"/>
          <w:sz w:val="24"/>
          <w:szCs w:val="24"/>
        </w:rPr>
        <w:t xml:space="preserve">The consultation does not specify whether a clearing member is required to report only the positions and margins relating to its own activities, or whether positions and margins arising from client clearing activities should also be included. We note that EMIR 3 Article 7d(1) expressly requires that “Clearing members and clients that clear contracts through a CCP recognised under Article 25 shall report such clearing activity…”, such that the obligation attaches to the entity's own clearing activity at a recognised third-country CCP. We would </w:t>
      </w:r>
      <w:r w:rsidRPr="006636F2">
        <w:rPr>
          <w:rFonts w:ascii="Times New Roman" w:hAnsi="Times New Roman" w:cs="Times New Roman"/>
          <w:sz w:val="24"/>
          <w:szCs w:val="24"/>
        </w:rPr>
        <w:lastRenderedPageBreak/>
        <w:t>welcome explicit clarification that this effectively means that clearing members are only required to report house activity, to avoid misleading duplication (noting that any clearing by a non-EU CM not part of an EU group would not be captured by this requirement in any event, so a full picture of client clearing by in-scope entities would not be possible via the application of</w:t>
      </w:r>
      <w:r>
        <w:rPr>
          <w:rFonts w:ascii="Times New Roman" w:hAnsi="Times New Roman" w:cs="Times New Roman"/>
          <w:sz w:val="24"/>
          <w:szCs w:val="24"/>
        </w:rPr>
        <w:t xml:space="preserve"> Article</w:t>
      </w:r>
      <w:r w:rsidRPr="006636F2">
        <w:rPr>
          <w:rFonts w:ascii="Times New Roman" w:hAnsi="Times New Roman" w:cs="Times New Roman"/>
          <w:sz w:val="24"/>
          <w:szCs w:val="24"/>
        </w:rPr>
        <w:t xml:space="preserve"> 7d reporting to client positions).</w:t>
      </w:r>
    </w:p>
    <w:p w14:paraId="4B161DD0" w14:textId="77777777" w:rsidR="00B575A5" w:rsidRPr="006636F2" w:rsidRDefault="00B575A5" w:rsidP="00B575A5">
      <w:pPr>
        <w:spacing w:after="120"/>
        <w:rPr>
          <w:rFonts w:ascii="Times New Roman" w:hAnsi="Times New Roman" w:cs="Times New Roman"/>
          <w:bCs/>
          <w:sz w:val="24"/>
          <w:szCs w:val="24"/>
          <w:u w:val="single"/>
        </w:rPr>
      </w:pPr>
      <w:r w:rsidRPr="006636F2">
        <w:rPr>
          <w:rFonts w:ascii="Times New Roman" w:hAnsi="Times New Roman" w:cs="Times New Roman"/>
          <w:bCs/>
          <w:sz w:val="24"/>
          <w:szCs w:val="24"/>
          <w:u w:val="single"/>
        </w:rPr>
        <w:t>Product scope</w:t>
      </w:r>
    </w:p>
    <w:p w14:paraId="2A829CCA"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We suggest </w:t>
      </w:r>
      <w:r>
        <w:rPr>
          <w:rFonts w:ascii="Times New Roman" w:hAnsi="Times New Roman" w:cs="Times New Roman"/>
          <w:sz w:val="24"/>
          <w:szCs w:val="24"/>
        </w:rPr>
        <w:t xml:space="preserve">that </w:t>
      </w:r>
      <w:r w:rsidRPr="006636F2">
        <w:rPr>
          <w:rFonts w:ascii="Times New Roman" w:hAnsi="Times New Roman" w:cs="Times New Roman"/>
          <w:bCs/>
          <w:sz w:val="24"/>
          <w:szCs w:val="24"/>
        </w:rPr>
        <w:t>ESMA consider a significantly reduced level of detail for reporting on securities and non-financial instruments, in place of the granular instrument, asset-class and Union</w:t>
      </w:r>
      <w:r>
        <w:rPr>
          <w:rFonts w:ascii="Times New Roman" w:hAnsi="Times New Roman" w:cs="Times New Roman"/>
          <w:sz w:val="24"/>
          <w:szCs w:val="24"/>
        </w:rPr>
        <w:t>-</w:t>
      </w:r>
      <w:r w:rsidRPr="006636F2">
        <w:rPr>
          <w:rFonts w:ascii="Times New Roman" w:hAnsi="Times New Roman" w:cs="Times New Roman"/>
          <w:bCs/>
          <w:sz w:val="24"/>
          <w:szCs w:val="24"/>
        </w:rPr>
        <w:t>currency breakdown otherwise proposed.</w:t>
      </w:r>
    </w:p>
    <w:p w14:paraId="6FC5BE42" w14:textId="77777777" w:rsidR="00B575A5" w:rsidRPr="006636F2" w:rsidRDefault="00B575A5" w:rsidP="00B575A5">
      <w:pPr>
        <w:spacing w:after="120"/>
        <w:rPr>
          <w:rFonts w:ascii="Times New Roman" w:hAnsi="Times New Roman" w:cs="Times New Roman"/>
          <w:bCs/>
          <w:sz w:val="24"/>
          <w:szCs w:val="24"/>
          <w:u w:val="single"/>
        </w:rPr>
      </w:pPr>
      <w:r w:rsidRPr="31D81FB3">
        <w:rPr>
          <w:rFonts w:ascii="Times New Roman" w:hAnsi="Times New Roman" w:cs="Times New Roman"/>
          <w:sz w:val="24"/>
          <w:szCs w:val="24"/>
        </w:rPr>
        <w:t xml:space="preserve">On securities we note that while ESMA explains how clearing information is not available through existing channels, there is no discussion of the supervisory purpose that collecting such information would serve. We would ask ESMA to identify that purpose before including securities in the final RTS, particularly given ESMA's own finding, at paragraphs 15–16, that NCAs did not identify a supervisory need for the Article 7d dataset more broadly. This absence of a stated purpose is compounded by the fact that securities is also the most costly category to report: precisely because </w:t>
      </w:r>
      <w:proofErr w:type="spellStart"/>
      <w:r w:rsidRPr="31D81FB3">
        <w:rPr>
          <w:rFonts w:ascii="Times New Roman" w:hAnsi="Times New Roman" w:cs="Times New Roman"/>
          <w:sz w:val="24"/>
          <w:szCs w:val="24"/>
        </w:rPr>
        <w:t>MiFIR</w:t>
      </w:r>
      <w:proofErr w:type="spellEnd"/>
      <w:r w:rsidRPr="31D81FB3">
        <w:rPr>
          <w:rFonts w:ascii="Times New Roman" w:hAnsi="Times New Roman" w:cs="Times New Roman"/>
          <w:sz w:val="24"/>
          <w:szCs w:val="24"/>
        </w:rPr>
        <w:t xml:space="preserve"> does not follow the clearing chain, reporting entities would need to build wholly new data-sourcing processes for this category, in contrast to derivatives and SFTs, where reporting can largely be sourced from existing EMIR and SFTR filings. On the underlying risk question, we note that activity on securities at third country CCPs does not lead to lasting risk exposures, and we do not see what supervisory and risk value this information would provide to ESMA. Reporting on activity on securities clearing will become ever less relevant, from a risk perspective, as the markets move towards shorter (T+1) settlement cycles worldwide, potentially even further reduced to T+0 with the advent of tokenization.</w:t>
      </w:r>
    </w:p>
    <w:p w14:paraId="45E15678" w14:textId="79EB3B25" w:rsidR="00772944" w:rsidRDefault="00772944" w:rsidP="00772944"/>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6DE1B953" w14:textId="77777777" w:rsidR="00B575A5" w:rsidRPr="006636F2" w:rsidRDefault="00B575A5" w:rsidP="00B575A5">
      <w:pPr>
        <w:spacing w:after="120"/>
        <w:rPr>
          <w:rFonts w:ascii="Times New Roman" w:hAnsi="Times New Roman" w:cs="Times New Roman"/>
          <w:bCs/>
          <w:sz w:val="24"/>
          <w:szCs w:val="24"/>
        </w:rPr>
      </w:pPr>
      <w:permStart w:id="975325410" w:edGrp="everyone"/>
      <w:r w:rsidRPr="006636F2">
        <w:rPr>
          <w:rFonts w:ascii="Times New Roman" w:hAnsi="Times New Roman" w:cs="Times New Roman"/>
          <w:bCs/>
          <w:sz w:val="24"/>
          <w:szCs w:val="24"/>
        </w:rPr>
        <w:lastRenderedPageBreak/>
        <w:t xml:space="preserve">ESMA’s proposed approach means that EU entities subject to the reporting requirement would have to compile all the required information within one month (including for EU consolidated groups, some with hundreds of EU and non-EU entities). Given the difficulty to automate the data collection under Article 7d because of the format and scope of the information required, firms will rely on development of new and possibly manual processes to obtain the </w:t>
      </w:r>
      <w:r w:rsidRPr="006636F2">
        <w:rPr>
          <w:rFonts w:ascii="Times New Roman" w:hAnsi="Times New Roman" w:cs="Times New Roman"/>
          <w:sz w:val="24"/>
          <w:szCs w:val="24"/>
        </w:rPr>
        <w:t>data. We</w:t>
      </w:r>
      <w:r w:rsidRPr="006636F2">
        <w:rPr>
          <w:rFonts w:ascii="Times New Roman" w:hAnsi="Times New Roman" w:cs="Times New Roman"/>
          <w:bCs/>
          <w:sz w:val="24"/>
          <w:szCs w:val="24"/>
        </w:rPr>
        <w:t xml:space="preserve"> therefore suggest that the reporting should be submitted on the last business day of March, covering the preceding calendar year, rather than on the last business day of January. This is particularly important given that January is already an intense month in terms of reporting to other EU authorities. For similar reporting, a 3-month submission window is a more common approach.</w:t>
      </w:r>
    </w:p>
    <w:p w14:paraId="59C385B9" w14:textId="21DE72AA" w:rsidR="00772944" w:rsidRDefault="00772944" w:rsidP="00772944"/>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7793C96C" w14:textId="77777777" w:rsidR="00B575A5" w:rsidRPr="006636F2" w:rsidRDefault="00B575A5" w:rsidP="00B575A5">
      <w:pPr>
        <w:spacing w:after="120"/>
        <w:rPr>
          <w:rFonts w:ascii="Times New Roman" w:hAnsi="Times New Roman" w:cs="Times New Roman"/>
          <w:bCs/>
          <w:sz w:val="24"/>
          <w:szCs w:val="24"/>
        </w:rPr>
      </w:pPr>
      <w:permStart w:id="528381897" w:edGrp="everyone"/>
      <w:r w:rsidRPr="006636F2">
        <w:rPr>
          <w:rFonts w:ascii="Times New Roman" w:hAnsi="Times New Roman" w:cs="Times New Roman"/>
          <w:bCs/>
          <w:sz w:val="24"/>
          <w:szCs w:val="24"/>
        </w:rPr>
        <w:t xml:space="preserve">We do not agree that the first reporting cycle should “include separate reports covering each calendar year for which no report has previously been submitted, starting from calendar year 2025”. Since the ESMA </w:t>
      </w:r>
      <w:hyperlink r:id="rId18" w:history="1">
        <w:r w:rsidRPr="006636F2">
          <w:rPr>
            <w:rStyle w:val="Hyperlink"/>
            <w:rFonts w:ascii="Times New Roman" w:hAnsi="Times New Roman" w:cs="Times New Roman"/>
            <w:bCs/>
            <w:sz w:val="24"/>
            <w:szCs w:val="24"/>
          </w:rPr>
          <w:t>statement</w:t>
        </w:r>
      </w:hyperlink>
      <w:r w:rsidRPr="006636F2">
        <w:rPr>
          <w:rFonts w:ascii="Times New Roman" w:hAnsi="Times New Roman" w:cs="Times New Roman"/>
          <w:bCs/>
          <w:sz w:val="24"/>
          <w:szCs w:val="24"/>
        </w:rPr>
        <w:t xml:space="preserve"> in December 2025, ESMA has performed a more detailed analysis and now recognises in paragraph 15 that the reporting does not contain material supervisory value</w:t>
      </w:r>
      <w:r>
        <w:rPr>
          <w:rFonts w:ascii="Times New Roman" w:hAnsi="Times New Roman" w:cs="Times New Roman"/>
          <w:sz w:val="24"/>
          <w:szCs w:val="24"/>
        </w:rPr>
        <w:t>. A</w:t>
      </w:r>
      <w:r w:rsidRPr="006636F2">
        <w:rPr>
          <w:rFonts w:ascii="Times New Roman" w:hAnsi="Times New Roman" w:cs="Times New Roman"/>
          <w:bCs/>
          <w:sz w:val="24"/>
          <w:szCs w:val="24"/>
        </w:rPr>
        <w:t xml:space="preserve"> straightforward approach would </w:t>
      </w:r>
      <w:r>
        <w:rPr>
          <w:rFonts w:ascii="Times New Roman" w:hAnsi="Times New Roman" w:cs="Times New Roman"/>
          <w:sz w:val="24"/>
          <w:szCs w:val="24"/>
        </w:rPr>
        <w:t xml:space="preserve">therefore </w:t>
      </w:r>
      <w:r w:rsidRPr="006636F2">
        <w:rPr>
          <w:rFonts w:ascii="Times New Roman" w:hAnsi="Times New Roman" w:cs="Times New Roman"/>
          <w:bCs/>
          <w:sz w:val="24"/>
          <w:szCs w:val="24"/>
        </w:rPr>
        <w:t xml:space="preserve">be to require reporting only for the calendar year starting after </w:t>
      </w:r>
      <w:r>
        <w:rPr>
          <w:rFonts w:ascii="Times New Roman" w:hAnsi="Times New Roman" w:cs="Times New Roman"/>
          <w:sz w:val="24"/>
          <w:szCs w:val="24"/>
        </w:rPr>
        <w:t xml:space="preserve">the </w:t>
      </w:r>
      <w:r w:rsidRPr="006636F2">
        <w:rPr>
          <w:rFonts w:ascii="Times New Roman" w:hAnsi="Times New Roman" w:cs="Times New Roman"/>
          <w:bCs/>
          <w:sz w:val="24"/>
          <w:szCs w:val="24"/>
        </w:rPr>
        <w:t xml:space="preserve">entry into force of the RTS and ITS, with no retroactive reporting </w:t>
      </w:r>
      <w:r>
        <w:rPr>
          <w:rFonts w:ascii="Times New Roman" w:hAnsi="Times New Roman" w:cs="Times New Roman"/>
          <w:sz w:val="24"/>
          <w:szCs w:val="24"/>
        </w:rPr>
        <w:t>for</w:t>
      </w:r>
      <w:r w:rsidRPr="006636F2">
        <w:rPr>
          <w:rFonts w:ascii="Times New Roman" w:hAnsi="Times New Roman" w:cs="Times New Roman"/>
          <w:bCs/>
          <w:sz w:val="24"/>
          <w:szCs w:val="24"/>
        </w:rPr>
        <w:t xml:space="preserve"> previous calendar years. </w:t>
      </w:r>
      <w:r>
        <w:rPr>
          <w:rFonts w:ascii="Times New Roman" w:hAnsi="Times New Roman" w:cs="Times New Roman"/>
          <w:sz w:val="24"/>
          <w:szCs w:val="24"/>
        </w:rPr>
        <w:t>Not requiring</w:t>
      </w:r>
      <w:r w:rsidRPr="006636F2">
        <w:rPr>
          <w:rFonts w:ascii="Times New Roman" w:hAnsi="Times New Roman" w:cs="Times New Roman"/>
          <w:bCs/>
          <w:sz w:val="24"/>
          <w:szCs w:val="24"/>
        </w:rPr>
        <w:t xml:space="preserve"> retroactive reporting would also reduce the operational complexity for entities </w:t>
      </w:r>
      <w:r>
        <w:rPr>
          <w:rFonts w:ascii="Times New Roman" w:hAnsi="Times New Roman" w:cs="Times New Roman"/>
          <w:sz w:val="24"/>
          <w:szCs w:val="24"/>
        </w:rPr>
        <w:t xml:space="preserve">within the </w:t>
      </w:r>
      <w:r w:rsidRPr="006636F2">
        <w:rPr>
          <w:rFonts w:ascii="Times New Roman" w:hAnsi="Times New Roman" w:cs="Times New Roman"/>
          <w:bCs/>
          <w:sz w:val="24"/>
          <w:szCs w:val="24"/>
        </w:rPr>
        <w:t xml:space="preserve">scope of this </w:t>
      </w:r>
      <w:r>
        <w:rPr>
          <w:rFonts w:ascii="Times New Roman" w:hAnsi="Times New Roman" w:cs="Times New Roman"/>
          <w:sz w:val="24"/>
          <w:szCs w:val="24"/>
        </w:rPr>
        <w:t>requirement</w:t>
      </w:r>
      <w:r w:rsidRPr="006636F2">
        <w:rPr>
          <w:rFonts w:ascii="Times New Roman" w:hAnsi="Times New Roman" w:cs="Times New Roman"/>
          <w:bCs/>
          <w:sz w:val="24"/>
          <w:szCs w:val="24"/>
        </w:rPr>
        <w:t>, given that the information to be reported will require manual processing</w:t>
      </w:r>
      <w:r>
        <w:rPr>
          <w:rFonts w:ascii="Times New Roman" w:hAnsi="Times New Roman" w:cs="Times New Roman"/>
          <w:sz w:val="24"/>
          <w:szCs w:val="24"/>
        </w:rPr>
        <w:t xml:space="preserve"> and retrieval from </w:t>
      </w:r>
      <w:r w:rsidRPr="006636F2">
        <w:rPr>
          <w:rFonts w:ascii="Times New Roman" w:hAnsi="Times New Roman" w:cs="Times New Roman"/>
          <w:bCs/>
          <w:sz w:val="24"/>
          <w:szCs w:val="24"/>
        </w:rPr>
        <w:t>various sources, such as third-country CCPs’ portals. In particular</w:t>
      </w:r>
      <w:r>
        <w:rPr>
          <w:rFonts w:ascii="Times New Roman" w:hAnsi="Times New Roman" w:cs="Times New Roman"/>
          <w:sz w:val="24"/>
          <w:szCs w:val="24"/>
        </w:rPr>
        <w:t>,</w:t>
      </w:r>
      <w:r w:rsidRPr="006636F2">
        <w:rPr>
          <w:rFonts w:ascii="Times New Roman" w:hAnsi="Times New Roman" w:cs="Times New Roman"/>
          <w:bCs/>
          <w:sz w:val="24"/>
          <w:szCs w:val="24"/>
        </w:rPr>
        <w:t xml:space="preserve"> backloading requirements, which require </w:t>
      </w:r>
      <w:r>
        <w:rPr>
          <w:rFonts w:ascii="Times New Roman" w:hAnsi="Times New Roman" w:cs="Times New Roman"/>
          <w:sz w:val="24"/>
          <w:szCs w:val="24"/>
        </w:rPr>
        <w:t xml:space="preserve">the </w:t>
      </w:r>
      <w:r w:rsidRPr="006636F2">
        <w:rPr>
          <w:rFonts w:ascii="Times New Roman" w:hAnsi="Times New Roman" w:cs="Times New Roman"/>
          <w:bCs/>
          <w:sz w:val="24"/>
          <w:szCs w:val="24"/>
        </w:rPr>
        <w:t xml:space="preserve">sourcing of historical data and </w:t>
      </w:r>
      <w:r>
        <w:rPr>
          <w:rFonts w:ascii="Times New Roman" w:hAnsi="Times New Roman" w:cs="Times New Roman"/>
          <w:sz w:val="24"/>
          <w:szCs w:val="24"/>
        </w:rPr>
        <w:t xml:space="preserve">the </w:t>
      </w:r>
      <w:r w:rsidRPr="006636F2">
        <w:rPr>
          <w:rFonts w:ascii="Times New Roman" w:hAnsi="Times New Roman" w:cs="Times New Roman"/>
          <w:bCs/>
          <w:sz w:val="24"/>
          <w:szCs w:val="24"/>
        </w:rPr>
        <w:t xml:space="preserve">building of specific mechanisms for such data, </w:t>
      </w:r>
      <w:r>
        <w:rPr>
          <w:rFonts w:ascii="Times New Roman" w:hAnsi="Times New Roman" w:cs="Times New Roman"/>
          <w:sz w:val="24"/>
          <w:szCs w:val="24"/>
        </w:rPr>
        <w:t>are disproportionately</w:t>
      </w:r>
      <w:r w:rsidRPr="006636F2">
        <w:rPr>
          <w:rFonts w:ascii="Times New Roman" w:hAnsi="Times New Roman" w:cs="Times New Roman"/>
          <w:bCs/>
          <w:sz w:val="24"/>
          <w:szCs w:val="24"/>
        </w:rPr>
        <w:t xml:space="preserve"> burdensome.</w:t>
      </w:r>
      <w:r>
        <w:rPr>
          <w:rFonts w:ascii="Times New Roman" w:hAnsi="Times New Roman" w:cs="Times New Roman"/>
          <w:sz w:val="24"/>
          <w:szCs w:val="24"/>
        </w:rPr>
        <w:t xml:space="preserve"> </w:t>
      </w:r>
      <w:r w:rsidRPr="006636F2">
        <w:rPr>
          <w:rFonts w:ascii="Times New Roman" w:hAnsi="Times New Roman" w:cs="Times New Roman"/>
          <w:bCs/>
          <w:sz w:val="24"/>
          <w:szCs w:val="24"/>
        </w:rPr>
        <w:t>In addition</w:t>
      </w:r>
      <w:r>
        <w:rPr>
          <w:rFonts w:ascii="Times New Roman" w:hAnsi="Times New Roman" w:cs="Times New Roman"/>
          <w:bCs/>
          <w:sz w:val="24"/>
          <w:szCs w:val="24"/>
        </w:rPr>
        <w:t>,</w:t>
      </w:r>
      <w:r w:rsidRPr="006636F2">
        <w:rPr>
          <w:rFonts w:ascii="Times New Roman" w:hAnsi="Times New Roman" w:cs="Times New Roman"/>
          <w:bCs/>
          <w:sz w:val="24"/>
          <w:szCs w:val="24"/>
        </w:rPr>
        <w:t xml:space="preserve"> in light of this draft RTS, </w:t>
      </w:r>
      <w:r>
        <w:rPr>
          <w:rFonts w:ascii="Times New Roman" w:hAnsi="Times New Roman" w:cs="Times New Roman"/>
          <w:sz w:val="24"/>
          <w:szCs w:val="24"/>
        </w:rPr>
        <w:t xml:space="preserve">it is difficult to envisage </w:t>
      </w:r>
      <w:r w:rsidRPr="006636F2">
        <w:rPr>
          <w:rFonts w:ascii="Times New Roman" w:hAnsi="Times New Roman" w:cs="Times New Roman"/>
          <w:bCs/>
          <w:sz w:val="24"/>
          <w:szCs w:val="24"/>
        </w:rPr>
        <w:t xml:space="preserve">the first realistic submission </w:t>
      </w:r>
      <w:r>
        <w:rPr>
          <w:rFonts w:ascii="Times New Roman" w:hAnsi="Times New Roman" w:cs="Times New Roman"/>
          <w:sz w:val="24"/>
          <w:szCs w:val="24"/>
        </w:rPr>
        <w:t xml:space="preserve">occurring </w:t>
      </w:r>
      <w:r w:rsidRPr="006636F2">
        <w:rPr>
          <w:rFonts w:ascii="Times New Roman" w:hAnsi="Times New Roman" w:cs="Times New Roman"/>
          <w:bCs/>
          <w:sz w:val="24"/>
          <w:szCs w:val="24"/>
        </w:rPr>
        <w:t>before 2028 at the earliest</w:t>
      </w:r>
      <w:r>
        <w:rPr>
          <w:rFonts w:ascii="Times New Roman" w:hAnsi="Times New Roman" w:cs="Times New Roman"/>
          <w:sz w:val="24"/>
          <w:szCs w:val="24"/>
        </w:rPr>
        <w:t>. By</w:t>
      </w:r>
      <w:r w:rsidRPr="006636F2">
        <w:rPr>
          <w:rFonts w:ascii="Times New Roman" w:hAnsi="Times New Roman" w:cs="Times New Roman"/>
          <w:bCs/>
          <w:sz w:val="24"/>
          <w:szCs w:val="24"/>
        </w:rPr>
        <w:t xml:space="preserve"> that time, the supervisory value of 2025 and 2026 data could be even more </w:t>
      </w:r>
      <w:r>
        <w:rPr>
          <w:rFonts w:ascii="Times New Roman" w:hAnsi="Times New Roman" w:cs="Times New Roman"/>
          <w:sz w:val="24"/>
          <w:szCs w:val="24"/>
        </w:rPr>
        <w:t>limited,</w:t>
      </w:r>
      <w:r w:rsidRPr="006636F2">
        <w:rPr>
          <w:rFonts w:ascii="Times New Roman" w:hAnsi="Times New Roman" w:cs="Times New Roman"/>
          <w:bCs/>
          <w:sz w:val="24"/>
          <w:szCs w:val="24"/>
        </w:rPr>
        <w:t xml:space="preserve"> while </w:t>
      </w:r>
      <w:r>
        <w:rPr>
          <w:rFonts w:ascii="Times New Roman" w:hAnsi="Times New Roman" w:cs="Times New Roman"/>
          <w:sz w:val="24"/>
          <w:szCs w:val="24"/>
        </w:rPr>
        <w:t>it would be correspondingly more difficult</w:t>
      </w:r>
      <w:r w:rsidRPr="006636F2">
        <w:rPr>
          <w:rFonts w:ascii="Times New Roman" w:hAnsi="Times New Roman" w:cs="Times New Roman"/>
          <w:bCs/>
          <w:sz w:val="24"/>
          <w:szCs w:val="24"/>
        </w:rPr>
        <w:t xml:space="preserve"> for firms to extract </w:t>
      </w:r>
      <w:r>
        <w:rPr>
          <w:rFonts w:ascii="Times New Roman" w:hAnsi="Times New Roman" w:cs="Times New Roman"/>
          <w:sz w:val="24"/>
          <w:szCs w:val="24"/>
        </w:rPr>
        <w:t>the data from archives</w:t>
      </w:r>
      <w:r w:rsidRPr="006636F2">
        <w:rPr>
          <w:rFonts w:ascii="Times New Roman" w:hAnsi="Times New Roman" w:cs="Times New Roman"/>
          <w:bCs/>
          <w:sz w:val="24"/>
          <w:szCs w:val="24"/>
        </w:rPr>
        <w:t>.</w:t>
      </w:r>
    </w:p>
    <w:p w14:paraId="7BA32F43"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lastRenderedPageBreak/>
        <w:t>We would also suggest adopting a phased implementation approach, under which the reporting obligation would initially apply only to clearing members and only subsequently be extended to clients of clearing members:</w:t>
      </w:r>
    </w:p>
    <w:p w14:paraId="3E59276F" w14:textId="77777777" w:rsidR="00B575A5" w:rsidRPr="006636F2" w:rsidRDefault="00B575A5" w:rsidP="00B575A5">
      <w:pPr>
        <w:numPr>
          <w:ilvl w:val="0"/>
          <w:numId w:val="18"/>
        </w:numPr>
        <w:spacing w:after="120" w:line="259" w:lineRule="auto"/>
        <w:jc w:val="left"/>
        <w:rPr>
          <w:rFonts w:ascii="Times New Roman" w:hAnsi="Times New Roman" w:cs="Times New Roman"/>
          <w:bCs/>
          <w:sz w:val="24"/>
          <w:szCs w:val="24"/>
        </w:rPr>
      </w:pPr>
      <w:r w:rsidRPr="006636F2">
        <w:rPr>
          <w:rFonts w:ascii="Times New Roman" w:hAnsi="Times New Roman" w:cs="Times New Roman"/>
          <w:bCs/>
          <w:sz w:val="24"/>
          <w:szCs w:val="24"/>
        </w:rPr>
        <w:t>Non-EU clients, which are generally smaller entities and not necessarily familiar with EMIR requirements, are subject to the most burdensome reporting obligations. In practice, they should be given more time to prepare than large clearing members;</w:t>
      </w:r>
    </w:p>
    <w:p w14:paraId="7D4A9E2B" w14:textId="77777777" w:rsidR="00B575A5" w:rsidRPr="006636F2" w:rsidRDefault="00B575A5" w:rsidP="00B575A5">
      <w:pPr>
        <w:numPr>
          <w:ilvl w:val="0"/>
          <w:numId w:val="18"/>
        </w:numPr>
        <w:spacing w:after="120" w:line="259" w:lineRule="auto"/>
        <w:jc w:val="left"/>
        <w:rPr>
          <w:rFonts w:ascii="Times New Roman" w:hAnsi="Times New Roman" w:cs="Times New Roman"/>
          <w:bCs/>
          <w:sz w:val="24"/>
          <w:szCs w:val="24"/>
        </w:rPr>
      </w:pPr>
      <w:r w:rsidRPr="006636F2">
        <w:rPr>
          <w:rFonts w:ascii="Times New Roman" w:hAnsi="Times New Roman" w:cs="Times New Roman"/>
          <w:bCs/>
          <w:sz w:val="24"/>
          <w:szCs w:val="24"/>
        </w:rPr>
        <w:t>EU clients, which are also generally smaller entities, are subject to more extensive requirements than clearing members in certain areas (e.g. margin reporting) and should therefore benefit from additional implementation time.</w:t>
      </w:r>
    </w:p>
    <w:p w14:paraId="32A2D773" w14:textId="77777777" w:rsidR="00B575A5"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A further challenge is that the same entity (or different entity within an EU group)</w:t>
      </w:r>
      <w:r w:rsidRPr="709FB951">
        <w:rPr>
          <w:rFonts w:ascii="Times New Roman" w:hAnsi="Times New Roman" w:cs="Times New Roman"/>
          <w:sz w:val="24"/>
          <w:szCs w:val="24"/>
        </w:rPr>
        <w:t xml:space="preserve"> </w:t>
      </w:r>
      <w:r w:rsidRPr="006636F2">
        <w:rPr>
          <w:rFonts w:ascii="Times New Roman" w:hAnsi="Times New Roman" w:cs="Times New Roman"/>
          <w:bCs/>
          <w:sz w:val="24"/>
          <w:szCs w:val="24"/>
        </w:rPr>
        <w:t xml:space="preserve">may act as a clearing member with certain non-EU CCPs while simultaneously being a client of a clearing member with other non-EU CCPs, increasing the complexity of data collection and reporting processes. </w:t>
      </w:r>
    </w:p>
    <w:p w14:paraId="02C3F6C4" w14:textId="3D5B6DE5" w:rsidR="00772944" w:rsidRDefault="00772944" w:rsidP="00772944"/>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6C859BCC" w14:textId="77777777" w:rsidR="00B575A5" w:rsidRPr="006636F2" w:rsidRDefault="00B575A5" w:rsidP="00B575A5">
      <w:pPr>
        <w:spacing w:after="120"/>
        <w:rPr>
          <w:rFonts w:ascii="Times New Roman" w:hAnsi="Times New Roman" w:cs="Times New Roman"/>
          <w:bCs/>
          <w:sz w:val="24"/>
          <w:szCs w:val="24"/>
        </w:rPr>
      </w:pPr>
      <w:permStart w:id="1396466673" w:edGrp="everyone"/>
      <w:r w:rsidRPr="006636F2">
        <w:rPr>
          <w:rFonts w:ascii="Times New Roman" w:hAnsi="Times New Roman" w:cs="Times New Roman"/>
          <w:bCs/>
          <w:sz w:val="24"/>
          <w:szCs w:val="24"/>
        </w:rPr>
        <w:t xml:space="preserve">In response to Q1, we suggested that ESMA should confirm that the product scope of instruments is limited to those denominated in Union currencies. </w:t>
      </w:r>
    </w:p>
    <w:p w14:paraId="5CB6C271"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This would streamline the design of fields 2, 3 and 4. </w:t>
      </w:r>
    </w:p>
    <w:p w14:paraId="6A4E4117"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We would also suggest that ESMA reduces the granularity currently specified in fields 2, 3 and 4. The instrument classification proposed by ESMA is generally not used for accounting or settlement purposes, which are likely to be the primary sources of consolidated data. For example, inflation swaps and interest rate derivatives are often grouped under a single "interest rate" category and are therefore not easily distinguishable. It could also lead to inconsistency </w:t>
      </w:r>
      <w:r w:rsidRPr="006636F2">
        <w:rPr>
          <w:rFonts w:ascii="Times New Roman" w:hAnsi="Times New Roman" w:cs="Times New Roman"/>
          <w:bCs/>
          <w:sz w:val="24"/>
          <w:szCs w:val="24"/>
        </w:rPr>
        <w:lastRenderedPageBreak/>
        <w:t xml:space="preserve">of approach across in-scope entities as they would need to determine via internal rules how to categorise each product. In light of this, we would suggest that Table 2 be amended as follows, which, for derivatives, would have the benefit of aligning the product scope with the clearing threshold buckets, at least for derivatives, which reporting entities are already familiar with:  </w:t>
      </w:r>
    </w:p>
    <w:p w14:paraId="5723F99A" w14:textId="77777777" w:rsidR="00B575A5" w:rsidRDefault="00B575A5" w:rsidP="00B575A5">
      <w:pPr>
        <w:pStyle w:val="ListParagraph"/>
        <w:numPr>
          <w:ilvl w:val="0"/>
          <w:numId w:val="19"/>
        </w:numPr>
        <w:spacing w:after="120" w:line="259" w:lineRule="auto"/>
        <w:contextualSpacing/>
        <w:jc w:val="left"/>
        <w:rPr>
          <w:rFonts w:ascii="Times New Roman" w:hAnsi="Times New Roman" w:cs="Times New Roman"/>
          <w:bCs/>
          <w:sz w:val="24"/>
          <w:szCs w:val="24"/>
          <w:lang w:val="en-GB"/>
        </w:rPr>
      </w:pPr>
      <w:r w:rsidRPr="009600DA">
        <w:rPr>
          <w:rFonts w:ascii="Times New Roman" w:hAnsi="Times New Roman" w:cs="Times New Roman"/>
          <w:bCs/>
          <w:sz w:val="24"/>
          <w:szCs w:val="24"/>
          <w:lang w:val="en-GB"/>
        </w:rPr>
        <w:t xml:space="preserve">To replace fields 2 and 3 with a single field (type of instrument) with </w:t>
      </w:r>
      <w:r>
        <w:rPr>
          <w:rFonts w:ascii="Times New Roman" w:hAnsi="Times New Roman" w:cs="Times New Roman"/>
          <w:bCs/>
          <w:sz w:val="24"/>
          <w:szCs w:val="24"/>
          <w:lang w:val="en-GB"/>
        </w:rPr>
        <w:t>two values</w:t>
      </w:r>
      <w:r w:rsidRPr="009600DA">
        <w:rPr>
          <w:rFonts w:ascii="Times New Roman" w:hAnsi="Times New Roman" w:cs="Times New Roman"/>
          <w:bCs/>
          <w:sz w:val="24"/>
          <w:szCs w:val="24"/>
          <w:lang w:val="en-GB"/>
        </w:rPr>
        <w:t xml:space="preserve">: Derivatives (DERV) and </w:t>
      </w:r>
      <w:r>
        <w:rPr>
          <w:rFonts w:ascii="Times New Roman" w:hAnsi="Times New Roman" w:cs="Times New Roman"/>
          <w:bCs/>
          <w:sz w:val="24"/>
          <w:szCs w:val="24"/>
          <w:lang w:val="en-GB"/>
        </w:rPr>
        <w:t>S</w:t>
      </w:r>
      <w:r w:rsidRPr="001877A2">
        <w:rPr>
          <w:rFonts w:ascii="Times New Roman" w:hAnsi="Times New Roman" w:cs="Times New Roman"/>
          <w:bCs/>
          <w:sz w:val="24"/>
          <w:szCs w:val="24"/>
          <w:lang w:val="en-GB"/>
        </w:rPr>
        <w:t>ecurities Financing Transactions (SFTS)</w:t>
      </w:r>
      <w:r>
        <w:rPr>
          <w:rFonts w:ascii="Times New Roman" w:hAnsi="Times New Roman" w:cs="Times New Roman"/>
          <w:bCs/>
          <w:sz w:val="24"/>
          <w:szCs w:val="24"/>
          <w:lang w:val="en-GB"/>
        </w:rPr>
        <w:t xml:space="preserve">. This means that reporting entities </w:t>
      </w:r>
      <w:r w:rsidRPr="001877A2">
        <w:rPr>
          <w:rFonts w:ascii="Times New Roman" w:hAnsi="Times New Roman" w:cs="Times New Roman"/>
          <w:bCs/>
          <w:sz w:val="24"/>
          <w:szCs w:val="24"/>
          <w:lang w:val="en-GB"/>
        </w:rPr>
        <w:t xml:space="preserve"> </w:t>
      </w:r>
      <w:r w:rsidRPr="006636F2">
        <w:rPr>
          <w:rFonts w:ascii="Times New Roman" w:hAnsi="Times New Roman" w:cs="Times New Roman"/>
          <w:bCs/>
          <w:sz w:val="24"/>
          <w:szCs w:val="24"/>
          <w:lang w:val="en-GB"/>
        </w:rPr>
        <w:t xml:space="preserve"> should not have to identify which derivatives are OTC or ETDs in accordance with EMIR concepts</w:t>
      </w:r>
      <w:r>
        <w:rPr>
          <w:rFonts w:ascii="Times New Roman" w:hAnsi="Times New Roman" w:cs="Times New Roman"/>
          <w:bCs/>
          <w:sz w:val="24"/>
          <w:szCs w:val="24"/>
          <w:lang w:val="en-GB"/>
        </w:rPr>
        <w:t xml:space="preserve">. If the </w:t>
      </w:r>
      <w:r w:rsidRPr="00C25DE5">
        <w:rPr>
          <w:rFonts w:ascii="Times New Roman" w:hAnsi="Times New Roman" w:cs="Times New Roman"/>
          <w:bCs/>
          <w:sz w:val="24"/>
          <w:szCs w:val="24"/>
          <w:lang w:val="en-GB"/>
        </w:rPr>
        <w:t xml:space="preserve">reporting </w:t>
      </w:r>
      <w:r>
        <w:rPr>
          <w:rFonts w:ascii="Times New Roman" w:hAnsi="Times New Roman" w:cs="Times New Roman"/>
          <w:bCs/>
          <w:sz w:val="24"/>
          <w:szCs w:val="24"/>
          <w:lang w:val="en-GB"/>
        </w:rPr>
        <w:t>also</w:t>
      </w:r>
      <w:r w:rsidRPr="00C25DE5">
        <w:rPr>
          <w:rFonts w:ascii="Times New Roman" w:hAnsi="Times New Roman" w:cs="Times New Roman"/>
          <w:bCs/>
          <w:sz w:val="24"/>
          <w:szCs w:val="24"/>
          <w:lang w:val="en-GB"/>
        </w:rPr>
        <w:t xml:space="preserve"> encompass</w:t>
      </w:r>
      <w:r>
        <w:rPr>
          <w:rFonts w:ascii="Times New Roman" w:hAnsi="Times New Roman" w:cs="Times New Roman"/>
          <w:bCs/>
          <w:sz w:val="24"/>
          <w:szCs w:val="24"/>
          <w:lang w:val="en-GB"/>
        </w:rPr>
        <w:t>es</w:t>
      </w:r>
      <w:r w:rsidRPr="00C25DE5">
        <w:rPr>
          <w:rFonts w:ascii="Times New Roman" w:hAnsi="Times New Roman" w:cs="Times New Roman"/>
          <w:bCs/>
          <w:sz w:val="24"/>
          <w:szCs w:val="24"/>
          <w:lang w:val="en-GB"/>
        </w:rPr>
        <w:t xml:space="preserve"> also securities and non-financial instruments</w:t>
      </w:r>
      <w:r>
        <w:rPr>
          <w:rFonts w:ascii="Times New Roman" w:hAnsi="Times New Roman" w:cs="Times New Roman"/>
          <w:bCs/>
          <w:sz w:val="24"/>
          <w:szCs w:val="24"/>
          <w:lang w:val="en-GB"/>
        </w:rPr>
        <w:t>, these would come under a third value, Others (OTHE). So, in summary:</w:t>
      </w:r>
    </w:p>
    <w:p w14:paraId="1A2B7884" w14:textId="77777777" w:rsidR="00B575A5" w:rsidRDefault="00B575A5" w:rsidP="00B575A5">
      <w:pPr>
        <w:pStyle w:val="ListParagraph"/>
        <w:numPr>
          <w:ilvl w:val="1"/>
          <w:numId w:val="19"/>
        </w:numPr>
        <w:spacing w:after="120" w:line="259" w:lineRule="auto"/>
        <w:contextualSpacing/>
        <w:jc w:val="left"/>
        <w:rPr>
          <w:rFonts w:ascii="Times New Roman" w:hAnsi="Times New Roman" w:cs="Times New Roman"/>
          <w:bCs/>
          <w:sz w:val="24"/>
          <w:szCs w:val="24"/>
          <w:lang w:val="en-GB"/>
        </w:rPr>
      </w:pPr>
      <w:r>
        <w:rPr>
          <w:rFonts w:ascii="Times New Roman" w:hAnsi="Times New Roman" w:cs="Times New Roman"/>
          <w:bCs/>
          <w:sz w:val="24"/>
          <w:szCs w:val="24"/>
          <w:lang w:val="en-GB"/>
        </w:rPr>
        <w:t>DERV: derivatives, including ETD and OTC</w:t>
      </w:r>
    </w:p>
    <w:p w14:paraId="10BB2531" w14:textId="77777777" w:rsidR="00B575A5" w:rsidRDefault="00B575A5" w:rsidP="00B575A5">
      <w:pPr>
        <w:pStyle w:val="ListParagraph"/>
        <w:numPr>
          <w:ilvl w:val="1"/>
          <w:numId w:val="19"/>
        </w:numPr>
        <w:spacing w:after="120" w:line="259" w:lineRule="auto"/>
        <w:contextualSpacing/>
        <w:jc w:val="left"/>
        <w:rPr>
          <w:rFonts w:ascii="Times New Roman" w:hAnsi="Times New Roman" w:cs="Times New Roman"/>
          <w:bCs/>
          <w:sz w:val="24"/>
          <w:szCs w:val="24"/>
          <w:lang w:val="en-GB"/>
        </w:rPr>
      </w:pPr>
      <w:r>
        <w:rPr>
          <w:rFonts w:ascii="Times New Roman" w:hAnsi="Times New Roman" w:cs="Times New Roman"/>
          <w:bCs/>
          <w:sz w:val="24"/>
          <w:szCs w:val="24"/>
          <w:lang w:val="en-GB"/>
        </w:rPr>
        <w:t>SFTS: securities financing transactions</w:t>
      </w:r>
    </w:p>
    <w:p w14:paraId="768E75FB" w14:textId="77777777" w:rsidR="00B575A5" w:rsidRPr="006636F2" w:rsidRDefault="00B575A5" w:rsidP="00B575A5">
      <w:pPr>
        <w:pStyle w:val="ListParagraph"/>
        <w:numPr>
          <w:ilvl w:val="1"/>
          <w:numId w:val="19"/>
        </w:numPr>
        <w:spacing w:after="120" w:line="259" w:lineRule="auto"/>
        <w:contextualSpacing/>
        <w:jc w:val="left"/>
        <w:rPr>
          <w:rFonts w:ascii="Times New Roman" w:hAnsi="Times New Roman" w:cs="Times New Roman"/>
          <w:bCs/>
          <w:sz w:val="24"/>
          <w:szCs w:val="24"/>
          <w:lang w:val="en-GB"/>
        </w:rPr>
      </w:pPr>
      <w:r>
        <w:rPr>
          <w:rFonts w:ascii="Times New Roman" w:hAnsi="Times New Roman" w:cs="Times New Roman"/>
          <w:bCs/>
          <w:sz w:val="24"/>
          <w:szCs w:val="24"/>
          <w:lang w:val="en-GB"/>
        </w:rPr>
        <w:t>OTHE: others, including securities, spot contracts, crypto-assets (other than derivatives)</w:t>
      </w:r>
    </w:p>
    <w:p w14:paraId="52510C54" w14:textId="77777777" w:rsidR="00B575A5" w:rsidRPr="006636F2" w:rsidRDefault="00B575A5" w:rsidP="00B575A5">
      <w:pPr>
        <w:numPr>
          <w:ilvl w:val="0"/>
          <w:numId w:val="19"/>
        </w:numPr>
        <w:spacing w:after="120" w:line="259" w:lineRule="auto"/>
        <w:jc w:val="left"/>
        <w:rPr>
          <w:rFonts w:ascii="Times New Roman" w:hAnsi="Times New Roman" w:cs="Times New Roman"/>
          <w:bCs/>
          <w:sz w:val="24"/>
          <w:szCs w:val="24"/>
        </w:rPr>
      </w:pPr>
      <w:r w:rsidRPr="006636F2">
        <w:rPr>
          <w:rFonts w:ascii="Times New Roman" w:hAnsi="Times New Roman" w:cs="Times New Roman"/>
          <w:bCs/>
          <w:sz w:val="24"/>
          <w:szCs w:val="24"/>
        </w:rPr>
        <w:t>To replace the contents of field 4 with the following:</w:t>
      </w:r>
    </w:p>
    <w:p w14:paraId="0A52CCF5" w14:textId="77777777" w:rsidR="00B575A5" w:rsidRPr="006636F2" w:rsidRDefault="00B575A5" w:rsidP="00B575A5">
      <w:pPr>
        <w:numPr>
          <w:ilvl w:val="1"/>
          <w:numId w:val="19"/>
        </w:numPr>
        <w:spacing w:after="120" w:line="259" w:lineRule="auto"/>
        <w:jc w:val="left"/>
        <w:rPr>
          <w:rFonts w:ascii="Times New Roman" w:hAnsi="Times New Roman" w:cs="Times New Roman"/>
          <w:bCs/>
          <w:sz w:val="24"/>
          <w:szCs w:val="24"/>
        </w:rPr>
      </w:pPr>
      <w:r w:rsidRPr="006636F2">
        <w:rPr>
          <w:rFonts w:ascii="Times New Roman" w:hAnsi="Times New Roman" w:cs="Times New Roman"/>
          <w:bCs/>
          <w:sz w:val="24"/>
          <w:szCs w:val="24"/>
        </w:rPr>
        <w:t>For instrument type SFTS: EQUI (equity) and DEBT (debt)</w:t>
      </w:r>
    </w:p>
    <w:p w14:paraId="258D8FB3" w14:textId="77777777" w:rsidR="00B575A5" w:rsidRPr="006636F2" w:rsidRDefault="00B575A5" w:rsidP="00B575A5">
      <w:pPr>
        <w:numPr>
          <w:ilvl w:val="1"/>
          <w:numId w:val="19"/>
        </w:numPr>
        <w:spacing w:after="120" w:line="259" w:lineRule="auto"/>
        <w:jc w:val="left"/>
        <w:rPr>
          <w:rFonts w:ascii="Times New Roman" w:hAnsi="Times New Roman" w:cs="Times New Roman"/>
          <w:bCs/>
          <w:sz w:val="24"/>
          <w:szCs w:val="24"/>
        </w:rPr>
      </w:pPr>
      <w:r w:rsidRPr="006636F2">
        <w:rPr>
          <w:rFonts w:ascii="Times New Roman" w:hAnsi="Times New Roman" w:cs="Times New Roman"/>
          <w:bCs/>
          <w:sz w:val="24"/>
          <w:szCs w:val="24"/>
        </w:rPr>
        <w:t>For instrument type DERV: EQUI (equity), COMM (commodity), INTR (interest rate), CRDT (credit), CURR (currencies) and OTHE (everything else)</w:t>
      </w:r>
    </w:p>
    <w:p w14:paraId="42CE7E73" w14:textId="77777777" w:rsidR="00B575A5" w:rsidRPr="00A23C33" w:rsidRDefault="00B575A5" w:rsidP="00B575A5">
      <w:pPr>
        <w:numPr>
          <w:ilvl w:val="1"/>
          <w:numId w:val="19"/>
        </w:numPr>
        <w:spacing w:after="120" w:line="259" w:lineRule="auto"/>
        <w:jc w:val="left"/>
        <w:rPr>
          <w:rFonts w:ascii="Times New Roman" w:hAnsi="Times New Roman" w:cs="Times New Roman"/>
          <w:bCs/>
          <w:sz w:val="24"/>
          <w:szCs w:val="24"/>
        </w:rPr>
      </w:pPr>
      <w:r w:rsidRPr="006636F2">
        <w:rPr>
          <w:rFonts w:ascii="Times New Roman" w:hAnsi="Times New Roman" w:cs="Times New Roman"/>
          <w:bCs/>
          <w:sz w:val="24"/>
          <w:szCs w:val="24"/>
        </w:rPr>
        <w:t>for instrument type OTHE (were the reporting to encompass also securities and non-financial instruments)</w:t>
      </w:r>
      <w:r>
        <w:rPr>
          <w:rFonts w:ascii="Times New Roman" w:hAnsi="Times New Roman" w:cs="Times New Roman"/>
          <w:bCs/>
          <w:sz w:val="24"/>
          <w:szCs w:val="24"/>
        </w:rPr>
        <w:t xml:space="preserve">: </w:t>
      </w:r>
      <w:r w:rsidRPr="00A23C33">
        <w:rPr>
          <w:rFonts w:ascii="Times New Roman" w:hAnsi="Times New Roman" w:cs="Times New Roman"/>
          <w:bCs/>
          <w:sz w:val="24"/>
          <w:szCs w:val="24"/>
        </w:rPr>
        <w:t>EQUI (securities) and DEBT (debt) and COMM (non-financial crypto other than derivatives) and CURR (FX spot)</w:t>
      </w:r>
      <w:r>
        <w:rPr>
          <w:rFonts w:ascii="Times New Roman" w:hAnsi="Times New Roman" w:cs="Times New Roman"/>
          <w:bCs/>
          <w:sz w:val="24"/>
          <w:szCs w:val="24"/>
        </w:rPr>
        <w:t>.</w:t>
      </w:r>
    </w:p>
    <w:p w14:paraId="06D5D301" w14:textId="77777777" w:rsidR="00B575A5" w:rsidRPr="006636F2" w:rsidRDefault="00B575A5" w:rsidP="00B575A5">
      <w:pPr>
        <w:spacing w:after="120"/>
        <w:rPr>
          <w:rFonts w:ascii="Times New Roman" w:hAnsi="Times New Roman" w:cs="Times New Roman"/>
          <w:bCs/>
          <w:sz w:val="24"/>
          <w:szCs w:val="24"/>
        </w:rPr>
      </w:pPr>
      <w:r>
        <w:rPr>
          <w:rFonts w:ascii="Times New Roman" w:hAnsi="Times New Roman" w:cs="Times New Roman"/>
          <w:bCs/>
          <w:sz w:val="24"/>
          <w:szCs w:val="24"/>
        </w:rPr>
        <w:t>ISDA m</w:t>
      </w:r>
      <w:r w:rsidRPr="006636F2">
        <w:rPr>
          <w:rFonts w:ascii="Times New Roman" w:hAnsi="Times New Roman" w:cs="Times New Roman"/>
          <w:bCs/>
          <w:sz w:val="24"/>
          <w:szCs w:val="24"/>
        </w:rPr>
        <w:t>embers emphasise that obtaining the data and generating a completely new report on instrument types where the information is not readily available in other reporting sets is an operationally significant task. The</w:t>
      </w:r>
      <w:r w:rsidRPr="006636F2" w:rsidDel="007A7B90">
        <w:rPr>
          <w:rFonts w:ascii="Times New Roman" w:hAnsi="Times New Roman" w:cs="Times New Roman"/>
          <w:bCs/>
          <w:sz w:val="24"/>
          <w:szCs w:val="24"/>
        </w:rPr>
        <w:t xml:space="preserve"> </w:t>
      </w:r>
      <w:r w:rsidRPr="006636F2">
        <w:rPr>
          <w:rFonts w:ascii="Times New Roman" w:hAnsi="Times New Roman" w:cs="Times New Roman"/>
          <w:bCs/>
          <w:sz w:val="24"/>
          <w:szCs w:val="24"/>
        </w:rPr>
        <w:t>amendments we suggest would simplify the reporting, align with existing data collection, and reduce the number of tables counterparties would have to fill in.</w:t>
      </w:r>
    </w:p>
    <w:p w14:paraId="61CC1A15" w14:textId="5494D393" w:rsidR="00772944" w:rsidRDefault="00772944" w:rsidP="00772944"/>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lastRenderedPageBreak/>
        <w:t>&lt;ESMA_QUESTION_TCCR_5&gt;</w:t>
      </w:r>
    </w:p>
    <w:p w14:paraId="7A6FBE24" w14:textId="77777777" w:rsidR="00B575A5" w:rsidRPr="006636F2" w:rsidRDefault="00B575A5" w:rsidP="00B575A5">
      <w:pPr>
        <w:spacing w:after="120"/>
        <w:rPr>
          <w:rFonts w:ascii="Times New Roman" w:hAnsi="Times New Roman" w:cs="Times New Roman"/>
          <w:bCs/>
          <w:sz w:val="24"/>
          <w:szCs w:val="24"/>
        </w:rPr>
      </w:pPr>
      <w:permStart w:id="719744548" w:edGrp="everyone"/>
      <w:r w:rsidRPr="006636F2">
        <w:rPr>
          <w:rFonts w:ascii="Times New Roman" w:hAnsi="Times New Roman" w:cs="Times New Roman"/>
          <w:bCs/>
          <w:sz w:val="24"/>
          <w:szCs w:val="24"/>
        </w:rPr>
        <w:t>We agree with the calculation for Union currency denominated instruments of average values cleared based on the aggregate month-end position. We would suggest allowing for a reporting aggregati</w:t>
      </w:r>
      <w:r>
        <w:rPr>
          <w:rFonts w:ascii="Times New Roman" w:hAnsi="Times New Roman" w:cs="Times New Roman"/>
          <w:bCs/>
          <w:sz w:val="24"/>
          <w:szCs w:val="24"/>
        </w:rPr>
        <w:t>on</w:t>
      </w:r>
      <w:r w:rsidRPr="006636F2">
        <w:rPr>
          <w:rFonts w:ascii="Times New Roman" w:hAnsi="Times New Roman" w:cs="Times New Roman"/>
          <w:bCs/>
          <w:sz w:val="24"/>
          <w:szCs w:val="24"/>
        </w:rPr>
        <w:t xml:space="preserve"> across all Union currencies other tha</w:t>
      </w:r>
      <w:r>
        <w:rPr>
          <w:rFonts w:ascii="Times New Roman" w:hAnsi="Times New Roman" w:cs="Times New Roman"/>
          <w:bCs/>
          <w:sz w:val="24"/>
          <w:szCs w:val="24"/>
        </w:rPr>
        <w:t>n</w:t>
      </w:r>
      <w:r w:rsidRPr="006636F2">
        <w:rPr>
          <w:rFonts w:ascii="Times New Roman" w:hAnsi="Times New Roman" w:cs="Times New Roman"/>
          <w:bCs/>
          <w:sz w:val="24"/>
          <w:szCs w:val="24"/>
        </w:rPr>
        <w:t xml:space="preserve"> the euro, specifying a conversion methodology</w:t>
      </w:r>
      <w:r w:rsidRPr="178655FF">
        <w:rPr>
          <w:rFonts w:ascii="Times New Roman" w:hAnsi="Times New Roman" w:cs="Times New Roman"/>
          <w:sz w:val="24"/>
          <w:szCs w:val="24"/>
        </w:rPr>
        <w:t xml:space="preserve">, especially given that average values cleared in Union currencies other than the euro at third country CCPs will be </w:t>
      </w:r>
      <w:proofErr w:type="spellStart"/>
      <w:r w:rsidRPr="178655FF">
        <w:rPr>
          <w:rFonts w:ascii="Times New Roman" w:hAnsi="Times New Roman" w:cs="Times New Roman"/>
          <w:sz w:val="24"/>
          <w:szCs w:val="24"/>
        </w:rPr>
        <w:t>negligable</w:t>
      </w:r>
      <w:proofErr w:type="spellEnd"/>
      <w:r w:rsidRPr="178655FF">
        <w:rPr>
          <w:rFonts w:ascii="Times New Roman" w:hAnsi="Times New Roman" w:cs="Times New Roman"/>
          <w:sz w:val="24"/>
          <w:szCs w:val="24"/>
        </w:rPr>
        <w:t>. In this context, we would recommending alignment with Article 7b practices as much as feasible. It therefore appears sensible to enable reporting entities to aggregate those data points.</w:t>
      </w:r>
    </w:p>
    <w:p w14:paraId="2BDE5BD9" w14:textId="77777777" w:rsidR="00B575A5" w:rsidRPr="006636F2" w:rsidRDefault="00B575A5" w:rsidP="00B575A5">
      <w:pPr>
        <w:spacing w:after="120"/>
        <w:rPr>
          <w:rFonts w:ascii="Times New Roman" w:hAnsi="Times New Roman" w:cs="Times New Roman"/>
          <w:sz w:val="24"/>
          <w:szCs w:val="24"/>
        </w:rPr>
      </w:pPr>
      <w:r w:rsidRPr="006636F2">
        <w:rPr>
          <w:rFonts w:ascii="Times New Roman" w:hAnsi="Times New Roman" w:cs="Times New Roman"/>
          <w:bCs/>
          <w:sz w:val="24"/>
          <w:szCs w:val="24"/>
        </w:rPr>
        <w:t xml:space="preserve">We note </w:t>
      </w:r>
      <w:r>
        <w:rPr>
          <w:rFonts w:ascii="Times New Roman" w:hAnsi="Times New Roman" w:cs="Times New Roman"/>
          <w:bCs/>
          <w:sz w:val="24"/>
          <w:szCs w:val="24"/>
        </w:rPr>
        <w:t>that</w:t>
      </w:r>
      <w:r w:rsidRPr="006636F2">
        <w:rPr>
          <w:rFonts w:ascii="Times New Roman" w:hAnsi="Times New Roman" w:cs="Times New Roman"/>
          <w:bCs/>
          <w:sz w:val="24"/>
          <w:szCs w:val="24"/>
        </w:rPr>
        <w:t xml:space="preserve"> ESMA asks</w:t>
      </w:r>
      <w:r>
        <w:rPr>
          <w:rFonts w:ascii="Times New Roman" w:hAnsi="Times New Roman" w:cs="Times New Roman"/>
          <w:bCs/>
          <w:sz w:val="24"/>
          <w:szCs w:val="24"/>
        </w:rPr>
        <w:t xml:space="preserve"> in paragraph 81</w:t>
      </w:r>
      <w:r w:rsidRPr="006636F2">
        <w:rPr>
          <w:rFonts w:ascii="Times New Roman" w:hAnsi="Times New Roman" w:cs="Times New Roman"/>
          <w:bCs/>
          <w:sz w:val="24"/>
          <w:szCs w:val="24"/>
        </w:rPr>
        <w:t xml:space="preserve"> whether the proposed methodology “can be operationalised using existing systems and datasets, or whether it would require additional aggregation logic, data extraction or reconciliation processes”. ISDA members note that while the scope of the reporting has been tailored to avoid duplication with other reporting obligations, the proposed requirement in the draft RTS would still require additional sourcing and aggregation logic (for example on instrument type and currencies), data extraction and reconciliation processes</w:t>
      </w:r>
      <w:r w:rsidRPr="006636F2" w:rsidDel="005B74DC">
        <w:rPr>
          <w:rFonts w:ascii="Times New Roman" w:hAnsi="Times New Roman" w:cs="Times New Roman"/>
          <w:bCs/>
          <w:sz w:val="24"/>
          <w:szCs w:val="24"/>
        </w:rPr>
        <w:t>.</w:t>
      </w:r>
      <w:r w:rsidRPr="006636F2" w:rsidDel="005B74DC">
        <w:rPr>
          <w:rFonts w:ascii="Times New Roman" w:hAnsi="Times New Roman" w:cs="Times New Roman"/>
          <w:sz w:val="24"/>
          <w:szCs w:val="24"/>
        </w:rPr>
        <w:t xml:space="preserve"> </w:t>
      </w:r>
      <w:r w:rsidRPr="006636F2">
        <w:rPr>
          <w:rFonts w:ascii="Times New Roman" w:hAnsi="Times New Roman" w:cs="Times New Roman"/>
          <w:sz w:val="24"/>
          <w:szCs w:val="24"/>
        </w:rPr>
        <w:t xml:space="preserve">In particular, it would require: </w:t>
      </w:r>
    </w:p>
    <w:p w14:paraId="0C76558C" w14:textId="77777777" w:rsidR="00B575A5" w:rsidRPr="006636F2" w:rsidRDefault="00B575A5" w:rsidP="00B575A5">
      <w:pPr>
        <w:pStyle w:val="ListParagraph"/>
        <w:numPr>
          <w:ilvl w:val="0"/>
          <w:numId w:val="20"/>
        </w:numPr>
        <w:spacing w:after="120" w:line="259" w:lineRule="auto"/>
        <w:contextualSpacing/>
        <w:jc w:val="left"/>
        <w:rPr>
          <w:rFonts w:ascii="Times New Roman" w:hAnsi="Times New Roman" w:cs="Times New Roman"/>
          <w:sz w:val="24"/>
          <w:szCs w:val="24"/>
          <w:lang w:val="en-GB"/>
        </w:rPr>
      </w:pPr>
      <w:r w:rsidRPr="006636F2">
        <w:rPr>
          <w:rFonts w:ascii="Times New Roman" w:hAnsi="Times New Roman" w:cs="Times New Roman"/>
          <w:sz w:val="24"/>
          <w:szCs w:val="24"/>
          <w:lang w:val="en-GB"/>
        </w:rPr>
        <w:t xml:space="preserve">Mapping EU and non-EU group entities, as well as Union and non-Union currencies into the reporting channel;  </w:t>
      </w:r>
    </w:p>
    <w:p w14:paraId="32BC9ACD" w14:textId="77777777" w:rsidR="00B575A5" w:rsidRPr="006636F2" w:rsidRDefault="00B575A5" w:rsidP="00B575A5">
      <w:pPr>
        <w:pStyle w:val="ListParagraph"/>
        <w:numPr>
          <w:ilvl w:val="0"/>
          <w:numId w:val="20"/>
        </w:numPr>
        <w:spacing w:after="120" w:line="259" w:lineRule="auto"/>
        <w:contextualSpacing/>
        <w:jc w:val="left"/>
        <w:rPr>
          <w:rFonts w:ascii="Times New Roman" w:hAnsi="Times New Roman" w:cs="Times New Roman"/>
          <w:sz w:val="24"/>
          <w:szCs w:val="24"/>
          <w:lang w:val="en-GB"/>
        </w:rPr>
      </w:pPr>
      <w:r w:rsidRPr="006636F2">
        <w:rPr>
          <w:rFonts w:ascii="Times New Roman" w:hAnsi="Times New Roman" w:cs="Times New Roman"/>
          <w:sz w:val="24"/>
          <w:szCs w:val="24"/>
          <w:lang w:val="en-GB"/>
        </w:rPr>
        <w:t>Extracting and aggregating data from every entity, filtering for the role of each entity (i.e. whether these are clearing members, clients of an EU client member, or a client of a non-EU clearing member), with the added complexity that some entities might fulfil more than one of these roles. Determining whether a non-EU clearing member belongs to an EU group will add a further layer of implementation, and is not a trivial task to complete;</w:t>
      </w:r>
    </w:p>
    <w:p w14:paraId="088B7422" w14:textId="77777777" w:rsidR="00B575A5" w:rsidRPr="006636F2" w:rsidRDefault="00B575A5" w:rsidP="00B575A5">
      <w:pPr>
        <w:pStyle w:val="ListParagraph"/>
        <w:numPr>
          <w:ilvl w:val="0"/>
          <w:numId w:val="20"/>
        </w:numPr>
        <w:spacing w:after="120" w:line="259" w:lineRule="auto"/>
        <w:contextualSpacing/>
        <w:jc w:val="left"/>
        <w:rPr>
          <w:rFonts w:ascii="Times New Roman" w:hAnsi="Times New Roman" w:cs="Times New Roman"/>
          <w:sz w:val="24"/>
          <w:szCs w:val="24"/>
          <w:lang w:val="en-GB"/>
        </w:rPr>
      </w:pPr>
      <w:r w:rsidRPr="006636F2">
        <w:rPr>
          <w:rFonts w:ascii="Times New Roman" w:hAnsi="Times New Roman" w:cs="Times New Roman"/>
          <w:sz w:val="24"/>
          <w:szCs w:val="24"/>
          <w:lang w:val="en-GB"/>
        </w:rPr>
        <w:t>Mapping of instrument categories, instrument types, and asset classes, which are not currently used for accounting, prudential, trade reporting, or settlement purposes (at least not with the level of granularity required by the consultation);</w:t>
      </w:r>
    </w:p>
    <w:p w14:paraId="68F2DEAB" w14:textId="77777777" w:rsidR="00B575A5" w:rsidRPr="006636F2" w:rsidRDefault="00B575A5" w:rsidP="00B575A5">
      <w:pPr>
        <w:pStyle w:val="ListParagraph"/>
        <w:numPr>
          <w:ilvl w:val="0"/>
          <w:numId w:val="20"/>
        </w:numPr>
        <w:spacing w:after="120" w:line="259" w:lineRule="auto"/>
        <w:contextualSpacing/>
        <w:jc w:val="left"/>
        <w:rPr>
          <w:rFonts w:ascii="Times New Roman" w:hAnsi="Times New Roman" w:cs="Times New Roman"/>
          <w:sz w:val="24"/>
          <w:szCs w:val="24"/>
          <w:lang w:val="en-GB"/>
        </w:rPr>
      </w:pPr>
      <w:r w:rsidRPr="006636F2">
        <w:rPr>
          <w:rFonts w:ascii="Times New Roman" w:hAnsi="Times New Roman" w:cs="Times New Roman"/>
          <w:sz w:val="24"/>
          <w:szCs w:val="24"/>
          <w:lang w:val="en-GB"/>
        </w:rPr>
        <w:t>Calculating average cleared values based on aggregated month-end positions will also pose an additional challenge, as certain entities may currently only produce data on a quarterly basis.</w:t>
      </w:r>
    </w:p>
    <w:p w14:paraId="71FCF58F" w14:textId="48658A19" w:rsidR="00772944" w:rsidRDefault="00772944" w:rsidP="00772944"/>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that, for the purposes of Article 7d(1)(c), initial margin provides a more meaningful and proportionate indicator of exposure to recognised third country CCPs than variation margin, and with the proposal to </w:t>
      </w:r>
      <w:r>
        <w:lastRenderedPageBreak/>
        <w:t>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07AD722E" w14:textId="77777777" w:rsidR="00B575A5" w:rsidRPr="006636F2" w:rsidRDefault="00B575A5" w:rsidP="00B575A5">
      <w:pPr>
        <w:spacing w:after="120"/>
        <w:rPr>
          <w:rFonts w:ascii="Times New Roman" w:hAnsi="Times New Roman" w:cs="Times New Roman"/>
          <w:bCs/>
          <w:sz w:val="24"/>
          <w:szCs w:val="24"/>
        </w:rPr>
      </w:pPr>
      <w:permStart w:id="536377789" w:edGrp="everyone"/>
      <w:r w:rsidRPr="006636F2">
        <w:rPr>
          <w:rFonts w:ascii="Times New Roman" w:hAnsi="Times New Roman" w:cs="Times New Roman"/>
          <w:bCs/>
          <w:sz w:val="24"/>
          <w:szCs w:val="24"/>
        </w:rPr>
        <w:t xml:space="preserve">We agree that it would not make sense to require reporting of variation margin. We also agree that </w:t>
      </w:r>
      <w:r>
        <w:rPr>
          <w:rFonts w:ascii="Times New Roman" w:hAnsi="Times New Roman" w:cs="Times New Roman"/>
          <w:bCs/>
          <w:sz w:val="24"/>
          <w:szCs w:val="24"/>
        </w:rPr>
        <w:t>IM</w:t>
      </w:r>
      <w:r w:rsidRPr="006636F2">
        <w:rPr>
          <w:rFonts w:ascii="Times New Roman" w:hAnsi="Times New Roman" w:cs="Times New Roman"/>
          <w:bCs/>
          <w:sz w:val="24"/>
          <w:szCs w:val="24"/>
        </w:rPr>
        <w:t xml:space="preserve"> should be reported at the level of</w:t>
      </w:r>
      <w:r w:rsidRPr="006636F2" w:rsidDel="007A7B90">
        <w:rPr>
          <w:rFonts w:ascii="Times New Roman" w:hAnsi="Times New Roman" w:cs="Times New Roman"/>
          <w:bCs/>
          <w:sz w:val="24"/>
          <w:szCs w:val="24"/>
        </w:rPr>
        <w:t xml:space="preserve"> </w:t>
      </w:r>
      <w:r w:rsidRPr="006636F2">
        <w:rPr>
          <w:rFonts w:ascii="Times New Roman" w:hAnsi="Times New Roman" w:cs="Times New Roman"/>
          <w:bCs/>
          <w:sz w:val="24"/>
          <w:szCs w:val="24"/>
        </w:rPr>
        <w:t>each recognised Tier 1 CCP</w:t>
      </w:r>
      <w:r>
        <w:rPr>
          <w:rFonts w:ascii="Times New Roman" w:hAnsi="Times New Roman" w:cs="Times New Roman"/>
          <w:bCs/>
          <w:sz w:val="24"/>
          <w:szCs w:val="24"/>
        </w:rPr>
        <w:t>, if products in Union currencies are cleared at that CCP</w:t>
      </w:r>
      <w:r w:rsidRPr="006636F2">
        <w:rPr>
          <w:rFonts w:ascii="Times New Roman" w:hAnsi="Times New Roman" w:cs="Times New Roman"/>
          <w:bCs/>
          <w:sz w:val="24"/>
          <w:szCs w:val="24"/>
        </w:rPr>
        <w:t>. If not, no reporting for such CCPs should be required.</w:t>
      </w:r>
    </w:p>
    <w:p w14:paraId="7D60A67F" w14:textId="685E609E" w:rsidR="00772944" w:rsidRDefault="00772944" w:rsidP="00772944"/>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7CF3EA1E" w14:textId="77777777" w:rsidR="00B575A5" w:rsidRPr="006636F2" w:rsidRDefault="00B575A5" w:rsidP="00B575A5">
      <w:pPr>
        <w:spacing w:after="120"/>
        <w:rPr>
          <w:rFonts w:ascii="Times New Roman" w:hAnsi="Times New Roman" w:cs="Times New Roman"/>
          <w:bCs/>
          <w:sz w:val="24"/>
          <w:szCs w:val="24"/>
        </w:rPr>
      </w:pPr>
      <w:permStart w:id="319102224" w:edGrp="everyone"/>
      <w:r w:rsidRPr="006636F2">
        <w:rPr>
          <w:rFonts w:ascii="Times New Roman" w:hAnsi="Times New Roman" w:cs="Times New Roman"/>
          <w:bCs/>
          <w:sz w:val="24"/>
          <w:szCs w:val="24"/>
        </w:rPr>
        <w:t xml:space="preserve">We do not agree with the proposal to report </w:t>
      </w:r>
      <w:r>
        <w:rPr>
          <w:rFonts w:ascii="Times New Roman" w:hAnsi="Times New Roman" w:cs="Times New Roman"/>
          <w:bCs/>
          <w:sz w:val="24"/>
          <w:szCs w:val="24"/>
        </w:rPr>
        <w:t>IM</w:t>
      </w:r>
      <w:r w:rsidRPr="006636F2">
        <w:rPr>
          <w:rFonts w:ascii="Times New Roman" w:hAnsi="Times New Roman" w:cs="Times New Roman"/>
          <w:bCs/>
          <w:sz w:val="24"/>
          <w:szCs w:val="24"/>
        </w:rPr>
        <w:t xml:space="preserve"> as the average of month-end observations over the reporting year. A simpler approach, which would significantly reduce complexity for entities, would be to</w:t>
      </w:r>
      <w:r>
        <w:rPr>
          <w:rFonts w:ascii="Times New Roman" w:hAnsi="Times New Roman" w:cs="Times New Roman"/>
          <w:bCs/>
          <w:sz w:val="24"/>
          <w:szCs w:val="24"/>
        </w:rPr>
        <w:t xml:space="preserve"> only</w:t>
      </w:r>
      <w:r w:rsidRPr="006636F2">
        <w:rPr>
          <w:rFonts w:ascii="Times New Roman" w:hAnsi="Times New Roman" w:cs="Times New Roman"/>
          <w:bCs/>
          <w:sz w:val="24"/>
          <w:szCs w:val="24"/>
        </w:rPr>
        <w:t xml:space="preserve"> require reporting of point-in-time IM data at the end of the calendar year. If this is not acceptable, we would favour the average of quarter-end observations to align with existing capital reporting. We also add that ESMA could obtain this information directly from Tier 1 CCPs at the clearing member level.</w:t>
      </w:r>
    </w:p>
    <w:p w14:paraId="2423CBDE" w14:textId="49F9530D" w:rsidR="00772944" w:rsidRDefault="00772944" w:rsidP="00772944"/>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4120FAA1" w14:textId="77777777" w:rsidR="00B575A5" w:rsidRPr="006636F2" w:rsidRDefault="00B575A5" w:rsidP="00B575A5">
      <w:pPr>
        <w:spacing w:after="120"/>
        <w:rPr>
          <w:rFonts w:ascii="Times New Roman" w:hAnsi="Times New Roman" w:cs="Times New Roman"/>
          <w:bCs/>
          <w:sz w:val="24"/>
          <w:szCs w:val="24"/>
        </w:rPr>
      </w:pPr>
      <w:permStart w:id="546269201" w:edGrp="everyone"/>
      <w:r w:rsidRPr="006636F2">
        <w:rPr>
          <w:rFonts w:ascii="Times New Roman" w:hAnsi="Times New Roman" w:cs="Times New Roman"/>
          <w:bCs/>
          <w:sz w:val="24"/>
          <w:szCs w:val="24"/>
        </w:rPr>
        <w:lastRenderedPageBreak/>
        <w:t xml:space="preserve">First, we would suggest confirming that reporting on </w:t>
      </w:r>
      <w:r>
        <w:rPr>
          <w:rFonts w:ascii="Times New Roman" w:hAnsi="Times New Roman" w:cs="Times New Roman"/>
          <w:bCs/>
          <w:sz w:val="24"/>
          <w:szCs w:val="24"/>
        </w:rPr>
        <w:t>IM</w:t>
      </w:r>
      <w:r w:rsidRPr="006636F2">
        <w:rPr>
          <w:rFonts w:ascii="Times New Roman" w:hAnsi="Times New Roman" w:cs="Times New Roman"/>
          <w:bCs/>
          <w:sz w:val="24"/>
          <w:szCs w:val="24"/>
        </w:rPr>
        <w:t xml:space="preserve"> only applies where an in-scope entity actually clears a Union currency denominated instrument at that CCP.</w:t>
      </w:r>
      <w:r w:rsidRPr="006636F2">
        <w:rPr>
          <w:rFonts w:ascii="Times New Roman" w:hAnsi="Times New Roman" w:cs="Times New Roman"/>
          <w:sz w:val="24"/>
          <w:szCs w:val="24"/>
        </w:rPr>
        <w:t xml:space="preserve"> When the fraction of </w:t>
      </w:r>
      <w:r>
        <w:rPr>
          <w:rFonts w:ascii="Times New Roman" w:hAnsi="Times New Roman" w:cs="Times New Roman"/>
          <w:sz w:val="24"/>
          <w:szCs w:val="24"/>
        </w:rPr>
        <w:t>IM</w:t>
      </w:r>
      <w:r w:rsidRPr="006636F2">
        <w:rPr>
          <w:rFonts w:ascii="Times New Roman" w:hAnsi="Times New Roman" w:cs="Times New Roman"/>
          <w:sz w:val="24"/>
          <w:szCs w:val="24"/>
        </w:rPr>
        <w:t xml:space="preserve"> attributable to such transactions is easy to identify, then it is that fraction that should be reported.</w:t>
      </w:r>
    </w:p>
    <w:p w14:paraId="293BC30A"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sz w:val="24"/>
          <w:szCs w:val="24"/>
        </w:rPr>
        <w:t xml:space="preserve">Second, on the effort required to extract such information: </w:t>
      </w:r>
    </w:p>
    <w:p w14:paraId="74B61439" w14:textId="77777777" w:rsidR="00B575A5" w:rsidRPr="006636F2" w:rsidRDefault="00B575A5" w:rsidP="00B575A5">
      <w:pPr>
        <w:spacing w:after="120"/>
        <w:rPr>
          <w:rFonts w:ascii="Times New Roman" w:hAnsi="Times New Roman" w:cs="Times New Roman"/>
          <w:bCs/>
          <w:sz w:val="24"/>
          <w:szCs w:val="24"/>
        </w:rPr>
      </w:pPr>
      <w:r w:rsidRPr="709FB951">
        <w:rPr>
          <w:rFonts w:ascii="Times New Roman" w:hAnsi="Times New Roman" w:cs="Times New Roman"/>
          <w:sz w:val="24"/>
          <w:szCs w:val="24"/>
        </w:rPr>
        <w:t xml:space="preserve">CCP web portals, from which </w:t>
      </w:r>
      <w:r>
        <w:rPr>
          <w:rFonts w:ascii="Times New Roman" w:hAnsi="Times New Roman" w:cs="Times New Roman"/>
          <w:sz w:val="24"/>
          <w:szCs w:val="24"/>
        </w:rPr>
        <w:t>IM</w:t>
      </w:r>
      <w:r w:rsidRPr="709FB951">
        <w:rPr>
          <w:rFonts w:ascii="Times New Roman" w:hAnsi="Times New Roman" w:cs="Times New Roman"/>
          <w:sz w:val="24"/>
          <w:szCs w:val="24"/>
        </w:rPr>
        <w:t xml:space="preserve"> reports will likely need to be retrieved, generally retain reports only for a limited period</w:t>
      </w:r>
      <w:r w:rsidRPr="006636F2">
        <w:rPr>
          <w:rFonts w:ascii="Times New Roman" w:hAnsi="Times New Roman" w:cs="Times New Roman"/>
          <w:sz w:val="24"/>
          <w:szCs w:val="24"/>
        </w:rPr>
        <w:t xml:space="preserve">. </w:t>
      </w:r>
      <w:r w:rsidRPr="006636F2">
        <w:rPr>
          <w:rFonts w:ascii="Times New Roman" w:hAnsi="Times New Roman" w:cs="Times New Roman"/>
          <w:bCs/>
          <w:sz w:val="24"/>
          <w:szCs w:val="24"/>
        </w:rPr>
        <w:t xml:space="preserve">As a result, entities, particularly smaller ones, may face difficulties in retrieving the required data unless they already have internal archiving systems in place. A solution could be to require reporting of </w:t>
      </w:r>
      <w:r>
        <w:rPr>
          <w:rFonts w:ascii="Times New Roman" w:hAnsi="Times New Roman" w:cs="Times New Roman"/>
          <w:bCs/>
          <w:sz w:val="24"/>
          <w:szCs w:val="24"/>
        </w:rPr>
        <w:t>IM</w:t>
      </w:r>
      <w:r w:rsidRPr="006636F2">
        <w:rPr>
          <w:rFonts w:ascii="Times New Roman" w:hAnsi="Times New Roman" w:cs="Times New Roman"/>
          <w:bCs/>
          <w:sz w:val="24"/>
          <w:szCs w:val="24"/>
        </w:rPr>
        <w:t xml:space="preserve"> at a specific point in time (e.g. 31 December).</w:t>
      </w:r>
    </w:p>
    <w:p w14:paraId="0832B463"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Clients of non-EU clearing members, which are likely to represent the main use case for non-EU CCPs, may face difficulties obtaining assistance from their clearing members in collecting the required information, given that such non-EU clearing members are generally not subject to EMIR obligations.</w:t>
      </w:r>
    </w:p>
    <w:p w14:paraId="1C3F002D"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A one-month deadline to produce the report does not appear realistic, particularly for groups required to prepare a fully consolidated report and collect data from group entities that are currently outside the scope of EMIR. As noted in our response to question 2, reporting by the end of March would appear more realistic</w:t>
      </w:r>
      <w:r>
        <w:rPr>
          <w:rFonts w:ascii="Times New Roman" w:hAnsi="Times New Roman" w:cs="Times New Roman"/>
          <w:bCs/>
          <w:sz w:val="24"/>
          <w:szCs w:val="24"/>
        </w:rPr>
        <w:t xml:space="preserve"> and preferred by firms</w:t>
      </w:r>
      <w:r w:rsidRPr="006636F2">
        <w:rPr>
          <w:rFonts w:ascii="Times New Roman" w:hAnsi="Times New Roman" w:cs="Times New Roman"/>
          <w:bCs/>
          <w:sz w:val="24"/>
          <w:szCs w:val="24"/>
        </w:rPr>
        <w:t>.</w:t>
      </w:r>
    </w:p>
    <w:p w14:paraId="6C775412" w14:textId="11A6A552" w:rsidR="00772944" w:rsidRDefault="00772944" w:rsidP="00772944"/>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36D7DE8B" w14:textId="77777777" w:rsidR="00B575A5" w:rsidRPr="006636F2" w:rsidRDefault="00B575A5" w:rsidP="00B575A5">
      <w:pPr>
        <w:spacing w:after="120"/>
        <w:rPr>
          <w:rFonts w:ascii="Times New Roman" w:hAnsi="Times New Roman" w:cs="Times New Roman"/>
          <w:bCs/>
          <w:sz w:val="24"/>
          <w:szCs w:val="24"/>
        </w:rPr>
      </w:pPr>
      <w:permStart w:id="1896043658" w:edGrp="everyone"/>
      <w:r w:rsidRPr="006636F2">
        <w:rPr>
          <w:rFonts w:ascii="Times New Roman" w:hAnsi="Times New Roman" w:cs="Times New Roman"/>
          <w:bCs/>
          <w:sz w:val="24"/>
          <w:szCs w:val="24"/>
        </w:rPr>
        <w:t xml:space="preserve">ISDA supports an approach based on Option A. </w:t>
      </w:r>
    </w:p>
    <w:p w14:paraId="12814F78"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First, we would like to emphasise that including non-EU entities of EU groups within the scope of this reporting puts EU groups at a competitive disadvantage, for </w:t>
      </w:r>
      <w:r>
        <w:rPr>
          <w:rFonts w:ascii="Times New Roman" w:hAnsi="Times New Roman" w:cs="Times New Roman"/>
          <w:bCs/>
          <w:sz w:val="24"/>
          <w:szCs w:val="24"/>
        </w:rPr>
        <w:t>uncertain</w:t>
      </w:r>
      <w:r w:rsidRPr="006636F2">
        <w:rPr>
          <w:rFonts w:ascii="Times New Roman" w:hAnsi="Times New Roman" w:cs="Times New Roman"/>
          <w:bCs/>
          <w:sz w:val="24"/>
          <w:szCs w:val="24"/>
        </w:rPr>
        <w:t xml:space="preserve"> benefits.</w:t>
      </w:r>
    </w:p>
    <w:p w14:paraId="05D26153"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 xml:space="preserve">Second, on the preferred approach to reporting information, we would suggest adopting a fully consolidated reporting, as it would also align with the approach followed under Article 7b reporting. Such an approach would also be in line with Recital 17 of EMIR 3.  </w:t>
      </w:r>
    </w:p>
    <w:p w14:paraId="72EC5F80"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lastRenderedPageBreak/>
        <w:t xml:space="preserve">However, it is important to note that regardless of the option adopted, sourcing and extracting such information is a </w:t>
      </w:r>
      <w:r>
        <w:rPr>
          <w:rFonts w:ascii="Times New Roman" w:hAnsi="Times New Roman" w:cs="Times New Roman"/>
          <w:bCs/>
          <w:sz w:val="24"/>
          <w:szCs w:val="24"/>
        </w:rPr>
        <w:t>complex and costly</w:t>
      </w:r>
      <w:r w:rsidRPr="006636F2">
        <w:rPr>
          <w:rFonts w:ascii="Times New Roman" w:hAnsi="Times New Roman" w:cs="Times New Roman"/>
          <w:bCs/>
          <w:sz w:val="24"/>
          <w:szCs w:val="24"/>
        </w:rPr>
        <w:t xml:space="preserve"> exercise.</w:t>
      </w:r>
    </w:p>
    <w:p w14:paraId="2E231B42" w14:textId="65C44D57" w:rsidR="00772944" w:rsidRDefault="00772944" w:rsidP="00772944"/>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6ECB0AD7" w14:textId="77777777" w:rsidR="00B575A5" w:rsidRPr="006636F2" w:rsidRDefault="00B575A5" w:rsidP="00B575A5">
      <w:pPr>
        <w:spacing w:after="120"/>
        <w:rPr>
          <w:rFonts w:ascii="Times New Roman" w:hAnsi="Times New Roman" w:cs="Times New Roman"/>
          <w:bCs/>
          <w:sz w:val="24"/>
          <w:szCs w:val="24"/>
        </w:rPr>
      </w:pPr>
      <w:permStart w:id="1751663536" w:edGrp="everyone"/>
      <w:r w:rsidRPr="006636F2">
        <w:rPr>
          <w:rFonts w:ascii="Times New Roman" w:hAnsi="Times New Roman" w:cs="Times New Roman"/>
          <w:bCs/>
          <w:sz w:val="24"/>
          <w:szCs w:val="24"/>
        </w:rPr>
        <w:t>The answer will largely depend on each institution's operating model, but ISDA members would generally expect Option B (distinguishing between EU and non-EU entities within a group) to be the most costly, as it would clearly require additional efforts to segregate data.</w:t>
      </w:r>
    </w:p>
    <w:p w14:paraId="7E6BBE82" w14:textId="77777777" w:rsidR="00B575A5" w:rsidRPr="006636F2" w:rsidRDefault="00B575A5" w:rsidP="00B575A5">
      <w:pPr>
        <w:spacing w:after="120"/>
        <w:rPr>
          <w:rFonts w:ascii="Times New Roman" w:hAnsi="Times New Roman" w:cs="Times New Roman"/>
          <w:b/>
          <w:sz w:val="24"/>
          <w:szCs w:val="24"/>
        </w:rPr>
      </w:pPr>
      <w:r w:rsidRPr="006636F2">
        <w:rPr>
          <w:rFonts w:ascii="Times New Roman" w:hAnsi="Times New Roman" w:cs="Times New Roman"/>
          <w:sz w:val="24"/>
          <w:szCs w:val="24"/>
        </w:rPr>
        <w:t>Option C (full reporting at individual entity level) could be very operationally complex for EU entities subject to consolidated supervision: for global firms, the consolidation perimeter may include a very large number of entities, many of which would not clear, but some might act as clearing members, or clients of other clearing members within the group or outside of the group. Some entities may also only occasionally clear securities, such that any amount reported would be negligible (especially considering the currency scope). For these reasons, Option A (fully consolidated reporting) may be preferable.</w:t>
      </w:r>
    </w:p>
    <w:p w14:paraId="06786A5B"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Even with fully consolidated reporting, data availability is likely to be the main challenge. The instrument categorisation proposed by ESMA would add a further layer of complexity, particularly for non-EU entities that are less, or not, familiar with EMIR requirements, which is why we encourage ESMA to adopt a simpler categorisation approach, as suggested in our response to Question 4.</w:t>
      </w:r>
    </w:p>
    <w:p w14:paraId="6145D23B" w14:textId="3D472E61" w:rsidR="00772944" w:rsidRDefault="00772944" w:rsidP="00772944"/>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w:t>
      </w:r>
      <w:r>
        <w:lastRenderedPageBreak/>
        <w:t>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0C204319" w14:textId="77777777" w:rsidR="00B575A5" w:rsidRPr="006636F2" w:rsidRDefault="00B575A5" w:rsidP="00B575A5">
      <w:pPr>
        <w:spacing w:after="120"/>
        <w:rPr>
          <w:rFonts w:ascii="Times New Roman" w:hAnsi="Times New Roman" w:cs="Times New Roman"/>
          <w:bCs/>
          <w:sz w:val="24"/>
          <w:szCs w:val="24"/>
        </w:rPr>
      </w:pPr>
      <w:permStart w:id="2085827393" w:edGrp="everyone"/>
      <w:r w:rsidRPr="006636F2">
        <w:rPr>
          <w:rFonts w:ascii="Times New Roman" w:hAnsi="Times New Roman" w:cs="Times New Roman"/>
          <w:bCs/>
          <w:sz w:val="24"/>
          <w:szCs w:val="24"/>
        </w:rPr>
        <w:t xml:space="preserve">We do not believe there is a format more appropriate than CSV. However, ESMA should publish the reporting template with sufficient detail (with information on separators, format number, dates) and well in advance of the reporting deadline, unlike </w:t>
      </w:r>
      <w:r>
        <w:rPr>
          <w:rFonts w:ascii="Times New Roman" w:hAnsi="Times New Roman" w:cs="Times New Roman"/>
          <w:bCs/>
          <w:sz w:val="24"/>
          <w:szCs w:val="24"/>
        </w:rPr>
        <w:t xml:space="preserve">the process which was followed </w:t>
      </w:r>
      <w:r w:rsidRPr="006636F2">
        <w:rPr>
          <w:rFonts w:ascii="Times New Roman" w:hAnsi="Times New Roman" w:cs="Times New Roman"/>
          <w:bCs/>
          <w:sz w:val="24"/>
          <w:szCs w:val="24"/>
        </w:rPr>
        <w:t xml:space="preserve">for Article 7b reporting, especially given that reporting under Article 7d is more complex. </w:t>
      </w:r>
    </w:p>
    <w:p w14:paraId="4CBAC18A"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ESMA should also take into account the fact that late changes to an already published template, as occurred with Article 7b reporting, may be impossible to implement within the prescribed timelines.</w:t>
      </w:r>
    </w:p>
    <w:p w14:paraId="339FB276" w14:textId="77777777" w:rsidR="00B575A5" w:rsidRPr="006636F2" w:rsidRDefault="00B575A5" w:rsidP="00B575A5">
      <w:pPr>
        <w:spacing w:after="120"/>
        <w:rPr>
          <w:rFonts w:ascii="Times New Roman" w:hAnsi="Times New Roman" w:cs="Times New Roman"/>
          <w:bCs/>
          <w:sz w:val="24"/>
          <w:szCs w:val="24"/>
        </w:rPr>
      </w:pPr>
      <w:r w:rsidRPr="006636F2">
        <w:rPr>
          <w:rFonts w:ascii="Times New Roman" w:hAnsi="Times New Roman" w:cs="Times New Roman"/>
          <w:bCs/>
          <w:sz w:val="24"/>
          <w:szCs w:val="24"/>
        </w:rPr>
        <w:t>An XML-based solution would appear clearly disproportionate in terms of complexity.</w:t>
      </w:r>
    </w:p>
    <w:p w14:paraId="108E1EDA" w14:textId="77777777" w:rsidR="00B575A5" w:rsidRPr="006636F2" w:rsidRDefault="00B575A5" w:rsidP="00B575A5">
      <w:pPr>
        <w:spacing w:after="120"/>
        <w:rPr>
          <w:rFonts w:ascii="Times New Roman" w:hAnsi="Times New Roman" w:cs="Times New Roman"/>
          <w:sz w:val="24"/>
          <w:szCs w:val="24"/>
        </w:rPr>
      </w:pPr>
      <w:r w:rsidRPr="006636F2">
        <w:rPr>
          <w:rFonts w:ascii="Times New Roman" w:hAnsi="Times New Roman" w:cs="Times New Roman"/>
          <w:sz w:val="24"/>
          <w:szCs w:val="24"/>
        </w:rPr>
        <w:t>Additional comments</w:t>
      </w:r>
      <w:r>
        <w:rPr>
          <w:rFonts w:ascii="Times New Roman" w:hAnsi="Times New Roman" w:cs="Times New Roman"/>
          <w:sz w:val="24"/>
          <w:szCs w:val="24"/>
        </w:rPr>
        <w:t>:</w:t>
      </w:r>
    </w:p>
    <w:p w14:paraId="37425DB3" w14:textId="77777777" w:rsidR="00B575A5" w:rsidRPr="006636F2" w:rsidRDefault="00B575A5" w:rsidP="00B575A5">
      <w:pPr>
        <w:numPr>
          <w:ilvl w:val="0"/>
          <w:numId w:val="21"/>
        </w:numPr>
        <w:spacing w:after="120" w:line="259" w:lineRule="auto"/>
        <w:jc w:val="left"/>
        <w:rPr>
          <w:rFonts w:ascii="Times New Roman" w:hAnsi="Times New Roman" w:cs="Times New Roman"/>
          <w:sz w:val="24"/>
          <w:szCs w:val="24"/>
        </w:rPr>
      </w:pPr>
      <w:r w:rsidRPr="006636F2">
        <w:rPr>
          <w:rFonts w:ascii="Times New Roman" w:hAnsi="Times New Roman" w:cs="Times New Roman"/>
          <w:sz w:val="24"/>
          <w:szCs w:val="24"/>
        </w:rPr>
        <w:t>Table 1 – Field 2 (Submission Date): Ideally, this field should be pre-populated with the date 31/01/YYYY rather than requiring the actual submission date, particularly if the report is submitted in CSV format. This would be consistent with the approach adopted for Article 7b reporting.</w:t>
      </w:r>
    </w:p>
    <w:p w14:paraId="081160F7" w14:textId="77777777" w:rsidR="00B575A5" w:rsidRPr="006636F2" w:rsidRDefault="00B575A5" w:rsidP="00B575A5">
      <w:pPr>
        <w:numPr>
          <w:ilvl w:val="0"/>
          <w:numId w:val="21"/>
        </w:numPr>
        <w:spacing w:after="120" w:line="259" w:lineRule="auto"/>
        <w:jc w:val="left"/>
        <w:rPr>
          <w:rFonts w:ascii="Times New Roman" w:hAnsi="Times New Roman" w:cs="Times New Roman"/>
          <w:sz w:val="24"/>
          <w:szCs w:val="24"/>
        </w:rPr>
      </w:pPr>
      <w:r w:rsidRPr="006636F2">
        <w:rPr>
          <w:rFonts w:ascii="Times New Roman" w:hAnsi="Times New Roman" w:cs="Times New Roman"/>
          <w:sz w:val="24"/>
          <w:szCs w:val="24"/>
        </w:rPr>
        <w:t>Table 3 – Field 2 (Initial Margin) and Field 3 (Initial Margin Attributable to Non-EU Entities): ESMA proposes a format allowing values with up to five decimal places. Initial margin amounts do not generally include more than two decimal places. The same observation could apply to Table 2, Field 6 ("Average Value Cleared") and Field 7 ("Average Value Cleared Attributable to Non-EU Entities").</w:t>
      </w:r>
    </w:p>
    <w:p w14:paraId="7B6BF654" w14:textId="54E5BA13" w:rsidR="00772944" w:rsidRDefault="00772944" w:rsidP="00772944"/>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9"/>
      <w:footerReference w:type="default" r:id="rId20"/>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C87D1" w14:textId="77777777" w:rsidR="00836D34" w:rsidRDefault="00836D34" w:rsidP="007E7997">
      <w:pPr>
        <w:spacing w:line="240" w:lineRule="auto"/>
      </w:pPr>
      <w:r>
        <w:separator/>
      </w:r>
    </w:p>
  </w:endnote>
  <w:endnote w:type="continuationSeparator" w:id="0">
    <w:p w14:paraId="5B0CF41F" w14:textId="77777777" w:rsidR="00836D34" w:rsidRDefault="00836D34" w:rsidP="007E7997">
      <w:pPr>
        <w:spacing w:line="240" w:lineRule="auto"/>
      </w:pPr>
      <w:r>
        <w:continuationSeparator/>
      </w:r>
    </w:p>
  </w:endnote>
  <w:endnote w:type="continuationNotice" w:id="1">
    <w:p w14:paraId="22283309" w14:textId="77777777" w:rsidR="00836D34" w:rsidRDefault="00836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C0E0E" w14:textId="77777777" w:rsidR="00836D34" w:rsidRDefault="00836D34" w:rsidP="007E7997">
      <w:pPr>
        <w:spacing w:line="240" w:lineRule="auto"/>
      </w:pPr>
      <w:r>
        <w:separator/>
      </w:r>
    </w:p>
  </w:footnote>
  <w:footnote w:type="continuationSeparator" w:id="0">
    <w:p w14:paraId="50AB41E8" w14:textId="77777777" w:rsidR="00836D34" w:rsidRDefault="00836D34" w:rsidP="007E7997">
      <w:pPr>
        <w:spacing w:line="240" w:lineRule="auto"/>
      </w:pPr>
      <w:r>
        <w:continuationSeparator/>
      </w:r>
    </w:p>
  </w:footnote>
  <w:footnote w:type="continuationNotice" w:id="1">
    <w:p w14:paraId="53BD497B" w14:textId="77777777" w:rsidR="00836D34" w:rsidRDefault="00836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Header"/>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2E5F93F"/>
    <w:multiLevelType w:val="hybridMultilevel"/>
    <w:tmpl w:val="FFFFFFFF"/>
    <w:lvl w:ilvl="0" w:tplc="B9A22590">
      <w:start w:val="1"/>
      <w:numFmt w:val="bullet"/>
      <w:lvlText w:val="-"/>
      <w:lvlJc w:val="left"/>
      <w:pPr>
        <w:ind w:left="720" w:hanging="360"/>
      </w:pPr>
      <w:rPr>
        <w:rFonts w:ascii="Aptos" w:hAnsi="Aptos" w:hint="default"/>
      </w:rPr>
    </w:lvl>
    <w:lvl w:ilvl="1" w:tplc="6CECF3EC">
      <w:start w:val="1"/>
      <w:numFmt w:val="bullet"/>
      <w:lvlText w:val="o"/>
      <w:lvlJc w:val="left"/>
      <w:pPr>
        <w:ind w:left="1440" w:hanging="360"/>
      </w:pPr>
      <w:rPr>
        <w:rFonts w:ascii="Courier New" w:hAnsi="Courier New" w:hint="default"/>
      </w:rPr>
    </w:lvl>
    <w:lvl w:ilvl="2" w:tplc="2AE85E14">
      <w:start w:val="1"/>
      <w:numFmt w:val="bullet"/>
      <w:lvlText w:val=""/>
      <w:lvlJc w:val="left"/>
      <w:pPr>
        <w:ind w:left="2160" w:hanging="360"/>
      </w:pPr>
      <w:rPr>
        <w:rFonts w:ascii="Wingdings" w:hAnsi="Wingdings" w:hint="default"/>
      </w:rPr>
    </w:lvl>
    <w:lvl w:ilvl="3" w:tplc="953ECF1E">
      <w:start w:val="1"/>
      <w:numFmt w:val="bullet"/>
      <w:lvlText w:val=""/>
      <w:lvlJc w:val="left"/>
      <w:pPr>
        <w:ind w:left="2880" w:hanging="360"/>
      </w:pPr>
      <w:rPr>
        <w:rFonts w:ascii="Symbol" w:hAnsi="Symbol" w:hint="default"/>
      </w:rPr>
    </w:lvl>
    <w:lvl w:ilvl="4" w:tplc="5E3A455E">
      <w:start w:val="1"/>
      <w:numFmt w:val="bullet"/>
      <w:lvlText w:val="o"/>
      <w:lvlJc w:val="left"/>
      <w:pPr>
        <w:ind w:left="3600" w:hanging="360"/>
      </w:pPr>
      <w:rPr>
        <w:rFonts w:ascii="Courier New" w:hAnsi="Courier New" w:hint="default"/>
      </w:rPr>
    </w:lvl>
    <w:lvl w:ilvl="5" w:tplc="95C07D52">
      <w:start w:val="1"/>
      <w:numFmt w:val="bullet"/>
      <w:lvlText w:val=""/>
      <w:lvlJc w:val="left"/>
      <w:pPr>
        <w:ind w:left="4320" w:hanging="360"/>
      </w:pPr>
      <w:rPr>
        <w:rFonts w:ascii="Wingdings" w:hAnsi="Wingdings" w:hint="default"/>
      </w:rPr>
    </w:lvl>
    <w:lvl w:ilvl="6" w:tplc="1C42756C">
      <w:start w:val="1"/>
      <w:numFmt w:val="bullet"/>
      <w:lvlText w:val=""/>
      <w:lvlJc w:val="left"/>
      <w:pPr>
        <w:ind w:left="5040" w:hanging="360"/>
      </w:pPr>
      <w:rPr>
        <w:rFonts w:ascii="Symbol" w:hAnsi="Symbol" w:hint="default"/>
      </w:rPr>
    </w:lvl>
    <w:lvl w:ilvl="7" w:tplc="0CF8F2D2">
      <w:start w:val="1"/>
      <w:numFmt w:val="bullet"/>
      <w:lvlText w:val="o"/>
      <w:lvlJc w:val="left"/>
      <w:pPr>
        <w:ind w:left="5760" w:hanging="360"/>
      </w:pPr>
      <w:rPr>
        <w:rFonts w:ascii="Courier New" w:hAnsi="Courier New" w:hint="default"/>
      </w:rPr>
    </w:lvl>
    <w:lvl w:ilvl="8" w:tplc="0890C03C">
      <w:start w:val="1"/>
      <w:numFmt w:val="bullet"/>
      <w:lvlText w:val=""/>
      <w:lvlJc w:val="left"/>
      <w:pPr>
        <w:ind w:left="6480"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540E70FC"/>
    <w:multiLevelType w:val="hybridMultilevel"/>
    <w:tmpl w:val="12F8FB84"/>
    <w:lvl w:ilvl="0" w:tplc="1102D6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8656AF"/>
    <w:multiLevelType w:val="multilevel"/>
    <w:tmpl w:val="FF42465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0B1079"/>
    <w:multiLevelType w:val="multilevel"/>
    <w:tmpl w:val="26DAC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FA62AA"/>
    <w:multiLevelType w:val="multilevel"/>
    <w:tmpl w:val="9A6A3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1421525">
    <w:abstractNumId w:val="15"/>
  </w:num>
  <w:num w:numId="2" w16cid:durableId="270287514">
    <w:abstractNumId w:val="4"/>
  </w:num>
  <w:num w:numId="3" w16cid:durableId="1675497260">
    <w:abstractNumId w:val="10"/>
  </w:num>
  <w:num w:numId="4" w16cid:durableId="1146706333">
    <w:abstractNumId w:val="3"/>
  </w:num>
  <w:num w:numId="5" w16cid:durableId="1502348752">
    <w:abstractNumId w:val="0"/>
  </w:num>
  <w:num w:numId="6" w16cid:durableId="1544101585">
    <w:abstractNumId w:val="5"/>
  </w:num>
  <w:num w:numId="7" w16cid:durableId="896626050">
    <w:abstractNumId w:val="16"/>
  </w:num>
  <w:num w:numId="8" w16cid:durableId="806780153">
    <w:abstractNumId w:val="2"/>
  </w:num>
  <w:num w:numId="9" w16cid:durableId="1677002603">
    <w:abstractNumId w:val="14"/>
  </w:num>
  <w:num w:numId="10" w16cid:durableId="22487393">
    <w:abstractNumId w:val="9"/>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960382176">
    <w:abstractNumId w:val="11"/>
  </w:num>
  <w:num w:numId="18" w16cid:durableId="1178033534">
    <w:abstractNumId w:val="12"/>
  </w:num>
  <w:num w:numId="19" w16cid:durableId="1643002284">
    <w:abstractNumId w:val="13"/>
  </w:num>
  <w:num w:numId="20" w16cid:durableId="92021254">
    <w:abstractNumId w:val="8"/>
  </w:num>
  <w:num w:numId="21" w16cid:durableId="85270524">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4BE"/>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697"/>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D34"/>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575A5"/>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0B5"/>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esma.europa.eu/sites/default/files/2025-12/ESMA91-1505572268-4536_Public_Statement_on_upcoming_reporting_obligations_under_EMIR_3.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D67E0"/>
    <w:rsid w:val="004E4CF9"/>
    <w:rsid w:val="00502AA2"/>
    <w:rsid w:val="00526B46"/>
    <w:rsid w:val="005609FD"/>
    <w:rsid w:val="00591427"/>
    <w:rsid w:val="0059793B"/>
    <w:rsid w:val="005D66AB"/>
    <w:rsid w:val="005E2697"/>
    <w:rsid w:val="006216AC"/>
    <w:rsid w:val="006D3543"/>
    <w:rsid w:val="006E5494"/>
    <w:rsid w:val="006E791C"/>
    <w:rsid w:val="00714CF1"/>
    <w:rsid w:val="00736117"/>
    <w:rsid w:val="00740052"/>
    <w:rsid w:val="00813189"/>
    <w:rsid w:val="00813EAE"/>
    <w:rsid w:val="008222A0"/>
    <w:rsid w:val="00836D47"/>
    <w:rsid w:val="00982D57"/>
    <w:rsid w:val="00993537"/>
    <w:rsid w:val="009B6B9C"/>
    <w:rsid w:val="009C0B17"/>
    <w:rsid w:val="00A44918"/>
    <w:rsid w:val="00A563E1"/>
    <w:rsid w:val="00AB0E92"/>
    <w:rsid w:val="00B22006"/>
    <w:rsid w:val="00B46CAE"/>
    <w:rsid w:val="00BE5A7C"/>
    <w:rsid w:val="00C006E6"/>
    <w:rsid w:val="00C528E6"/>
    <w:rsid w:val="00CF3208"/>
    <w:rsid w:val="00D25DE9"/>
    <w:rsid w:val="00D40353"/>
    <w:rsid w:val="00D63C2B"/>
    <w:rsid w:val="00D9677A"/>
    <w:rsid w:val="00DC3796"/>
    <w:rsid w:val="00DC4211"/>
    <w:rsid w:val="00E03F6C"/>
    <w:rsid w:val="00F81463"/>
    <w:rsid w:val="00FA09D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5128</Words>
  <Characters>31234</Characters>
  <Application>Microsoft Office Word</Application>
  <DocSecurity>8</DocSecurity>
  <Lines>780</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35935</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Kai Moritz</cp:lastModifiedBy>
  <cp:revision>3</cp:revision>
  <cp:lastPrinted>2023-09-09T09:53:00Z</cp:lastPrinted>
  <dcterms:created xsi:type="dcterms:W3CDTF">2026-10-12T13:21:00Z</dcterms:created>
  <dcterms:modified xsi:type="dcterms:W3CDTF">2026-10-12T13:28:00Z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