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5633A7B7" w14:textId="77777777" w:rsidR="00870A24" w:rsidRDefault="00870A24" w:rsidP="00F72D28">
          <w:pPr>
            <w:pStyle w:val="Titolo"/>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olo"/>
          </w:pPr>
        </w:p>
        <w:p w14:paraId="01438AE1" w14:textId="052010EB" w:rsidR="00563C1F" w:rsidRDefault="00EC6066" w:rsidP="00F72D28">
          <w:pPr>
            <w:pStyle w:val="Titolo"/>
          </w:pPr>
          <w:r>
            <w:t xml:space="preserve">Reply </w:t>
          </w:r>
          <w:r w:rsidR="00DD03DC">
            <w:t>F</w:t>
          </w:r>
          <w:r>
            <w:t>orm</w:t>
          </w:r>
        </w:p>
        <w:p w14:paraId="031F2108" w14:textId="793B616E" w:rsidR="007E7997" w:rsidRPr="00C01571" w:rsidRDefault="00D77369" w:rsidP="00D77369">
          <w:pPr>
            <w:pStyle w:val="Sottotitolo"/>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570EC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w:t>
          </w:r>
          <w:r w:rsidR="00B7619F" w:rsidRPr="00B7619F">
            <w:rPr>
              <w:rFonts w:cs="Arial"/>
              <w:b/>
              <w:sz w:val="36"/>
              <w:szCs w:val="36"/>
            </w:rPr>
            <w:t xml:space="preserve">on </w:t>
          </w:r>
          <w:r w:rsidR="00AE378E">
            <w:rPr>
              <w:rFonts w:cs="Arial"/>
              <w:b/>
              <w:sz w:val="36"/>
              <w:szCs w:val="36"/>
            </w:rPr>
            <w:t>EMIR Article 7d Reporting</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ottotitolo"/>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Paragrafoelenco"/>
            <w:rPr>
              <w:lang w:val="en-GB"/>
            </w:rPr>
          </w:pPr>
          <w:r w:rsidRPr="00DB2FD6">
            <w:rPr>
              <w:lang w:val="en-GB"/>
            </w:rPr>
            <w:t>respond to the question stated;</w:t>
          </w:r>
        </w:p>
        <w:p w14:paraId="72FD40F6" w14:textId="77777777" w:rsidR="002533FC" w:rsidRPr="00DB2FD6" w:rsidRDefault="002533FC" w:rsidP="00EC6066">
          <w:pPr>
            <w:pStyle w:val="Paragrafoelenco"/>
            <w:rPr>
              <w:lang w:val="en-GB"/>
            </w:rPr>
          </w:pPr>
          <w:r w:rsidRPr="00DB2FD6">
            <w:rPr>
              <w:lang w:val="en-GB"/>
            </w:rPr>
            <w:t>indicate the specific question to which the comment relates;</w:t>
          </w:r>
        </w:p>
        <w:p w14:paraId="78B206B7" w14:textId="77777777" w:rsidR="002533FC" w:rsidRPr="00E13D25" w:rsidRDefault="002533FC" w:rsidP="00EC6066">
          <w:pPr>
            <w:pStyle w:val="Paragrafoelenco"/>
          </w:pPr>
          <w:r w:rsidRPr="00E13D25">
            <w:t>contain a clear rationale; and</w:t>
          </w:r>
        </w:p>
        <w:p w14:paraId="60B8834E" w14:textId="77777777" w:rsidR="002533FC" w:rsidRPr="00DB2FD6" w:rsidRDefault="002533FC" w:rsidP="00EC6066">
          <w:pPr>
            <w:pStyle w:val="Paragrafoelenco"/>
            <w:rPr>
              <w:lang w:val="en-GB"/>
            </w:rPr>
          </w:pPr>
          <w:r w:rsidRPr="00DB2FD6">
            <w:rPr>
              <w:lang w:val="en-GB"/>
            </w:rPr>
            <w:t>describe any alternatives ESMA should consider.</w:t>
          </w:r>
        </w:p>
        <w:p w14:paraId="219225AC" w14:textId="2CB11116" w:rsidR="002533FC" w:rsidRPr="005B6B12" w:rsidRDefault="002533FC" w:rsidP="002533FC">
          <w:r w:rsidRPr="005B6B12">
            <w:t xml:space="preserve">ESMA will consider all comments received by </w:t>
          </w:r>
          <w:r w:rsidR="005A4BBA">
            <w:rPr>
              <w:b/>
              <w:bCs/>
              <w:color w:val="auto"/>
            </w:rPr>
            <w:t>12</w:t>
          </w:r>
          <w:r w:rsidR="4A420E9D" w:rsidRPr="00EE24AE">
            <w:rPr>
              <w:b/>
              <w:bCs/>
              <w:color w:val="auto"/>
            </w:rPr>
            <w:t xml:space="preserve"> </w:t>
          </w:r>
          <w:r w:rsidR="005A4BBA">
            <w:rPr>
              <w:b/>
              <w:bCs/>
              <w:color w:val="auto"/>
            </w:rPr>
            <w:t>October</w:t>
          </w:r>
          <w:r w:rsidR="0029727F" w:rsidRPr="00EE24AE">
            <w:rPr>
              <w:b/>
              <w:color w:val="auto"/>
            </w:rPr>
            <w:t xml:space="preserve"> 202</w:t>
          </w:r>
          <w:r w:rsidR="00B7619F" w:rsidRPr="00EE24AE">
            <w:rPr>
              <w:b/>
              <w:color w:val="auto"/>
            </w:rPr>
            <w:t>6</w:t>
          </w:r>
          <w:r w:rsidRPr="00EE24AE">
            <w:rPr>
              <w:bCs/>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Collegamentoipertestuale"/>
              </w:rPr>
              <w:t>www.esma.europa.eu</w:t>
            </w:r>
          </w:hyperlink>
          <w:r w:rsidRPr="005B6B12">
            <w:t xml:space="preserve"> under the heading ‘Your input - Consultations’. </w:t>
          </w:r>
        </w:p>
        <w:p w14:paraId="5E44C845" w14:textId="77777777" w:rsidR="00EC6066" w:rsidRPr="0026459D" w:rsidRDefault="00EC6066" w:rsidP="00EC6066">
          <w:pPr>
            <w:pStyle w:val="Sottotitolo"/>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413296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8650FE">
            <w:rPr>
              <w:bCs/>
            </w:rPr>
            <w:t>TCCR</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49E3AC1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w:t>
          </w:r>
          <w:r w:rsidR="008650FE">
            <w:rPr>
              <w:bCs/>
            </w:rPr>
            <w:t>TCCR</w:t>
          </w:r>
          <w:r w:rsidRPr="00C5469A">
            <w:rPr>
              <w:bCs/>
            </w:rPr>
            <w:t xml:space="preserve">_nameofrespondent. </w:t>
          </w:r>
        </w:p>
        <w:p w14:paraId="210BE93A" w14:textId="54740095"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w:t>
          </w:r>
          <w:r w:rsidR="008650FE">
            <w:rPr>
              <w:bCs/>
            </w:rPr>
            <w:t>TCCR</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Collegamentoipertestuale"/>
              </w:rPr>
              <w:t>www.esma.europa.eu</w:t>
            </w:r>
          </w:hyperlink>
          <w:r w:rsidRPr="005B6B12">
            <w:t xml:space="preserve"> under the heading </w:t>
          </w:r>
          <w:r w:rsidRPr="00025A7F">
            <w:rPr>
              <w:rStyle w:val="Collegamentoipertestuale"/>
            </w:rPr>
            <w:t>‘</w:t>
          </w:r>
          <w:hyperlink r:id="rId17" w:history="1">
            <w:r>
              <w:rPr>
                <w:rStyle w:val="Collegamentoipertestuale"/>
              </w:rPr>
              <w:t>Data protection</w:t>
            </w:r>
          </w:hyperlink>
          <w:r>
            <w:rPr>
              <w:rStyle w:val="Collegamentoipertestuale"/>
            </w:rPr>
            <w:t>’</w:t>
          </w:r>
          <w:r w:rsidRPr="005B6B12">
            <w:t>.</w:t>
          </w:r>
        </w:p>
        <w:p w14:paraId="57A67DA5" w14:textId="381708DC" w:rsidR="00EC6066" w:rsidRPr="005B6B12" w:rsidRDefault="00EC6066" w:rsidP="00EC6066">
          <w:pPr>
            <w:rPr>
              <w:b/>
            </w:rPr>
          </w:pPr>
          <w:r w:rsidRPr="005B6B12">
            <w:rPr>
              <w:b/>
            </w:rPr>
            <w:t>Who should read this paper?</w:t>
          </w:r>
        </w:p>
      </w:sdtContent>
    </w:sdt>
    <w:p w14:paraId="50C0B880" w14:textId="54217AED" w:rsidR="005171FF" w:rsidRDefault="00C102DB">
      <w:pPr>
        <w:spacing w:after="120" w:line="264" w:lineRule="auto"/>
        <w:jc w:val="left"/>
        <w:rPr>
          <w:rFonts w:asciiTheme="majorHAnsi" w:eastAsiaTheme="majorEastAsia" w:hAnsiTheme="majorHAnsi" w:cstheme="majorBidi"/>
          <w:sz w:val="28"/>
          <w:szCs w:val="24"/>
          <w:highlight w:val="yellow"/>
        </w:rPr>
      </w:pPr>
      <w:r w:rsidRPr="00C102DB">
        <w:t>All interested stakeholders are invited to respond to this consultation paper. In particular, responses are sought from clearing members, counterparties accessing recognised third country central counterparties services as clients of clearing members, as well as recognised TC-CCPs. The paper may also be of interest to industry associations representing market participants, as well as to public authorities and other stakeholders with an interest in clearing markets.</w:t>
      </w:r>
      <w:r w:rsidR="005171FF">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Titolo1"/>
        <w:rPr>
          <w:lang w:val="fr-BE"/>
        </w:rPr>
      </w:pPr>
      <w:r>
        <w:rPr>
          <w:lang w:val="fr-BE"/>
        </w:rPr>
        <w:lastRenderedPageBreak/>
        <w:t xml:space="preserve">General information about </w:t>
      </w:r>
      <w:r w:rsidRPr="00501EF4">
        <w:t>respondent</w:t>
      </w:r>
    </w:p>
    <w:tbl>
      <w:tblPr>
        <w:tblStyle w:val="Grigliatabella"/>
        <w:tblW w:w="0" w:type="auto"/>
        <w:tblLook w:val="04A0" w:firstRow="1" w:lastRow="0" w:firstColumn="1" w:lastColumn="0" w:noHBand="0" w:noVBand="1"/>
      </w:tblPr>
      <w:tblGrid>
        <w:gridCol w:w="4531"/>
        <w:gridCol w:w="4531"/>
      </w:tblGrid>
      <w:tr w:rsidR="00635BCA" w:rsidRPr="00331A05" w14:paraId="183FA56F" w14:textId="77777777" w:rsidTr="00BA6D09">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alias w:val="Name of the company / organisation"/>
            <w:tag w:val="Name of the company / organisation"/>
            <w:id w:val="-803776227"/>
            <w:placeholder>
              <w:docPart w:val="2B0FF21738C1433DBAFB661809AC1F87"/>
            </w:placeholder>
          </w:sdtPr>
          <w:sdtContent>
            <w:tc>
              <w:tcPr>
                <w:tcW w:w="4531" w:type="dxa"/>
              </w:tcPr>
              <w:p w14:paraId="76683ED7" w14:textId="2DB573DB" w:rsidR="00635BCA" w:rsidRPr="000E7C93" w:rsidRDefault="000E7C93" w:rsidP="00D21C35">
                <w:pPr>
                  <w:rPr>
                    <w:lang w:val="it-IT"/>
                  </w:rPr>
                </w:pPr>
                <w:r w:rsidRPr="000E7C93">
                  <w:rPr>
                    <w:lang w:val="it-IT"/>
                  </w:rPr>
                  <w:t>AMF Italia – Associazione Intermediari M</w:t>
                </w:r>
                <w:r>
                  <w:rPr>
                    <w:lang w:val="it-IT"/>
                  </w:rPr>
                  <w:t>ercati Finanziari</w:t>
                </w:r>
              </w:p>
            </w:tc>
          </w:sdtContent>
        </w:sdt>
      </w:tr>
      <w:tr w:rsidR="00B17279" w:rsidRPr="00557BD2" w14:paraId="4FC13461" w14:textId="77777777" w:rsidTr="00BA6D09">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displayText="Choose an item" w:value="Choose an item"/>
              <w:listItem w:displayText="Stakeholder" w:value="Stakeholder"/>
              <w:listItem w:displayText="Financial Counterparty of OTC derivatives transactions" w:value="Financial Counterparty of OTC derivatives transactions"/>
              <w:listItem w:displayText="Non-financial Counterparty of OTC derivatives transactions" w:value="Non-financial Counterparty of OTC derivatives transactions"/>
              <w:listItem w:displayText="Central Counterparty" w:value="Central Counterparty"/>
              <w:listItem w:displayText="Other" w:value="Other"/>
            </w:comboBox>
          </w:sdtPr>
          <w:sdtContent>
            <w:tc>
              <w:tcPr>
                <w:tcW w:w="4531" w:type="dxa"/>
              </w:tcPr>
              <w:p w14:paraId="1185A96B" w14:textId="768E4292" w:rsidR="00B17279" w:rsidRDefault="008C784F" w:rsidP="00B17279">
                <w:r>
                  <w:t>Other</w:t>
                </w:r>
              </w:p>
            </w:tc>
          </w:sdtContent>
        </w:sdt>
      </w:tr>
      <w:permEnd w:id="1315974205"/>
      <w:tr w:rsidR="00B17279" w:rsidRPr="00557BD2" w14:paraId="7387C961" w14:textId="77777777" w:rsidTr="00BA6D09">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Content>
            <w:permStart w:id="1982091919" w:edGrp="everyone" w:displacedByCustomXml="prev"/>
            <w:tc>
              <w:tcPr>
                <w:tcW w:w="4531" w:type="dxa"/>
              </w:tcPr>
              <w:p w14:paraId="10359AFE" w14:textId="7EF286ED" w:rsidR="00B17279" w:rsidRDefault="008C784F" w:rsidP="00B17279">
                <w:r>
                  <w:rPr>
                    <w:rFonts w:ascii="MS Gothic" w:eastAsia="MS Gothic" w:hAnsi="MS Gothic" w:hint="eastAsia"/>
                  </w:rPr>
                  <w:t>☒</w:t>
                </w:r>
              </w:p>
            </w:tc>
            <w:permEnd w:id="1982091919" w:displacedByCustomXml="next"/>
          </w:sdtContent>
        </w:sdt>
      </w:tr>
      <w:tr w:rsidR="00B17279" w:rsidRPr="00557BD2" w14:paraId="3D982432" w14:textId="77777777" w:rsidTr="00BA6D09">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104175425" w:edGrp="everyone" w:displacedByCustomXml="prev"/>
            <w:tc>
              <w:tcPr>
                <w:tcW w:w="4531" w:type="dxa"/>
              </w:tcPr>
              <w:p w14:paraId="6A619B85" w14:textId="5F764AA7" w:rsidR="00B17279" w:rsidRPr="00557BD2" w:rsidRDefault="008C784F" w:rsidP="00B17279">
                <w:r>
                  <w:t>Italy</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Titolo1"/>
        <w:rPr>
          <w:lang w:val="fr-BE"/>
        </w:rPr>
      </w:pPr>
      <w:r w:rsidRPr="00557BD2">
        <w:rPr>
          <w:lang w:val="fr-BE"/>
        </w:rPr>
        <w:t>Questions</w:t>
      </w:r>
    </w:p>
    <w:p w14:paraId="45B5E493" w14:textId="77777777" w:rsidR="00772944" w:rsidRDefault="00772944" w:rsidP="00772944">
      <w:pPr>
        <w:pStyle w:val="Questionstyle"/>
        <w:numPr>
          <w:ilvl w:val="0"/>
          <w:numId w:val="14"/>
        </w:numPr>
        <w:tabs>
          <w:tab w:val="clear" w:pos="567"/>
        </w:tabs>
        <w:spacing w:before="120" w:after="120"/>
        <w:ind w:left="851" w:hanging="709"/>
        <w:rPr>
          <w:color w:val="auto"/>
        </w:rPr>
      </w:pPr>
      <w:r>
        <w:t>Do stakeholders agree with ESMA’s assessment of data availability under existing reporting frameworks?</w:t>
      </w:r>
    </w:p>
    <w:p w14:paraId="6E0EB923" w14:textId="77777777" w:rsidR="00772944" w:rsidRDefault="00772944" w:rsidP="00772944">
      <w:r>
        <w:t>&lt;ESMA_QUESTION_TCCR_1&gt;</w:t>
      </w:r>
    </w:p>
    <w:p w14:paraId="584C9C33" w14:textId="5D013C2D" w:rsidR="00632A30" w:rsidRPr="00DA596E" w:rsidRDefault="007F48F0" w:rsidP="00772944">
      <w:permStart w:id="1961835906" w:edGrp="everyone"/>
      <w:r w:rsidRPr="00BF16E9">
        <w:t xml:space="preserve">AMF Italia appreciates </w:t>
      </w:r>
      <w:r w:rsidR="00BF16E9" w:rsidRPr="00BF16E9">
        <w:t>ESMA’s approac</w:t>
      </w:r>
      <w:r w:rsidR="00BF16E9">
        <w:t xml:space="preserve">h in the development of its mandate under article </w:t>
      </w:r>
      <w:r w:rsidR="00C12555">
        <w:t>7d of EMIR</w:t>
      </w:r>
      <w:r w:rsidR="00025A54">
        <w:t xml:space="preserve">. </w:t>
      </w:r>
      <w:r w:rsidR="00F61420" w:rsidRPr="00F61420">
        <w:t>We view as particularly significant ESMA</w:t>
      </w:r>
      <w:r w:rsidR="00314FED">
        <w:t>’</w:t>
      </w:r>
      <w:r w:rsidR="00F61420" w:rsidRPr="00F61420">
        <w:t xml:space="preserve">s assessment of data availability under the existing reporting framework, alongside the recognition that data reporting pursuant to </w:t>
      </w:r>
      <w:r w:rsidR="00E4613F">
        <w:t>a</w:t>
      </w:r>
      <w:r w:rsidR="00F61420" w:rsidRPr="00F61420">
        <w:t xml:space="preserve">rticle 7d </w:t>
      </w:r>
      <w:r w:rsidR="00E4613F">
        <w:t xml:space="preserve">basically </w:t>
      </w:r>
      <w:r w:rsidR="00F61420" w:rsidRPr="00F61420">
        <w:t xml:space="preserve">fails to deliver supervisory added value, as </w:t>
      </w:r>
      <w:r w:rsidR="004A19F4">
        <w:t xml:space="preserve">the </w:t>
      </w:r>
      <w:r w:rsidR="00F61420" w:rsidRPr="00F61420">
        <w:t>EU supervisors themselves do not deem such reporting necessary for their monitoring or supervisory mandates</w:t>
      </w:r>
      <w:r w:rsidR="001333EA">
        <w:t xml:space="preserve"> given that existing EMIR article 9 reporting already provides sufficient information to meet supervisory objectives</w:t>
      </w:r>
      <w:r w:rsidR="00F77970">
        <w:t xml:space="preserve"> (including in relation to clearing activity at recognised third-country CCP</w:t>
      </w:r>
      <w:r w:rsidR="00CA4B2D">
        <w:t>s)</w:t>
      </w:r>
      <w:r w:rsidR="00F61420" w:rsidRPr="00F61420">
        <w:t>. Furthermore, it must be noted that th</w:t>
      </w:r>
      <w:r w:rsidR="00815065">
        <w:t xml:space="preserve">e </w:t>
      </w:r>
      <w:r w:rsidR="00F61420" w:rsidRPr="00F61420">
        <w:t xml:space="preserve">reporting obligation </w:t>
      </w:r>
      <w:r w:rsidR="00815065">
        <w:t>u</w:t>
      </w:r>
      <w:r w:rsidR="002C5990">
        <w:t xml:space="preserve">nder art. 7d </w:t>
      </w:r>
      <w:r w:rsidR="00F61420" w:rsidRPr="00F61420">
        <w:t>is slated to take effect concurrently with the broader reporting simplification framework recently initiated by ESMA</w:t>
      </w:r>
      <w:r w:rsidR="008422A7">
        <w:t>,</w:t>
      </w:r>
      <w:r w:rsidR="00FB4BBA">
        <w:t xml:space="preserve"> although </w:t>
      </w:r>
      <w:r w:rsidR="00436F47">
        <w:t>in its very first stages</w:t>
      </w:r>
      <w:r w:rsidR="00F61420" w:rsidRPr="00F61420">
        <w:t xml:space="preserve">. Consequently, regulated entities will soon </w:t>
      </w:r>
      <w:r w:rsidR="007F3FF2">
        <w:t xml:space="preserve">have to start </w:t>
      </w:r>
      <w:r w:rsidR="00C84EB2" w:rsidRPr="00F61420">
        <w:t>commit</w:t>
      </w:r>
      <w:r w:rsidR="00C84EB2">
        <w:t>ting</w:t>
      </w:r>
      <w:r w:rsidR="00F61420" w:rsidRPr="00F61420">
        <w:t xml:space="preserve"> substantial resources to implement a reporting infrastructure that is likely to face revision</w:t>
      </w:r>
      <w:r w:rsidR="000D7741">
        <w:t xml:space="preserve"> in a short timeframe</w:t>
      </w:r>
      <w:r w:rsidR="00F61420" w:rsidRPr="00F61420">
        <w:t>, thereby running counter to the objective of streamlining existing reporting regimes</w:t>
      </w:r>
      <w:r w:rsidR="00902C49">
        <w:t xml:space="preserve"> which is going to be further </w:t>
      </w:r>
      <w:r w:rsidR="00054EC0">
        <w:t xml:space="preserve">examined, </w:t>
      </w:r>
      <w:r w:rsidR="00902C49">
        <w:t>developed and specified</w:t>
      </w:r>
      <w:r w:rsidR="00F61420" w:rsidRPr="00F61420">
        <w:t>.</w:t>
      </w:r>
      <w:r w:rsidR="00C277C7">
        <w:t xml:space="preserve"> </w:t>
      </w:r>
      <w:r w:rsidR="00564824" w:rsidRPr="00564824">
        <w:t xml:space="preserve">Therefore, while fully mindful of ESMA's mandate and scope of action under </w:t>
      </w:r>
      <w:r w:rsidR="00F64FD0">
        <w:t>a</w:t>
      </w:r>
      <w:r w:rsidR="00564824" w:rsidRPr="00564824">
        <w:t>rticle 7d, we wonder whether the reporting obligation provided therein should not be thoroughly re</w:t>
      </w:r>
      <w:r w:rsidR="003D5B51">
        <w:t>considered</w:t>
      </w:r>
      <w:r w:rsidR="00564824" w:rsidRPr="00564824">
        <w:t xml:space="preserve"> </w:t>
      </w:r>
      <w:r w:rsidR="00110278">
        <w:t xml:space="preserve">for suspension or no-action letter purposes </w:t>
      </w:r>
      <w:proofErr w:type="gramStart"/>
      <w:r w:rsidR="00564824" w:rsidRPr="00564824">
        <w:t>in light of</w:t>
      </w:r>
      <w:proofErr w:type="gramEnd"/>
      <w:r w:rsidR="00564824" w:rsidRPr="00564824">
        <w:t xml:space="preserve"> the broader context in which this obligation w</w:t>
      </w:r>
      <w:r w:rsidR="002E715C">
        <w:t xml:space="preserve">ill </w:t>
      </w:r>
      <w:r w:rsidR="005E19E9">
        <w:t xml:space="preserve">enter into force. </w:t>
      </w:r>
      <w:r w:rsidR="002C1D48">
        <w:t xml:space="preserve">In addition, </w:t>
      </w:r>
      <w:r w:rsidR="0047375C">
        <w:t xml:space="preserve">it is worth considering </w:t>
      </w:r>
      <w:r w:rsidR="005A5074">
        <w:t>that</w:t>
      </w:r>
      <w:r w:rsidR="008C2F44">
        <w:t xml:space="preserve"> </w:t>
      </w:r>
      <w:r w:rsidR="004F173A">
        <w:t xml:space="preserve">clearing activity will </w:t>
      </w:r>
      <w:r w:rsidR="00307D16">
        <w:t xml:space="preserve">become less </w:t>
      </w:r>
      <w:r w:rsidR="008C2F44">
        <w:t xml:space="preserve">risky </w:t>
      </w:r>
      <w:r w:rsidR="00A24DE7">
        <w:t>as the markets move towards shorter settlement cycles</w:t>
      </w:r>
      <w:r w:rsidR="00F227C6">
        <w:t xml:space="preserve"> worldwide. </w:t>
      </w:r>
      <w:r w:rsidR="005E19E9">
        <w:t>The above being said, with reference to the proposals</w:t>
      </w:r>
      <w:r w:rsidR="005F0F94">
        <w:t xml:space="preserve"> </w:t>
      </w:r>
      <w:r w:rsidR="005E19E9">
        <w:t xml:space="preserve">under consultation </w:t>
      </w:r>
      <w:r w:rsidR="00DA596E">
        <w:t>w</w:t>
      </w:r>
      <w:r w:rsidR="00DA596E" w:rsidRPr="00DA596E">
        <w:t>e appreciate that</w:t>
      </w:r>
      <w:r w:rsidR="00E97D8F">
        <w:t>,</w:t>
      </w:r>
      <w:r w:rsidR="00DA596E" w:rsidRPr="00DA596E">
        <w:t xml:space="preserve"> under </w:t>
      </w:r>
      <w:r w:rsidR="007820F8">
        <w:t>a</w:t>
      </w:r>
      <w:r w:rsidR="00DA596E" w:rsidRPr="00DA596E">
        <w:t>rticle 1</w:t>
      </w:r>
      <w:r w:rsidR="007820F8">
        <w:t xml:space="preserve"> of the draft RTS</w:t>
      </w:r>
      <w:r w:rsidR="00DA596E" w:rsidRPr="00DA596E">
        <w:t xml:space="preserve">, ESMA has sought to minimise duplication in reporting by identifying the </w:t>
      </w:r>
      <w:r w:rsidR="00584791">
        <w:t>scope</w:t>
      </w:r>
      <w:r w:rsidR="00DA596E" w:rsidRPr="00DA596E">
        <w:t xml:space="preserve"> of the reporting obligation </w:t>
      </w:r>
      <w:r w:rsidR="004B1D89">
        <w:t xml:space="preserve">for </w:t>
      </w:r>
      <w:r w:rsidR="00DA596E" w:rsidRPr="00DA596E">
        <w:t xml:space="preserve">different </w:t>
      </w:r>
      <w:r w:rsidR="004B1D89">
        <w:t xml:space="preserve">kinds of </w:t>
      </w:r>
      <w:r w:rsidR="00DA596E" w:rsidRPr="00DA596E">
        <w:t>entities</w:t>
      </w:r>
      <w:r w:rsidR="00584791">
        <w:t>.</w:t>
      </w:r>
      <w:r w:rsidR="00B51566" w:rsidRPr="00B51566">
        <w:t xml:space="preserve"> </w:t>
      </w:r>
      <w:r w:rsidR="007C40E5">
        <w:t>In this respect, AMF Italia note</w:t>
      </w:r>
      <w:r w:rsidR="00AE3BB7">
        <w:t>s</w:t>
      </w:r>
      <w:r w:rsidR="007C40E5">
        <w:t xml:space="preserve"> </w:t>
      </w:r>
      <w:r w:rsidR="00B60A08">
        <w:t xml:space="preserve">that, </w:t>
      </w:r>
      <w:r w:rsidR="005649BF">
        <w:t xml:space="preserve">in the </w:t>
      </w:r>
      <w:r w:rsidR="0045685D">
        <w:lastRenderedPageBreak/>
        <w:t>Consultation Paper</w:t>
      </w:r>
      <w:r w:rsidR="0098335F">
        <w:t xml:space="preserve"> (see</w:t>
      </w:r>
      <w:r w:rsidR="005C0142">
        <w:t>, in particular,</w:t>
      </w:r>
      <w:r w:rsidR="0098335F">
        <w:t xml:space="preserve"> par. 61)</w:t>
      </w:r>
      <w:r w:rsidR="00B60A08">
        <w:t xml:space="preserve">, </w:t>
      </w:r>
      <w:r w:rsidR="00B51566" w:rsidRPr="00B51566">
        <w:t xml:space="preserve">EU clients </w:t>
      </w:r>
      <w:r w:rsidR="005A3233">
        <w:t xml:space="preserve">clearing through non-EU clearing members </w:t>
      </w:r>
      <w:r w:rsidR="0098335F">
        <w:t xml:space="preserve">that are </w:t>
      </w:r>
      <w:r w:rsidR="00B51566" w:rsidRPr="00B51566">
        <w:t>not part of an EU group are supposed to report</w:t>
      </w:r>
      <w:r w:rsidR="00892D77">
        <w:t xml:space="preserve">, </w:t>
      </w:r>
      <w:r w:rsidR="00892D77" w:rsidRPr="00892D77">
        <w:rPr>
          <w:i/>
          <w:iCs/>
        </w:rPr>
        <w:t>inter alia</w:t>
      </w:r>
      <w:r w:rsidR="00892D77">
        <w:t>,</w:t>
      </w:r>
      <w:r w:rsidR="00B51566" w:rsidRPr="00B51566">
        <w:t xml:space="preserve"> margin</w:t>
      </w:r>
      <w:r w:rsidR="00DD7CEA">
        <w:t>s</w:t>
      </w:r>
      <w:r w:rsidR="00B51566" w:rsidRPr="00B51566">
        <w:t xml:space="preserve"> only for </w:t>
      </w:r>
      <w:r w:rsidR="008E3202">
        <w:t>“</w:t>
      </w:r>
      <w:r w:rsidR="008E3202" w:rsidRPr="009E55CD">
        <w:rPr>
          <w:i/>
          <w:iCs/>
        </w:rPr>
        <w:t>n</w:t>
      </w:r>
      <w:r w:rsidR="00B51566" w:rsidRPr="009E55CD">
        <w:rPr>
          <w:i/>
          <w:iCs/>
        </w:rPr>
        <w:t>on-</w:t>
      </w:r>
      <w:r w:rsidR="00D37182" w:rsidRPr="009E55CD">
        <w:rPr>
          <w:i/>
          <w:iCs/>
        </w:rPr>
        <w:t>f</w:t>
      </w:r>
      <w:r w:rsidR="00B51566" w:rsidRPr="009E55CD">
        <w:rPr>
          <w:i/>
          <w:iCs/>
        </w:rPr>
        <w:t xml:space="preserve">inancial </w:t>
      </w:r>
      <w:r w:rsidR="0027463C" w:rsidRPr="009E55CD">
        <w:rPr>
          <w:i/>
          <w:iCs/>
        </w:rPr>
        <w:t xml:space="preserve">instruments </w:t>
      </w:r>
      <w:r w:rsidR="00D74DA6">
        <w:rPr>
          <w:i/>
          <w:iCs/>
        </w:rPr>
        <w:t xml:space="preserve">in scope </w:t>
      </w:r>
      <w:r w:rsidR="00B51566" w:rsidRPr="009E55CD">
        <w:rPr>
          <w:i/>
          <w:iCs/>
        </w:rPr>
        <w:t xml:space="preserve">and </w:t>
      </w:r>
      <w:r w:rsidR="008E3202" w:rsidRPr="009E55CD">
        <w:rPr>
          <w:i/>
          <w:iCs/>
        </w:rPr>
        <w:t>f</w:t>
      </w:r>
      <w:r w:rsidR="00B51566" w:rsidRPr="009E55CD">
        <w:rPr>
          <w:i/>
          <w:iCs/>
        </w:rPr>
        <w:t xml:space="preserve">inancial </w:t>
      </w:r>
      <w:r w:rsidR="00D74DA6">
        <w:rPr>
          <w:i/>
          <w:iCs/>
        </w:rPr>
        <w:t xml:space="preserve">instruments </w:t>
      </w:r>
      <w:r w:rsidR="00B51566" w:rsidRPr="009E55CD">
        <w:rPr>
          <w:i/>
          <w:iCs/>
        </w:rPr>
        <w:t>other than derivatives and SFTs</w:t>
      </w:r>
      <w:r w:rsidR="008E3202">
        <w:t>”</w:t>
      </w:r>
      <w:r w:rsidR="00B51566" w:rsidRPr="00B51566">
        <w:t>.</w:t>
      </w:r>
      <w:r w:rsidR="000E02DE" w:rsidRPr="000E02DE">
        <w:t xml:space="preserve"> However, </w:t>
      </w:r>
      <w:r w:rsidR="007820F8">
        <w:t>a</w:t>
      </w:r>
      <w:r w:rsidR="000E02DE" w:rsidRPr="000E02DE">
        <w:t xml:space="preserve">rticle 1(2) of the draft RTS </w:t>
      </w:r>
      <w:r w:rsidR="009E55CD">
        <w:t>provides</w:t>
      </w:r>
      <w:r w:rsidR="000E02DE" w:rsidRPr="000E02DE">
        <w:t xml:space="preserve"> </w:t>
      </w:r>
      <w:r w:rsidR="00BE0994">
        <w:t xml:space="preserve">as follows: </w:t>
      </w:r>
      <w:r w:rsidR="009E55CD">
        <w:t>“</w:t>
      </w:r>
      <w:r w:rsidR="000E02DE" w:rsidRPr="009E55CD">
        <w:rPr>
          <w:i/>
          <w:iCs/>
        </w:rPr>
        <w:t>In addition to paragraph 1, where a non-EU clearing member is not part of a group subject to consolidated supervision in the Union, its clients established in the Union and its clients established outside the Union that belong to a group subject to consolidated supervision in the Union shall report the information referred to in Article 3</w:t>
      </w:r>
      <w:r w:rsidR="009E55CD">
        <w:t>”.</w:t>
      </w:r>
      <w:r w:rsidR="000E02DE" w:rsidRPr="000E02DE">
        <w:t xml:space="preserve"> This </w:t>
      </w:r>
      <w:r w:rsidR="00696B3E">
        <w:t>entails</w:t>
      </w:r>
      <w:r w:rsidR="000E02DE" w:rsidRPr="000E02DE">
        <w:t xml:space="preserve"> that EU c</w:t>
      </w:r>
      <w:r w:rsidR="0028594E">
        <w:t>ounterparties</w:t>
      </w:r>
      <w:r w:rsidR="000E02DE" w:rsidRPr="000E02DE">
        <w:t xml:space="preserve"> </w:t>
      </w:r>
      <w:r w:rsidR="00C71863">
        <w:t xml:space="preserve">clearing through </w:t>
      </w:r>
      <w:r w:rsidR="000E02DE" w:rsidRPr="000E02DE">
        <w:t xml:space="preserve">a non-EU CM </w:t>
      </w:r>
      <w:r w:rsidR="00C71863">
        <w:t xml:space="preserve">that does not belong to </w:t>
      </w:r>
      <w:r w:rsidR="000E02DE" w:rsidRPr="000E02DE">
        <w:t xml:space="preserve">an EU group would be </w:t>
      </w:r>
      <w:r w:rsidR="00B57266">
        <w:t>required</w:t>
      </w:r>
      <w:r w:rsidR="000E02DE" w:rsidRPr="000E02DE">
        <w:t xml:space="preserve"> to report margin</w:t>
      </w:r>
      <w:r w:rsidR="00AD1F14">
        <w:t>s</w:t>
      </w:r>
      <w:r w:rsidR="000E02DE" w:rsidRPr="000E02DE">
        <w:t xml:space="preserve"> for all </w:t>
      </w:r>
      <w:r w:rsidR="00AD1F14">
        <w:t>kind</w:t>
      </w:r>
      <w:r w:rsidR="005A3BD0">
        <w:t>s</w:t>
      </w:r>
      <w:r w:rsidR="00AD1F14">
        <w:t xml:space="preserve"> of instruments</w:t>
      </w:r>
      <w:r w:rsidR="00B57266">
        <w:t xml:space="preserve"> (derivatives and SFTs included)</w:t>
      </w:r>
      <w:r w:rsidR="000E02DE" w:rsidRPr="000E02DE">
        <w:t xml:space="preserve">. </w:t>
      </w:r>
      <w:r w:rsidR="006F037C">
        <w:t xml:space="preserve">Therefore, for consistency reasons with the </w:t>
      </w:r>
      <w:proofErr w:type="gramStart"/>
      <w:r w:rsidR="006F037C">
        <w:t>aforementioned par.</w:t>
      </w:r>
      <w:proofErr w:type="gramEnd"/>
      <w:r w:rsidR="006F037C">
        <w:t xml:space="preserve"> 61 of the </w:t>
      </w:r>
      <w:r w:rsidR="004675C2">
        <w:t>Consultation Paper</w:t>
      </w:r>
      <w:r w:rsidR="006F037C">
        <w:t>,</w:t>
      </w:r>
      <w:r w:rsidR="00F44675">
        <w:t xml:space="preserve"> we would suggest</w:t>
      </w:r>
      <w:r w:rsidR="006F037C">
        <w:t xml:space="preserve"> a</w:t>
      </w:r>
      <w:r w:rsidR="000E02DE" w:rsidRPr="000E02DE">
        <w:t xml:space="preserve">rticle 1 be amended </w:t>
      </w:r>
      <w:r w:rsidR="005F6228">
        <w:t xml:space="preserve">by providing an exclusion </w:t>
      </w:r>
      <w:r w:rsidR="006F245F">
        <w:t xml:space="preserve">for EU clients </w:t>
      </w:r>
      <w:r w:rsidR="00C16651">
        <w:t>(</w:t>
      </w:r>
      <w:r w:rsidR="00C16651" w:rsidRPr="00C16651">
        <w:t>clearing through a non-EU CM that does not belong to an EU group</w:t>
      </w:r>
      <w:r w:rsidR="00C16651">
        <w:t>)</w:t>
      </w:r>
      <w:r w:rsidR="00C16651" w:rsidRPr="00C16651">
        <w:t xml:space="preserve"> </w:t>
      </w:r>
      <w:r w:rsidR="005F6228">
        <w:t xml:space="preserve">to report margins for </w:t>
      </w:r>
      <w:r w:rsidR="000E02DE" w:rsidRPr="000E02DE">
        <w:t>derivatives and SFTs</w:t>
      </w:r>
      <w:r w:rsidR="00824505">
        <w:t xml:space="preserve"> since this information is a</w:t>
      </w:r>
      <w:r w:rsidR="00BE0DB4">
        <w:t>lready a</w:t>
      </w:r>
      <w:r w:rsidR="00220B8E">
        <w:t>vailable</w:t>
      </w:r>
      <w:r w:rsidR="000E02DE" w:rsidRPr="000E02DE">
        <w:t>.</w:t>
      </w:r>
      <w:r w:rsidR="00187BAE">
        <w:t xml:space="preserve"> </w:t>
      </w:r>
      <w:r w:rsidR="00632A30">
        <w:t xml:space="preserve">As per the reporting obligations of </w:t>
      </w:r>
      <w:r w:rsidR="00EB562D">
        <w:t xml:space="preserve">clearing members, </w:t>
      </w:r>
      <w:r w:rsidR="00A1024D">
        <w:t xml:space="preserve">we </w:t>
      </w:r>
      <w:r w:rsidR="00EB562D">
        <w:t>assume that</w:t>
      </w:r>
      <w:r w:rsidR="00220B8E">
        <w:t xml:space="preserve"> they</w:t>
      </w:r>
      <w:r w:rsidR="00187BAE" w:rsidRPr="00187BAE">
        <w:t xml:space="preserve"> are only required to report </w:t>
      </w:r>
      <w:r w:rsidR="00EB7A03">
        <w:t xml:space="preserve">information relating to </w:t>
      </w:r>
      <w:r w:rsidR="00187BAE" w:rsidRPr="00187BAE">
        <w:t>house activities</w:t>
      </w:r>
      <w:r w:rsidR="00187BAE">
        <w:t xml:space="preserve"> (otherwise there would be </w:t>
      </w:r>
      <w:r w:rsidR="00CA1026">
        <w:t xml:space="preserve">misleading </w:t>
      </w:r>
      <w:r w:rsidR="00187BAE">
        <w:t>duplications</w:t>
      </w:r>
      <w:r w:rsidR="002E1F21">
        <w:t xml:space="preserve"> if their clients</w:t>
      </w:r>
      <w:r w:rsidR="00AE3BB7">
        <w:t>’</w:t>
      </w:r>
      <w:r w:rsidR="002E1F21">
        <w:t xml:space="preserve"> activities </w:t>
      </w:r>
      <w:r w:rsidR="002F6FA1">
        <w:t>were to</w:t>
      </w:r>
      <w:r w:rsidR="002E1F21">
        <w:t xml:space="preserve"> be reported too</w:t>
      </w:r>
      <w:r w:rsidR="00187BAE">
        <w:t>): an</w:t>
      </w:r>
      <w:r w:rsidR="00187BAE" w:rsidRPr="00187BAE">
        <w:t xml:space="preserve"> explicit clarification </w:t>
      </w:r>
      <w:r w:rsidR="00187BAE">
        <w:t xml:space="preserve">in this respect </w:t>
      </w:r>
      <w:r w:rsidR="00187BAE" w:rsidRPr="00187BAE">
        <w:t xml:space="preserve">would </w:t>
      </w:r>
      <w:r w:rsidR="00187BAE">
        <w:t xml:space="preserve">be </w:t>
      </w:r>
      <w:r w:rsidR="00187BAE" w:rsidRPr="00187BAE">
        <w:t>welcome</w:t>
      </w:r>
      <w:r w:rsidR="002E1F21">
        <w:t>.</w:t>
      </w:r>
      <w:r w:rsidR="00894E1E">
        <w:t xml:space="preserve"> </w:t>
      </w:r>
      <w:r w:rsidR="00B6304C">
        <w:t>Moreover,</w:t>
      </w:r>
      <w:r w:rsidR="009C5124">
        <w:t xml:space="preserve"> </w:t>
      </w:r>
      <w:r w:rsidR="008C41BF">
        <w:t xml:space="preserve">our members understand that the </w:t>
      </w:r>
      <w:r w:rsidR="00090606" w:rsidRPr="00090606">
        <w:t xml:space="preserve">reporting </w:t>
      </w:r>
      <w:r w:rsidR="00563FC8">
        <w:t>is</w:t>
      </w:r>
      <w:r w:rsidR="00090606" w:rsidRPr="00090606">
        <w:t xml:space="preserve"> limited</w:t>
      </w:r>
      <w:r w:rsidR="008C41BF">
        <w:t xml:space="preserve"> </w:t>
      </w:r>
      <w:r w:rsidR="00090606" w:rsidRPr="00090606">
        <w:t xml:space="preserve">in respect of </w:t>
      </w:r>
      <w:r w:rsidR="00446292">
        <w:t>instruments denominated</w:t>
      </w:r>
      <w:r w:rsidR="00090606" w:rsidRPr="00090606">
        <w:t xml:space="preserve"> </w:t>
      </w:r>
      <w:r w:rsidR="00092A2A">
        <w:t xml:space="preserve">in </w:t>
      </w:r>
      <w:r w:rsidR="0072288C">
        <w:t>Union</w:t>
      </w:r>
      <w:r w:rsidR="00090606" w:rsidRPr="00090606">
        <w:t xml:space="preserve"> currencies for all information referred to in points </w:t>
      </w:r>
      <w:r w:rsidR="00563FC8">
        <w:t xml:space="preserve">from </w:t>
      </w:r>
      <w:r w:rsidR="00090606" w:rsidRPr="00090606">
        <w:t>(a) to (e)</w:t>
      </w:r>
      <w:r w:rsidR="00563FC8">
        <w:t xml:space="preserve"> of article 7d</w:t>
      </w:r>
      <w:r w:rsidR="00090606" w:rsidRPr="00090606">
        <w:t xml:space="preserve">. This </w:t>
      </w:r>
      <w:r w:rsidR="000A3F1B">
        <w:t>approach</w:t>
      </w:r>
      <w:r w:rsidR="00090606" w:rsidRPr="00090606">
        <w:t xml:space="preserve"> </w:t>
      </w:r>
      <w:r w:rsidR="00C27E07">
        <w:t>is</w:t>
      </w:r>
      <w:r w:rsidR="00090606" w:rsidRPr="00090606">
        <w:t xml:space="preserve"> </w:t>
      </w:r>
      <w:r w:rsidR="00563FC8">
        <w:t xml:space="preserve">in fact </w:t>
      </w:r>
      <w:r w:rsidR="00090606" w:rsidRPr="00090606">
        <w:t xml:space="preserve">consistent with the overall rationale of the </w:t>
      </w:r>
      <w:r w:rsidR="00563FC8">
        <w:t xml:space="preserve">wording of </w:t>
      </w:r>
      <w:r w:rsidR="0052119F">
        <w:t>the provision</w:t>
      </w:r>
      <w:r w:rsidR="00090606" w:rsidRPr="00090606">
        <w:t xml:space="preserve">, given that </w:t>
      </w:r>
      <w:r w:rsidR="00092A2A" w:rsidRPr="00090606">
        <w:t>point</w:t>
      </w:r>
      <w:r w:rsidR="000803D5">
        <w:t xml:space="preserve"> (b)</w:t>
      </w:r>
      <w:r w:rsidR="00092A2A" w:rsidRPr="00090606">
        <w:t xml:space="preserve"> </w:t>
      </w:r>
      <w:r w:rsidR="00092A2A">
        <w:t>expressly refer</w:t>
      </w:r>
      <w:r w:rsidR="00C40E2E">
        <w:t>s</w:t>
      </w:r>
      <w:r w:rsidR="00092A2A">
        <w:t xml:space="preserve"> </w:t>
      </w:r>
      <w:r w:rsidR="00090606" w:rsidRPr="00090606">
        <w:t>to "Union currenc</w:t>
      </w:r>
      <w:r w:rsidR="000803D5">
        <w:t>y”</w:t>
      </w:r>
      <w:r w:rsidR="00090606" w:rsidRPr="00090606">
        <w:t>.</w:t>
      </w:r>
      <w:r w:rsidR="00F91E77">
        <w:t xml:space="preserve"> Finally, </w:t>
      </w:r>
      <w:r w:rsidR="009F54A4">
        <w:t>we note</w:t>
      </w:r>
      <w:r w:rsidR="00D82443">
        <w:t xml:space="preserve"> </w:t>
      </w:r>
      <w:r w:rsidR="002165D0">
        <w:t xml:space="preserve">that </w:t>
      </w:r>
      <w:r w:rsidR="00D82443">
        <w:t xml:space="preserve">– as acknowledged by ESMA in par. 23 of the Consultation Paper </w:t>
      </w:r>
      <w:r w:rsidR="00996D27">
        <w:t>–</w:t>
      </w:r>
      <w:r w:rsidR="00D82443">
        <w:t xml:space="preserve"> </w:t>
      </w:r>
      <w:r w:rsidR="00996D27">
        <w:t>“</w:t>
      </w:r>
      <w:r w:rsidR="00BE01E3" w:rsidRPr="002165D0">
        <w:rPr>
          <w:i/>
          <w:iCs/>
        </w:rPr>
        <w:t xml:space="preserve">the obligation under Article 7d extends to all clearing activity conducted by entities </w:t>
      </w:r>
      <w:r w:rsidR="00FD0DF3" w:rsidRPr="002165D0">
        <w:rPr>
          <w:i/>
          <w:iCs/>
        </w:rPr>
        <w:t>within the group, irrespective of whether some of those entities fall with or</w:t>
      </w:r>
      <w:r w:rsidR="00F974E3" w:rsidRPr="002165D0">
        <w:rPr>
          <w:i/>
          <w:iCs/>
        </w:rPr>
        <w:t xml:space="preserve"> outside the EU regulatory perimeter</w:t>
      </w:r>
      <w:r w:rsidR="00F974E3">
        <w:t>”</w:t>
      </w:r>
      <w:r w:rsidR="0007039E">
        <w:t xml:space="preserve">: such circumstance inevitably adds burdens and </w:t>
      </w:r>
      <w:r w:rsidR="00F97FAD">
        <w:t xml:space="preserve">also </w:t>
      </w:r>
      <w:r w:rsidR="00E52B99">
        <w:t xml:space="preserve">entails </w:t>
      </w:r>
      <w:r w:rsidR="00F97FAD">
        <w:t xml:space="preserve">competitive disadvantages without a clear indication of </w:t>
      </w:r>
      <w:r w:rsidR="002A6A62">
        <w:t xml:space="preserve">any potential </w:t>
      </w:r>
      <w:r w:rsidR="002165D0">
        <w:t>benefit.</w:t>
      </w:r>
    </w:p>
    <w:permEnd w:id="1961835906"/>
    <w:p w14:paraId="70BF2304" w14:textId="77777777" w:rsidR="00772944" w:rsidRDefault="00772944" w:rsidP="00772944">
      <w:r>
        <w:t>&lt;ESMA_QUESTION_TCCR_1&gt;</w:t>
      </w:r>
    </w:p>
    <w:p w14:paraId="6FAF4018" w14:textId="77777777" w:rsidR="00772944" w:rsidRDefault="00772944" w:rsidP="00772944"/>
    <w:p w14:paraId="313ACB6F"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annual reporting by the last business day of January, covering the preceding calendar year? If not, please explain your reasoning, including any operational constraints or alternative timelines.</w:t>
      </w:r>
    </w:p>
    <w:p w14:paraId="379B3EC3" w14:textId="77777777" w:rsidR="00772944" w:rsidRDefault="00772944" w:rsidP="00772944">
      <w:r>
        <w:t>&lt;ESMA_QUESTION_TCCR_2&gt;</w:t>
      </w:r>
    </w:p>
    <w:p w14:paraId="59C385B9" w14:textId="3B16D1B6" w:rsidR="00772944" w:rsidRDefault="00AF5498" w:rsidP="00772944">
      <w:permStart w:id="975325410" w:edGrp="everyone"/>
      <w:r w:rsidRPr="00AF5498">
        <w:t xml:space="preserve">We would suggest that the reporting covering the preceding calendar year </w:t>
      </w:r>
      <w:r w:rsidR="003C60F2">
        <w:t>is</w:t>
      </w:r>
      <w:r w:rsidRPr="00AF5498">
        <w:t xml:space="preserve"> submitted on the last business day of March, rather than on the last business day of January. This would provide entities with sufficient time to collect and consolidate the relevant data, especially considering that January already entails several reporting deadlines</w:t>
      </w:r>
      <w:r w:rsidR="00B6447F" w:rsidRPr="00B6447F">
        <w:t>.</w:t>
      </w:r>
    </w:p>
    <w:permEnd w:id="975325410"/>
    <w:p w14:paraId="3CEDDD9A" w14:textId="77777777" w:rsidR="00772944" w:rsidRDefault="00772944" w:rsidP="00772944">
      <w:r>
        <w:lastRenderedPageBreak/>
        <w:t>&lt;ESMA_QUESTION_TCCR_2&gt;</w:t>
      </w:r>
    </w:p>
    <w:p w14:paraId="0C5B3D28" w14:textId="77777777" w:rsidR="00772944" w:rsidRDefault="00772944" w:rsidP="00772944"/>
    <w:p w14:paraId="2345E3B3"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with ESMA’s proposed transitional application mechanism? In particular, do stakeholders consider that the proposed arrangements provide sufficient time to prepare for the first reporting cycle while ensuring timely availability of the information? </w:t>
      </w:r>
    </w:p>
    <w:p w14:paraId="4B3D1E65" w14:textId="77777777" w:rsidR="00772944" w:rsidRDefault="00772944" w:rsidP="00772944">
      <w:r>
        <w:t>&lt;ESMA_QUESTION_TCCR_3&gt;</w:t>
      </w:r>
    </w:p>
    <w:p w14:paraId="02C3F6C4" w14:textId="7955913F" w:rsidR="00772944" w:rsidRDefault="00363E5C" w:rsidP="00363E5C">
      <w:permStart w:id="528381897" w:edGrp="everyone"/>
      <w:r>
        <w:t>We do not agree that the first reporting cycle should “</w:t>
      </w:r>
      <w:r w:rsidRPr="00C61B35">
        <w:rPr>
          <w:i/>
          <w:iCs/>
        </w:rPr>
        <w:t>include separate reports covering each calendar year for which no report has previously been submitted, starting from calendar year 2025</w:t>
      </w:r>
      <w:r>
        <w:t>”</w:t>
      </w:r>
      <w:r w:rsidR="00972583">
        <w:t xml:space="preserve"> and we would therefore request ESMA to reconsider the indication given in this respect in its public statement of </w:t>
      </w:r>
      <w:r w:rsidR="00FF5541">
        <w:t xml:space="preserve">11 December 2025. </w:t>
      </w:r>
      <w:r w:rsidR="00FC6275">
        <w:t>T</w:t>
      </w:r>
      <w:r w:rsidR="006F58A4">
        <w:t xml:space="preserve">he reporting </w:t>
      </w:r>
      <w:r w:rsidR="00CD4242">
        <w:t xml:space="preserve">obligation under article 7d </w:t>
      </w:r>
      <w:r w:rsidR="006F58A4">
        <w:t>introduce</w:t>
      </w:r>
      <w:r w:rsidR="00CD4242">
        <w:t>s</w:t>
      </w:r>
      <w:r w:rsidR="006F58A4">
        <w:t xml:space="preserve"> significant </w:t>
      </w:r>
      <w:r>
        <w:t xml:space="preserve">operational </w:t>
      </w:r>
      <w:r w:rsidR="00CD4242">
        <w:t>issues</w:t>
      </w:r>
      <w:r>
        <w:t xml:space="preserve"> for </w:t>
      </w:r>
      <w:r w:rsidR="00CD4242">
        <w:t xml:space="preserve">the </w:t>
      </w:r>
      <w:r>
        <w:t>entities in scope</w:t>
      </w:r>
      <w:r w:rsidR="007F57FF">
        <w:t xml:space="preserve">: collecting the relevant data </w:t>
      </w:r>
      <w:r>
        <w:t>w</w:t>
      </w:r>
      <w:r w:rsidR="007F57FF">
        <w:t>ould</w:t>
      </w:r>
      <w:r>
        <w:t xml:space="preserve"> require </w:t>
      </w:r>
      <w:r w:rsidR="00595834">
        <w:t>complex</w:t>
      </w:r>
      <w:r>
        <w:t xml:space="preserve"> processing</w:t>
      </w:r>
      <w:r w:rsidR="00E17DAC">
        <w:t xml:space="preserve"> and</w:t>
      </w:r>
      <w:r>
        <w:t xml:space="preserve"> retrieving information </w:t>
      </w:r>
      <w:r w:rsidR="00347B87">
        <w:t>from</w:t>
      </w:r>
      <w:r>
        <w:t xml:space="preserve"> </w:t>
      </w:r>
      <w:r w:rsidR="00347B87">
        <w:t>many</w:t>
      </w:r>
      <w:r>
        <w:t xml:space="preserve"> sources, such as third-country CCPs’ portals.</w:t>
      </w:r>
      <w:r w:rsidR="000A08C9">
        <w:t xml:space="preserve"> </w:t>
      </w:r>
      <w:r w:rsidR="00750637">
        <w:t>W</w:t>
      </w:r>
      <w:r w:rsidR="00CD57FB" w:rsidRPr="00CD57FB">
        <w:t xml:space="preserve">ithout prejudice to the point raised in our response to Question 1 regarding the opportunity to reconsider the entry into force of </w:t>
      </w:r>
      <w:r w:rsidR="00750637">
        <w:t>art. 7d</w:t>
      </w:r>
      <w:r w:rsidR="00CD57FB" w:rsidRPr="00CD57FB">
        <w:t xml:space="preserve"> reporting regime within the broader context of the review and simplification of reporting frameworks</w:t>
      </w:r>
      <w:r w:rsidR="00750637">
        <w:t>, i</w:t>
      </w:r>
      <w:r w:rsidR="004F1CDE">
        <w:t>n order to be provided with sufficient time to prepare for the first reporting cycle</w:t>
      </w:r>
      <w:r w:rsidR="00AF1E94">
        <w:t>,</w:t>
      </w:r>
      <w:r w:rsidR="004F1CDE">
        <w:t xml:space="preserve"> o</w:t>
      </w:r>
      <w:r w:rsidR="000A08C9">
        <w:t xml:space="preserve">ur members propose </w:t>
      </w:r>
      <w:r w:rsidR="00BC59C4">
        <w:t>submitting</w:t>
      </w:r>
      <w:r w:rsidR="000A08C9">
        <w:t xml:space="preserve"> </w:t>
      </w:r>
      <w:r w:rsidR="00103F8D">
        <w:t xml:space="preserve">the first report </w:t>
      </w:r>
      <w:r w:rsidR="00786B5B">
        <w:t xml:space="preserve">not before </w:t>
      </w:r>
      <w:r>
        <w:t>2028</w:t>
      </w:r>
      <w:r w:rsidR="00786B5B">
        <w:t xml:space="preserve"> (it being understood that such report would cover the </w:t>
      </w:r>
      <w:r w:rsidR="004930BB">
        <w:t>previous calendar year</w:t>
      </w:r>
      <w:r w:rsidR="003E5C53">
        <w:t xml:space="preserve"> only</w:t>
      </w:r>
      <w:r w:rsidR="004930BB">
        <w:t>)</w:t>
      </w:r>
      <w:r w:rsidR="004F1CDE">
        <w:t>.</w:t>
      </w:r>
    </w:p>
    <w:permEnd w:id="528381897"/>
    <w:p w14:paraId="32DE6A29" w14:textId="77777777" w:rsidR="00772944" w:rsidRDefault="00772944" w:rsidP="00772944">
      <w:r>
        <w:t>&lt;ESMA_QUESTION_TCCR_3&gt;</w:t>
      </w:r>
    </w:p>
    <w:p w14:paraId="199B8024" w14:textId="77777777" w:rsidR="00772944" w:rsidRDefault="00772944" w:rsidP="00772944"/>
    <w:p w14:paraId="7D8F9601"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proposed approach to the categorisation of instruments for the purposes of Article 7d reporting, based on recital 17, the classes of instruments covered by T1-CCP recognition and the corresponding asset classes? If not, would stakeholders prefer the use of the ISO 10962 Classification of Financial Instruments (CFI), or another approach, to identify both the type of instrument and the associated asset class? Please explain your reasoning, including any implications in terms of data availability and reporting burden.</w:t>
      </w:r>
    </w:p>
    <w:p w14:paraId="087A95A9" w14:textId="77777777" w:rsidR="00772944" w:rsidRDefault="00772944" w:rsidP="00772944">
      <w:r>
        <w:t>&lt;ESMA_QUESTION_TCCR_4&gt;</w:t>
      </w:r>
    </w:p>
    <w:p w14:paraId="61CC1A15" w14:textId="77777777" w:rsidR="00772944" w:rsidRDefault="00772944" w:rsidP="00772944">
      <w:permStart w:id="1396466673" w:edGrp="everyone"/>
      <w:r>
        <w:t>TYPE YOUR TEXT HERE</w:t>
      </w:r>
    </w:p>
    <w:permEnd w:id="1396466673"/>
    <w:p w14:paraId="6E117F7A" w14:textId="77777777" w:rsidR="00772944" w:rsidRDefault="00772944" w:rsidP="00772944">
      <w:r>
        <w:t>&lt;ESMA_QUESTION_TCCR_4&gt;</w:t>
      </w:r>
    </w:p>
    <w:p w14:paraId="30546215" w14:textId="77777777" w:rsidR="00772944" w:rsidRDefault="00772944" w:rsidP="00772944"/>
    <w:p w14:paraId="304395B9" w14:textId="77777777" w:rsidR="00772944" w:rsidRDefault="00772944" w:rsidP="00772944">
      <w:pPr>
        <w:pStyle w:val="Questionstyle"/>
        <w:numPr>
          <w:ilvl w:val="0"/>
          <w:numId w:val="14"/>
        </w:numPr>
        <w:tabs>
          <w:tab w:val="clear" w:pos="567"/>
        </w:tabs>
        <w:spacing w:before="120" w:after="120"/>
        <w:ind w:left="851" w:hanging="709"/>
      </w:pPr>
      <w:r>
        <w:t>Do stakeholders agree with the proposed methodology for calculating average values cleared over one year, based on aggregate month</w:t>
      </w:r>
      <w:r>
        <w:rPr>
          <w:rFonts w:ascii="Cambria Math" w:hAnsi="Cambria Math" w:cs="Cambria Math"/>
        </w:rPr>
        <w:noBreakHyphen/>
      </w:r>
      <w:r>
        <w:t>end average positions, with a breakdown by Union currency and asset class? Please explain your views, including any implications for data availability, operational feasibility or reporting burden.</w:t>
      </w:r>
    </w:p>
    <w:p w14:paraId="2BD3A8BC" w14:textId="77777777" w:rsidR="00772944" w:rsidRDefault="00772944" w:rsidP="00772944">
      <w:r>
        <w:t>&lt;ESMA_QUESTION_TCCR_5&gt;</w:t>
      </w:r>
    </w:p>
    <w:p w14:paraId="71FCF58F" w14:textId="77777777" w:rsidR="00772944" w:rsidRDefault="00772944" w:rsidP="00772944">
      <w:permStart w:id="719744548" w:edGrp="everyone"/>
      <w:r>
        <w:t>TYPE YOUR TEXT HERE</w:t>
      </w:r>
    </w:p>
    <w:permEnd w:id="719744548"/>
    <w:p w14:paraId="106550CF" w14:textId="77777777" w:rsidR="00772944" w:rsidRDefault="00772944" w:rsidP="00772944">
      <w:r>
        <w:t>&lt;ESMA_QUESTION_TCCR_5&gt;</w:t>
      </w:r>
    </w:p>
    <w:p w14:paraId="19D9D15F" w14:textId="77777777" w:rsidR="00772944" w:rsidRDefault="00772944" w:rsidP="00772944"/>
    <w:p w14:paraId="5441D784" w14:textId="77777777" w:rsidR="00772944" w:rsidRDefault="00772944" w:rsidP="00772944">
      <w:pPr>
        <w:pStyle w:val="Questionstyle"/>
        <w:numPr>
          <w:ilvl w:val="0"/>
          <w:numId w:val="14"/>
        </w:numPr>
        <w:tabs>
          <w:tab w:val="clear" w:pos="567"/>
        </w:tabs>
        <w:spacing w:before="120" w:after="120"/>
        <w:ind w:left="851" w:hanging="709"/>
      </w:pPr>
      <w:r>
        <w:t>Do stakeholders agree that, for the purposes of Article 7d(1)(c), initial margin provides a more meaningful and proportionate indicator of exposure to recognised third country CCPs than variation margin, and with the proposal to report margins at a less granular level than average values cleared, in particular by reporting initial margin per CCP recognised under Article 25?</w:t>
      </w:r>
    </w:p>
    <w:p w14:paraId="7CF5D105" w14:textId="77777777" w:rsidR="00772944" w:rsidRDefault="00772944" w:rsidP="00772944">
      <w:r>
        <w:t>&lt;ESMA_QUESTION_TCCR_6&gt;</w:t>
      </w:r>
    </w:p>
    <w:p w14:paraId="3768A2B8" w14:textId="00BF158D" w:rsidR="00D46865" w:rsidRPr="00810263" w:rsidRDefault="00D63C5B" w:rsidP="00772944">
      <w:permStart w:id="536377789" w:edGrp="everyone"/>
      <w:r w:rsidRPr="00810263">
        <w:t xml:space="preserve">AMF Italia </w:t>
      </w:r>
      <w:r w:rsidR="00810263" w:rsidRPr="00810263">
        <w:t>shares ESMA’s v</w:t>
      </w:r>
      <w:r w:rsidR="00810263">
        <w:t xml:space="preserve">iew that requiring the reporting of variation margin </w:t>
      </w:r>
      <w:r w:rsidR="00273B3C">
        <w:t xml:space="preserve">would being disproportionate relative to the incremental supervisory benefit. </w:t>
      </w:r>
      <w:r w:rsidR="005B094B" w:rsidRPr="005B094B">
        <w:t xml:space="preserve">Regarding third-country CCPs within the scope of reporting under </w:t>
      </w:r>
      <w:r w:rsidR="00EC7723">
        <w:t>a</w:t>
      </w:r>
      <w:r w:rsidR="005B094B" w:rsidRPr="005B094B">
        <w:t xml:space="preserve">rticle 7(d), we observe that the provision does not specify which category of recognized CCP it refers to, whereas the Consultation Paper consistently references </w:t>
      </w:r>
      <w:r w:rsidR="00ED778B">
        <w:t>“</w:t>
      </w:r>
      <w:r w:rsidR="005B094B" w:rsidRPr="005B094B">
        <w:t>Tier 1 third-country CCPs</w:t>
      </w:r>
      <w:r w:rsidR="00ED778B">
        <w:t>”</w:t>
      </w:r>
      <w:r w:rsidR="00E53ACF">
        <w:t xml:space="preserve">. </w:t>
      </w:r>
      <w:r w:rsidR="00901889">
        <w:t xml:space="preserve">Therefore, </w:t>
      </w:r>
      <w:r w:rsidR="001C17CE">
        <w:t>w</w:t>
      </w:r>
      <w:r w:rsidR="001C17CE" w:rsidRPr="001C17CE">
        <w:t>e would welcome clarification</w:t>
      </w:r>
      <w:r w:rsidR="00672D99">
        <w:t xml:space="preserve"> in this respect</w:t>
      </w:r>
      <w:r w:rsidR="001C17CE" w:rsidRPr="001C17CE">
        <w:t xml:space="preserve">, and </w:t>
      </w:r>
      <w:proofErr w:type="gramStart"/>
      <w:r w:rsidR="001C17CE" w:rsidRPr="001C17CE">
        <w:t>in particular whether</w:t>
      </w:r>
      <w:proofErr w:type="gramEnd"/>
      <w:r w:rsidR="001C17CE" w:rsidRPr="001C17CE">
        <w:t xml:space="preserve"> the reporting should cover only clearing activities at Tier 1 CCPs. This would constitute a simplification of a burdensome </w:t>
      </w:r>
      <w:r w:rsidR="00796523">
        <w:t>framework</w:t>
      </w:r>
      <w:r w:rsidR="001C17CE" w:rsidRPr="001C17CE">
        <w:t>, also considering that ESMA would have access to information on Tier 2 CCPs through its direct supervisory powers.</w:t>
      </w:r>
    </w:p>
    <w:permEnd w:id="536377789"/>
    <w:p w14:paraId="7FE055BC" w14:textId="77777777" w:rsidR="00772944" w:rsidRDefault="00772944" w:rsidP="00772944">
      <w:r>
        <w:t>&lt;ESMA_QUESTION_TCCR_6&gt;</w:t>
      </w:r>
    </w:p>
    <w:p w14:paraId="5C461A63" w14:textId="77777777" w:rsidR="00772944" w:rsidRDefault="00772944" w:rsidP="00772944"/>
    <w:p w14:paraId="086F2302" w14:textId="77777777" w:rsidR="00772944" w:rsidRDefault="00772944" w:rsidP="00772944">
      <w:pPr>
        <w:pStyle w:val="Questionstyle"/>
        <w:numPr>
          <w:ilvl w:val="0"/>
          <w:numId w:val="14"/>
        </w:numPr>
        <w:tabs>
          <w:tab w:val="clear" w:pos="567"/>
        </w:tabs>
        <w:spacing w:before="120" w:after="120"/>
        <w:ind w:left="851" w:hanging="709"/>
      </w:pPr>
      <w:r>
        <w:t>Do stakeholders also agree with ESMA’s proposal to calculate reported initial margin as the average of month end observations over the reporting year? Alternatively, would either (i) the average of quarter end observations or (ii) the reporting of quarter end observations individually provide a more proportionate and operationally feasible approach?</w:t>
      </w:r>
    </w:p>
    <w:p w14:paraId="2A9EAB71" w14:textId="77777777" w:rsidR="00772944" w:rsidRDefault="00772944" w:rsidP="00772944">
      <w:r>
        <w:t>&lt;ESMA_QUESTION_TCCR_7&gt;</w:t>
      </w:r>
    </w:p>
    <w:p w14:paraId="2423CBDE" w14:textId="03A18B91" w:rsidR="00772944" w:rsidRDefault="00C97B7E" w:rsidP="00772944">
      <w:permStart w:id="319102224" w:edGrp="everyone"/>
      <w:r>
        <w:lastRenderedPageBreak/>
        <w:t xml:space="preserve">AMF Italia </w:t>
      </w:r>
      <w:r w:rsidR="009B65E4">
        <w:t xml:space="preserve">encourages ESMA to </w:t>
      </w:r>
      <w:r w:rsidR="002C52A2">
        <w:t xml:space="preserve">consider a proposal based on a more limited number of observations during the year; as a matter of fact, </w:t>
      </w:r>
      <w:r w:rsidR="00753C70" w:rsidRPr="00753C70">
        <w:t>the proposal to report initial margin as the average of month-end observations over the reporting year</w:t>
      </w:r>
      <w:r w:rsidR="009C277C">
        <w:t xml:space="preserve"> </w:t>
      </w:r>
      <w:r w:rsidR="00B5354E">
        <w:t xml:space="preserve">would be </w:t>
      </w:r>
      <w:r w:rsidR="009C277C">
        <w:t xml:space="preserve">too burdensome in terms of </w:t>
      </w:r>
      <w:r w:rsidR="003B566E">
        <w:t>obtaining and validating margin information</w:t>
      </w:r>
      <w:r w:rsidR="00753C70" w:rsidRPr="00753C70">
        <w:t xml:space="preserve">. A simpler approach </w:t>
      </w:r>
      <w:r w:rsidR="003B566E">
        <w:t>c</w:t>
      </w:r>
      <w:r w:rsidR="00753C70" w:rsidRPr="00753C70">
        <w:t xml:space="preserve">ould be to require reporting of </w:t>
      </w:r>
      <w:r w:rsidR="00121B95">
        <w:t xml:space="preserve">point-in-time </w:t>
      </w:r>
      <w:r w:rsidR="00753C70" w:rsidRPr="00753C70">
        <w:t xml:space="preserve">IM data at </w:t>
      </w:r>
      <w:r w:rsidR="000C568B">
        <w:t>the end of the calendar year</w:t>
      </w:r>
      <w:r w:rsidR="00753C70" w:rsidRPr="00753C70">
        <w:t xml:space="preserve">. </w:t>
      </w:r>
      <w:r w:rsidR="00346D14">
        <w:t xml:space="preserve">Should this be </w:t>
      </w:r>
      <w:r w:rsidR="00E86ADD">
        <w:t>un</w:t>
      </w:r>
      <w:r w:rsidR="00346D14">
        <w:t>viable</w:t>
      </w:r>
      <w:r w:rsidR="00753C70" w:rsidRPr="00753C70">
        <w:t>, the</w:t>
      </w:r>
      <w:r w:rsidR="0016512E">
        <w:t>n the</w:t>
      </w:r>
      <w:r w:rsidR="00753C70" w:rsidRPr="00753C70">
        <w:t xml:space="preserve"> average of quarter-end observations</w:t>
      </w:r>
      <w:r w:rsidR="00FB6452">
        <w:t xml:space="preserve"> could be considered</w:t>
      </w:r>
      <w:r w:rsidR="00753C70" w:rsidRPr="00753C70">
        <w:t>.</w:t>
      </w:r>
    </w:p>
    <w:permEnd w:id="319102224"/>
    <w:p w14:paraId="0C50D7DF" w14:textId="77777777" w:rsidR="00772944" w:rsidRDefault="00772944" w:rsidP="00772944">
      <w:r>
        <w:t>&lt;ESMA_QUESTION_TCCR_7&gt;</w:t>
      </w:r>
    </w:p>
    <w:p w14:paraId="14763FC9" w14:textId="77777777" w:rsidR="00772944" w:rsidRDefault="00772944" w:rsidP="00772944"/>
    <w:p w14:paraId="1779B739" w14:textId="77777777" w:rsidR="00772944" w:rsidRDefault="00772944" w:rsidP="00772944">
      <w:pPr>
        <w:pStyle w:val="Questionstyle"/>
        <w:numPr>
          <w:ilvl w:val="0"/>
          <w:numId w:val="14"/>
        </w:numPr>
        <w:tabs>
          <w:tab w:val="clear" w:pos="567"/>
        </w:tabs>
        <w:spacing w:before="120" w:after="120"/>
        <w:ind w:left="851" w:hanging="709"/>
      </w:pPr>
      <w:r>
        <w:t>To what extent is it operationally feasible to obtain, provide and report initial margin information for the purposes of Article 7d reporting? ESMA would particularly welcome views from reporting entities, clearing members and other stakeholders involved in the reporting chain on the level of aggregation at which such information is available, the effort required to extract such information, and any associated implementation costs or operational burden.</w:t>
      </w:r>
    </w:p>
    <w:p w14:paraId="3376B7D6" w14:textId="77777777" w:rsidR="00772944" w:rsidRDefault="00772944" w:rsidP="00772944">
      <w:r>
        <w:t>&lt;ESMA_QUESTION_TCCR_8&gt;</w:t>
      </w:r>
    </w:p>
    <w:p w14:paraId="6C775412" w14:textId="409B1D36" w:rsidR="00772944" w:rsidRPr="000E3ACF" w:rsidRDefault="0003170E" w:rsidP="00772944">
      <w:permStart w:id="546269201" w:edGrp="everyone"/>
      <w:r w:rsidRPr="000E3ACF">
        <w:t xml:space="preserve">AMF Italia considers that </w:t>
      </w:r>
      <w:r w:rsidR="000E3ACF" w:rsidRPr="000E3ACF">
        <w:t>ob</w:t>
      </w:r>
      <w:r w:rsidR="000E3ACF">
        <w:t>tain</w:t>
      </w:r>
      <w:r w:rsidR="00266E3C">
        <w:t xml:space="preserve">ing initial margin information for the purposes of article 7d reporting would be burdensome and </w:t>
      </w:r>
      <w:r w:rsidR="00C60849">
        <w:t xml:space="preserve">operationally difficult also considering the necessity of involving </w:t>
      </w:r>
      <w:r w:rsidR="00DC71FA">
        <w:t>the CCP</w:t>
      </w:r>
      <w:r w:rsidR="00B61C3B">
        <w:t>s</w:t>
      </w:r>
      <w:r w:rsidR="00DC71FA">
        <w:t xml:space="preserve">. </w:t>
      </w:r>
      <w:r w:rsidR="00B223F4">
        <w:t xml:space="preserve">In this </w:t>
      </w:r>
      <w:r w:rsidR="00B61C3B">
        <w:t>respect,</w:t>
      </w:r>
      <w:r w:rsidR="00B223F4">
        <w:t xml:space="preserve"> please note that </w:t>
      </w:r>
      <w:r w:rsidR="005E7E22">
        <w:t xml:space="preserve">generally </w:t>
      </w:r>
      <w:r w:rsidR="008E2B3A" w:rsidRPr="008E2B3A">
        <w:t>CCP</w:t>
      </w:r>
      <w:r w:rsidR="00B61C3B">
        <w:t>s’</w:t>
      </w:r>
      <w:r w:rsidR="008E2B3A" w:rsidRPr="008E2B3A">
        <w:t xml:space="preserve"> web portals, from which initial margin reports will likely need to be retrieved, retain reports only for a limited period</w:t>
      </w:r>
      <w:r w:rsidR="00765682">
        <w:t>/days</w:t>
      </w:r>
      <w:r w:rsidR="008E2B3A" w:rsidRPr="008E2B3A">
        <w:t xml:space="preserve">. As a result, entities, particularly </w:t>
      </w:r>
      <w:r w:rsidR="005E7E22">
        <w:t xml:space="preserve">the </w:t>
      </w:r>
      <w:r w:rsidR="008E2B3A" w:rsidRPr="008E2B3A">
        <w:t>smalle</w:t>
      </w:r>
      <w:r w:rsidR="005E7E22">
        <w:t>st</w:t>
      </w:r>
      <w:r w:rsidR="008E2B3A" w:rsidRPr="008E2B3A">
        <w:t xml:space="preserve"> ones, may face difficulties in retrieving the required data unless they have internal </w:t>
      </w:r>
      <w:r w:rsidR="00A50C8C">
        <w:t>recording</w:t>
      </w:r>
      <w:r w:rsidR="008E2B3A" w:rsidRPr="008E2B3A">
        <w:t xml:space="preserve"> systems </w:t>
      </w:r>
      <w:r w:rsidR="00A50C8C">
        <w:t>set for such purpose</w:t>
      </w:r>
      <w:r w:rsidR="008E2B3A" w:rsidRPr="008E2B3A">
        <w:t xml:space="preserve">. </w:t>
      </w:r>
      <w:r w:rsidR="00524107">
        <w:t>Furthermore, c</w:t>
      </w:r>
      <w:r w:rsidR="003A5A0C" w:rsidRPr="003A5A0C">
        <w:t>lients of non-EU clearing members</w:t>
      </w:r>
      <w:r w:rsidR="003A5A0C">
        <w:t xml:space="preserve"> </w:t>
      </w:r>
      <w:r w:rsidR="003A5A0C" w:rsidRPr="003A5A0C">
        <w:t>may face difficulties in collecting the required information, give</w:t>
      </w:r>
      <w:r w:rsidR="009510EF">
        <w:t>n</w:t>
      </w:r>
      <w:r w:rsidR="003A5A0C" w:rsidRPr="003A5A0C">
        <w:t xml:space="preserve"> that such non-EU clearing members are generally not subject to EMIR obligations.</w:t>
      </w:r>
    </w:p>
    <w:permEnd w:id="546269201"/>
    <w:p w14:paraId="38E133BF" w14:textId="77777777" w:rsidR="00772944" w:rsidRDefault="00772944" w:rsidP="00772944">
      <w:r>
        <w:t>&lt;ESMA_QUESTION_TCCR_8&gt;</w:t>
      </w:r>
    </w:p>
    <w:p w14:paraId="328AEDF2" w14:textId="77777777" w:rsidR="00772944" w:rsidRDefault="00772944" w:rsidP="00772944"/>
    <w:p w14:paraId="16D7224D"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adopt Option B (distinguishing between EU and non</w:t>
      </w:r>
      <w:r>
        <w:rPr>
          <w:rFonts w:ascii="Cambria Math" w:hAnsi="Cambria Math" w:cs="Cambria Math"/>
        </w:rPr>
        <w:noBreakHyphen/>
      </w:r>
      <w:r>
        <w:t>EU entities within a group) as the baseline level of granularity for consolidated reporting under Article 7d(1)(b)? If not, which of the alternative options (Option A — fully consolidated reporting, or Option C — full entity</w:t>
      </w:r>
      <w:r>
        <w:rPr>
          <w:rFonts w:ascii="Cambria Math" w:hAnsi="Cambria Math" w:cs="Cambria Math"/>
        </w:rPr>
        <w:noBreakHyphen/>
      </w:r>
      <w:r>
        <w:t>level breakdown) would stakeholders prefer, and for what reasons?</w:t>
      </w:r>
    </w:p>
    <w:p w14:paraId="564B9F17" w14:textId="77777777" w:rsidR="00772944" w:rsidRDefault="00772944" w:rsidP="00772944">
      <w:r>
        <w:t>&lt;ESMA_QUESTION_TCCR_9&gt;</w:t>
      </w:r>
    </w:p>
    <w:p w14:paraId="2E231B42" w14:textId="419C8F9C" w:rsidR="00772944" w:rsidRPr="00AA659F" w:rsidRDefault="00AA659F" w:rsidP="00772944">
      <w:permStart w:id="1896043658" w:edGrp="everyone"/>
      <w:r w:rsidRPr="00AA659F">
        <w:t>AMF Italia is in f</w:t>
      </w:r>
      <w:r>
        <w:t xml:space="preserve">avour of Option A – fully consolidated reporting </w:t>
      </w:r>
      <w:r w:rsidR="004D7F15">
        <w:t>considering that</w:t>
      </w:r>
      <w:r w:rsidR="00E33CA8">
        <w:t xml:space="preserve">, </w:t>
      </w:r>
      <w:r w:rsidR="004D7F15">
        <w:t>as also recognized by ESMA</w:t>
      </w:r>
      <w:r w:rsidR="00405649">
        <w:t xml:space="preserve"> itself</w:t>
      </w:r>
      <w:r w:rsidR="00E33CA8">
        <w:t>, it</w:t>
      </w:r>
      <w:r w:rsidR="004D7F15">
        <w:t xml:space="preserve"> </w:t>
      </w:r>
      <w:r w:rsidR="007906A2">
        <w:t xml:space="preserve">is consistent with the reporting framework used for the AAR </w:t>
      </w:r>
      <w:r w:rsidR="00F32AC2">
        <w:t xml:space="preserve">under </w:t>
      </w:r>
      <w:r w:rsidR="00F32AC2">
        <w:lastRenderedPageBreak/>
        <w:t xml:space="preserve">article 7b </w:t>
      </w:r>
      <w:r w:rsidR="00CA3725">
        <w:t xml:space="preserve">of </w:t>
      </w:r>
      <w:r w:rsidR="00F32AC2">
        <w:t xml:space="preserve">EMIR. </w:t>
      </w:r>
      <w:r w:rsidR="00892B3B">
        <w:t xml:space="preserve">However, we would like to stress the fact that, </w:t>
      </w:r>
      <w:r w:rsidR="00892B3B" w:rsidRPr="00892B3B">
        <w:t>regardless of the option adopted, data will need to be sourced and extracted by e</w:t>
      </w:r>
      <w:r w:rsidR="00892B3B">
        <w:t xml:space="preserve">ach </w:t>
      </w:r>
      <w:r w:rsidR="00892B3B" w:rsidRPr="00892B3B">
        <w:t>entity within the scope of the requirement</w:t>
      </w:r>
      <w:r w:rsidR="00ED379C">
        <w:t xml:space="preserve"> and that such activity </w:t>
      </w:r>
      <w:r w:rsidR="00C33C30">
        <w:t>w</w:t>
      </w:r>
      <w:r w:rsidR="00137F33">
        <w:t>ill</w:t>
      </w:r>
      <w:r w:rsidR="00892B3B" w:rsidRPr="00892B3B">
        <w:t xml:space="preserve"> not </w:t>
      </w:r>
      <w:r w:rsidR="00C33C30">
        <w:t xml:space="preserve">be </w:t>
      </w:r>
      <w:r w:rsidR="00892B3B" w:rsidRPr="00892B3B">
        <w:t>a straightforward exercise.</w:t>
      </w:r>
    </w:p>
    <w:permEnd w:id="1896043658"/>
    <w:p w14:paraId="13D98E04" w14:textId="77777777" w:rsidR="00772944" w:rsidRDefault="00772944" w:rsidP="00772944">
      <w:r>
        <w:t>&lt;ESMA_QUESTION_TCCR_9&gt;</w:t>
      </w:r>
    </w:p>
    <w:p w14:paraId="1C29FD88" w14:textId="77777777" w:rsidR="00772944" w:rsidRDefault="00772944" w:rsidP="00772944"/>
    <w:p w14:paraId="11F0083A" w14:textId="77777777" w:rsidR="00772944" w:rsidRDefault="00772944" w:rsidP="00772944">
      <w:pPr>
        <w:pStyle w:val="Questionstyle"/>
        <w:numPr>
          <w:ilvl w:val="0"/>
          <w:numId w:val="14"/>
        </w:numPr>
        <w:tabs>
          <w:tab w:val="clear" w:pos="567"/>
        </w:tabs>
        <w:spacing w:before="120" w:after="120"/>
        <w:ind w:left="851" w:hanging="709"/>
      </w:pPr>
      <w:r>
        <w:t>What are the operational implications and implementation costs of Options A, B and C, including data availability and any additional allocation or aggregation logic required?</w:t>
      </w:r>
    </w:p>
    <w:p w14:paraId="407846ED" w14:textId="77777777" w:rsidR="00772944" w:rsidRDefault="00772944" w:rsidP="00772944">
      <w:r>
        <w:t>&lt;ESMA_QUESTION_TCCR_10&gt;</w:t>
      </w:r>
    </w:p>
    <w:p w14:paraId="6145D23B" w14:textId="714575A0" w:rsidR="00772944" w:rsidRPr="00947472" w:rsidRDefault="00947472" w:rsidP="00772944">
      <w:permStart w:id="1751663536" w:edGrp="everyone"/>
      <w:r w:rsidRPr="00947472">
        <w:t>The operational implication</w:t>
      </w:r>
      <w:r>
        <w:t xml:space="preserve">s and implementation costs of such Options </w:t>
      </w:r>
      <w:r w:rsidR="00441072">
        <w:t xml:space="preserve">would mainly depend on the model applicable to the entities in scope. </w:t>
      </w:r>
      <w:r w:rsidR="00193367">
        <w:t xml:space="preserve">However, we would estimate that </w:t>
      </w:r>
      <w:r w:rsidR="004F1D02">
        <w:t xml:space="preserve">Option B could be the </w:t>
      </w:r>
      <w:r w:rsidR="00EA4860">
        <w:t>most burdensome</w:t>
      </w:r>
      <w:r w:rsidR="004F1D02">
        <w:t xml:space="preserve"> as it would require </w:t>
      </w:r>
      <w:r w:rsidR="00E1619F">
        <w:t>segregat</w:t>
      </w:r>
      <w:r w:rsidR="00B31F40">
        <w:t>ing</w:t>
      </w:r>
      <w:r w:rsidR="00E1619F">
        <w:t xml:space="preserve"> the relevant data. </w:t>
      </w:r>
      <w:r w:rsidR="00A117BB">
        <w:t>Option C (full</w:t>
      </w:r>
      <w:r w:rsidR="00EE79C5">
        <w:t xml:space="preserve"> entity-level breakdown) would </w:t>
      </w:r>
      <w:r w:rsidR="00E26B92">
        <w:t>increase</w:t>
      </w:r>
      <w:r w:rsidR="00EE79C5">
        <w:t xml:space="preserve"> </w:t>
      </w:r>
      <w:r w:rsidR="00E26B92">
        <w:t xml:space="preserve">– as acknowledged by ESMA </w:t>
      </w:r>
      <w:r w:rsidR="008C482D">
        <w:t>–</w:t>
      </w:r>
      <w:r w:rsidR="00E26B92">
        <w:t xml:space="preserve"> </w:t>
      </w:r>
      <w:r w:rsidR="008C482D">
        <w:t xml:space="preserve">reporting complexity and </w:t>
      </w:r>
      <w:r w:rsidR="00224671">
        <w:t xml:space="preserve">we agree that it </w:t>
      </w:r>
      <w:r w:rsidR="008C482D">
        <w:t>may r</w:t>
      </w:r>
      <w:r w:rsidR="00224671">
        <w:t xml:space="preserve">aise data availability challenge, especially for </w:t>
      </w:r>
      <w:r w:rsidR="00227E38">
        <w:t>non-EU subsidiaries. In this respect</w:t>
      </w:r>
      <w:r w:rsidR="007B0726">
        <w:t>,</w:t>
      </w:r>
      <w:r w:rsidR="00227E38">
        <w:t xml:space="preserve"> we recall our remark in the answer to Q1 about the fact that </w:t>
      </w:r>
      <w:r w:rsidR="0030188E">
        <w:t xml:space="preserve">the inclusion of such non-EU entities in the reporting </w:t>
      </w:r>
      <w:r w:rsidR="00301495">
        <w:t>activity entails</w:t>
      </w:r>
      <w:r w:rsidR="003750D0">
        <w:t xml:space="preserve"> complexities and</w:t>
      </w:r>
      <w:r w:rsidR="00301495">
        <w:t xml:space="preserve"> a competitive disadvantage with no clear benefit</w:t>
      </w:r>
      <w:r w:rsidR="00A212E5">
        <w:t>. Thus</w:t>
      </w:r>
      <w:r w:rsidR="00AB6C9F">
        <w:t xml:space="preserve">, </w:t>
      </w:r>
      <w:r w:rsidR="00A212E5">
        <w:t xml:space="preserve">the need </w:t>
      </w:r>
      <w:r w:rsidR="007854C5">
        <w:t xml:space="preserve">to simplify </w:t>
      </w:r>
      <w:r w:rsidR="00CE276C">
        <w:t>as much as possible</w:t>
      </w:r>
      <w:r w:rsidR="00AB6C9F">
        <w:t>,</w:t>
      </w:r>
      <w:r w:rsidR="00CE276C">
        <w:t xml:space="preserve"> and that is why Option </w:t>
      </w:r>
      <w:r w:rsidR="00376340">
        <w:t>A would be preferable.</w:t>
      </w:r>
    </w:p>
    <w:permEnd w:id="1751663536"/>
    <w:p w14:paraId="4E9EFCFF" w14:textId="77777777" w:rsidR="00772944" w:rsidRDefault="00772944" w:rsidP="00772944">
      <w:r>
        <w:t>&lt;ESMA_QUESTION_TCCR_10&gt;</w:t>
      </w:r>
    </w:p>
    <w:p w14:paraId="445C9B21" w14:textId="77777777" w:rsidR="00772944" w:rsidRDefault="00772944" w:rsidP="00772944"/>
    <w:p w14:paraId="2FB80852"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reporting under Article 7d in CSV format? If not, do stakeholders consider that another format would be more appropriate? Please explain your reasoning, including any implications in terms of operational feasibility, implementation costs or data processing. In addition, ESMA would welcome evidence on whether the proposed CSV format would materially reduce implementation complexity relative to alternative formats, including from the perspective of smaller reporting entities.</w:t>
      </w:r>
    </w:p>
    <w:p w14:paraId="422408A2" w14:textId="77777777" w:rsidR="00772944" w:rsidRDefault="00772944" w:rsidP="00772944">
      <w:r>
        <w:t>&lt;ESMA_QUESTION_TCCR_11&gt;</w:t>
      </w:r>
    </w:p>
    <w:p w14:paraId="7B6BF654" w14:textId="474EC0B9" w:rsidR="00772944" w:rsidRDefault="005A1E72" w:rsidP="005A1E72">
      <w:permStart w:id="2085827393" w:edGrp="everyone"/>
      <w:r>
        <w:t xml:space="preserve">We </w:t>
      </w:r>
      <w:r w:rsidR="00FF447C">
        <w:t>expect</w:t>
      </w:r>
      <w:r w:rsidR="001E422E">
        <w:t xml:space="preserve"> that the</w:t>
      </w:r>
      <w:r w:rsidR="00E94C36" w:rsidRPr="00E94C36">
        <w:t xml:space="preserve"> CSV</w:t>
      </w:r>
      <w:r w:rsidR="001E422E">
        <w:t xml:space="preserve"> format would not </w:t>
      </w:r>
      <w:r w:rsidR="00FB7CD6">
        <w:t>imply</w:t>
      </w:r>
      <w:r w:rsidR="001E422E">
        <w:t xml:space="preserve"> significant issues</w:t>
      </w:r>
      <w:r w:rsidR="00E94C36" w:rsidRPr="00E94C36">
        <w:t xml:space="preserve">. </w:t>
      </w:r>
      <w:r w:rsidR="00485337" w:rsidRPr="00485337">
        <w:t xml:space="preserve">However, given the burdens that the reporting under discussion entails, </w:t>
      </w:r>
      <w:r w:rsidR="00001CE9">
        <w:t xml:space="preserve">as better detailed above </w:t>
      </w:r>
      <w:r w:rsidR="00485337" w:rsidRPr="00485337">
        <w:t>our members would request sufficient time to collect information and to be prepared for the first reporting cycle. In this respect,</w:t>
      </w:r>
      <w:r w:rsidR="00485337">
        <w:t xml:space="preserve"> </w:t>
      </w:r>
      <w:r w:rsidR="00485337" w:rsidRPr="00485337">
        <w:t xml:space="preserve">they would expect the reporting template to be published well in advance ahead </w:t>
      </w:r>
      <w:r w:rsidR="00485337" w:rsidRPr="00485337">
        <w:lastRenderedPageBreak/>
        <w:t xml:space="preserve">of the first </w:t>
      </w:r>
      <w:r w:rsidR="003B1D38">
        <w:t xml:space="preserve">reporting </w:t>
      </w:r>
      <w:r w:rsidR="00485337" w:rsidRPr="00485337">
        <w:t>deadline, which – as stated above – they would like to occur not before 2028</w:t>
      </w:r>
      <w:r w:rsidR="00933521">
        <w:t>.</w:t>
      </w:r>
    </w:p>
    <w:permEnd w:id="2085827393"/>
    <w:p w14:paraId="77D5FFA8" w14:textId="77777777" w:rsidR="00772944" w:rsidRDefault="00772944" w:rsidP="00772944">
      <w:r>
        <w:t>&lt;ESMA_QUESTION_TCCR_11&gt;</w:t>
      </w:r>
    </w:p>
    <w:p w14:paraId="67BDB5B5" w14:textId="77777777" w:rsidR="00772944" w:rsidRDefault="00772944" w:rsidP="00772944"/>
    <w:p w14:paraId="73F0CD52" w14:textId="77777777" w:rsidR="00772944" w:rsidRDefault="00772944" w:rsidP="00772944"/>
    <w:p w14:paraId="77092DBB" w14:textId="77777777" w:rsidR="00772944" w:rsidRPr="00772944" w:rsidRDefault="00772944" w:rsidP="00772944">
      <w:pPr>
        <w:rPr>
          <w:lang w:val="fr-BE"/>
        </w:rPr>
      </w:pPr>
    </w:p>
    <w:sectPr w:rsidR="00772944" w:rsidRPr="00772944"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C7E8C" w14:textId="77777777" w:rsidR="001F512D" w:rsidRDefault="001F512D" w:rsidP="007E7997">
      <w:pPr>
        <w:spacing w:line="240" w:lineRule="auto"/>
      </w:pPr>
      <w:r>
        <w:separator/>
      </w:r>
    </w:p>
  </w:endnote>
  <w:endnote w:type="continuationSeparator" w:id="0">
    <w:p w14:paraId="5CD99FF4" w14:textId="77777777" w:rsidR="001F512D" w:rsidRDefault="001F512D" w:rsidP="007E7997">
      <w:pPr>
        <w:spacing w:line="240" w:lineRule="auto"/>
      </w:pPr>
      <w:r>
        <w:continuationSeparator/>
      </w:r>
    </w:p>
  </w:endnote>
  <w:endnote w:type="continuationNotice" w:id="1">
    <w:p w14:paraId="0588286B" w14:textId="77777777" w:rsidR="001F512D" w:rsidRDefault="001F51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Pidipagina"/>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55A70" w14:textId="77777777" w:rsidR="001F512D" w:rsidRDefault="001F512D" w:rsidP="007E7997">
      <w:pPr>
        <w:spacing w:line="240" w:lineRule="auto"/>
      </w:pPr>
      <w:r>
        <w:separator/>
      </w:r>
    </w:p>
  </w:footnote>
  <w:footnote w:type="continuationSeparator" w:id="0">
    <w:p w14:paraId="09DBF34A" w14:textId="77777777" w:rsidR="001F512D" w:rsidRDefault="001F512D" w:rsidP="007E7997">
      <w:pPr>
        <w:spacing w:line="240" w:lineRule="auto"/>
      </w:pPr>
      <w:r>
        <w:continuationSeparator/>
      </w:r>
    </w:p>
  </w:footnote>
  <w:footnote w:type="continuationNotice" w:id="1">
    <w:p w14:paraId="679D2A8C" w14:textId="77777777" w:rsidR="001F512D" w:rsidRDefault="001F51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5E4D532D" w:rsidR="00D77369" w:rsidRPr="00A51B24" w:rsidRDefault="00D77369" w:rsidP="008858FE">
    <w:pPr>
      <w:pStyle w:val="Intestazione"/>
      <w:rPr>
        <w:bCs/>
        <w:caps/>
        <w:color w:val="FF0000" w:themeColor="accent6"/>
        <w:sz w:val="22"/>
      </w:rPr>
    </w:pPr>
    <w:r w:rsidRPr="00EE24AE">
      <w:rPr>
        <w:rStyle w:val="ESMAConfidentialRestricted"/>
        <w:noProof/>
      </w:rPr>
      <w:drawing>
        <wp:anchor distT="0" distB="0" distL="114300" distR="114300" simplePos="0" relativeHeight="25166131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5A4BBA">
      <w:t>18</w:t>
    </w:r>
    <w:r w:rsidR="00306F0E" w:rsidRPr="00EE24AE">
      <w:t xml:space="preserve"> </w:t>
    </w:r>
    <w:r w:rsidR="005A4BBA">
      <w:t>August</w:t>
    </w:r>
    <w:r w:rsidR="00EB238F" w:rsidRPr="00EE24AE">
      <w:t xml:space="preserve"> </w:t>
    </w:r>
    <w:r w:rsidR="00A51B24" w:rsidRPr="00EE24AE">
      <w:t>202</w:t>
    </w:r>
    <w:r w:rsidR="00FF6828">
      <w:t>6</w:t>
    </w:r>
  </w:p>
  <w:p w14:paraId="10BD5565" w14:textId="1C9D8EA9" w:rsidR="008C61D9" w:rsidRDefault="00A866AB" w:rsidP="00C57EE7">
    <w:pPr>
      <w:jc w:val="right"/>
    </w:pPr>
    <w:r w:rsidRPr="00A866AB">
      <w:rPr>
        <w:color w:val="001B4F" w:themeColor="text1" w:themeShade="80"/>
        <w:sz w:val="16"/>
      </w:rPr>
      <w:t>ESMA12-2121844265-6120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Intestazione"/>
    </w:pPr>
  </w:p>
  <w:p w14:paraId="76D78551" w14:textId="45227A06" w:rsidR="00AD0B10" w:rsidRDefault="00AD0B10" w:rsidP="00AD0B10">
    <w:pPr>
      <w:pStyle w:val="Intestazione"/>
    </w:pPr>
  </w:p>
  <w:p w14:paraId="56B00CEC" w14:textId="77777777" w:rsidR="00AD0B10" w:rsidRPr="0043139E" w:rsidRDefault="00AD0B10" w:rsidP="00AD0B10">
    <w:pPr>
      <w:pStyle w:val="Intestazione"/>
    </w:pPr>
  </w:p>
  <w:p w14:paraId="68227DE6" w14:textId="77777777" w:rsidR="00AD0B10" w:rsidRPr="0043139E" w:rsidRDefault="00AD0B10" w:rsidP="00AD0B10">
    <w:pPr>
      <w:pStyle w:val="Intestazione"/>
    </w:pPr>
  </w:p>
  <w:p w14:paraId="0E44DBD1" w14:textId="77777777" w:rsidR="00AD0B10" w:rsidRPr="0043139E" w:rsidRDefault="00AD0B10" w:rsidP="00AD0B10">
    <w:pPr>
      <w:pStyle w:val="Intestazion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Intestazione"/>
    </w:pPr>
  </w:p>
  <w:p w14:paraId="706EF268" w14:textId="77777777" w:rsidR="00AD0B10" w:rsidRPr="0043139E" w:rsidRDefault="00AD0B10" w:rsidP="00AD0B10">
    <w:pPr>
      <w:pStyle w:val="Intestazione"/>
    </w:pPr>
  </w:p>
  <w:p w14:paraId="6B568202" w14:textId="77777777" w:rsidR="00AD0B10" w:rsidRPr="0043139E" w:rsidRDefault="00AD0B10" w:rsidP="00AD0B10">
    <w:pPr>
      <w:pStyle w:val="Intestazione"/>
    </w:pPr>
  </w:p>
  <w:p w14:paraId="70C66BCD" w14:textId="77777777" w:rsidR="00AD0B10" w:rsidRPr="0043139E" w:rsidRDefault="00AD0B10" w:rsidP="00AD0B10">
    <w:pPr>
      <w:pStyle w:val="Intestazione"/>
    </w:pPr>
  </w:p>
  <w:p w14:paraId="07229907" w14:textId="77777777" w:rsidR="00AD0B10" w:rsidRPr="0043139E" w:rsidRDefault="00AD0B10" w:rsidP="00AD0B10">
    <w:pPr>
      <w:pStyle w:val="Intestazione"/>
    </w:pPr>
  </w:p>
  <w:p w14:paraId="55555744" w14:textId="77777777" w:rsidR="00AD0B10" w:rsidRPr="0043139E" w:rsidRDefault="00AD0B10" w:rsidP="00AD0B10">
    <w:pPr>
      <w:pStyle w:val="Intestazione"/>
    </w:pPr>
  </w:p>
  <w:p w14:paraId="4601AE9C" w14:textId="77777777" w:rsidR="00AD0B10" w:rsidRDefault="00AD0B10" w:rsidP="00AD0B10">
    <w:pPr>
      <w:pStyle w:val="Intestazione"/>
    </w:pPr>
  </w:p>
  <w:p w14:paraId="49946785" w14:textId="77777777" w:rsidR="00AD0B10" w:rsidRPr="0043139E" w:rsidRDefault="00AD0B10" w:rsidP="00AD0B10">
    <w:pPr>
      <w:pStyle w:val="Intestazione"/>
    </w:pPr>
  </w:p>
  <w:p w14:paraId="72BAD19F" w14:textId="77777777" w:rsidR="008858FE" w:rsidRPr="00AD0B10" w:rsidRDefault="008858FE" w:rsidP="00AD0B1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3054"/>
        </w:tabs>
        <w:ind w:left="3054" w:hanging="360"/>
      </w:pPr>
      <w:rPr>
        <w:rFonts w:ascii="Symbol" w:hAnsi="Symbol" w:hint="default"/>
        <w:sz w:val="20"/>
      </w:rPr>
    </w:lvl>
    <w:lvl w:ilvl="1" w:tentative="1">
      <w:start w:val="1"/>
      <w:numFmt w:val="bullet"/>
      <w:lvlText w:val="o"/>
      <w:lvlJc w:val="left"/>
      <w:pPr>
        <w:tabs>
          <w:tab w:val="num" w:pos="3774"/>
        </w:tabs>
        <w:ind w:left="3774" w:hanging="360"/>
      </w:pPr>
      <w:rPr>
        <w:rFonts w:ascii="Courier New" w:hAnsi="Courier New" w:hint="default"/>
        <w:sz w:val="20"/>
      </w:rPr>
    </w:lvl>
    <w:lvl w:ilvl="2" w:tentative="1">
      <w:start w:val="1"/>
      <w:numFmt w:val="bullet"/>
      <w:lvlText w:val=""/>
      <w:lvlJc w:val="left"/>
      <w:pPr>
        <w:tabs>
          <w:tab w:val="num" w:pos="4494"/>
        </w:tabs>
        <w:ind w:left="4494" w:hanging="360"/>
      </w:pPr>
      <w:rPr>
        <w:rFonts w:ascii="Wingdings" w:hAnsi="Wingdings" w:hint="default"/>
        <w:sz w:val="20"/>
      </w:rPr>
    </w:lvl>
    <w:lvl w:ilvl="3" w:tentative="1">
      <w:start w:val="1"/>
      <w:numFmt w:val="bullet"/>
      <w:lvlText w:val=""/>
      <w:lvlJc w:val="left"/>
      <w:pPr>
        <w:tabs>
          <w:tab w:val="num" w:pos="5214"/>
        </w:tabs>
        <w:ind w:left="5214" w:hanging="360"/>
      </w:pPr>
      <w:rPr>
        <w:rFonts w:ascii="Wingdings" w:hAnsi="Wingdings" w:hint="default"/>
        <w:sz w:val="20"/>
      </w:rPr>
    </w:lvl>
    <w:lvl w:ilvl="4" w:tentative="1">
      <w:start w:val="1"/>
      <w:numFmt w:val="bullet"/>
      <w:lvlText w:val=""/>
      <w:lvlJc w:val="left"/>
      <w:pPr>
        <w:tabs>
          <w:tab w:val="num" w:pos="5934"/>
        </w:tabs>
        <w:ind w:left="5934" w:hanging="360"/>
      </w:pPr>
      <w:rPr>
        <w:rFonts w:ascii="Wingdings" w:hAnsi="Wingdings" w:hint="default"/>
        <w:sz w:val="20"/>
      </w:rPr>
    </w:lvl>
    <w:lvl w:ilvl="5" w:tentative="1">
      <w:start w:val="1"/>
      <w:numFmt w:val="bullet"/>
      <w:lvlText w:val=""/>
      <w:lvlJc w:val="left"/>
      <w:pPr>
        <w:tabs>
          <w:tab w:val="num" w:pos="6654"/>
        </w:tabs>
        <w:ind w:left="6654" w:hanging="360"/>
      </w:pPr>
      <w:rPr>
        <w:rFonts w:ascii="Wingdings" w:hAnsi="Wingdings" w:hint="default"/>
        <w:sz w:val="20"/>
      </w:rPr>
    </w:lvl>
    <w:lvl w:ilvl="6" w:tentative="1">
      <w:start w:val="1"/>
      <w:numFmt w:val="bullet"/>
      <w:lvlText w:val=""/>
      <w:lvlJc w:val="left"/>
      <w:pPr>
        <w:tabs>
          <w:tab w:val="num" w:pos="7374"/>
        </w:tabs>
        <w:ind w:left="7374" w:hanging="360"/>
      </w:pPr>
      <w:rPr>
        <w:rFonts w:ascii="Wingdings" w:hAnsi="Wingdings" w:hint="default"/>
        <w:sz w:val="20"/>
      </w:rPr>
    </w:lvl>
    <w:lvl w:ilvl="7" w:tentative="1">
      <w:start w:val="1"/>
      <w:numFmt w:val="bullet"/>
      <w:lvlText w:val=""/>
      <w:lvlJc w:val="left"/>
      <w:pPr>
        <w:tabs>
          <w:tab w:val="num" w:pos="8094"/>
        </w:tabs>
        <w:ind w:left="8094" w:hanging="360"/>
      </w:pPr>
      <w:rPr>
        <w:rFonts w:ascii="Wingdings" w:hAnsi="Wingdings" w:hint="default"/>
        <w:sz w:val="20"/>
      </w:rPr>
    </w:lvl>
    <w:lvl w:ilvl="8" w:tentative="1">
      <w:start w:val="1"/>
      <w:numFmt w:val="bullet"/>
      <w:lvlText w:val=""/>
      <w:lvlJc w:val="left"/>
      <w:pPr>
        <w:tabs>
          <w:tab w:val="num" w:pos="8814"/>
        </w:tabs>
        <w:ind w:left="8814"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Titolo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Paragrafoelenco"/>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Titolo1"/>
      <w:lvlText w:val="%1"/>
      <w:lvlJc w:val="left"/>
      <w:pPr>
        <w:ind w:left="4686" w:hanging="432"/>
      </w:pPr>
    </w:lvl>
    <w:lvl w:ilvl="1">
      <w:start w:val="1"/>
      <w:numFmt w:val="decimal"/>
      <w:pStyle w:val="Titolo2"/>
      <w:lvlText w:val="%1.%2"/>
      <w:lvlJc w:val="left"/>
      <w:pPr>
        <w:ind w:left="8230"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KJPSVJiin/8gR/qfNgoDiRTH+EC67sMXNuBjddLcjdNc5MHfRj8sltTfhaQT/Koq46oiAQ/z8mPfyhRJ1xqJA==" w:salt="E15doo68Dej3AWX6B0fDV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CE9"/>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17B15"/>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54"/>
    <w:rsid w:val="00025A7F"/>
    <w:rsid w:val="00025C8C"/>
    <w:rsid w:val="00026016"/>
    <w:rsid w:val="0002607B"/>
    <w:rsid w:val="0002705C"/>
    <w:rsid w:val="000271F8"/>
    <w:rsid w:val="000275A0"/>
    <w:rsid w:val="000275BD"/>
    <w:rsid w:val="000279E9"/>
    <w:rsid w:val="00030900"/>
    <w:rsid w:val="00030B38"/>
    <w:rsid w:val="00030CFE"/>
    <w:rsid w:val="00030EF6"/>
    <w:rsid w:val="000312A6"/>
    <w:rsid w:val="0003170E"/>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3BA"/>
    <w:rsid w:val="00054555"/>
    <w:rsid w:val="000546CD"/>
    <w:rsid w:val="000547CC"/>
    <w:rsid w:val="00054C9F"/>
    <w:rsid w:val="00054DE5"/>
    <w:rsid w:val="00054EC0"/>
    <w:rsid w:val="0005558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39E"/>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365"/>
    <w:rsid w:val="000803D5"/>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6E41"/>
    <w:rsid w:val="000874BC"/>
    <w:rsid w:val="00087D2D"/>
    <w:rsid w:val="000900C6"/>
    <w:rsid w:val="00090606"/>
    <w:rsid w:val="00090912"/>
    <w:rsid w:val="00091203"/>
    <w:rsid w:val="00091B09"/>
    <w:rsid w:val="00091BB5"/>
    <w:rsid w:val="00092932"/>
    <w:rsid w:val="00092A2A"/>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8C9"/>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3F1B"/>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648"/>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68B"/>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741"/>
    <w:rsid w:val="000D78CF"/>
    <w:rsid w:val="000E02A3"/>
    <w:rsid w:val="000E02DE"/>
    <w:rsid w:val="000E03E9"/>
    <w:rsid w:val="000E07ED"/>
    <w:rsid w:val="000E0ECD"/>
    <w:rsid w:val="000E10A4"/>
    <w:rsid w:val="000E19CE"/>
    <w:rsid w:val="000E1A33"/>
    <w:rsid w:val="000E23D5"/>
    <w:rsid w:val="000E330E"/>
    <w:rsid w:val="000E384D"/>
    <w:rsid w:val="000E3ACF"/>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E7C93"/>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2DC8"/>
    <w:rsid w:val="0010390A"/>
    <w:rsid w:val="00103C71"/>
    <w:rsid w:val="00103F8D"/>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278"/>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1B95"/>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27E56"/>
    <w:rsid w:val="00130D88"/>
    <w:rsid w:val="00130EF9"/>
    <w:rsid w:val="0013112A"/>
    <w:rsid w:val="0013112E"/>
    <w:rsid w:val="00131979"/>
    <w:rsid w:val="001324D7"/>
    <w:rsid w:val="001327B9"/>
    <w:rsid w:val="001329DF"/>
    <w:rsid w:val="0013329C"/>
    <w:rsid w:val="001333EA"/>
    <w:rsid w:val="001333FD"/>
    <w:rsid w:val="0013408E"/>
    <w:rsid w:val="001340CE"/>
    <w:rsid w:val="00134578"/>
    <w:rsid w:val="0013511C"/>
    <w:rsid w:val="001353F4"/>
    <w:rsid w:val="00135DB5"/>
    <w:rsid w:val="00135E08"/>
    <w:rsid w:val="0013656A"/>
    <w:rsid w:val="00136B4D"/>
    <w:rsid w:val="00137264"/>
    <w:rsid w:val="00137E61"/>
    <w:rsid w:val="00137F33"/>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3CD3"/>
    <w:rsid w:val="0016408C"/>
    <w:rsid w:val="00164153"/>
    <w:rsid w:val="00164468"/>
    <w:rsid w:val="001646B2"/>
    <w:rsid w:val="0016512E"/>
    <w:rsid w:val="00165987"/>
    <w:rsid w:val="00165B05"/>
    <w:rsid w:val="00165F27"/>
    <w:rsid w:val="00166381"/>
    <w:rsid w:val="00166568"/>
    <w:rsid w:val="00166ED0"/>
    <w:rsid w:val="001675D5"/>
    <w:rsid w:val="001678F4"/>
    <w:rsid w:val="00167E6A"/>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4E8"/>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87BAE"/>
    <w:rsid w:val="0019085F"/>
    <w:rsid w:val="00190C3A"/>
    <w:rsid w:val="00190FCF"/>
    <w:rsid w:val="00191207"/>
    <w:rsid w:val="00191A56"/>
    <w:rsid w:val="001920DF"/>
    <w:rsid w:val="00192249"/>
    <w:rsid w:val="001924C0"/>
    <w:rsid w:val="00192BBA"/>
    <w:rsid w:val="00192FDE"/>
    <w:rsid w:val="00193114"/>
    <w:rsid w:val="00193367"/>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511"/>
    <w:rsid w:val="001B6AE1"/>
    <w:rsid w:val="001B7063"/>
    <w:rsid w:val="001B73E7"/>
    <w:rsid w:val="001B767E"/>
    <w:rsid w:val="001B7F20"/>
    <w:rsid w:val="001C0461"/>
    <w:rsid w:val="001C088C"/>
    <w:rsid w:val="001C0ACA"/>
    <w:rsid w:val="001C13FA"/>
    <w:rsid w:val="001C1457"/>
    <w:rsid w:val="001C163F"/>
    <w:rsid w:val="001C17CE"/>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A1B"/>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22E"/>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12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6C2"/>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65D0"/>
    <w:rsid w:val="00217155"/>
    <w:rsid w:val="00217772"/>
    <w:rsid w:val="00217848"/>
    <w:rsid w:val="002209C3"/>
    <w:rsid w:val="00220A3B"/>
    <w:rsid w:val="00220B54"/>
    <w:rsid w:val="00220B8E"/>
    <w:rsid w:val="00220D26"/>
    <w:rsid w:val="00220FE3"/>
    <w:rsid w:val="00221728"/>
    <w:rsid w:val="0022181F"/>
    <w:rsid w:val="002218C3"/>
    <w:rsid w:val="002219A0"/>
    <w:rsid w:val="00221B56"/>
    <w:rsid w:val="0022214D"/>
    <w:rsid w:val="002227CF"/>
    <w:rsid w:val="002236FA"/>
    <w:rsid w:val="00224440"/>
    <w:rsid w:val="00224667"/>
    <w:rsid w:val="00224671"/>
    <w:rsid w:val="002247AF"/>
    <w:rsid w:val="0022488F"/>
    <w:rsid w:val="00224ABF"/>
    <w:rsid w:val="002255A5"/>
    <w:rsid w:val="00227538"/>
    <w:rsid w:val="00227964"/>
    <w:rsid w:val="00227A16"/>
    <w:rsid w:val="00227A98"/>
    <w:rsid w:val="00227E3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D90"/>
    <w:rsid w:val="00236FCF"/>
    <w:rsid w:val="002372D3"/>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37C6"/>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0BE"/>
    <w:rsid w:val="002475F6"/>
    <w:rsid w:val="00247837"/>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799"/>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6E3C"/>
    <w:rsid w:val="0026725A"/>
    <w:rsid w:val="00267D21"/>
    <w:rsid w:val="00267F67"/>
    <w:rsid w:val="00270200"/>
    <w:rsid w:val="00270564"/>
    <w:rsid w:val="002708B8"/>
    <w:rsid w:val="00270D4E"/>
    <w:rsid w:val="002711D5"/>
    <w:rsid w:val="002714FA"/>
    <w:rsid w:val="0027174D"/>
    <w:rsid w:val="00273699"/>
    <w:rsid w:val="00273B3C"/>
    <w:rsid w:val="00273B76"/>
    <w:rsid w:val="00274544"/>
    <w:rsid w:val="0027463C"/>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B92"/>
    <w:rsid w:val="00281C2C"/>
    <w:rsid w:val="0028218D"/>
    <w:rsid w:val="00282901"/>
    <w:rsid w:val="002838EF"/>
    <w:rsid w:val="00283FA7"/>
    <w:rsid w:val="00284DE2"/>
    <w:rsid w:val="00285354"/>
    <w:rsid w:val="002853B1"/>
    <w:rsid w:val="002857DE"/>
    <w:rsid w:val="0028594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1C0A"/>
    <w:rsid w:val="002A2D48"/>
    <w:rsid w:val="002A2D63"/>
    <w:rsid w:val="002A3076"/>
    <w:rsid w:val="002A32CD"/>
    <w:rsid w:val="002A4C6E"/>
    <w:rsid w:val="002A4F46"/>
    <w:rsid w:val="002A54D9"/>
    <w:rsid w:val="002A55C5"/>
    <w:rsid w:val="002A5751"/>
    <w:rsid w:val="002A5753"/>
    <w:rsid w:val="002A6A62"/>
    <w:rsid w:val="002A6E54"/>
    <w:rsid w:val="002A742E"/>
    <w:rsid w:val="002A7B5A"/>
    <w:rsid w:val="002A7F05"/>
    <w:rsid w:val="002A7F2B"/>
    <w:rsid w:val="002B003D"/>
    <w:rsid w:val="002B036C"/>
    <w:rsid w:val="002B04BE"/>
    <w:rsid w:val="002B06CD"/>
    <w:rsid w:val="002B0B4D"/>
    <w:rsid w:val="002B159F"/>
    <w:rsid w:val="002B1BEA"/>
    <w:rsid w:val="002B1E5E"/>
    <w:rsid w:val="002B1FBE"/>
    <w:rsid w:val="002B20CA"/>
    <w:rsid w:val="002B2422"/>
    <w:rsid w:val="002B2467"/>
    <w:rsid w:val="002B2D98"/>
    <w:rsid w:val="002B30BB"/>
    <w:rsid w:val="002B342E"/>
    <w:rsid w:val="002B358A"/>
    <w:rsid w:val="002B35CC"/>
    <w:rsid w:val="002B4AD7"/>
    <w:rsid w:val="002B5800"/>
    <w:rsid w:val="002B59F0"/>
    <w:rsid w:val="002B5B01"/>
    <w:rsid w:val="002B6654"/>
    <w:rsid w:val="002B698F"/>
    <w:rsid w:val="002B73FB"/>
    <w:rsid w:val="002B7497"/>
    <w:rsid w:val="002B76FE"/>
    <w:rsid w:val="002B7955"/>
    <w:rsid w:val="002B7F6D"/>
    <w:rsid w:val="002C066F"/>
    <w:rsid w:val="002C06A9"/>
    <w:rsid w:val="002C06CE"/>
    <w:rsid w:val="002C1530"/>
    <w:rsid w:val="002C1D48"/>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2A2"/>
    <w:rsid w:val="002C5437"/>
    <w:rsid w:val="002C54A8"/>
    <w:rsid w:val="002C551A"/>
    <w:rsid w:val="002C566E"/>
    <w:rsid w:val="002C569F"/>
    <w:rsid w:val="002C56E1"/>
    <w:rsid w:val="002C591C"/>
    <w:rsid w:val="002C5990"/>
    <w:rsid w:val="002C5AE7"/>
    <w:rsid w:val="002C5DC6"/>
    <w:rsid w:val="002C615B"/>
    <w:rsid w:val="002C687A"/>
    <w:rsid w:val="002C6F5E"/>
    <w:rsid w:val="002C713B"/>
    <w:rsid w:val="002C7239"/>
    <w:rsid w:val="002C736F"/>
    <w:rsid w:val="002C7374"/>
    <w:rsid w:val="002C7E46"/>
    <w:rsid w:val="002D030A"/>
    <w:rsid w:val="002D0D64"/>
    <w:rsid w:val="002D0E50"/>
    <w:rsid w:val="002D0EAC"/>
    <w:rsid w:val="002D10EF"/>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1F21"/>
    <w:rsid w:val="002E257D"/>
    <w:rsid w:val="002E28DB"/>
    <w:rsid w:val="002E359D"/>
    <w:rsid w:val="002E35C7"/>
    <w:rsid w:val="002E3EAA"/>
    <w:rsid w:val="002E401D"/>
    <w:rsid w:val="002E4311"/>
    <w:rsid w:val="002E43B9"/>
    <w:rsid w:val="002E4FCD"/>
    <w:rsid w:val="002E5533"/>
    <w:rsid w:val="002E576A"/>
    <w:rsid w:val="002E5B28"/>
    <w:rsid w:val="002E606F"/>
    <w:rsid w:val="002E62B3"/>
    <w:rsid w:val="002E6311"/>
    <w:rsid w:val="002E649A"/>
    <w:rsid w:val="002E6556"/>
    <w:rsid w:val="002E65F2"/>
    <w:rsid w:val="002E6F9C"/>
    <w:rsid w:val="002E715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6FA1"/>
    <w:rsid w:val="002F773E"/>
    <w:rsid w:val="002F7B7C"/>
    <w:rsid w:val="003003F3"/>
    <w:rsid w:val="003003F9"/>
    <w:rsid w:val="00300709"/>
    <w:rsid w:val="003009AC"/>
    <w:rsid w:val="00300D81"/>
    <w:rsid w:val="003011D4"/>
    <w:rsid w:val="00301495"/>
    <w:rsid w:val="003015DF"/>
    <w:rsid w:val="0030188E"/>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07D16"/>
    <w:rsid w:val="00310314"/>
    <w:rsid w:val="0031033C"/>
    <w:rsid w:val="00310469"/>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D66"/>
    <w:rsid w:val="00314FED"/>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A05"/>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0C7E"/>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6D14"/>
    <w:rsid w:val="00347121"/>
    <w:rsid w:val="00347367"/>
    <w:rsid w:val="00347403"/>
    <w:rsid w:val="00347534"/>
    <w:rsid w:val="00347A4B"/>
    <w:rsid w:val="00347B87"/>
    <w:rsid w:val="00347D6A"/>
    <w:rsid w:val="00350CA1"/>
    <w:rsid w:val="00350D45"/>
    <w:rsid w:val="00350F2B"/>
    <w:rsid w:val="003510C9"/>
    <w:rsid w:val="003514E5"/>
    <w:rsid w:val="00351757"/>
    <w:rsid w:val="003519DA"/>
    <w:rsid w:val="00351BE3"/>
    <w:rsid w:val="00352A2C"/>
    <w:rsid w:val="00352DA9"/>
    <w:rsid w:val="0035354C"/>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65D"/>
    <w:rsid w:val="00361B6F"/>
    <w:rsid w:val="003621BC"/>
    <w:rsid w:val="0036298B"/>
    <w:rsid w:val="00362D2B"/>
    <w:rsid w:val="003631D3"/>
    <w:rsid w:val="003634ED"/>
    <w:rsid w:val="00363E5C"/>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2F5"/>
    <w:rsid w:val="00373429"/>
    <w:rsid w:val="0037344E"/>
    <w:rsid w:val="00373811"/>
    <w:rsid w:val="00373928"/>
    <w:rsid w:val="00373D64"/>
    <w:rsid w:val="003742D3"/>
    <w:rsid w:val="00374786"/>
    <w:rsid w:val="003748B4"/>
    <w:rsid w:val="00374A8F"/>
    <w:rsid w:val="003750D0"/>
    <w:rsid w:val="003755B3"/>
    <w:rsid w:val="00375857"/>
    <w:rsid w:val="00375C6D"/>
    <w:rsid w:val="0037613E"/>
    <w:rsid w:val="00376340"/>
    <w:rsid w:val="00376F54"/>
    <w:rsid w:val="0037711B"/>
    <w:rsid w:val="00377883"/>
    <w:rsid w:val="00380102"/>
    <w:rsid w:val="003806F7"/>
    <w:rsid w:val="0038077B"/>
    <w:rsid w:val="00380FE4"/>
    <w:rsid w:val="003816C4"/>
    <w:rsid w:val="00381DAE"/>
    <w:rsid w:val="003821C1"/>
    <w:rsid w:val="003826C8"/>
    <w:rsid w:val="003826FF"/>
    <w:rsid w:val="003829D6"/>
    <w:rsid w:val="00383025"/>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A0C"/>
    <w:rsid w:val="003A5C1D"/>
    <w:rsid w:val="003A5DB4"/>
    <w:rsid w:val="003A6085"/>
    <w:rsid w:val="003A69A7"/>
    <w:rsid w:val="003A6E3B"/>
    <w:rsid w:val="003A75C1"/>
    <w:rsid w:val="003A773D"/>
    <w:rsid w:val="003A78AC"/>
    <w:rsid w:val="003B0006"/>
    <w:rsid w:val="003B0FFF"/>
    <w:rsid w:val="003B1091"/>
    <w:rsid w:val="003B132F"/>
    <w:rsid w:val="003B1464"/>
    <w:rsid w:val="003B1BC3"/>
    <w:rsid w:val="003B1D38"/>
    <w:rsid w:val="003B1E51"/>
    <w:rsid w:val="003B22B2"/>
    <w:rsid w:val="003B23CC"/>
    <w:rsid w:val="003B2A8B"/>
    <w:rsid w:val="003B320B"/>
    <w:rsid w:val="003B34A1"/>
    <w:rsid w:val="003B363D"/>
    <w:rsid w:val="003B36C1"/>
    <w:rsid w:val="003B3A84"/>
    <w:rsid w:val="003B40A3"/>
    <w:rsid w:val="003B4656"/>
    <w:rsid w:val="003B47F3"/>
    <w:rsid w:val="003B52FF"/>
    <w:rsid w:val="003B566E"/>
    <w:rsid w:val="003B56AF"/>
    <w:rsid w:val="003B6135"/>
    <w:rsid w:val="003B63CE"/>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303"/>
    <w:rsid w:val="003C35E6"/>
    <w:rsid w:val="003C365A"/>
    <w:rsid w:val="003C397B"/>
    <w:rsid w:val="003C43CD"/>
    <w:rsid w:val="003C484E"/>
    <w:rsid w:val="003C4EB5"/>
    <w:rsid w:val="003C5050"/>
    <w:rsid w:val="003C50CE"/>
    <w:rsid w:val="003C522D"/>
    <w:rsid w:val="003C5288"/>
    <w:rsid w:val="003C537A"/>
    <w:rsid w:val="003C5D75"/>
    <w:rsid w:val="003C60F2"/>
    <w:rsid w:val="003C6BC5"/>
    <w:rsid w:val="003C7696"/>
    <w:rsid w:val="003D017C"/>
    <w:rsid w:val="003D02F0"/>
    <w:rsid w:val="003D0516"/>
    <w:rsid w:val="003D09B4"/>
    <w:rsid w:val="003D0D59"/>
    <w:rsid w:val="003D0DC4"/>
    <w:rsid w:val="003D1AC5"/>
    <w:rsid w:val="003D1B59"/>
    <w:rsid w:val="003D1D3C"/>
    <w:rsid w:val="003D1D80"/>
    <w:rsid w:val="003D1EED"/>
    <w:rsid w:val="003D24BA"/>
    <w:rsid w:val="003D3B93"/>
    <w:rsid w:val="003D47C1"/>
    <w:rsid w:val="003D4B69"/>
    <w:rsid w:val="003D4F08"/>
    <w:rsid w:val="003D4FAB"/>
    <w:rsid w:val="003D4FAD"/>
    <w:rsid w:val="003D5A6F"/>
    <w:rsid w:val="003D5B51"/>
    <w:rsid w:val="003D5CB9"/>
    <w:rsid w:val="003D5DB1"/>
    <w:rsid w:val="003D6062"/>
    <w:rsid w:val="003D61FE"/>
    <w:rsid w:val="003D63F6"/>
    <w:rsid w:val="003D656E"/>
    <w:rsid w:val="003D666D"/>
    <w:rsid w:val="003D6902"/>
    <w:rsid w:val="003D6FAA"/>
    <w:rsid w:val="003D7182"/>
    <w:rsid w:val="003D7321"/>
    <w:rsid w:val="003E014B"/>
    <w:rsid w:val="003E038A"/>
    <w:rsid w:val="003E0405"/>
    <w:rsid w:val="003E0CF9"/>
    <w:rsid w:val="003E1371"/>
    <w:rsid w:val="003E14F6"/>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5C53"/>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0F2F"/>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649"/>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517"/>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1287"/>
    <w:rsid w:val="00421B09"/>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3FA5"/>
    <w:rsid w:val="00434E72"/>
    <w:rsid w:val="00435473"/>
    <w:rsid w:val="0043576B"/>
    <w:rsid w:val="004357B4"/>
    <w:rsid w:val="004359C5"/>
    <w:rsid w:val="00435F98"/>
    <w:rsid w:val="00435FE9"/>
    <w:rsid w:val="00436206"/>
    <w:rsid w:val="00436F47"/>
    <w:rsid w:val="0043757A"/>
    <w:rsid w:val="00437582"/>
    <w:rsid w:val="0043788A"/>
    <w:rsid w:val="00440342"/>
    <w:rsid w:val="004406BD"/>
    <w:rsid w:val="004408D1"/>
    <w:rsid w:val="00440A50"/>
    <w:rsid w:val="00440D4E"/>
    <w:rsid w:val="00441072"/>
    <w:rsid w:val="004414EF"/>
    <w:rsid w:val="00441977"/>
    <w:rsid w:val="00441B89"/>
    <w:rsid w:val="004424E6"/>
    <w:rsid w:val="00442518"/>
    <w:rsid w:val="0044299D"/>
    <w:rsid w:val="00442A7C"/>
    <w:rsid w:val="00442FCD"/>
    <w:rsid w:val="00444272"/>
    <w:rsid w:val="00444295"/>
    <w:rsid w:val="00444714"/>
    <w:rsid w:val="004448AC"/>
    <w:rsid w:val="00444A3E"/>
    <w:rsid w:val="00444F94"/>
    <w:rsid w:val="00445696"/>
    <w:rsid w:val="00445B7E"/>
    <w:rsid w:val="00445BC4"/>
    <w:rsid w:val="00445E7B"/>
    <w:rsid w:val="00446292"/>
    <w:rsid w:val="004468C4"/>
    <w:rsid w:val="00446B31"/>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85D"/>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675C2"/>
    <w:rsid w:val="0047019B"/>
    <w:rsid w:val="004707A5"/>
    <w:rsid w:val="00470E87"/>
    <w:rsid w:val="004715C9"/>
    <w:rsid w:val="00471DEF"/>
    <w:rsid w:val="00472065"/>
    <w:rsid w:val="004727AC"/>
    <w:rsid w:val="004730C6"/>
    <w:rsid w:val="004730DF"/>
    <w:rsid w:val="0047339D"/>
    <w:rsid w:val="0047366A"/>
    <w:rsid w:val="0047375C"/>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337"/>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1DE7"/>
    <w:rsid w:val="004924B6"/>
    <w:rsid w:val="004930BB"/>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9F4"/>
    <w:rsid w:val="004A1B24"/>
    <w:rsid w:val="004A1EF4"/>
    <w:rsid w:val="004A20DC"/>
    <w:rsid w:val="004A2BD3"/>
    <w:rsid w:val="004A2E54"/>
    <w:rsid w:val="004A2F2B"/>
    <w:rsid w:val="004A2FA8"/>
    <w:rsid w:val="004A3946"/>
    <w:rsid w:val="004A3AF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1D89"/>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B7875"/>
    <w:rsid w:val="004C02FD"/>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505"/>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D7F15"/>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3A"/>
    <w:rsid w:val="004F17A3"/>
    <w:rsid w:val="004F18EB"/>
    <w:rsid w:val="004F19E6"/>
    <w:rsid w:val="004F1A10"/>
    <w:rsid w:val="004F1CDE"/>
    <w:rsid w:val="004F1D02"/>
    <w:rsid w:val="004F30AE"/>
    <w:rsid w:val="004F3BEE"/>
    <w:rsid w:val="004F4117"/>
    <w:rsid w:val="004F4161"/>
    <w:rsid w:val="004F4296"/>
    <w:rsid w:val="004F452E"/>
    <w:rsid w:val="004F4CD0"/>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227A"/>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9F"/>
    <w:rsid w:val="005211A8"/>
    <w:rsid w:val="005212F7"/>
    <w:rsid w:val="005212FC"/>
    <w:rsid w:val="0052136F"/>
    <w:rsid w:val="0052176F"/>
    <w:rsid w:val="005223DF"/>
    <w:rsid w:val="005229DC"/>
    <w:rsid w:val="00522FCC"/>
    <w:rsid w:val="0052328E"/>
    <w:rsid w:val="00524107"/>
    <w:rsid w:val="005241B3"/>
    <w:rsid w:val="00524770"/>
    <w:rsid w:val="00524C3E"/>
    <w:rsid w:val="00524D37"/>
    <w:rsid w:val="00524E9C"/>
    <w:rsid w:val="005250DA"/>
    <w:rsid w:val="005251EB"/>
    <w:rsid w:val="00525584"/>
    <w:rsid w:val="005264C5"/>
    <w:rsid w:val="00526AE1"/>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05"/>
    <w:rsid w:val="00536DA6"/>
    <w:rsid w:val="005372CD"/>
    <w:rsid w:val="00537328"/>
    <w:rsid w:val="00537B3F"/>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58D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C7B"/>
    <w:rsid w:val="00555ED6"/>
    <w:rsid w:val="00555F0B"/>
    <w:rsid w:val="005566AB"/>
    <w:rsid w:val="00556B3C"/>
    <w:rsid w:val="00556CB0"/>
    <w:rsid w:val="00557275"/>
    <w:rsid w:val="005572DC"/>
    <w:rsid w:val="00557349"/>
    <w:rsid w:val="00557442"/>
    <w:rsid w:val="005579EE"/>
    <w:rsid w:val="00560149"/>
    <w:rsid w:val="005602F3"/>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3FC8"/>
    <w:rsid w:val="00564110"/>
    <w:rsid w:val="005641A7"/>
    <w:rsid w:val="00564230"/>
    <w:rsid w:val="0056424C"/>
    <w:rsid w:val="005647ED"/>
    <w:rsid w:val="00564824"/>
    <w:rsid w:val="005649BF"/>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4791"/>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34"/>
    <w:rsid w:val="005958A0"/>
    <w:rsid w:val="005958FC"/>
    <w:rsid w:val="00595E58"/>
    <w:rsid w:val="0059639F"/>
    <w:rsid w:val="0059670D"/>
    <w:rsid w:val="00596839"/>
    <w:rsid w:val="005970FD"/>
    <w:rsid w:val="005971EE"/>
    <w:rsid w:val="0059773F"/>
    <w:rsid w:val="0059793B"/>
    <w:rsid w:val="00597DE6"/>
    <w:rsid w:val="005A0560"/>
    <w:rsid w:val="005A07B6"/>
    <w:rsid w:val="005A0950"/>
    <w:rsid w:val="005A0BD1"/>
    <w:rsid w:val="005A0D4A"/>
    <w:rsid w:val="005A104B"/>
    <w:rsid w:val="005A18DF"/>
    <w:rsid w:val="005A1E72"/>
    <w:rsid w:val="005A20CE"/>
    <w:rsid w:val="005A20ED"/>
    <w:rsid w:val="005A23F8"/>
    <w:rsid w:val="005A2535"/>
    <w:rsid w:val="005A2AAB"/>
    <w:rsid w:val="005A2B38"/>
    <w:rsid w:val="005A2C9B"/>
    <w:rsid w:val="005A2EFA"/>
    <w:rsid w:val="005A3233"/>
    <w:rsid w:val="005A3372"/>
    <w:rsid w:val="005A3640"/>
    <w:rsid w:val="005A3BD0"/>
    <w:rsid w:val="005A4B5B"/>
    <w:rsid w:val="005A4BBA"/>
    <w:rsid w:val="005A4CE2"/>
    <w:rsid w:val="005A5012"/>
    <w:rsid w:val="005A5074"/>
    <w:rsid w:val="005A5116"/>
    <w:rsid w:val="005A554D"/>
    <w:rsid w:val="005A59EB"/>
    <w:rsid w:val="005A5D59"/>
    <w:rsid w:val="005A601B"/>
    <w:rsid w:val="005A6830"/>
    <w:rsid w:val="005A6CA3"/>
    <w:rsid w:val="005A6F5C"/>
    <w:rsid w:val="005A7EDB"/>
    <w:rsid w:val="005B0195"/>
    <w:rsid w:val="005B08A7"/>
    <w:rsid w:val="005B094B"/>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142"/>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4BA0"/>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39D"/>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9E9"/>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E7E22"/>
    <w:rsid w:val="005F002F"/>
    <w:rsid w:val="005F00EA"/>
    <w:rsid w:val="005F0102"/>
    <w:rsid w:val="005F03A7"/>
    <w:rsid w:val="005F0867"/>
    <w:rsid w:val="005F091E"/>
    <w:rsid w:val="005F09F1"/>
    <w:rsid w:val="005F0C45"/>
    <w:rsid w:val="005F0F25"/>
    <w:rsid w:val="005F0F94"/>
    <w:rsid w:val="005F10B1"/>
    <w:rsid w:val="005F1194"/>
    <w:rsid w:val="005F15FE"/>
    <w:rsid w:val="005F1C84"/>
    <w:rsid w:val="005F244B"/>
    <w:rsid w:val="005F28E9"/>
    <w:rsid w:val="005F29D4"/>
    <w:rsid w:val="005F2A47"/>
    <w:rsid w:val="005F32BC"/>
    <w:rsid w:val="005F32FB"/>
    <w:rsid w:val="005F37AE"/>
    <w:rsid w:val="005F37FB"/>
    <w:rsid w:val="005F3BBA"/>
    <w:rsid w:val="005F4337"/>
    <w:rsid w:val="005F49ED"/>
    <w:rsid w:val="005F4CCD"/>
    <w:rsid w:val="005F4E6E"/>
    <w:rsid w:val="005F4E92"/>
    <w:rsid w:val="005F50D8"/>
    <w:rsid w:val="005F5534"/>
    <w:rsid w:val="005F5760"/>
    <w:rsid w:val="005F58D7"/>
    <w:rsid w:val="005F59C5"/>
    <w:rsid w:val="005F59EC"/>
    <w:rsid w:val="005F5BEC"/>
    <w:rsid w:val="005F6228"/>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6AC"/>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2A30"/>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2D99"/>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9D6"/>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2E0"/>
    <w:rsid w:val="006956FE"/>
    <w:rsid w:val="006958E3"/>
    <w:rsid w:val="00695A42"/>
    <w:rsid w:val="00695AC2"/>
    <w:rsid w:val="006960E9"/>
    <w:rsid w:val="00696B02"/>
    <w:rsid w:val="00696B3E"/>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1D6F"/>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94"/>
    <w:rsid w:val="006E54A6"/>
    <w:rsid w:val="006E55E7"/>
    <w:rsid w:val="006E56E1"/>
    <w:rsid w:val="006E5CFD"/>
    <w:rsid w:val="006E5FD9"/>
    <w:rsid w:val="006E6300"/>
    <w:rsid w:val="006E65C6"/>
    <w:rsid w:val="006E6651"/>
    <w:rsid w:val="006E66F1"/>
    <w:rsid w:val="006E6A98"/>
    <w:rsid w:val="006E6AF5"/>
    <w:rsid w:val="006E6F60"/>
    <w:rsid w:val="006E785C"/>
    <w:rsid w:val="006E791C"/>
    <w:rsid w:val="006F01FB"/>
    <w:rsid w:val="006F025C"/>
    <w:rsid w:val="006F037C"/>
    <w:rsid w:val="006F0524"/>
    <w:rsid w:val="006F0A52"/>
    <w:rsid w:val="006F11AA"/>
    <w:rsid w:val="006F1C24"/>
    <w:rsid w:val="006F2084"/>
    <w:rsid w:val="006F21F0"/>
    <w:rsid w:val="006F245F"/>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8A4"/>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585"/>
    <w:rsid w:val="00705A8E"/>
    <w:rsid w:val="00705AA6"/>
    <w:rsid w:val="00705BA0"/>
    <w:rsid w:val="00706072"/>
    <w:rsid w:val="007065CB"/>
    <w:rsid w:val="00706AB2"/>
    <w:rsid w:val="00706AB7"/>
    <w:rsid w:val="00707074"/>
    <w:rsid w:val="00707682"/>
    <w:rsid w:val="007076DA"/>
    <w:rsid w:val="00707C4A"/>
    <w:rsid w:val="00707CD5"/>
    <w:rsid w:val="007101F0"/>
    <w:rsid w:val="007106C0"/>
    <w:rsid w:val="00710C67"/>
    <w:rsid w:val="00710E18"/>
    <w:rsid w:val="0071106E"/>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88C"/>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38B"/>
    <w:rsid w:val="00726610"/>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2"/>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6E8F"/>
    <w:rsid w:val="00747168"/>
    <w:rsid w:val="00747785"/>
    <w:rsid w:val="007502BF"/>
    <w:rsid w:val="00750637"/>
    <w:rsid w:val="0075066B"/>
    <w:rsid w:val="00750BE1"/>
    <w:rsid w:val="0075129A"/>
    <w:rsid w:val="007520A8"/>
    <w:rsid w:val="00752244"/>
    <w:rsid w:val="007529E5"/>
    <w:rsid w:val="00752DE9"/>
    <w:rsid w:val="007531C1"/>
    <w:rsid w:val="00753542"/>
    <w:rsid w:val="00753870"/>
    <w:rsid w:val="00753C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363"/>
    <w:rsid w:val="00764B06"/>
    <w:rsid w:val="00764B1E"/>
    <w:rsid w:val="00764CF3"/>
    <w:rsid w:val="00765302"/>
    <w:rsid w:val="0076568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944"/>
    <w:rsid w:val="00772ACD"/>
    <w:rsid w:val="00772BA7"/>
    <w:rsid w:val="00772EDB"/>
    <w:rsid w:val="00773003"/>
    <w:rsid w:val="00773718"/>
    <w:rsid w:val="007739B5"/>
    <w:rsid w:val="00773B45"/>
    <w:rsid w:val="00773BAA"/>
    <w:rsid w:val="00773D9D"/>
    <w:rsid w:val="0077428B"/>
    <w:rsid w:val="007746D7"/>
    <w:rsid w:val="007749F3"/>
    <w:rsid w:val="0077506E"/>
    <w:rsid w:val="007750F2"/>
    <w:rsid w:val="00775136"/>
    <w:rsid w:val="00775C32"/>
    <w:rsid w:val="0077682F"/>
    <w:rsid w:val="007768B8"/>
    <w:rsid w:val="00776991"/>
    <w:rsid w:val="00776DD7"/>
    <w:rsid w:val="007770FE"/>
    <w:rsid w:val="007771EE"/>
    <w:rsid w:val="00777300"/>
    <w:rsid w:val="00777399"/>
    <w:rsid w:val="007777CB"/>
    <w:rsid w:val="00777811"/>
    <w:rsid w:val="00777954"/>
    <w:rsid w:val="00777C9A"/>
    <w:rsid w:val="00777E56"/>
    <w:rsid w:val="00780887"/>
    <w:rsid w:val="00780B82"/>
    <w:rsid w:val="00780FEC"/>
    <w:rsid w:val="00781186"/>
    <w:rsid w:val="007812A6"/>
    <w:rsid w:val="007813F9"/>
    <w:rsid w:val="007815FA"/>
    <w:rsid w:val="007820F8"/>
    <w:rsid w:val="007823A2"/>
    <w:rsid w:val="00782809"/>
    <w:rsid w:val="00782C0F"/>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E30"/>
    <w:rsid w:val="00784FE3"/>
    <w:rsid w:val="007853F6"/>
    <w:rsid w:val="007854C5"/>
    <w:rsid w:val="007859B0"/>
    <w:rsid w:val="00785E08"/>
    <w:rsid w:val="00786756"/>
    <w:rsid w:val="00786B5B"/>
    <w:rsid w:val="00786FDF"/>
    <w:rsid w:val="00787413"/>
    <w:rsid w:val="0078765D"/>
    <w:rsid w:val="00787867"/>
    <w:rsid w:val="00787BE1"/>
    <w:rsid w:val="00787ED3"/>
    <w:rsid w:val="007904FF"/>
    <w:rsid w:val="007906A2"/>
    <w:rsid w:val="00790B45"/>
    <w:rsid w:val="00790C10"/>
    <w:rsid w:val="00790C97"/>
    <w:rsid w:val="00792544"/>
    <w:rsid w:val="00792792"/>
    <w:rsid w:val="007928DA"/>
    <w:rsid w:val="007928E7"/>
    <w:rsid w:val="00792E0A"/>
    <w:rsid w:val="00793167"/>
    <w:rsid w:val="007932E1"/>
    <w:rsid w:val="00793FA9"/>
    <w:rsid w:val="00794039"/>
    <w:rsid w:val="00794595"/>
    <w:rsid w:val="007945A4"/>
    <w:rsid w:val="00794C71"/>
    <w:rsid w:val="007950D2"/>
    <w:rsid w:val="007953EE"/>
    <w:rsid w:val="00795A9E"/>
    <w:rsid w:val="00795C0D"/>
    <w:rsid w:val="00795FAE"/>
    <w:rsid w:val="007960DB"/>
    <w:rsid w:val="007960DE"/>
    <w:rsid w:val="00796523"/>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726"/>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0E5"/>
    <w:rsid w:val="007C412A"/>
    <w:rsid w:val="007C4663"/>
    <w:rsid w:val="007C46FC"/>
    <w:rsid w:val="007C4804"/>
    <w:rsid w:val="007C4D3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6A14"/>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9D8"/>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3FF2"/>
    <w:rsid w:val="007F48F0"/>
    <w:rsid w:val="007F4A18"/>
    <w:rsid w:val="007F4E2A"/>
    <w:rsid w:val="007F4E73"/>
    <w:rsid w:val="007F5667"/>
    <w:rsid w:val="007F57FF"/>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3EB7"/>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263"/>
    <w:rsid w:val="0081086E"/>
    <w:rsid w:val="00810891"/>
    <w:rsid w:val="00810BDF"/>
    <w:rsid w:val="00810C3D"/>
    <w:rsid w:val="00810EF9"/>
    <w:rsid w:val="00811295"/>
    <w:rsid w:val="00811BC6"/>
    <w:rsid w:val="00811C0A"/>
    <w:rsid w:val="0081211E"/>
    <w:rsid w:val="0081225F"/>
    <w:rsid w:val="00812481"/>
    <w:rsid w:val="00812BDB"/>
    <w:rsid w:val="0081382C"/>
    <w:rsid w:val="00813A7F"/>
    <w:rsid w:val="00813EAE"/>
    <w:rsid w:val="0081423D"/>
    <w:rsid w:val="00814D97"/>
    <w:rsid w:val="00815065"/>
    <w:rsid w:val="008150BD"/>
    <w:rsid w:val="008156D0"/>
    <w:rsid w:val="008158E9"/>
    <w:rsid w:val="00815910"/>
    <w:rsid w:val="00815C61"/>
    <w:rsid w:val="00816183"/>
    <w:rsid w:val="008163AA"/>
    <w:rsid w:val="00816921"/>
    <w:rsid w:val="0081699B"/>
    <w:rsid w:val="00816FAA"/>
    <w:rsid w:val="0081740D"/>
    <w:rsid w:val="00817516"/>
    <w:rsid w:val="0081768B"/>
    <w:rsid w:val="00817F99"/>
    <w:rsid w:val="008208ED"/>
    <w:rsid w:val="00820BEC"/>
    <w:rsid w:val="00820E0A"/>
    <w:rsid w:val="00820EA0"/>
    <w:rsid w:val="008215BF"/>
    <w:rsid w:val="008217AC"/>
    <w:rsid w:val="008219A9"/>
    <w:rsid w:val="00821B55"/>
    <w:rsid w:val="00821D7C"/>
    <w:rsid w:val="00822BBD"/>
    <w:rsid w:val="00822F15"/>
    <w:rsid w:val="00824505"/>
    <w:rsid w:val="00824654"/>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EE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2A7"/>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8FE"/>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0FE"/>
    <w:rsid w:val="00865852"/>
    <w:rsid w:val="0086587C"/>
    <w:rsid w:val="00865D34"/>
    <w:rsid w:val="00865DC6"/>
    <w:rsid w:val="008660C4"/>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87841"/>
    <w:rsid w:val="00890389"/>
    <w:rsid w:val="0089075A"/>
    <w:rsid w:val="00890E73"/>
    <w:rsid w:val="00890FE2"/>
    <w:rsid w:val="008911C4"/>
    <w:rsid w:val="00891391"/>
    <w:rsid w:val="00891B8F"/>
    <w:rsid w:val="00891FE5"/>
    <w:rsid w:val="0089277A"/>
    <w:rsid w:val="00892A2C"/>
    <w:rsid w:val="00892B3B"/>
    <w:rsid w:val="00892D77"/>
    <w:rsid w:val="008930C6"/>
    <w:rsid w:val="0089384F"/>
    <w:rsid w:val="00893D73"/>
    <w:rsid w:val="00894515"/>
    <w:rsid w:val="008949C9"/>
    <w:rsid w:val="00894BC1"/>
    <w:rsid w:val="00894E1E"/>
    <w:rsid w:val="00895081"/>
    <w:rsid w:val="00895385"/>
    <w:rsid w:val="00895F4A"/>
    <w:rsid w:val="0089621C"/>
    <w:rsid w:val="0089636C"/>
    <w:rsid w:val="008964DA"/>
    <w:rsid w:val="00896B12"/>
    <w:rsid w:val="00897688"/>
    <w:rsid w:val="00897895"/>
    <w:rsid w:val="008979B0"/>
    <w:rsid w:val="00897A9E"/>
    <w:rsid w:val="00897EC7"/>
    <w:rsid w:val="00897F0F"/>
    <w:rsid w:val="008A0247"/>
    <w:rsid w:val="008A026F"/>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2F44"/>
    <w:rsid w:val="008C3517"/>
    <w:rsid w:val="008C3A0B"/>
    <w:rsid w:val="008C3AE8"/>
    <w:rsid w:val="008C3B5F"/>
    <w:rsid w:val="008C3F10"/>
    <w:rsid w:val="008C4169"/>
    <w:rsid w:val="008C41BF"/>
    <w:rsid w:val="008C482D"/>
    <w:rsid w:val="008C49EB"/>
    <w:rsid w:val="008C4C28"/>
    <w:rsid w:val="008C4D68"/>
    <w:rsid w:val="008C503A"/>
    <w:rsid w:val="008C5A41"/>
    <w:rsid w:val="008C61D9"/>
    <w:rsid w:val="008C6A59"/>
    <w:rsid w:val="008C6B22"/>
    <w:rsid w:val="008C6E68"/>
    <w:rsid w:val="008C767A"/>
    <w:rsid w:val="008C784F"/>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059"/>
    <w:rsid w:val="008D4264"/>
    <w:rsid w:val="008D4358"/>
    <w:rsid w:val="008D4CDF"/>
    <w:rsid w:val="008D5790"/>
    <w:rsid w:val="008D5C28"/>
    <w:rsid w:val="008D60F2"/>
    <w:rsid w:val="008D6386"/>
    <w:rsid w:val="008D6716"/>
    <w:rsid w:val="008D7023"/>
    <w:rsid w:val="008D7161"/>
    <w:rsid w:val="008D71B6"/>
    <w:rsid w:val="008D7909"/>
    <w:rsid w:val="008D795B"/>
    <w:rsid w:val="008E018E"/>
    <w:rsid w:val="008E03EF"/>
    <w:rsid w:val="008E0644"/>
    <w:rsid w:val="008E1371"/>
    <w:rsid w:val="008E1DB0"/>
    <w:rsid w:val="008E1F2B"/>
    <w:rsid w:val="008E2159"/>
    <w:rsid w:val="008E240F"/>
    <w:rsid w:val="008E245A"/>
    <w:rsid w:val="008E2597"/>
    <w:rsid w:val="008E2890"/>
    <w:rsid w:val="008E2B3A"/>
    <w:rsid w:val="008E2B78"/>
    <w:rsid w:val="008E3202"/>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1B83"/>
    <w:rsid w:val="008F29DA"/>
    <w:rsid w:val="008F2D5D"/>
    <w:rsid w:val="008F3010"/>
    <w:rsid w:val="008F3070"/>
    <w:rsid w:val="008F35EC"/>
    <w:rsid w:val="008F39FB"/>
    <w:rsid w:val="008F3D0D"/>
    <w:rsid w:val="008F3D56"/>
    <w:rsid w:val="008F4C8C"/>
    <w:rsid w:val="008F54C4"/>
    <w:rsid w:val="008F54CA"/>
    <w:rsid w:val="008F591C"/>
    <w:rsid w:val="008F59AE"/>
    <w:rsid w:val="008F5C27"/>
    <w:rsid w:val="008F789B"/>
    <w:rsid w:val="00900377"/>
    <w:rsid w:val="009005DD"/>
    <w:rsid w:val="00900900"/>
    <w:rsid w:val="00900ABF"/>
    <w:rsid w:val="00901581"/>
    <w:rsid w:val="00901889"/>
    <w:rsid w:val="00901940"/>
    <w:rsid w:val="009020A8"/>
    <w:rsid w:val="00902C49"/>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3A2"/>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521"/>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472"/>
    <w:rsid w:val="00947A09"/>
    <w:rsid w:val="00950011"/>
    <w:rsid w:val="00950B2F"/>
    <w:rsid w:val="00950E68"/>
    <w:rsid w:val="00950F6E"/>
    <w:rsid w:val="009510EF"/>
    <w:rsid w:val="00951278"/>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4F5"/>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5C93"/>
    <w:rsid w:val="00966824"/>
    <w:rsid w:val="00967052"/>
    <w:rsid w:val="00967B50"/>
    <w:rsid w:val="00970041"/>
    <w:rsid w:val="0097029F"/>
    <w:rsid w:val="009707D9"/>
    <w:rsid w:val="009708B5"/>
    <w:rsid w:val="00971148"/>
    <w:rsid w:val="009712E5"/>
    <w:rsid w:val="00971581"/>
    <w:rsid w:val="00971815"/>
    <w:rsid w:val="0097183F"/>
    <w:rsid w:val="00972413"/>
    <w:rsid w:val="0097258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35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1F7"/>
    <w:rsid w:val="00987657"/>
    <w:rsid w:val="00987B67"/>
    <w:rsid w:val="00987DD3"/>
    <w:rsid w:val="0099027C"/>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6D27"/>
    <w:rsid w:val="00996DB8"/>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0F"/>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2E3"/>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5E4"/>
    <w:rsid w:val="009B67A6"/>
    <w:rsid w:val="009B69DE"/>
    <w:rsid w:val="009B6CC6"/>
    <w:rsid w:val="009B6EDC"/>
    <w:rsid w:val="009B7563"/>
    <w:rsid w:val="009B7753"/>
    <w:rsid w:val="009B7829"/>
    <w:rsid w:val="009B7EEA"/>
    <w:rsid w:val="009C004F"/>
    <w:rsid w:val="009C04AC"/>
    <w:rsid w:val="009C0D0A"/>
    <w:rsid w:val="009C0EB5"/>
    <w:rsid w:val="009C0F5C"/>
    <w:rsid w:val="009C1132"/>
    <w:rsid w:val="009C1A3D"/>
    <w:rsid w:val="009C1AFC"/>
    <w:rsid w:val="009C2046"/>
    <w:rsid w:val="009C277C"/>
    <w:rsid w:val="009C2AA0"/>
    <w:rsid w:val="009C2AEA"/>
    <w:rsid w:val="009C42C5"/>
    <w:rsid w:val="009C4305"/>
    <w:rsid w:val="009C44EB"/>
    <w:rsid w:val="009C4A3F"/>
    <w:rsid w:val="009C4AB2"/>
    <w:rsid w:val="009C5124"/>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C99"/>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5CD"/>
    <w:rsid w:val="009E56D2"/>
    <w:rsid w:val="009E56ED"/>
    <w:rsid w:val="009E59B1"/>
    <w:rsid w:val="009E60F4"/>
    <w:rsid w:val="009E6998"/>
    <w:rsid w:val="009E6D01"/>
    <w:rsid w:val="009E717F"/>
    <w:rsid w:val="009E7402"/>
    <w:rsid w:val="009E79A7"/>
    <w:rsid w:val="009E7A7B"/>
    <w:rsid w:val="009E7AD6"/>
    <w:rsid w:val="009E7AD8"/>
    <w:rsid w:val="009E7AF1"/>
    <w:rsid w:val="009E7C8F"/>
    <w:rsid w:val="009E7FA9"/>
    <w:rsid w:val="009F025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4A4"/>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4B2"/>
    <w:rsid w:val="00A06C5E"/>
    <w:rsid w:val="00A06F50"/>
    <w:rsid w:val="00A06FEA"/>
    <w:rsid w:val="00A07028"/>
    <w:rsid w:val="00A1024D"/>
    <w:rsid w:val="00A1031C"/>
    <w:rsid w:val="00A1061B"/>
    <w:rsid w:val="00A1083F"/>
    <w:rsid w:val="00A1091A"/>
    <w:rsid w:val="00A10968"/>
    <w:rsid w:val="00A10C11"/>
    <w:rsid w:val="00A117BB"/>
    <w:rsid w:val="00A11B2F"/>
    <w:rsid w:val="00A11B97"/>
    <w:rsid w:val="00A124C7"/>
    <w:rsid w:val="00A1325F"/>
    <w:rsid w:val="00A134A1"/>
    <w:rsid w:val="00A134CA"/>
    <w:rsid w:val="00A135D6"/>
    <w:rsid w:val="00A13E05"/>
    <w:rsid w:val="00A14402"/>
    <w:rsid w:val="00A15175"/>
    <w:rsid w:val="00A151C5"/>
    <w:rsid w:val="00A15821"/>
    <w:rsid w:val="00A15CA7"/>
    <w:rsid w:val="00A16558"/>
    <w:rsid w:val="00A16772"/>
    <w:rsid w:val="00A1685B"/>
    <w:rsid w:val="00A16F9C"/>
    <w:rsid w:val="00A1734C"/>
    <w:rsid w:val="00A17580"/>
    <w:rsid w:val="00A176FF"/>
    <w:rsid w:val="00A17B73"/>
    <w:rsid w:val="00A17C3B"/>
    <w:rsid w:val="00A20182"/>
    <w:rsid w:val="00A2026C"/>
    <w:rsid w:val="00A20667"/>
    <w:rsid w:val="00A212E5"/>
    <w:rsid w:val="00A21B9F"/>
    <w:rsid w:val="00A221A4"/>
    <w:rsid w:val="00A232D6"/>
    <w:rsid w:val="00A234E3"/>
    <w:rsid w:val="00A2376B"/>
    <w:rsid w:val="00A238C8"/>
    <w:rsid w:val="00A24DE7"/>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0C8C"/>
    <w:rsid w:val="00A510C0"/>
    <w:rsid w:val="00A511BD"/>
    <w:rsid w:val="00A51210"/>
    <w:rsid w:val="00A5153A"/>
    <w:rsid w:val="00A51B24"/>
    <w:rsid w:val="00A51D32"/>
    <w:rsid w:val="00A520F5"/>
    <w:rsid w:val="00A52152"/>
    <w:rsid w:val="00A521EA"/>
    <w:rsid w:val="00A521ED"/>
    <w:rsid w:val="00A52313"/>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1D1C"/>
    <w:rsid w:val="00A82935"/>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6AB"/>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59F"/>
    <w:rsid w:val="00AA67E0"/>
    <w:rsid w:val="00AA6B8D"/>
    <w:rsid w:val="00AA6F01"/>
    <w:rsid w:val="00AA7281"/>
    <w:rsid w:val="00AA7615"/>
    <w:rsid w:val="00AA7FA7"/>
    <w:rsid w:val="00AB014D"/>
    <w:rsid w:val="00AB01CF"/>
    <w:rsid w:val="00AB02C7"/>
    <w:rsid w:val="00AB0432"/>
    <w:rsid w:val="00AB04D8"/>
    <w:rsid w:val="00AB0E92"/>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C9F"/>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B8A"/>
    <w:rsid w:val="00AC4C35"/>
    <w:rsid w:val="00AC50E9"/>
    <w:rsid w:val="00AC50FD"/>
    <w:rsid w:val="00AC5949"/>
    <w:rsid w:val="00AC5AED"/>
    <w:rsid w:val="00AC5CCD"/>
    <w:rsid w:val="00AC5CED"/>
    <w:rsid w:val="00AC631D"/>
    <w:rsid w:val="00AC670D"/>
    <w:rsid w:val="00AC6BA0"/>
    <w:rsid w:val="00AC6BD6"/>
    <w:rsid w:val="00AC71B2"/>
    <w:rsid w:val="00AC7635"/>
    <w:rsid w:val="00AC774B"/>
    <w:rsid w:val="00AC7764"/>
    <w:rsid w:val="00AC77A8"/>
    <w:rsid w:val="00AC79E0"/>
    <w:rsid w:val="00AC7BCD"/>
    <w:rsid w:val="00AD0B10"/>
    <w:rsid w:val="00AD14F2"/>
    <w:rsid w:val="00AD150A"/>
    <w:rsid w:val="00AD17E2"/>
    <w:rsid w:val="00AD1AAC"/>
    <w:rsid w:val="00AD1E14"/>
    <w:rsid w:val="00AD1F14"/>
    <w:rsid w:val="00AD202A"/>
    <w:rsid w:val="00AD2375"/>
    <w:rsid w:val="00AD239F"/>
    <w:rsid w:val="00AD28C9"/>
    <w:rsid w:val="00AD35AB"/>
    <w:rsid w:val="00AD3E97"/>
    <w:rsid w:val="00AD4153"/>
    <w:rsid w:val="00AD41CA"/>
    <w:rsid w:val="00AD4318"/>
    <w:rsid w:val="00AD46AB"/>
    <w:rsid w:val="00AD4813"/>
    <w:rsid w:val="00AD4ADE"/>
    <w:rsid w:val="00AD4DD7"/>
    <w:rsid w:val="00AD4FE1"/>
    <w:rsid w:val="00AD5036"/>
    <w:rsid w:val="00AD54E6"/>
    <w:rsid w:val="00AD57F7"/>
    <w:rsid w:val="00AD5B71"/>
    <w:rsid w:val="00AD5F0D"/>
    <w:rsid w:val="00AD694C"/>
    <w:rsid w:val="00AD6CD5"/>
    <w:rsid w:val="00AD7F0A"/>
    <w:rsid w:val="00AE0E18"/>
    <w:rsid w:val="00AE0F32"/>
    <w:rsid w:val="00AE24F3"/>
    <w:rsid w:val="00AE2705"/>
    <w:rsid w:val="00AE2CC4"/>
    <w:rsid w:val="00AE2F10"/>
    <w:rsid w:val="00AE33F4"/>
    <w:rsid w:val="00AE378E"/>
    <w:rsid w:val="00AE39A6"/>
    <w:rsid w:val="00AE3BB7"/>
    <w:rsid w:val="00AE3D96"/>
    <w:rsid w:val="00AE3FDC"/>
    <w:rsid w:val="00AE4FC7"/>
    <w:rsid w:val="00AE5271"/>
    <w:rsid w:val="00AE5433"/>
    <w:rsid w:val="00AE69E8"/>
    <w:rsid w:val="00AE74C9"/>
    <w:rsid w:val="00AF0116"/>
    <w:rsid w:val="00AF0498"/>
    <w:rsid w:val="00AF0D15"/>
    <w:rsid w:val="00AF0ECE"/>
    <w:rsid w:val="00AF0F6F"/>
    <w:rsid w:val="00AF14D5"/>
    <w:rsid w:val="00AF172D"/>
    <w:rsid w:val="00AF18A1"/>
    <w:rsid w:val="00AF1E94"/>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498"/>
    <w:rsid w:val="00AF592B"/>
    <w:rsid w:val="00AF6356"/>
    <w:rsid w:val="00AF639E"/>
    <w:rsid w:val="00AF6B1E"/>
    <w:rsid w:val="00AF6F08"/>
    <w:rsid w:val="00AF70F3"/>
    <w:rsid w:val="00AF7167"/>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3F4"/>
    <w:rsid w:val="00B2286F"/>
    <w:rsid w:val="00B23047"/>
    <w:rsid w:val="00B23DDF"/>
    <w:rsid w:val="00B243CB"/>
    <w:rsid w:val="00B245C2"/>
    <w:rsid w:val="00B25327"/>
    <w:rsid w:val="00B25399"/>
    <w:rsid w:val="00B25C8A"/>
    <w:rsid w:val="00B26198"/>
    <w:rsid w:val="00B26E5D"/>
    <w:rsid w:val="00B27499"/>
    <w:rsid w:val="00B2756F"/>
    <w:rsid w:val="00B275D7"/>
    <w:rsid w:val="00B2764F"/>
    <w:rsid w:val="00B27EDD"/>
    <w:rsid w:val="00B303A1"/>
    <w:rsid w:val="00B30903"/>
    <w:rsid w:val="00B30933"/>
    <w:rsid w:val="00B30BCC"/>
    <w:rsid w:val="00B31386"/>
    <w:rsid w:val="00B314F3"/>
    <w:rsid w:val="00B31666"/>
    <w:rsid w:val="00B31A88"/>
    <w:rsid w:val="00B31B09"/>
    <w:rsid w:val="00B31CC8"/>
    <w:rsid w:val="00B31F40"/>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5FC9"/>
    <w:rsid w:val="00B46251"/>
    <w:rsid w:val="00B462B8"/>
    <w:rsid w:val="00B46422"/>
    <w:rsid w:val="00B466BB"/>
    <w:rsid w:val="00B46EF0"/>
    <w:rsid w:val="00B47807"/>
    <w:rsid w:val="00B47C39"/>
    <w:rsid w:val="00B50534"/>
    <w:rsid w:val="00B507E1"/>
    <w:rsid w:val="00B50CC8"/>
    <w:rsid w:val="00B510B3"/>
    <w:rsid w:val="00B51566"/>
    <w:rsid w:val="00B51722"/>
    <w:rsid w:val="00B51C6C"/>
    <w:rsid w:val="00B51D00"/>
    <w:rsid w:val="00B52E10"/>
    <w:rsid w:val="00B5354E"/>
    <w:rsid w:val="00B55282"/>
    <w:rsid w:val="00B5534F"/>
    <w:rsid w:val="00B55ABB"/>
    <w:rsid w:val="00B55F41"/>
    <w:rsid w:val="00B561F9"/>
    <w:rsid w:val="00B56B6C"/>
    <w:rsid w:val="00B56C44"/>
    <w:rsid w:val="00B57266"/>
    <w:rsid w:val="00B60A08"/>
    <w:rsid w:val="00B60E6D"/>
    <w:rsid w:val="00B60F50"/>
    <w:rsid w:val="00B61765"/>
    <w:rsid w:val="00B61C3B"/>
    <w:rsid w:val="00B61CF8"/>
    <w:rsid w:val="00B62125"/>
    <w:rsid w:val="00B62298"/>
    <w:rsid w:val="00B624DC"/>
    <w:rsid w:val="00B6266F"/>
    <w:rsid w:val="00B62AD5"/>
    <w:rsid w:val="00B62B82"/>
    <w:rsid w:val="00B62BD8"/>
    <w:rsid w:val="00B6304C"/>
    <w:rsid w:val="00B63785"/>
    <w:rsid w:val="00B63F4B"/>
    <w:rsid w:val="00B63FEA"/>
    <w:rsid w:val="00B6441A"/>
    <w:rsid w:val="00B6447F"/>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19F"/>
    <w:rsid w:val="00B767E0"/>
    <w:rsid w:val="00B773A7"/>
    <w:rsid w:val="00B7765E"/>
    <w:rsid w:val="00B77662"/>
    <w:rsid w:val="00B777E2"/>
    <w:rsid w:val="00B80369"/>
    <w:rsid w:val="00B8053F"/>
    <w:rsid w:val="00B80879"/>
    <w:rsid w:val="00B8136E"/>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D09"/>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9C4"/>
    <w:rsid w:val="00BC5C8E"/>
    <w:rsid w:val="00BC6004"/>
    <w:rsid w:val="00BC60E8"/>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1E3"/>
    <w:rsid w:val="00BE0853"/>
    <w:rsid w:val="00BE0994"/>
    <w:rsid w:val="00BE0DB4"/>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A7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6E9"/>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031A"/>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2DB"/>
    <w:rsid w:val="00C1064A"/>
    <w:rsid w:val="00C106D4"/>
    <w:rsid w:val="00C10F2E"/>
    <w:rsid w:val="00C116FD"/>
    <w:rsid w:val="00C118E0"/>
    <w:rsid w:val="00C11A46"/>
    <w:rsid w:val="00C11BC0"/>
    <w:rsid w:val="00C11FF5"/>
    <w:rsid w:val="00C12097"/>
    <w:rsid w:val="00C123AA"/>
    <w:rsid w:val="00C12555"/>
    <w:rsid w:val="00C12D47"/>
    <w:rsid w:val="00C12E29"/>
    <w:rsid w:val="00C12F37"/>
    <w:rsid w:val="00C1316E"/>
    <w:rsid w:val="00C138DD"/>
    <w:rsid w:val="00C13A27"/>
    <w:rsid w:val="00C151E5"/>
    <w:rsid w:val="00C1524F"/>
    <w:rsid w:val="00C15373"/>
    <w:rsid w:val="00C15756"/>
    <w:rsid w:val="00C15817"/>
    <w:rsid w:val="00C158ED"/>
    <w:rsid w:val="00C15D1B"/>
    <w:rsid w:val="00C15DFD"/>
    <w:rsid w:val="00C16651"/>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7C7"/>
    <w:rsid w:val="00C27B8F"/>
    <w:rsid w:val="00C27E07"/>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3C30"/>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0E2E"/>
    <w:rsid w:val="00C41921"/>
    <w:rsid w:val="00C41EC9"/>
    <w:rsid w:val="00C41F8A"/>
    <w:rsid w:val="00C42955"/>
    <w:rsid w:val="00C438BE"/>
    <w:rsid w:val="00C43C9E"/>
    <w:rsid w:val="00C43D49"/>
    <w:rsid w:val="00C449A5"/>
    <w:rsid w:val="00C44F31"/>
    <w:rsid w:val="00C4503A"/>
    <w:rsid w:val="00C465B5"/>
    <w:rsid w:val="00C465C5"/>
    <w:rsid w:val="00C469CF"/>
    <w:rsid w:val="00C46AA2"/>
    <w:rsid w:val="00C47686"/>
    <w:rsid w:val="00C47D18"/>
    <w:rsid w:val="00C47D21"/>
    <w:rsid w:val="00C50D72"/>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57EE7"/>
    <w:rsid w:val="00C600A2"/>
    <w:rsid w:val="00C603E4"/>
    <w:rsid w:val="00C60425"/>
    <w:rsid w:val="00C604AB"/>
    <w:rsid w:val="00C60620"/>
    <w:rsid w:val="00C6063C"/>
    <w:rsid w:val="00C60778"/>
    <w:rsid w:val="00C60849"/>
    <w:rsid w:val="00C60B79"/>
    <w:rsid w:val="00C617BD"/>
    <w:rsid w:val="00C61B35"/>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863"/>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1D67"/>
    <w:rsid w:val="00C8292C"/>
    <w:rsid w:val="00C83F8E"/>
    <w:rsid w:val="00C84820"/>
    <w:rsid w:val="00C84A0F"/>
    <w:rsid w:val="00C84EB2"/>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B7E"/>
    <w:rsid w:val="00C97F26"/>
    <w:rsid w:val="00C97F55"/>
    <w:rsid w:val="00CA003E"/>
    <w:rsid w:val="00CA048D"/>
    <w:rsid w:val="00CA04B9"/>
    <w:rsid w:val="00CA06B3"/>
    <w:rsid w:val="00CA0A1F"/>
    <w:rsid w:val="00CA1026"/>
    <w:rsid w:val="00CA162D"/>
    <w:rsid w:val="00CA322F"/>
    <w:rsid w:val="00CA3536"/>
    <w:rsid w:val="00CA3725"/>
    <w:rsid w:val="00CA3737"/>
    <w:rsid w:val="00CA391E"/>
    <w:rsid w:val="00CA42B1"/>
    <w:rsid w:val="00CA49C0"/>
    <w:rsid w:val="00CA49CA"/>
    <w:rsid w:val="00CA49D4"/>
    <w:rsid w:val="00CA4B2D"/>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141"/>
    <w:rsid w:val="00CC0CD1"/>
    <w:rsid w:val="00CC176C"/>
    <w:rsid w:val="00CC1FA4"/>
    <w:rsid w:val="00CC2547"/>
    <w:rsid w:val="00CC256A"/>
    <w:rsid w:val="00CC2E6D"/>
    <w:rsid w:val="00CC2FE7"/>
    <w:rsid w:val="00CC309D"/>
    <w:rsid w:val="00CC3711"/>
    <w:rsid w:val="00CC412F"/>
    <w:rsid w:val="00CC4D20"/>
    <w:rsid w:val="00CC5174"/>
    <w:rsid w:val="00CC5205"/>
    <w:rsid w:val="00CC563E"/>
    <w:rsid w:val="00CC5C5E"/>
    <w:rsid w:val="00CC60C3"/>
    <w:rsid w:val="00CC6BD6"/>
    <w:rsid w:val="00CC6D74"/>
    <w:rsid w:val="00CC71F2"/>
    <w:rsid w:val="00CC7C5C"/>
    <w:rsid w:val="00CD04DC"/>
    <w:rsid w:val="00CD0789"/>
    <w:rsid w:val="00CD0D42"/>
    <w:rsid w:val="00CD1538"/>
    <w:rsid w:val="00CD2066"/>
    <w:rsid w:val="00CD407C"/>
    <w:rsid w:val="00CD4080"/>
    <w:rsid w:val="00CD4242"/>
    <w:rsid w:val="00CD47B2"/>
    <w:rsid w:val="00CD522E"/>
    <w:rsid w:val="00CD55CD"/>
    <w:rsid w:val="00CD57FB"/>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76C"/>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208"/>
    <w:rsid w:val="00CF36F9"/>
    <w:rsid w:val="00CF374D"/>
    <w:rsid w:val="00CF3F92"/>
    <w:rsid w:val="00CF423C"/>
    <w:rsid w:val="00CF42BA"/>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CF7FE4"/>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459E"/>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6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6D9E"/>
    <w:rsid w:val="00D37182"/>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865"/>
    <w:rsid w:val="00D46972"/>
    <w:rsid w:val="00D46BCA"/>
    <w:rsid w:val="00D46D76"/>
    <w:rsid w:val="00D470B7"/>
    <w:rsid w:val="00D4758C"/>
    <w:rsid w:val="00D477AC"/>
    <w:rsid w:val="00D47CCF"/>
    <w:rsid w:val="00D47E56"/>
    <w:rsid w:val="00D47FBF"/>
    <w:rsid w:val="00D50C23"/>
    <w:rsid w:val="00D50D0C"/>
    <w:rsid w:val="00D51F44"/>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3C5B"/>
    <w:rsid w:val="00D646B4"/>
    <w:rsid w:val="00D64D06"/>
    <w:rsid w:val="00D65020"/>
    <w:rsid w:val="00D657B7"/>
    <w:rsid w:val="00D65932"/>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4DA6"/>
    <w:rsid w:val="00D75650"/>
    <w:rsid w:val="00D75788"/>
    <w:rsid w:val="00D75852"/>
    <w:rsid w:val="00D75B84"/>
    <w:rsid w:val="00D75EC7"/>
    <w:rsid w:val="00D7649C"/>
    <w:rsid w:val="00D764F2"/>
    <w:rsid w:val="00D7676B"/>
    <w:rsid w:val="00D768A3"/>
    <w:rsid w:val="00D76F7F"/>
    <w:rsid w:val="00D76F90"/>
    <w:rsid w:val="00D77369"/>
    <w:rsid w:val="00D80318"/>
    <w:rsid w:val="00D8075D"/>
    <w:rsid w:val="00D80A8A"/>
    <w:rsid w:val="00D80B68"/>
    <w:rsid w:val="00D80E96"/>
    <w:rsid w:val="00D812CB"/>
    <w:rsid w:val="00D8173A"/>
    <w:rsid w:val="00D81D03"/>
    <w:rsid w:val="00D82141"/>
    <w:rsid w:val="00D822EB"/>
    <w:rsid w:val="00D82443"/>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737"/>
    <w:rsid w:val="00DA4919"/>
    <w:rsid w:val="00DA4963"/>
    <w:rsid w:val="00DA4DBE"/>
    <w:rsid w:val="00DA522C"/>
    <w:rsid w:val="00DA56AF"/>
    <w:rsid w:val="00DA596E"/>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1D38"/>
    <w:rsid w:val="00DC2982"/>
    <w:rsid w:val="00DC2B9C"/>
    <w:rsid w:val="00DC3338"/>
    <w:rsid w:val="00DC3667"/>
    <w:rsid w:val="00DC3F8C"/>
    <w:rsid w:val="00DC40F8"/>
    <w:rsid w:val="00DC46D5"/>
    <w:rsid w:val="00DC46FD"/>
    <w:rsid w:val="00DC481D"/>
    <w:rsid w:val="00DC49C1"/>
    <w:rsid w:val="00DC5139"/>
    <w:rsid w:val="00DC5733"/>
    <w:rsid w:val="00DC5B2E"/>
    <w:rsid w:val="00DC5FFA"/>
    <w:rsid w:val="00DC64C4"/>
    <w:rsid w:val="00DC6BEF"/>
    <w:rsid w:val="00DC71FA"/>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503"/>
    <w:rsid w:val="00DD57BA"/>
    <w:rsid w:val="00DD586F"/>
    <w:rsid w:val="00DD5AA5"/>
    <w:rsid w:val="00DD5C35"/>
    <w:rsid w:val="00DD5CD3"/>
    <w:rsid w:val="00DD5F58"/>
    <w:rsid w:val="00DD5F99"/>
    <w:rsid w:val="00DD682A"/>
    <w:rsid w:val="00DD6999"/>
    <w:rsid w:val="00DD704F"/>
    <w:rsid w:val="00DD7A15"/>
    <w:rsid w:val="00DD7CEA"/>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1BCC"/>
    <w:rsid w:val="00E02098"/>
    <w:rsid w:val="00E0221B"/>
    <w:rsid w:val="00E02534"/>
    <w:rsid w:val="00E02FC9"/>
    <w:rsid w:val="00E034A3"/>
    <w:rsid w:val="00E03793"/>
    <w:rsid w:val="00E04282"/>
    <w:rsid w:val="00E04C42"/>
    <w:rsid w:val="00E04CD1"/>
    <w:rsid w:val="00E04E5E"/>
    <w:rsid w:val="00E04F36"/>
    <w:rsid w:val="00E05459"/>
    <w:rsid w:val="00E0559A"/>
    <w:rsid w:val="00E056B8"/>
    <w:rsid w:val="00E0696E"/>
    <w:rsid w:val="00E06C4B"/>
    <w:rsid w:val="00E06E20"/>
    <w:rsid w:val="00E0777E"/>
    <w:rsid w:val="00E0798B"/>
    <w:rsid w:val="00E07C32"/>
    <w:rsid w:val="00E100D7"/>
    <w:rsid w:val="00E11057"/>
    <w:rsid w:val="00E1105F"/>
    <w:rsid w:val="00E1169A"/>
    <w:rsid w:val="00E116E6"/>
    <w:rsid w:val="00E11C7E"/>
    <w:rsid w:val="00E127FF"/>
    <w:rsid w:val="00E12822"/>
    <w:rsid w:val="00E13074"/>
    <w:rsid w:val="00E13809"/>
    <w:rsid w:val="00E13D25"/>
    <w:rsid w:val="00E140F4"/>
    <w:rsid w:val="00E14613"/>
    <w:rsid w:val="00E14A7D"/>
    <w:rsid w:val="00E14B9F"/>
    <w:rsid w:val="00E15153"/>
    <w:rsid w:val="00E15AC4"/>
    <w:rsid w:val="00E15F1F"/>
    <w:rsid w:val="00E15F4B"/>
    <w:rsid w:val="00E15FFD"/>
    <w:rsid w:val="00E1619F"/>
    <w:rsid w:val="00E1673E"/>
    <w:rsid w:val="00E16C91"/>
    <w:rsid w:val="00E17DAC"/>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28"/>
    <w:rsid w:val="00E2586C"/>
    <w:rsid w:val="00E25AFB"/>
    <w:rsid w:val="00E25E30"/>
    <w:rsid w:val="00E267FA"/>
    <w:rsid w:val="00E26B92"/>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CA8"/>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144A"/>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13F"/>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99"/>
    <w:rsid w:val="00E52BA5"/>
    <w:rsid w:val="00E52EEA"/>
    <w:rsid w:val="00E530A5"/>
    <w:rsid w:val="00E534E3"/>
    <w:rsid w:val="00E536A8"/>
    <w:rsid w:val="00E53ACF"/>
    <w:rsid w:val="00E53EFF"/>
    <w:rsid w:val="00E54A3A"/>
    <w:rsid w:val="00E54B51"/>
    <w:rsid w:val="00E5564A"/>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ADD"/>
    <w:rsid w:val="00E86B8B"/>
    <w:rsid w:val="00E86F32"/>
    <w:rsid w:val="00E9004E"/>
    <w:rsid w:val="00E90252"/>
    <w:rsid w:val="00E90685"/>
    <w:rsid w:val="00E90E61"/>
    <w:rsid w:val="00E91632"/>
    <w:rsid w:val="00E93392"/>
    <w:rsid w:val="00E93460"/>
    <w:rsid w:val="00E938F2"/>
    <w:rsid w:val="00E940E9"/>
    <w:rsid w:val="00E9432A"/>
    <w:rsid w:val="00E94C36"/>
    <w:rsid w:val="00E94E34"/>
    <w:rsid w:val="00E94F94"/>
    <w:rsid w:val="00E95A5A"/>
    <w:rsid w:val="00E95DA0"/>
    <w:rsid w:val="00E95F9D"/>
    <w:rsid w:val="00E966DB"/>
    <w:rsid w:val="00E96AC5"/>
    <w:rsid w:val="00E96BF5"/>
    <w:rsid w:val="00E979C6"/>
    <w:rsid w:val="00E97B72"/>
    <w:rsid w:val="00E97D8F"/>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860"/>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6E7"/>
    <w:rsid w:val="00EB382D"/>
    <w:rsid w:val="00EB3C63"/>
    <w:rsid w:val="00EB3C96"/>
    <w:rsid w:val="00EB3E52"/>
    <w:rsid w:val="00EB432C"/>
    <w:rsid w:val="00EB469B"/>
    <w:rsid w:val="00EB4A63"/>
    <w:rsid w:val="00EB504F"/>
    <w:rsid w:val="00EB5275"/>
    <w:rsid w:val="00EB5599"/>
    <w:rsid w:val="00EB55B7"/>
    <w:rsid w:val="00EB562D"/>
    <w:rsid w:val="00EB6182"/>
    <w:rsid w:val="00EB6225"/>
    <w:rsid w:val="00EB6539"/>
    <w:rsid w:val="00EB6937"/>
    <w:rsid w:val="00EB70B5"/>
    <w:rsid w:val="00EB70BA"/>
    <w:rsid w:val="00EB7151"/>
    <w:rsid w:val="00EB74F4"/>
    <w:rsid w:val="00EB75BF"/>
    <w:rsid w:val="00EB75F3"/>
    <w:rsid w:val="00EB7A0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6F2C"/>
    <w:rsid w:val="00EC705F"/>
    <w:rsid w:val="00EC7106"/>
    <w:rsid w:val="00EC73B0"/>
    <w:rsid w:val="00EC7723"/>
    <w:rsid w:val="00EC78ED"/>
    <w:rsid w:val="00EC7DCA"/>
    <w:rsid w:val="00ED05E5"/>
    <w:rsid w:val="00ED08A7"/>
    <w:rsid w:val="00ED1271"/>
    <w:rsid w:val="00ED14E7"/>
    <w:rsid w:val="00ED1A7B"/>
    <w:rsid w:val="00ED1C96"/>
    <w:rsid w:val="00ED1F42"/>
    <w:rsid w:val="00ED2A57"/>
    <w:rsid w:val="00ED2E20"/>
    <w:rsid w:val="00ED2E3B"/>
    <w:rsid w:val="00ED379C"/>
    <w:rsid w:val="00ED397D"/>
    <w:rsid w:val="00ED3D9B"/>
    <w:rsid w:val="00ED41E4"/>
    <w:rsid w:val="00ED4213"/>
    <w:rsid w:val="00ED4858"/>
    <w:rsid w:val="00ED60E2"/>
    <w:rsid w:val="00ED65A6"/>
    <w:rsid w:val="00ED6B63"/>
    <w:rsid w:val="00ED6CB5"/>
    <w:rsid w:val="00ED6E0C"/>
    <w:rsid w:val="00ED6EBD"/>
    <w:rsid w:val="00ED7149"/>
    <w:rsid w:val="00ED7358"/>
    <w:rsid w:val="00ED7364"/>
    <w:rsid w:val="00ED74D7"/>
    <w:rsid w:val="00ED778B"/>
    <w:rsid w:val="00ED7E48"/>
    <w:rsid w:val="00EE0009"/>
    <w:rsid w:val="00EE0983"/>
    <w:rsid w:val="00EE1A96"/>
    <w:rsid w:val="00EE1B99"/>
    <w:rsid w:val="00EE1C5E"/>
    <w:rsid w:val="00EE1DEE"/>
    <w:rsid w:val="00EE219C"/>
    <w:rsid w:val="00EE232B"/>
    <w:rsid w:val="00EE236B"/>
    <w:rsid w:val="00EE24AE"/>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9C5"/>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EF79C4"/>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17708"/>
    <w:rsid w:val="00F20024"/>
    <w:rsid w:val="00F205B9"/>
    <w:rsid w:val="00F2079A"/>
    <w:rsid w:val="00F20BF3"/>
    <w:rsid w:val="00F20C06"/>
    <w:rsid w:val="00F2136E"/>
    <w:rsid w:val="00F219DE"/>
    <w:rsid w:val="00F21E8B"/>
    <w:rsid w:val="00F226E0"/>
    <w:rsid w:val="00F227C6"/>
    <w:rsid w:val="00F22B59"/>
    <w:rsid w:val="00F2338B"/>
    <w:rsid w:val="00F23A73"/>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AC2"/>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451"/>
    <w:rsid w:val="00F43670"/>
    <w:rsid w:val="00F437BC"/>
    <w:rsid w:val="00F44675"/>
    <w:rsid w:val="00F45314"/>
    <w:rsid w:val="00F453C1"/>
    <w:rsid w:val="00F466FA"/>
    <w:rsid w:val="00F46CD1"/>
    <w:rsid w:val="00F46E7B"/>
    <w:rsid w:val="00F472A3"/>
    <w:rsid w:val="00F47402"/>
    <w:rsid w:val="00F47697"/>
    <w:rsid w:val="00F479AB"/>
    <w:rsid w:val="00F47EB2"/>
    <w:rsid w:val="00F503C2"/>
    <w:rsid w:val="00F50D66"/>
    <w:rsid w:val="00F50DC0"/>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4F5A"/>
    <w:rsid w:val="00F55736"/>
    <w:rsid w:val="00F55D8C"/>
    <w:rsid w:val="00F56990"/>
    <w:rsid w:val="00F56EFE"/>
    <w:rsid w:val="00F57154"/>
    <w:rsid w:val="00F5742C"/>
    <w:rsid w:val="00F5745D"/>
    <w:rsid w:val="00F57730"/>
    <w:rsid w:val="00F5777C"/>
    <w:rsid w:val="00F57888"/>
    <w:rsid w:val="00F57D1C"/>
    <w:rsid w:val="00F57D30"/>
    <w:rsid w:val="00F57EC0"/>
    <w:rsid w:val="00F60620"/>
    <w:rsid w:val="00F609CF"/>
    <w:rsid w:val="00F61420"/>
    <w:rsid w:val="00F615DC"/>
    <w:rsid w:val="00F617D8"/>
    <w:rsid w:val="00F61C39"/>
    <w:rsid w:val="00F61FB0"/>
    <w:rsid w:val="00F6217B"/>
    <w:rsid w:val="00F62923"/>
    <w:rsid w:val="00F62A02"/>
    <w:rsid w:val="00F633BC"/>
    <w:rsid w:val="00F6424A"/>
    <w:rsid w:val="00F64476"/>
    <w:rsid w:val="00F64991"/>
    <w:rsid w:val="00F64A65"/>
    <w:rsid w:val="00F64FD0"/>
    <w:rsid w:val="00F65E43"/>
    <w:rsid w:val="00F66041"/>
    <w:rsid w:val="00F66C81"/>
    <w:rsid w:val="00F66CA3"/>
    <w:rsid w:val="00F66F90"/>
    <w:rsid w:val="00F67EBD"/>
    <w:rsid w:val="00F7007B"/>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970"/>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E77"/>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3"/>
    <w:rsid w:val="00F974E5"/>
    <w:rsid w:val="00F97A98"/>
    <w:rsid w:val="00F97FAD"/>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BBA"/>
    <w:rsid w:val="00FB4E50"/>
    <w:rsid w:val="00FB4EAE"/>
    <w:rsid w:val="00FB5035"/>
    <w:rsid w:val="00FB6452"/>
    <w:rsid w:val="00FB65CC"/>
    <w:rsid w:val="00FB6B7C"/>
    <w:rsid w:val="00FB6C65"/>
    <w:rsid w:val="00FB6E09"/>
    <w:rsid w:val="00FB71BB"/>
    <w:rsid w:val="00FB76DD"/>
    <w:rsid w:val="00FB79F9"/>
    <w:rsid w:val="00FB7CD6"/>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6AD"/>
    <w:rsid w:val="00FC3778"/>
    <w:rsid w:val="00FC3993"/>
    <w:rsid w:val="00FC4ACE"/>
    <w:rsid w:val="00FC505B"/>
    <w:rsid w:val="00FC52E5"/>
    <w:rsid w:val="00FC574B"/>
    <w:rsid w:val="00FC5986"/>
    <w:rsid w:val="00FC5A30"/>
    <w:rsid w:val="00FC5E51"/>
    <w:rsid w:val="00FC6043"/>
    <w:rsid w:val="00FC61AB"/>
    <w:rsid w:val="00FC6275"/>
    <w:rsid w:val="00FC6872"/>
    <w:rsid w:val="00FC68F7"/>
    <w:rsid w:val="00FC6C45"/>
    <w:rsid w:val="00FC73F0"/>
    <w:rsid w:val="00FC7442"/>
    <w:rsid w:val="00FC763B"/>
    <w:rsid w:val="00FC76B3"/>
    <w:rsid w:val="00FC7851"/>
    <w:rsid w:val="00FD0060"/>
    <w:rsid w:val="00FD038D"/>
    <w:rsid w:val="00FD0DF3"/>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3E13"/>
    <w:rsid w:val="00FE406B"/>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47C"/>
    <w:rsid w:val="00FF48B1"/>
    <w:rsid w:val="00FF5283"/>
    <w:rsid w:val="00FF54D6"/>
    <w:rsid w:val="00FF54DF"/>
    <w:rsid w:val="00FF5541"/>
    <w:rsid w:val="00FF563F"/>
    <w:rsid w:val="00FF5EED"/>
    <w:rsid w:val="00FF5F60"/>
    <w:rsid w:val="00FF6169"/>
    <w:rsid w:val="00FF61E7"/>
    <w:rsid w:val="00FF647B"/>
    <w:rsid w:val="00FF66FF"/>
    <w:rsid w:val="00FF6827"/>
    <w:rsid w:val="00FF6828"/>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6D7CC81-0D09-4BAF-931F-13A1A736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7619F"/>
    <w:pPr>
      <w:spacing w:after="250" w:line="276" w:lineRule="auto"/>
      <w:jc w:val="both"/>
    </w:pPr>
    <w:rPr>
      <w:color w:val="181818" w:themeColor="background1" w:themeShade="1A"/>
      <w:sz w:val="22"/>
      <w:lang w:val="en-GB"/>
    </w:rPr>
  </w:style>
  <w:style w:type="paragraph" w:styleId="Titolo1">
    <w:name w:val="heading 1"/>
    <w:basedOn w:val="Normale"/>
    <w:next w:val="Normale"/>
    <w:link w:val="Titolo1Carattere"/>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Titolo2">
    <w:name w:val="heading 2"/>
    <w:basedOn w:val="Normale"/>
    <w:next w:val="Normale"/>
    <w:link w:val="Titolo2Carattere"/>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Titolo3">
    <w:name w:val="heading 3"/>
    <w:basedOn w:val="Normale"/>
    <w:next w:val="Normale"/>
    <w:link w:val="Titolo3Carattere"/>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Titolo4">
    <w:name w:val="heading 4"/>
    <w:basedOn w:val="Normale"/>
    <w:next w:val="Normale"/>
    <w:link w:val="Titolo4Carattere"/>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Titolo5">
    <w:name w:val="heading 5"/>
    <w:basedOn w:val="Normale"/>
    <w:next w:val="Normale"/>
    <w:link w:val="Titolo5Carattere"/>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Titolo6">
    <w:name w:val="heading 6"/>
    <w:basedOn w:val="Normale"/>
    <w:next w:val="Normale"/>
    <w:link w:val="Titolo6Carattere"/>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Titolo7">
    <w:name w:val="heading 7"/>
    <w:basedOn w:val="Normale"/>
    <w:next w:val="Normale"/>
    <w:link w:val="Titolo7Carattere"/>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Titolo8">
    <w:name w:val="heading 8"/>
    <w:basedOn w:val="Normale"/>
    <w:next w:val="Normale"/>
    <w:link w:val="Titolo8Carattere"/>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Titolo9">
    <w:name w:val="heading 9"/>
    <w:basedOn w:val="Normale"/>
    <w:next w:val="Normale"/>
    <w:link w:val="Titolo9Carattere"/>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5B6B12"/>
    <w:pPr>
      <w:spacing w:after="0" w:line="240" w:lineRule="auto"/>
    </w:pPr>
    <w:rPr>
      <w:lang w:val="en-GB"/>
    </w:rPr>
  </w:style>
  <w:style w:type="character" w:customStyle="1" w:styleId="Titolo4Carattere">
    <w:name w:val="Titolo 4 Carattere"/>
    <w:basedOn w:val="Carpredefinitoparagrafo"/>
    <w:link w:val="Titolo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Titolo3Carattere">
    <w:name w:val="Titolo 3 Carattere"/>
    <w:basedOn w:val="Carpredefinitoparagrafo"/>
    <w:link w:val="Titolo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Titolo1Carattere">
    <w:name w:val="Titolo 1 Carattere"/>
    <w:basedOn w:val="Carpredefinitoparagrafo"/>
    <w:link w:val="Titolo1"/>
    <w:uiPriority w:val="9"/>
    <w:rsid w:val="0082744A"/>
    <w:rPr>
      <w:rFonts w:asciiTheme="majorHAnsi" w:eastAsiaTheme="majorEastAsia" w:hAnsiTheme="majorHAnsi" w:cstheme="majorBidi"/>
      <w:b/>
      <w:color w:val="00379F" w:themeColor="text1"/>
      <w:sz w:val="32"/>
      <w:szCs w:val="32"/>
      <w:lang w:val="en-GB"/>
    </w:rPr>
  </w:style>
  <w:style w:type="character" w:customStyle="1" w:styleId="Titolo2Carattere">
    <w:name w:val="Titolo 2 Carattere"/>
    <w:basedOn w:val="Carpredefinitoparagrafo"/>
    <w:link w:val="Titolo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e"/>
    <w:link w:val="Subtitle1Char"/>
    <w:autoRedefine/>
    <w:rsid w:val="003C4EB5"/>
    <w:pPr>
      <w:tabs>
        <w:tab w:val="left" w:pos="414"/>
      </w:tabs>
    </w:pPr>
    <w:rPr>
      <w:b/>
    </w:rPr>
  </w:style>
  <w:style w:type="character" w:customStyle="1" w:styleId="Subtitle1Char">
    <w:name w:val="Subtitle1 Char"/>
    <w:basedOn w:val="Carpredefinitoparagrafo"/>
    <w:link w:val="Subtitle1"/>
    <w:rsid w:val="003C4EB5"/>
    <w:rPr>
      <w:rFonts w:cs="Times New Roman"/>
      <w:b/>
      <w:sz w:val="20"/>
      <w:szCs w:val="24"/>
      <w:lang w:val="en-GB" w:eastAsia="de-DE"/>
    </w:rPr>
  </w:style>
  <w:style w:type="paragraph" w:customStyle="1" w:styleId="Title1">
    <w:name w:val="Title 1"/>
    <w:basedOn w:val="Paragrafoelenco"/>
    <w:link w:val="Title1Char"/>
    <w:qFormat/>
    <w:rsid w:val="00F205B9"/>
    <w:pPr>
      <w:numPr>
        <w:numId w:val="0"/>
      </w:numPr>
      <w:ind w:left="792" w:hanging="432"/>
    </w:pPr>
    <w:rPr>
      <w:b/>
      <w:color w:val="00379F" w:themeColor="text1"/>
      <w:sz w:val="28"/>
    </w:rPr>
  </w:style>
  <w:style w:type="character" w:customStyle="1" w:styleId="Title1Char">
    <w:name w:val="Title 1 Char"/>
    <w:basedOn w:val="Carpredefinitoparagrafo"/>
    <w:link w:val="Title1"/>
    <w:rsid w:val="00F205B9"/>
    <w:rPr>
      <w:rFonts w:asciiTheme="majorHAnsi" w:hAnsiTheme="majorHAnsi" w:cstheme="majorHAnsi"/>
      <w:b/>
      <w:color w:val="00379F" w:themeColor="text1"/>
      <w:sz w:val="28"/>
      <w:szCs w:val="22"/>
      <w:lang w:val="pt-PT"/>
    </w:rPr>
  </w:style>
  <w:style w:type="paragraph" w:styleId="Paragrafoelenco">
    <w:name w:val="List Paragraph"/>
    <w:aliases w:val="Paragraphe EI,Paragraphe de liste1,EC"/>
    <w:basedOn w:val="Normale"/>
    <w:link w:val="ParagrafoelencoCarattere"/>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Paragrafoelenco"/>
    <w:link w:val="Title3Char"/>
    <w:autoRedefine/>
    <w:rsid w:val="00F205B9"/>
    <w:pPr>
      <w:numPr>
        <w:ilvl w:val="3"/>
        <w:numId w:val="4"/>
      </w:numPr>
    </w:pPr>
  </w:style>
  <w:style w:type="character" w:customStyle="1" w:styleId="Title3Char">
    <w:name w:val="Title 3 Char"/>
    <w:basedOn w:val="Carpredefinitoparagrafo"/>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e"/>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Carpredefinitoparagrafo"/>
    <w:link w:val="DocumentTitle"/>
    <w:rsid w:val="00563C1F"/>
    <w:rPr>
      <w:rFonts w:asciiTheme="majorHAnsi" w:hAnsiTheme="majorHAnsi"/>
      <w:b/>
      <w:color w:val="2D4190"/>
      <w:sz w:val="48"/>
      <w:lang w:val="en-GB"/>
    </w:rPr>
  </w:style>
  <w:style w:type="paragraph" w:customStyle="1" w:styleId="DocumentSubtitle">
    <w:name w:val="Document Subtitle"/>
    <w:basedOn w:val="Normale"/>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Carpredefinitoparagrafo"/>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e"/>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Carpredefinitoparagrafo"/>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e"/>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Carpredefinitoparagrafo"/>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e"/>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Carpredefinitoparagrafo"/>
    <w:link w:val="Introductionheading"/>
    <w:rsid w:val="00044C5A"/>
    <w:rPr>
      <w:rFonts w:ascii="Arial" w:eastAsia="Times New Roman" w:hAnsi="Arial" w:cs="Times New Roman"/>
      <w:b/>
      <w:sz w:val="28"/>
      <w:szCs w:val="24"/>
      <w:lang w:val="en-GB" w:eastAsia="de-DE"/>
    </w:rPr>
  </w:style>
  <w:style w:type="character" w:customStyle="1" w:styleId="Titolo5Carattere">
    <w:name w:val="Titolo 5 Carattere"/>
    <w:basedOn w:val="Carpredefinitoparagrafo"/>
    <w:link w:val="Titolo5"/>
    <w:uiPriority w:val="9"/>
    <w:rsid w:val="007E7997"/>
    <w:rPr>
      <w:rFonts w:asciiTheme="majorHAnsi" w:eastAsiaTheme="majorEastAsia" w:hAnsiTheme="majorHAnsi" w:cstheme="majorBidi"/>
      <w:color w:val="181818" w:themeColor="background1" w:themeShade="1A"/>
      <w:sz w:val="22"/>
      <w:szCs w:val="22"/>
      <w:lang w:val="en-GB"/>
    </w:rPr>
  </w:style>
  <w:style w:type="paragraph" w:styleId="Corpotesto">
    <w:name w:val="Body Text"/>
    <w:basedOn w:val="Normale"/>
    <w:link w:val="CorpotestoCarattere"/>
    <w:uiPriority w:val="99"/>
    <w:semiHidden/>
    <w:unhideWhenUsed/>
    <w:rsid w:val="00044C5A"/>
  </w:style>
  <w:style w:type="character" w:customStyle="1" w:styleId="CorpotestoCarattere">
    <w:name w:val="Corpo testo Carattere"/>
    <w:basedOn w:val="Carpredefinitoparagrafo"/>
    <w:link w:val="Corpotesto"/>
    <w:uiPriority w:val="99"/>
    <w:semiHidden/>
    <w:rsid w:val="00044C5A"/>
    <w:rPr>
      <w:rFonts w:ascii="Arial" w:eastAsiaTheme="minorEastAsia" w:hAnsi="Arial"/>
    </w:rPr>
  </w:style>
  <w:style w:type="paragraph" w:styleId="Primorientrocorpodeltesto">
    <w:name w:val="Body Text First Indent"/>
    <w:basedOn w:val="Corpotesto"/>
    <w:link w:val="PrimorientrocorpodeltestoCarattere"/>
    <w:uiPriority w:val="99"/>
    <w:semiHidden/>
    <w:unhideWhenUsed/>
    <w:rsid w:val="00044C5A"/>
    <w:pPr>
      <w:spacing w:after="0"/>
      <w:ind w:firstLine="360"/>
    </w:pPr>
  </w:style>
  <w:style w:type="character" w:customStyle="1" w:styleId="PrimorientrocorpodeltestoCarattere">
    <w:name w:val="Primo rientro corpo del testo Carattere"/>
    <w:basedOn w:val="CorpotestoCarattere"/>
    <w:link w:val="Primorientrocorpodeltesto"/>
    <w:uiPriority w:val="99"/>
    <w:semiHidden/>
    <w:rsid w:val="00044C5A"/>
    <w:rPr>
      <w:rFonts w:ascii="Arial" w:eastAsiaTheme="minorEastAsia" w:hAnsi="Arial"/>
    </w:rPr>
  </w:style>
  <w:style w:type="character" w:customStyle="1" w:styleId="Titolo6Carattere">
    <w:name w:val="Titolo 6 Carattere"/>
    <w:basedOn w:val="Carpredefinitoparagrafo"/>
    <w:link w:val="Titolo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olo">
    <w:name w:val="Title"/>
    <w:basedOn w:val="Normale"/>
    <w:next w:val="Normale"/>
    <w:link w:val="TitoloCarattere"/>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oloCarattere">
    <w:name w:val="Titolo Carattere"/>
    <w:basedOn w:val="Carpredefinitoparagrafo"/>
    <w:link w:val="Titolo"/>
    <w:uiPriority w:val="10"/>
    <w:rsid w:val="00516CBA"/>
    <w:rPr>
      <w:rFonts w:asciiTheme="majorHAnsi" w:eastAsiaTheme="majorEastAsia" w:hAnsiTheme="majorHAnsi" w:cstheme="majorBidi"/>
      <w:b/>
      <w:color w:val="00379F" w:themeColor="text1"/>
      <w:spacing w:val="-10"/>
      <w:sz w:val="56"/>
      <w:szCs w:val="56"/>
      <w:lang w:val="en-GB"/>
    </w:rPr>
  </w:style>
  <w:style w:type="paragraph" w:styleId="Sottotitolo">
    <w:name w:val="Subtitle"/>
    <w:basedOn w:val="Normale"/>
    <w:next w:val="Normale"/>
    <w:link w:val="SottotitoloCarattere"/>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ottotitoloCarattere">
    <w:name w:val="Sottotitolo Carattere"/>
    <w:basedOn w:val="Carpredefinitoparagrafo"/>
    <w:link w:val="Sottotitolo"/>
    <w:uiPriority w:val="11"/>
    <w:rsid w:val="0082744A"/>
    <w:rPr>
      <w:rFonts w:asciiTheme="majorHAnsi" w:eastAsiaTheme="majorEastAsia" w:hAnsiTheme="majorHAnsi" w:cstheme="majorBidi"/>
      <w:sz w:val="28"/>
      <w:szCs w:val="24"/>
      <w:lang w:val="en-GB"/>
    </w:rPr>
  </w:style>
  <w:style w:type="character" w:customStyle="1" w:styleId="Titolo7Carattere">
    <w:name w:val="Titolo 7 Carattere"/>
    <w:basedOn w:val="Carpredefinitoparagrafo"/>
    <w:link w:val="Titolo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Titolo8Carattere">
    <w:name w:val="Titolo 8 Carattere"/>
    <w:basedOn w:val="Carpredefinitoparagrafo"/>
    <w:link w:val="Titolo8"/>
    <w:uiPriority w:val="9"/>
    <w:semiHidden/>
    <w:rsid w:val="00AA054E"/>
    <w:rPr>
      <w:rFonts w:asciiTheme="majorHAnsi" w:eastAsiaTheme="majorEastAsia" w:hAnsiTheme="majorHAnsi" w:cstheme="majorBidi"/>
      <w:b/>
      <w:bCs/>
      <w:color w:val="007EFF" w:themeColor="text2"/>
      <w:sz w:val="22"/>
      <w:lang w:val="en-GB"/>
    </w:rPr>
  </w:style>
  <w:style w:type="character" w:customStyle="1" w:styleId="Titolo9Carattere">
    <w:name w:val="Titolo 9 Carattere"/>
    <w:basedOn w:val="Carpredefinitoparagrafo"/>
    <w:link w:val="Titolo9"/>
    <w:uiPriority w:val="9"/>
    <w:semiHidden/>
    <w:rsid w:val="00AA054E"/>
    <w:rPr>
      <w:rFonts w:asciiTheme="majorHAnsi" w:eastAsiaTheme="majorEastAsia" w:hAnsiTheme="majorHAnsi" w:cstheme="majorBidi"/>
      <w:b/>
      <w:bCs/>
      <w:i/>
      <w:iCs/>
      <w:color w:val="007EFF" w:themeColor="text2"/>
      <w:sz w:val="22"/>
      <w:lang w:val="en-GB"/>
    </w:rPr>
  </w:style>
  <w:style w:type="paragraph" w:styleId="Didascalia">
    <w:name w:val="caption"/>
    <w:basedOn w:val="Normale"/>
    <w:next w:val="Normale"/>
    <w:uiPriority w:val="35"/>
    <w:semiHidden/>
    <w:unhideWhenUsed/>
    <w:qFormat/>
    <w:rsid w:val="00AA054E"/>
    <w:pPr>
      <w:spacing w:line="240" w:lineRule="auto"/>
    </w:pPr>
    <w:rPr>
      <w:b/>
      <w:bCs/>
      <w:smallCaps/>
      <w:color w:val="1A69FF" w:themeColor="text1" w:themeTint="A6"/>
      <w:spacing w:val="6"/>
    </w:rPr>
  </w:style>
  <w:style w:type="character" w:styleId="Enfasigrassetto">
    <w:name w:val="Strong"/>
    <w:basedOn w:val="Carpredefinitoparagrafo"/>
    <w:uiPriority w:val="22"/>
    <w:qFormat/>
    <w:rsid w:val="00AA054E"/>
    <w:rPr>
      <w:b/>
      <w:bCs/>
    </w:rPr>
  </w:style>
  <w:style w:type="character" w:styleId="Enfasicorsivo">
    <w:name w:val="Emphasis"/>
    <w:basedOn w:val="Carpredefinitoparagrafo"/>
    <w:uiPriority w:val="20"/>
    <w:qFormat/>
    <w:rsid w:val="00AA054E"/>
    <w:rPr>
      <w:i/>
      <w:iCs/>
    </w:rPr>
  </w:style>
  <w:style w:type="paragraph" w:styleId="Citazione">
    <w:name w:val="Quote"/>
    <w:basedOn w:val="Normale"/>
    <w:next w:val="Normale"/>
    <w:link w:val="CitazioneCarattere"/>
    <w:uiPriority w:val="29"/>
    <w:qFormat/>
    <w:rsid w:val="00AA054E"/>
    <w:pPr>
      <w:spacing w:before="160"/>
      <w:ind w:left="720" w:right="720"/>
    </w:pPr>
    <w:rPr>
      <w:i/>
      <w:iCs/>
      <w:color w:val="0055F7" w:themeColor="text1" w:themeTint="BF"/>
    </w:rPr>
  </w:style>
  <w:style w:type="character" w:customStyle="1" w:styleId="CitazioneCarattere">
    <w:name w:val="Citazione Carattere"/>
    <w:basedOn w:val="Carpredefinitoparagrafo"/>
    <w:link w:val="Citazione"/>
    <w:uiPriority w:val="29"/>
    <w:rsid w:val="00AA054E"/>
    <w:rPr>
      <w:i/>
      <w:iCs/>
      <w:color w:val="0055F7" w:themeColor="text1" w:themeTint="BF"/>
    </w:rPr>
  </w:style>
  <w:style w:type="paragraph" w:styleId="Citazioneintensa">
    <w:name w:val="Intense Quote"/>
    <w:basedOn w:val="Normale"/>
    <w:next w:val="Normale"/>
    <w:link w:val="CitazioneintensaCarattere"/>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CitazioneintensaCarattere">
    <w:name w:val="Citazione intensa Carattere"/>
    <w:basedOn w:val="Carpredefinitoparagrafo"/>
    <w:link w:val="Citazioneintensa"/>
    <w:uiPriority w:val="30"/>
    <w:rsid w:val="00AA054E"/>
    <w:rPr>
      <w:rFonts w:asciiTheme="majorHAnsi" w:eastAsiaTheme="majorEastAsia" w:hAnsiTheme="majorHAnsi" w:cstheme="majorBidi"/>
      <w:color w:val="34009F" w:themeColor="accent1"/>
      <w:sz w:val="28"/>
      <w:szCs w:val="28"/>
    </w:rPr>
  </w:style>
  <w:style w:type="character" w:styleId="Enfasidelicata">
    <w:name w:val="Subtle Emphasis"/>
    <w:basedOn w:val="Carpredefinitoparagrafo"/>
    <w:uiPriority w:val="19"/>
    <w:qFormat/>
    <w:rsid w:val="00AA054E"/>
    <w:rPr>
      <w:i/>
      <w:iCs/>
      <w:color w:val="0055F7" w:themeColor="text1" w:themeTint="BF"/>
    </w:rPr>
  </w:style>
  <w:style w:type="character" w:styleId="Enfasiintensa">
    <w:name w:val="Intense Emphasis"/>
    <w:basedOn w:val="Carpredefinitoparagrafo"/>
    <w:uiPriority w:val="21"/>
    <w:qFormat/>
    <w:rsid w:val="00AA054E"/>
    <w:rPr>
      <w:b/>
      <w:bCs/>
      <w:i/>
      <w:iCs/>
    </w:rPr>
  </w:style>
  <w:style w:type="character" w:styleId="Riferimentodelicato">
    <w:name w:val="Subtle Reference"/>
    <w:basedOn w:val="Carpredefinitoparagrafo"/>
    <w:uiPriority w:val="31"/>
    <w:qFormat/>
    <w:rsid w:val="00AA054E"/>
    <w:rPr>
      <w:smallCaps/>
      <w:color w:val="0055F7" w:themeColor="text1" w:themeTint="BF"/>
      <w:u w:val="single" w:color="4E8BFF" w:themeColor="text1" w:themeTint="80"/>
    </w:rPr>
  </w:style>
  <w:style w:type="character" w:styleId="Riferimentointenso">
    <w:name w:val="Intense Reference"/>
    <w:basedOn w:val="Carpredefinitoparagrafo"/>
    <w:uiPriority w:val="32"/>
    <w:qFormat/>
    <w:rsid w:val="00AA054E"/>
    <w:rPr>
      <w:b/>
      <w:bCs/>
      <w:smallCaps/>
      <w:spacing w:val="5"/>
      <w:u w:val="single"/>
    </w:rPr>
  </w:style>
  <w:style w:type="character" w:styleId="Titolodellibro">
    <w:name w:val="Book Title"/>
    <w:basedOn w:val="Carpredefinitoparagrafo"/>
    <w:uiPriority w:val="33"/>
    <w:qFormat/>
    <w:rsid w:val="00AA054E"/>
    <w:rPr>
      <w:b/>
      <w:bCs/>
      <w:smallCaps/>
    </w:rPr>
  </w:style>
  <w:style w:type="paragraph" w:styleId="Titolosommario">
    <w:name w:val="TOC Heading"/>
    <w:basedOn w:val="Titolo1"/>
    <w:next w:val="Normale"/>
    <w:uiPriority w:val="39"/>
    <w:unhideWhenUsed/>
    <w:qFormat/>
    <w:rsid w:val="00F205B9"/>
    <w:pPr>
      <w:numPr>
        <w:numId w:val="0"/>
      </w:numPr>
      <w:outlineLvl w:val="9"/>
    </w:pPr>
  </w:style>
  <w:style w:type="character" w:customStyle="1" w:styleId="NessunaspaziaturaCarattere">
    <w:name w:val="Nessuna spaziatura Carattere"/>
    <w:basedOn w:val="Carpredefinitoparagrafo"/>
    <w:link w:val="Nessunaspaziatura"/>
    <w:uiPriority w:val="1"/>
    <w:rsid w:val="005B6B12"/>
    <w:rPr>
      <w:lang w:val="en-GB"/>
    </w:rPr>
  </w:style>
  <w:style w:type="paragraph" w:styleId="Intestazione">
    <w:name w:val="header"/>
    <w:basedOn w:val="Normale"/>
    <w:link w:val="IntestazioneCarattere"/>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IntestazioneCarattere">
    <w:name w:val="Intestazione Carattere"/>
    <w:basedOn w:val="Carpredefinitoparagrafo"/>
    <w:link w:val="Intestazione"/>
    <w:rsid w:val="00AF6B1E"/>
    <w:rPr>
      <w:color w:val="001B4F" w:themeColor="text1" w:themeShade="80"/>
      <w:sz w:val="16"/>
      <w:lang w:val="en-GB"/>
    </w:rPr>
  </w:style>
  <w:style w:type="paragraph" w:styleId="Pidipagina">
    <w:name w:val="footer"/>
    <w:basedOn w:val="Normale"/>
    <w:link w:val="PidipaginaCarattere"/>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PidipaginaCarattere">
    <w:name w:val="Piè di pagina Carattere"/>
    <w:basedOn w:val="Carpredefinitoparagrafo"/>
    <w:link w:val="Pidipagina"/>
    <w:uiPriority w:val="99"/>
    <w:rsid w:val="004E5FF8"/>
    <w:rPr>
      <w:color w:val="001B4F" w:themeColor="text1" w:themeShade="80"/>
      <w:sz w:val="16"/>
      <w:lang w:val="en-GB"/>
    </w:rPr>
  </w:style>
  <w:style w:type="paragraph" w:customStyle="1" w:styleId="00aPagenumber">
    <w:name w:val="00a_Page number"/>
    <w:basedOn w:val="Normale"/>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e"/>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Sommario1">
    <w:name w:val="toc 1"/>
    <w:basedOn w:val="Normale"/>
    <w:next w:val="Normale"/>
    <w:uiPriority w:val="39"/>
    <w:unhideWhenUsed/>
    <w:qFormat/>
    <w:rsid w:val="00F205B9"/>
    <w:pPr>
      <w:framePr w:hSpace="180" w:wrap="around" w:vAnchor="text" w:hAnchor="margin" w:y="115"/>
      <w:tabs>
        <w:tab w:val="left" w:pos="440"/>
        <w:tab w:val="right" w:leader="dot" w:pos="9062"/>
      </w:tabs>
      <w:spacing w:after="100"/>
    </w:pPr>
  </w:style>
  <w:style w:type="paragraph" w:styleId="Sommario2">
    <w:name w:val="toc 2"/>
    <w:basedOn w:val="Sommario1"/>
    <w:next w:val="Normale"/>
    <w:uiPriority w:val="39"/>
    <w:unhideWhenUsed/>
    <w:qFormat/>
    <w:rsid w:val="00F205B9"/>
    <w:pPr>
      <w:framePr w:wrap="around"/>
      <w:tabs>
        <w:tab w:val="right" w:leader="dot" w:pos="440"/>
      </w:tabs>
      <w:ind w:left="220"/>
    </w:pPr>
  </w:style>
  <w:style w:type="paragraph" w:styleId="Sommario3">
    <w:name w:val="toc 3"/>
    <w:basedOn w:val="Sommario1"/>
    <w:next w:val="Normale"/>
    <w:uiPriority w:val="39"/>
    <w:unhideWhenUsed/>
    <w:qFormat/>
    <w:rsid w:val="00AD0B10"/>
    <w:pPr>
      <w:framePr w:wrap="around"/>
      <w:ind w:left="442"/>
    </w:pPr>
  </w:style>
  <w:style w:type="character" w:styleId="Collegamentoipertestuale">
    <w:name w:val="Hyperlink"/>
    <w:basedOn w:val="Carpredefinitoparagrafo"/>
    <w:uiPriority w:val="99"/>
    <w:unhideWhenUsed/>
    <w:qFormat/>
    <w:rsid w:val="000C1E78"/>
    <w:rPr>
      <w:color w:val="005EBF" w:themeColor="text2" w:themeShade="BF"/>
      <w:u w:val="single"/>
    </w:rPr>
  </w:style>
  <w:style w:type="paragraph" w:customStyle="1" w:styleId="Questionstyle">
    <w:name w:val="Question style"/>
    <w:basedOn w:val="Normale"/>
    <w:next w:val="Normale"/>
    <w:link w:val="QuestionstyleChar"/>
    <w:autoRedefine/>
    <w:qFormat/>
    <w:rsid w:val="00C5469A"/>
    <w:pPr>
      <w:tabs>
        <w:tab w:val="left" w:pos="567"/>
      </w:tabs>
      <w:ind w:hanging="360"/>
      <w:contextualSpacing/>
    </w:pPr>
    <w:rPr>
      <w:b/>
    </w:rPr>
  </w:style>
  <w:style w:type="character" w:customStyle="1" w:styleId="QuestionstyleChar">
    <w:name w:val="Question style Char"/>
    <w:basedOn w:val="Carpredefinitoparagrafo"/>
    <w:link w:val="Questionstyle"/>
    <w:rsid w:val="00C5469A"/>
    <w:rPr>
      <w:b/>
      <w:color w:val="181818" w:themeColor="background1" w:themeShade="1A"/>
      <w:sz w:val="22"/>
      <w:lang w:val="en-GB"/>
    </w:rPr>
  </w:style>
  <w:style w:type="paragraph" w:customStyle="1" w:styleId="Listing2">
    <w:name w:val="Listing2"/>
    <w:basedOn w:val="Normale"/>
    <w:link w:val="Listing2Char"/>
    <w:autoRedefine/>
    <w:rsid w:val="00DF3785"/>
  </w:style>
  <w:style w:type="character" w:customStyle="1" w:styleId="Listing2Char">
    <w:name w:val="Listing2 Char"/>
    <w:basedOn w:val="Carpredefinitoparagrafo"/>
    <w:link w:val="Listing2"/>
    <w:rsid w:val="00DF3785"/>
    <w:rPr>
      <w:lang w:val="en-GB"/>
    </w:rPr>
  </w:style>
  <w:style w:type="table" w:styleId="Grigliatabella">
    <w:name w:val="Table Grid"/>
    <w:basedOn w:val="Tabellanorma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uiPriority w:val="99"/>
    <w:semiHidden/>
    <w:unhideWhenUsed/>
    <w:rsid w:val="00B50534"/>
    <w:pPr>
      <w:spacing w:after="0" w:line="240" w:lineRule="auto"/>
    </w:pPr>
  </w:style>
  <w:style w:type="character" w:customStyle="1" w:styleId="TestonotadichiusuraCarattere">
    <w:name w:val="Testo nota di chiusura Carattere"/>
    <w:basedOn w:val="Carpredefinitoparagrafo"/>
    <w:link w:val="Testonotadichiusura"/>
    <w:uiPriority w:val="99"/>
    <w:semiHidden/>
    <w:rsid w:val="00B50534"/>
    <w:rPr>
      <w:lang w:val="en-GB"/>
    </w:rPr>
  </w:style>
  <w:style w:type="character" w:styleId="Rimandonotadichiusura">
    <w:name w:val="endnote reference"/>
    <w:basedOn w:val="Carpredefinitoparagrafo"/>
    <w:uiPriority w:val="99"/>
    <w:semiHidden/>
    <w:unhideWhenUsed/>
    <w:rsid w:val="00B50534"/>
    <w:rPr>
      <w:vertAlign w:val="superscript"/>
    </w:rPr>
  </w:style>
  <w:style w:type="paragraph" w:styleId="Testonotaapidipagina">
    <w:name w:val="footnote text"/>
    <w:basedOn w:val="Normale"/>
    <w:link w:val="TestonotaapidipaginaCarattere"/>
    <w:autoRedefine/>
    <w:uiPriority w:val="99"/>
    <w:unhideWhenUsed/>
    <w:qFormat/>
    <w:rsid w:val="007A1A9D"/>
    <w:pPr>
      <w:spacing w:after="0" w:line="240" w:lineRule="auto"/>
    </w:pPr>
    <w:rPr>
      <w:sz w:val="16"/>
    </w:rPr>
  </w:style>
  <w:style w:type="character" w:customStyle="1" w:styleId="TestonotaapidipaginaCarattere">
    <w:name w:val="Testo nota a piè di pagina Carattere"/>
    <w:basedOn w:val="Carpredefinitoparagrafo"/>
    <w:link w:val="Testonotaapidipagina"/>
    <w:uiPriority w:val="99"/>
    <w:rsid w:val="007A1A9D"/>
    <w:rPr>
      <w:color w:val="181818" w:themeColor="background1" w:themeShade="1A"/>
      <w:sz w:val="16"/>
      <w:lang w:val="en-GB"/>
    </w:rPr>
  </w:style>
  <w:style w:type="character" w:styleId="Rimandonotaapidipagina">
    <w:name w:val="footnote reference"/>
    <w:basedOn w:val="Carpredefinitoparagrafo"/>
    <w:uiPriority w:val="99"/>
    <w:semiHidden/>
    <w:unhideWhenUsed/>
    <w:qFormat/>
    <w:rsid w:val="00A91D91"/>
    <w:rPr>
      <w:rFonts w:asciiTheme="majorHAnsi" w:hAnsiTheme="majorHAnsi"/>
      <w:sz w:val="16"/>
      <w:vertAlign w:val="superscript"/>
    </w:rPr>
  </w:style>
  <w:style w:type="paragraph" w:customStyle="1" w:styleId="Footnote">
    <w:name w:val="Footnote"/>
    <w:basedOn w:val="Testonotaapidipagina"/>
    <w:link w:val="FootnoteChar"/>
    <w:qFormat/>
    <w:rsid w:val="00672C04"/>
    <w:pPr>
      <w:ind w:left="454" w:hanging="454"/>
    </w:pPr>
    <w:rPr>
      <w:lang w:val="nl-BE"/>
    </w:rPr>
  </w:style>
  <w:style w:type="character" w:customStyle="1" w:styleId="FootnoteChar">
    <w:name w:val="Footnote Char"/>
    <w:basedOn w:val="TestonotaapidipaginaCarattere"/>
    <w:link w:val="Footnote"/>
    <w:rsid w:val="00672C04"/>
    <w:rPr>
      <w:color w:val="181818" w:themeColor="background1" w:themeShade="1A"/>
      <w:sz w:val="16"/>
      <w:lang w:val="en-GB"/>
    </w:rPr>
  </w:style>
  <w:style w:type="table" w:customStyle="1" w:styleId="GridTable4-Accent11">
    <w:name w:val="Grid Table 4 - Accent 11"/>
    <w:basedOn w:val="Tabellanorma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Testofumetto">
    <w:name w:val="Balloon Text"/>
    <w:basedOn w:val="Normale"/>
    <w:link w:val="TestofumettoCarattere"/>
    <w:uiPriority w:val="99"/>
    <w:semiHidden/>
    <w:unhideWhenUsed/>
    <w:rsid w:val="007151B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51BF"/>
    <w:rPr>
      <w:rFonts w:ascii="Tahoma" w:hAnsi="Tahoma" w:cs="Tahoma"/>
      <w:sz w:val="16"/>
      <w:szCs w:val="16"/>
      <w:lang w:val="en-GB"/>
    </w:rPr>
  </w:style>
  <w:style w:type="paragraph" w:styleId="Sommario4">
    <w:name w:val="toc 4"/>
    <w:basedOn w:val="Sommario1"/>
    <w:next w:val="Normale"/>
    <w:uiPriority w:val="39"/>
    <w:unhideWhenUsed/>
    <w:qFormat/>
    <w:rsid w:val="00F205B9"/>
    <w:pPr>
      <w:framePr w:wrap="around"/>
      <w:ind w:left="660"/>
    </w:pPr>
  </w:style>
  <w:style w:type="character" w:styleId="Rimandocommento">
    <w:name w:val="annotation reference"/>
    <w:basedOn w:val="Carpredefinitoparagrafo"/>
    <w:uiPriority w:val="99"/>
    <w:semiHidden/>
    <w:unhideWhenUsed/>
    <w:rsid w:val="00D33C31"/>
    <w:rPr>
      <w:sz w:val="16"/>
      <w:szCs w:val="16"/>
    </w:rPr>
  </w:style>
  <w:style w:type="paragraph" w:styleId="Testocommento">
    <w:name w:val="annotation text"/>
    <w:basedOn w:val="Normale"/>
    <w:link w:val="TestocommentoCarattere"/>
    <w:uiPriority w:val="99"/>
    <w:unhideWhenUsed/>
    <w:rsid w:val="00D33C31"/>
    <w:pPr>
      <w:spacing w:line="240" w:lineRule="auto"/>
    </w:pPr>
    <w:rPr>
      <w:sz w:val="20"/>
    </w:rPr>
  </w:style>
  <w:style w:type="character" w:customStyle="1" w:styleId="TestocommentoCarattere">
    <w:name w:val="Testo commento Carattere"/>
    <w:basedOn w:val="Carpredefinitoparagrafo"/>
    <w:link w:val="Testocommento"/>
    <w:uiPriority w:val="99"/>
    <w:rsid w:val="00D33C31"/>
    <w:rPr>
      <w:lang w:val="en-GB"/>
    </w:rPr>
  </w:style>
  <w:style w:type="paragraph" w:styleId="Soggettocommento">
    <w:name w:val="annotation subject"/>
    <w:basedOn w:val="Testocommento"/>
    <w:next w:val="Testocommento"/>
    <w:link w:val="SoggettocommentoCarattere"/>
    <w:uiPriority w:val="99"/>
    <w:semiHidden/>
    <w:unhideWhenUsed/>
    <w:rsid w:val="00D33C31"/>
    <w:rPr>
      <w:b/>
      <w:bCs/>
    </w:rPr>
  </w:style>
  <w:style w:type="character" w:customStyle="1" w:styleId="SoggettocommentoCarattere">
    <w:name w:val="Soggetto commento Carattere"/>
    <w:basedOn w:val="TestocommentoCarattere"/>
    <w:link w:val="Soggettocommento"/>
    <w:uiPriority w:val="99"/>
    <w:semiHidden/>
    <w:rsid w:val="00D33C31"/>
    <w:rPr>
      <w:b/>
      <w:bCs/>
      <w:lang w:val="en-GB"/>
    </w:rPr>
  </w:style>
  <w:style w:type="character" w:styleId="Menzionenonrisolta">
    <w:name w:val="Unresolved Mention"/>
    <w:basedOn w:val="Carpredefinitoparagrafo"/>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Enfasigrassetto"/>
    <w:uiPriority w:val="1"/>
    <w:qFormat/>
    <w:rsid w:val="008858FE"/>
    <w:rPr>
      <w:b w:val="0"/>
      <w:bCs/>
      <w:caps/>
      <w:smallCaps w:val="0"/>
      <w:color w:val="FF0000" w:themeColor="accent6"/>
      <w:sz w:val="22"/>
    </w:rPr>
  </w:style>
  <w:style w:type="paragraph" w:customStyle="1" w:styleId="Disclaimer">
    <w:name w:val="Disclaimer"/>
    <w:basedOn w:val="Normale"/>
    <w:qFormat/>
    <w:rsid w:val="00906D18"/>
    <w:rPr>
      <w:i/>
      <w:iCs/>
      <w:sz w:val="18"/>
      <w:szCs w:val="18"/>
    </w:rPr>
  </w:style>
  <w:style w:type="paragraph" w:customStyle="1" w:styleId="ESMAHeader">
    <w:name w:val="ESMA Header"/>
    <w:basedOn w:val="Intestazione"/>
    <w:qFormat/>
    <w:rsid w:val="00AF6B1E"/>
  </w:style>
  <w:style w:type="paragraph" w:customStyle="1" w:styleId="Pageheader">
    <w:name w:val="Page header"/>
    <w:basedOn w:val="Intestazione"/>
    <w:next w:val="Intestazion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e"/>
    <w:qFormat/>
    <w:rsid w:val="00F205B9"/>
    <w:rPr>
      <w:rFonts w:ascii="Arial" w:eastAsia="Times New Roman" w:hAnsi="Arial" w:cs="Arial"/>
      <w:sz w:val="18"/>
      <w:szCs w:val="18"/>
      <w:lang w:eastAsia="de-DE"/>
    </w:rPr>
  </w:style>
  <w:style w:type="paragraph" w:styleId="Sommario5">
    <w:name w:val="toc 5"/>
    <w:basedOn w:val="Normale"/>
    <w:next w:val="Normale"/>
    <w:uiPriority w:val="39"/>
    <w:semiHidden/>
    <w:unhideWhenUsed/>
    <w:qFormat/>
    <w:rsid w:val="00F205B9"/>
    <w:pPr>
      <w:spacing w:after="100"/>
      <w:ind w:left="880"/>
    </w:pPr>
  </w:style>
  <w:style w:type="paragraph" w:styleId="Sommario6">
    <w:name w:val="toc 6"/>
    <w:basedOn w:val="Normale"/>
    <w:next w:val="Normale"/>
    <w:uiPriority w:val="39"/>
    <w:semiHidden/>
    <w:unhideWhenUsed/>
    <w:qFormat/>
    <w:rsid w:val="00F205B9"/>
    <w:pPr>
      <w:spacing w:after="100"/>
      <w:ind w:left="1100"/>
    </w:pPr>
  </w:style>
  <w:style w:type="paragraph" w:styleId="Sommario7">
    <w:name w:val="toc 7"/>
    <w:basedOn w:val="Normale"/>
    <w:next w:val="Normale"/>
    <w:uiPriority w:val="39"/>
    <w:semiHidden/>
    <w:unhideWhenUsed/>
    <w:qFormat/>
    <w:rsid w:val="00F205B9"/>
    <w:pPr>
      <w:spacing w:after="100"/>
      <w:ind w:left="1320"/>
    </w:pPr>
  </w:style>
  <w:style w:type="paragraph" w:styleId="Sommario8">
    <w:name w:val="toc 8"/>
    <w:basedOn w:val="Normale"/>
    <w:next w:val="Normale"/>
    <w:uiPriority w:val="39"/>
    <w:semiHidden/>
    <w:unhideWhenUsed/>
    <w:qFormat/>
    <w:rsid w:val="00F205B9"/>
    <w:pPr>
      <w:spacing w:after="100"/>
      <w:ind w:left="1540"/>
    </w:pPr>
  </w:style>
  <w:style w:type="paragraph" w:styleId="Sommario9">
    <w:name w:val="toc 9"/>
    <w:basedOn w:val="Normale"/>
    <w:next w:val="Normale"/>
    <w:uiPriority w:val="39"/>
    <w:semiHidden/>
    <w:unhideWhenUsed/>
    <w:qFormat/>
    <w:rsid w:val="00F205B9"/>
    <w:pPr>
      <w:spacing w:after="100"/>
      <w:ind w:left="1760"/>
    </w:pPr>
  </w:style>
  <w:style w:type="character" w:styleId="Collegamentovisitato">
    <w:name w:val="FollowedHyperlink"/>
    <w:basedOn w:val="Carpredefinitoparagrafo"/>
    <w:uiPriority w:val="99"/>
    <w:semiHidden/>
    <w:unhideWhenUsed/>
    <w:rsid w:val="0043139E"/>
    <w:rPr>
      <w:color w:val="0174AF" w:themeColor="followedHyperlink"/>
      <w:u w:val="single"/>
    </w:rPr>
  </w:style>
  <w:style w:type="character" w:customStyle="1" w:styleId="ParagrafoelencoCarattere">
    <w:name w:val="Paragrafo elenco Carattere"/>
    <w:aliases w:val="Paragraphe EI Carattere,Paragraphe de liste1 Carattere,EC Carattere"/>
    <w:link w:val="Paragrafoelenco"/>
    <w:uiPriority w:val="34"/>
    <w:locked/>
    <w:rsid w:val="00EC6066"/>
    <w:rPr>
      <w:rFonts w:asciiTheme="majorHAnsi" w:hAnsiTheme="majorHAnsi" w:cstheme="majorHAnsi"/>
      <w:color w:val="181818" w:themeColor="background1" w:themeShade="1A"/>
      <w:sz w:val="22"/>
      <w:szCs w:val="22"/>
      <w:lang w:val="pt-PT"/>
    </w:rPr>
  </w:style>
  <w:style w:type="paragraph" w:styleId="Revisione">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e"/>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Carpredefinitoparagrafo"/>
    <w:rsid w:val="00061F32"/>
    <w:rPr>
      <w:rFonts w:ascii="Segoe UI" w:hAnsi="Segoe UI" w:cs="Segoe UI" w:hint="default"/>
      <w:sz w:val="18"/>
      <w:szCs w:val="18"/>
    </w:rPr>
  </w:style>
  <w:style w:type="character" w:customStyle="1" w:styleId="cf11">
    <w:name w:val="cf11"/>
    <w:basedOn w:val="Carpredefinitoparagrafo"/>
    <w:rsid w:val="00061F32"/>
    <w:rPr>
      <w:rFonts w:ascii="Segoe UI" w:hAnsi="Segoe UI" w:cs="Segoe UI" w:hint="default"/>
      <w:color w:val="333333"/>
      <w:sz w:val="18"/>
      <w:szCs w:val="18"/>
      <w:shd w:val="clear" w:color="auto" w:fill="FFFFFF"/>
    </w:rPr>
  </w:style>
  <w:style w:type="character" w:styleId="Menzione">
    <w:name w:val="Mention"/>
    <w:basedOn w:val="Carpredefinitoparagrafo"/>
    <w:uiPriority w:val="99"/>
    <w:unhideWhenUsed/>
    <w:rsid w:val="00251F26"/>
    <w:rPr>
      <w:color w:val="2B579A"/>
      <w:shd w:val="clear" w:color="auto" w:fill="E1DFDD"/>
    </w:rPr>
  </w:style>
  <w:style w:type="character" w:styleId="Testosegnaposto">
    <w:name w:val="Placeholder Text"/>
    <w:basedOn w:val="Carpredefinitoparagrafo"/>
    <w:uiPriority w:val="99"/>
    <w:semiHidden/>
    <w:rsid w:val="00635BCA"/>
    <w:rPr>
      <w:color w:val="808080"/>
    </w:rPr>
  </w:style>
  <w:style w:type="paragraph" w:customStyle="1" w:styleId="para">
    <w:name w:val="para"/>
    <w:basedOn w:val="Paragrafoelenco"/>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Carpredefinitoparagrafo"/>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C006E6" w:rsidP="00C006E6">
          <w:pPr>
            <w:pStyle w:val="2B0FF21738C1433DBAFB661809AC1F871"/>
          </w:pPr>
          <w:r w:rsidRPr="00DA1A90">
            <w:rPr>
              <w:rStyle w:val="Testosegnaposto"/>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C006E6" w:rsidP="00C006E6">
          <w:pPr>
            <w:pStyle w:val="B6E42B0E299148B09DE18600D49992C91"/>
          </w:pPr>
          <w:r w:rsidRPr="00DA1A90">
            <w:rPr>
              <w:rStyle w:val="Testosegnaposto"/>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C006E6" w:rsidP="00C006E6">
          <w:pPr>
            <w:pStyle w:val="2C1105927AE5462D802EE598D84A45F61"/>
          </w:pPr>
          <w:r w:rsidRPr="00DA1A90">
            <w:rPr>
              <w:rStyle w:val="Testosegnapos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02DC8"/>
    <w:rsid w:val="00127E56"/>
    <w:rsid w:val="0015768C"/>
    <w:rsid w:val="001B6511"/>
    <w:rsid w:val="001D0361"/>
    <w:rsid w:val="001D34AE"/>
    <w:rsid w:val="002802A1"/>
    <w:rsid w:val="00281F35"/>
    <w:rsid w:val="002B46E7"/>
    <w:rsid w:val="002C7239"/>
    <w:rsid w:val="002E146C"/>
    <w:rsid w:val="0034145D"/>
    <w:rsid w:val="003514E5"/>
    <w:rsid w:val="00383025"/>
    <w:rsid w:val="003D1413"/>
    <w:rsid w:val="00400F2F"/>
    <w:rsid w:val="00415517"/>
    <w:rsid w:val="00430EC2"/>
    <w:rsid w:val="00433FA5"/>
    <w:rsid w:val="004D67E0"/>
    <w:rsid w:val="004E4CF9"/>
    <w:rsid w:val="00502AA2"/>
    <w:rsid w:val="00526B46"/>
    <w:rsid w:val="005602F3"/>
    <w:rsid w:val="005609FD"/>
    <w:rsid w:val="00591427"/>
    <w:rsid w:val="0059793B"/>
    <w:rsid w:val="005D66AB"/>
    <w:rsid w:val="006216AC"/>
    <w:rsid w:val="006D3543"/>
    <w:rsid w:val="006E5494"/>
    <w:rsid w:val="006E791C"/>
    <w:rsid w:val="00714CF1"/>
    <w:rsid w:val="00736117"/>
    <w:rsid w:val="00740052"/>
    <w:rsid w:val="00773EFE"/>
    <w:rsid w:val="00813189"/>
    <w:rsid w:val="00813EAE"/>
    <w:rsid w:val="008222A0"/>
    <w:rsid w:val="00830EEF"/>
    <w:rsid w:val="00836D47"/>
    <w:rsid w:val="00982D57"/>
    <w:rsid w:val="00993537"/>
    <w:rsid w:val="009B6B9C"/>
    <w:rsid w:val="009C0B17"/>
    <w:rsid w:val="00A15CA7"/>
    <w:rsid w:val="00A44918"/>
    <w:rsid w:val="00A563E1"/>
    <w:rsid w:val="00AB0E92"/>
    <w:rsid w:val="00B22006"/>
    <w:rsid w:val="00B46CAE"/>
    <w:rsid w:val="00BE5A7C"/>
    <w:rsid w:val="00C006E6"/>
    <w:rsid w:val="00C12F37"/>
    <w:rsid w:val="00C528E6"/>
    <w:rsid w:val="00CF3208"/>
    <w:rsid w:val="00D25DE9"/>
    <w:rsid w:val="00D40353"/>
    <w:rsid w:val="00D9677A"/>
    <w:rsid w:val="00DC3796"/>
    <w:rsid w:val="00DC4211"/>
    <w:rsid w:val="00E03F6C"/>
    <w:rsid w:val="00E30A18"/>
    <w:rsid w:val="00EC6F2C"/>
    <w:rsid w:val="00F4449E"/>
    <w:rsid w:val="00F77C68"/>
    <w:rsid w:val="00F81463"/>
    <w:rsid w:val="00F84756"/>
    <w:rsid w:val="00FA09D7"/>
    <w:rsid w:val="00FB49FC"/>
    <w:rsid w:val="00FE02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FE02D3"/>
    <w:rPr>
      <w:color w:val="808080"/>
    </w:rPr>
  </w:style>
  <w:style w:type="paragraph" w:customStyle="1" w:styleId="2B0FF21738C1433DBAFB661809AC1F871">
    <w:name w:val="2B0FF21738C1433DBAFB661809AC1F871"/>
    <w:rsid w:val="00C006E6"/>
    <w:pPr>
      <w:spacing w:after="250" w:line="276" w:lineRule="auto"/>
      <w:jc w:val="both"/>
    </w:pPr>
    <w:rPr>
      <w:color w:val="1A1A1A" w:themeColor="background1" w:themeShade="1A"/>
      <w:szCs w:val="20"/>
      <w:lang w:eastAsia="en-US"/>
    </w:rPr>
  </w:style>
  <w:style w:type="paragraph" w:customStyle="1" w:styleId="B6E42B0E299148B09DE18600D49992C91">
    <w:name w:val="B6E42B0E299148B09DE18600D49992C91"/>
    <w:rsid w:val="00C006E6"/>
    <w:pPr>
      <w:spacing w:after="250" w:line="276" w:lineRule="auto"/>
      <w:jc w:val="both"/>
    </w:pPr>
    <w:rPr>
      <w:color w:val="1A1A1A" w:themeColor="background1" w:themeShade="1A"/>
      <w:szCs w:val="20"/>
      <w:lang w:eastAsia="en-US"/>
    </w:rPr>
  </w:style>
  <w:style w:type="paragraph" w:customStyle="1" w:styleId="2C1105927AE5462D802EE598D84A45F61">
    <w:name w:val="2C1105927AE5462D802EE598D84A45F61"/>
    <w:rsid w:val="00C006E6"/>
    <w:pPr>
      <w:spacing w:after="250" w:line="276" w:lineRule="auto"/>
      <w:jc w:val="both"/>
    </w:pPr>
    <w:rPr>
      <w:color w:val="1A1A1A" w:themeColor="background1" w:themeShade="1A"/>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3" ma:contentTypeDescription="" ma:contentTypeScope="" ma:versionID="57cf31132a3ab548408b31b9c49364ea">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8cead7b0efef077b84ac3f94c1384b5"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Value>
      <Value>42</Value>
    </TaxCatchAll>
    <_dlc_DocId xmlns="d0fb0f98-34f9-4d57-9559-eb8efd17aa5e">ESMA12-2121844265-6120</_dlc_DocId>
    <_dlc_DocIdUrl xmlns="d0fb0f98-34f9-4d57-9559-eb8efd17aa5e">
      <Url>https://securitiesandmarketsauth.sharepoint.com/sites/sherpa-daru/_layouts/15/DocIdRedir.aspx?ID=ESMA12-2121844265-6120</Url>
      <Description>ESMA12-2121844265-6120</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2023</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Derivative reporting</TermName>
          <TermId xmlns="http://schemas.microsoft.com/office/infopath/2007/PartnerControls">c0453927-c279-4b83-b28c-a7e89261ef79</TermId>
        </TermInfo>
      </Terms>
    </caa5aeb1a6644849b60fbe2335e12657>
    <IconOverlay xmlns="http://schemas.microsoft.com/sharepoint/v4" xsi:nil="true"/>
    <adfed02cb80f4453940112edc610ae0b xmlns="d0fb0f98-34f9-4d57-9559-eb8efd17aa5e">
      <Terms xmlns="http://schemas.microsoft.com/office/infopath/2007/PartnerControls"/>
    </adfed02cb80f4453940112edc610ae0b>
    <lcf76f155ced4ddcb4097134ff3c332f xmlns="6f12cd6b-8b2a-4dd7-980a-cc1ae6d63939">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CFE0B-7B49-4A4A-A10A-067979E52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3.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4.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http://schemas.microsoft.com/sharepoint/v4"/>
    <ds:schemaRef ds:uri="6f12cd6b-8b2a-4dd7-980a-cc1ae6d63939"/>
  </ds:schemaRefs>
</ds:datastoreItem>
</file>

<file path=customXml/itemProps5.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10</Pages>
  <Words>2548</Words>
  <Characters>14528</Characters>
  <Application>Microsoft Office Word</Application>
  <DocSecurity>8</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17042</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Giulia Cataldi</cp:lastModifiedBy>
  <cp:revision>305</cp:revision>
  <cp:lastPrinted>2023-09-09T09:53:00Z</cp:lastPrinted>
  <dcterms:created xsi:type="dcterms:W3CDTF">2026-10-05T08:51:00Z</dcterms:created>
  <dcterms:modified xsi:type="dcterms:W3CDTF">2026-10-12T13:12:00Z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0ca70d09-8a79-408e-9d34-d08e44b130e5</vt:lpwstr>
  </property>
  <property fmtid="{D5CDD505-2E9C-101B-9397-08002B2CF9AE}" pid="8" name="Topic">
    <vt:lpwstr>42</vt:lpwstr>
  </property>
  <property fmtid="{D5CDD505-2E9C-101B-9397-08002B2CF9AE}" pid="9" name="ConfidentialityLevel">
    <vt:lpwstr>6;#Regular|07f1e362-856b-423d-bea6-a14079762141</vt:lpwstr>
  </property>
  <property fmtid="{D5CDD505-2E9C-101B-9397-08002B2CF9AE}" pid="10" name="DocumentType">
    <vt:lpwstr>5;#Note|b9e1c92e-303a-4555-86f0-5c711c65937e</vt:lpwstr>
  </property>
  <property fmtid="{D5CDD505-2E9C-101B-9397-08002B2CF9AE}" pid="11" name="Order">
    <vt:r8>52000</vt:r8>
  </property>
  <property fmtid="{D5CDD505-2E9C-101B-9397-08002B2CF9AE}" pid="12" name="DocumentSetDescription">
    <vt:lpwstr/>
  </property>
  <property fmtid="{D5CDD505-2E9C-101B-9397-08002B2CF9AE}" pid="13" name="TeamName">
    <vt:lpwstr>43;#Post-Trading|22dee67e-8766-4361-bbd4-81c804883283</vt:lpwstr>
  </property>
  <property fmtid="{D5CDD505-2E9C-101B-9397-08002B2CF9AE}" pid="14" name="SubTopic">
    <vt:lpwstr>1280;#EMIR – PTRRS – Consultation RTS CO Exemption|056223a5-11fb-4521-a115-cc7a80111c26</vt:lpwstr>
  </property>
  <property fmtid="{D5CDD505-2E9C-101B-9397-08002B2CF9AE}" pid="15" name="_ExtendedDescription">
    <vt:lpwstr/>
  </property>
  <property fmtid="{D5CDD505-2E9C-101B-9397-08002B2CF9AE}" pid="16" name="URL">
    <vt:lpwstr/>
  </property>
  <property fmtid="{D5CDD505-2E9C-101B-9397-08002B2CF9AE}" pid="17" name="MSIP_Label_05ae7051-b702-462d-8e81-9ac0b6085f00_Extended_MSFT_Method">
    <vt:lpwstr>Standard</vt:lpwstr>
  </property>
  <property fmtid="{D5CDD505-2E9C-101B-9397-08002B2CF9AE}" pid="18" name="MSIP_Label_05ae7051-b702-462d-8e81-9ac0b6085f00_Removed">
    <vt:lpwstr>False</vt:lpwstr>
  </property>
  <property fmtid="{D5CDD505-2E9C-101B-9397-08002B2CF9AE}" pid="19" name="MSIP_Label_05ae7051-b702-462d-8e81-9ac0b6085f00_ActionId">
    <vt:lpwstr>39f833d7-6386-4e82-a49c-e2fb28295084</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2025-06-17T12:33:41Z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Sensitivity">
    <vt:lpwstr>Regular</vt:lpwstr>
  </property>
  <property fmtid="{D5CDD505-2E9C-101B-9397-08002B2CF9AE}" pid="25" name="docLang">
    <vt:lpwstr>en</vt:lpwstr>
  </property>
  <property fmtid="{D5CDD505-2E9C-101B-9397-08002B2CF9AE}" pid="26" name="MediaServiceImageTags">
    <vt:lpwstr/>
  </property>
  <property fmtid="{D5CDD505-2E9C-101B-9397-08002B2CF9AE}" pid="27" name="MultiTopic">
    <vt:lpwstr/>
  </property>
</Properties>
</file>