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5633A7B7" w14:textId="77777777" w:rsidR="00870A24" w:rsidRDefault="00870A24" w:rsidP="00F72D28">
          <w:pPr>
            <w:pStyle w:val="Title"/>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le"/>
          </w:pPr>
        </w:p>
        <w:p w14:paraId="01438AE1" w14:textId="052010EB" w:rsidR="00563C1F" w:rsidRDefault="00EC6066" w:rsidP="00F72D28">
          <w:pPr>
            <w:pStyle w:val="Title"/>
          </w:pPr>
          <w:r>
            <w:t xml:space="preserve">Reply </w:t>
          </w:r>
          <w:r w:rsidR="00DD03DC">
            <w:t>F</w:t>
          </w:r>
          <w:r>
            <w:t>orm</w:t>
          </w:r>
        </w:p>
        <w:p w14:paraId="031F2108" w14:textId="793B616E"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570EC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w:t>
          </w:r>
          <w:r w:rsidR="00B7619F" w:rsidRPr="00B7619F">
            <w:rPr>
              <w:rFonts w:cs="Arial"/>
              <w:b/>
              <w:sz w:val="36"/>
              <w:szCs w:val="36"/>
            </w:rPr>
            <w:t xml:space="preserve">on </w:t>
          </w:r>
          <w:r w:rsidR="00AE378E">
            <w:rPr>
              <w:rFonts w:cs="Arial"/>
              <w:b/>
              <w:sz w:val="36"/>
              <w:szCs w:val="36"/>
            </w:rPr>
            <w:t>EMIR Article 7d Reporting</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2CB11116" w:rsidR="002533FC" w:rsidRPr="005B6B12" w:rsidRDefault="002533FC" w:rsidP="002533FC">
          <w:r w:rsidRPr="005B6B12">
            <w:t xml:space="preserve">ESMA will consider all comments received by </w:t>
          </w:r>
          <w:r w:rsidR="005A4BBA">
            <w:rPr>
              <w:b/>
              <w:bCs/>
              <w:color w:val="auto"/>
            </w:rPr>
            <w:t>12</w:t>
          </w:r>
          <w:r w:rsidR="4A420E9D" w:rsidRPr="00EE24AE">
            <w:rPr>
              <w:b/>
              <w:bCs/>
              <w:color w:val="auto"/>
            </w:rPr>
            <w:t xml:space="preserve"> </w:t>
          </w:r>
          <w:r w:rsidR="005A4BBA">
            <w:rPr>
              <w:b/>
              <w:bCs/>
              <w:color w:val="auto"/>
            </w:rPr>
            <w:t>October</w:t>
          </w:r>
          <w:r w:rsidR="0029727F" w:rsidRPr="00EE24AE">
            <w:rPr>
              <w:b/>
              <w:color w:val="auto"/>
            </w:rPr>
            <w:t xml:space="preserve"> 202</w:t>
          </w:r>
          <w:r w:rsidR="00B7619F" w:rsidRPr="00EE24AE">
            <w:rPr>
              <w:b/>
              <w:color w:val="auto"/>
            </w:rPr>
            <w:t>6</w:t>
          </w:r>
          <w:r w:rsidRPr="00EE24AE">
            <w:rPr>
              <w:bCs/>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413296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8650FE">
            <w:rPr>
              <w:bCs/>
            </w:rPr>
            <w:t>TCCR</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49E3AC1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w:t>
          </w:r>
          <w:r w:rsidR="008650FE">
            <w:rPr>
              <w:bCs/>
            </w:rPr>
            <w:t>TCCR</w:t>
          </w:r>
          <w:r w:rsidRPr="00C5469A">
            <w:rPr>
              <w:bCs/>
            </w:rPr>
            <w:t xml:space="preserve">_nameofrespondent. </w:t>
          </w:r>
        </w:p>
        <w:p w14:paraId="210BE93A" w14:textId="54740095"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w:t>
          </w:r>
          <w:r w:rsidR="008650FE">
            <w:rPr>
              <w:bCs/>
            </w:rPr>
            <w:t>TCCR</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50C0B880" w14:textId="54217AED" w:rsidR="005171FF" w:rsidRDefault="00C102DB">
      <w:pPr>
        <w:spacing w:after="120" w:line="264" w:lineRule="auto"/>
        <w:jc w:val="left"/>
        <w:rPr>
          <w:rFonts w:asciiTheme="majorHAnsi" w:eastAsiaTheme="majorEastAsia" w:hAnsiTheme="majorHAnsi" w:cstheme="majorBidi"/>
          <w:sz w:val="28"/>
          <w:szCs w:val="24"/>
          <w:highlight w:val="yellow"/>
        </w:rPr>
      </w:pPr>
      <w:r w:rsidRPr="00C102DB">
        <w:t>All interested stakeholders are invited to respond to this consultation paper. In particular, responses are sought from clearing members, counterparties accessing recognised third country central counterparties services as clients of clearing members, as well as recognised TC-CCPs. The paper may also be of interest to industry associations representing market participants, as well as to public authorities and other stakeholders with an interest in clearing markets.</w:t>
      </w:r>
      <w:r w:rsidR="005171FF">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BA6D09">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alias w:val="Name of the company / organisation"/>
            <w:tag w:val="Name of the company / organisation"/>
            <w:id w:val="-803776227"/>
            <w:placeholder>
              <w:docPart w:val="2B0FF21738C1433DBAFB661809AC1F87"/>
            </w:placeholder>
          </w:sdtPr>
          <w:sdtEndPr/>
          <w:sdtContent>
            <w:tc>
              <w:tcPr>
                <w:tcW w:w="4531" w:type="dxa"/>
              </w:tcPr>
              <w:p w14:paraId="76683ED7" w14:textId="2398E97C" w:rsidR="00635BCA" w:rsidRPr="00557BD2" w:rsidRDefault="00E46298" w:rsidP="00D21C35">
                <w:r>
                  <w:t>EFAMA</w:t>
                </w:r>
              </w:p>
            </w:tc>
          </w:sdtContent>
        </w:sdt>
      </w:tr>
      <w:tr w:rsidR="00B17279" w:rsidRPr="00557BD2" w14:paraId="4FC13461" w14:textId="77777777" w:rsidTr="00BA6D09">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displayText="Choose an item" w:value="Choose an item"/>
              <w:listItem w:displayText="Stakeholder" w:value="Stakeholder"/>
              <w:listItem w:displayText="Financial Counterparty of OTC derivatives transactions" w:value="Financial Counterparty of OTC derivatives transactions"/>
              <w:listItem w:displayText="Non-financial Counterparty of OTC derivatives transactions" w:value="Non-financial Counterparty of OTC derivatives transactions"/>
              <w:listItem w:displayText="Central Counterparty" w:value="Central Counterparty"/>
              <w:listItem w:displayText="Other" w:value="Other"/>
            </w:comboBox>
          </w:sdtPr>
          <w:sdtEndPr/>
          <w:sdtContent>
            <w:tc>
              <w:tcPr>
                <w:tcW w:w="4531" w:type="dxa"/>
              </w:tcPr>
              <w:p w14:paraId="1185A96B" w14:textId="6421F3B7" w:rsidR="00B17279" w:rsidRDefault="00E46298" w:rsidP="00B17279">
                <w:r>
                  <w:t>Other</w:t>
                </w:r>
              </w:p>
            </w:tc>
          </w:sdtContent>
        </w:sdt>
      </w:tr>
      <w:permEnd w:id="1315974205"/>
      <w:tr w:rsidR="00B17279" w:rsidRPr="00557BD2" w14:paraId="7387C961" w14:textId="77777777" w:rsidTr="00BA6D09">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1982091919" w:edGrp="everyone" w:displacedByCustomXml="prev"/>
            <w:tc>
              <w:tcPr>
                <w:tcW w:w="4531" w:type="dxa"/>
              </w:tcPr>
              <w:p w14:paraId="10359AFE" w14:textId="6FCE4D37" w:rsidR="00B17279" w:rsidRDefault="00E46298" w:rsidP="00B17279">
                <w:r>
                  <w:rPr>
                    <w:rFonts w:ascii="MS Gothic" w:eastAsia="MS Gothic" w:hAnsi="MS Gothic" w:hint="eastAsia"/>
                  </w:rPr>
                  <w:t>☒</w:t>
                </w:r>
              </w:p>
            </w:tc>
            <w:permEnd w:id="1982091919" w:displacedByCustomXml="next"/>
          </w:sdtContent>
        </w:sdt>
      </w:tr>
      <w:tr w:rsidR="00B17279" w:rsidRPr="00557BD2" w14:paraId="3D982432" w14:textId="77777777" w:rsidTr="00BA6D09">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23AA99A2" w:rsidR="00B17279" w:rsidRPr="00557BD2" w:rsidRDefault="00E46298" w:rsidP="00B17279">
                <w:r>
                  <w:t>Belgium</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45B5E493" w14:textId="77777777" w:rsidR="00772944" w:rsidRDefault="00772944" w:rsidP="00772944">
      <w:pPr>
        <w:pStyle w:val="Questionstyle"/>
        <w:numPr>
          <w:ilvl w:val="0"/>
          <w:numId w:val="14"/>
        </w:numPr>
        <w:tabs>
          <w:tab w:val="clear" w:pos="567"/>
        </w:tabs>
        <w:spacing w:before="120" w:after="120"/>
        <w:ind w:left="851" w:hanging="709"/>
        <w:rPr>
          <w:color w:val="auto"/>
        </w:rPr>
      </w:pPr>
      <w:r>
        <w:t>Do stakeholders agree with ESMA’s assessment of data availability under existing reporting frameworks?</w:t>
      </w:r>
    </w:p>
    <w:p w14:paraId="6E0EB923" w14:textId="77777777" w:rsidR="00772944" w:rsidRDefault="00772944" w:rsidP="00772944">
      <w:r>
        <w:t>&lt;ESMA_QUESTION_TCCR_1&gt;</w:t>
      </w:r>
    </w:p>
    <w:p w14:paraId="042EA170" w14:textId="77777777" w:rsidR="00FE0460" w:rsidRPr="00B661FA" w:rsidRDefault="00FE0460" w:rsidP="00FE0460">
      <w:pPr>
        <w:pStyle w:val="NormalWeb"/>
        <w:spacing w:before="240" w:beforeAutospacing="0" w:after="240" w:afterAutospacing="0" w:line="276" w:lineRule="auto"/>
        <w:jc w:val="both"/>
        <w:rPr>
          <w:rFonts w:ascii="Arial" w:hAnsi="Arial"/>
        </w:rPr>
      </w:pPr>
      <w:permStart w:id="1961835906" w:edGrp="everyone"/>
      <w:r w:rsidRPr="00B661FA">
        <w:rPr>
          <w:rFonts w:ascii="Arial" w:hAnsi="Arial"/>
        </w:rPr>
        <w:t xml:space="preserve">Article 7d EMIR, as established in the Level 1 text, creates a broad reporting obligation for both the instruments and entities potentially in scope. EFAMA therefore considers that implementation is likely to entail significant operational complexity and costs for market participants. </w:t>
      </w:r>
    </w:p>
    <w:p w14:paraId="0BF3E78F" w14:textId="77777777" w:rsidR="00FE0460" w:rsidRPr="00B661FA" w:rsidRDefault="00FE0460" w:rsidP="00FE0460">
      <w:pPr>
        <w:pStyle w:val="NormalWeb"/>
        <w:spacing w:before="240" w:beforeAutospacing="0" w:after="240" w:afterAutospacing="0" w:line="276" w:lineRule="auto"/>
        <w:jc w:val="both"/>
        <w:rPr>
          <w:rFonts w:ascii="Arial" w:hAnsi="Arial"/>
        </w:rPr>
      </w:pPr>
      <w:r w:rsidRPr="00B661FA">
        <w:rPr>
          <w:rFonts w:ascii="Arial" w:hAnsi="Arial"/>
        </w:rPr>
        <w:t xml:space="preserve">Although we acknowledge ESMA’s efforts to rely, to the greatest extent possible, on information already available under existing reporting frameworks and to limit additional reporting to identified data gaps, we consider that the issue lies in the current drafting of Article 7d and the fundamental challenges posed by its entity and instrument scope, which </w:t>
      </w:r>
      <w:r w:rsidRPr="00B661FA">
        <w:rPr>
          <w:rFonts w:ascii="Arial" w:hAnsi="Arial"/>
          <w:lang w:val="en-GB"/>
        </w:rPr>
        <w:t xml:space="preserve">are </w:t>
      </w:r>
      <w:r w:rsidRPr="00B661FA">
        <w:rPr>
          <w:rFonts w:ascii="Arial" w:hAnsi="Arial"/>
        </w:rPr>
        <w:t>inconsistent with the core principles governing the EMIR framework</w:t>
      </w:r>
      <w:r w:rsidRPr="00B661FA">
        <w:rPr>
          <w:rFonts w:ascii="Arial" w:hAnsi="Arial"/>
          <w:lang w:val="en-GB"/>
        </w:rPr>
        <w:t xml:space="preserve"> and, indeed, the regulatory perimeter set out in Article 1 of EMIR</w:t>
      </w:r>
      <w:r w:rsidRPr="00B661FA">
        <w:rPr>
          <w:rFonts w:ascii="Arial" w:hAnsi="Arial"/>
        </w:rPr>
        <w:t xml:space="preserve">. </w:t>
      </w:r>
    </w:p>
    <w:p w14:paraId="27071053" w14:textId="77777777" w:rsidR="00FE0460" w:rsidRPr="00B661FA" w:rsidRDefault="00FE0460" w:rsidP="00FE0460">
      <w:pPr>
        <w:pStyle w:val="NormalWeb"/>
        <w:spacing w:before="240" w:beforeAutospacing="0" w:after="240" w:afterAutospacing="0" w:line="276" w:lineRule="auto"/>
        <w:jc w:val="both"/>
        <w:rPr>
          <w:rFonts w:ascii="Arial" w:hAnsi="Arial"/>
          <w:lang w:val="en-GB"/>
        </w:rPr>
      </w:pPr>
      <w:r w:rsidRPr="00B661FA">
        <w:rPr>
          <w:rFonts w:ascii="Arial" w:hAnsi="Arial"/>
        </w:rPr>
        <w:t xml:space="preserve">First, </w:t>
      </w:r>
      <w:r w:rsidRPr="00B661FA">
        <w:rPr>
          <w:rFonts w:ascii="Arial" w:hAnsi="Arial"/>
          <w:b/>
          <w:bCs/>
        </w:rPr>
        <w:t>the instrument scope</w:t>
      </w:r>
      <w:r w:rsidRPr="00B661FA">
        <w:rPr>
          <w:rFonts w:ascii="Arial" w:hAnsi="Arial"/>
          <w:b/>
          <w:bCs/>
          <w:lang w:val="en-GB"/>
        </w:rPr>
        <w:t xml:space="preserve"> of Article 7d</w:t>
      </w:r>
      <w:r w:rsidRPr="00B661FA">
        <w:rPr>
          <w:rFonts w:ascii="Arial" w:hAnsi="Arial"/>
          <w:b/>
          <w:bCs/>
        </w:rPr>
        <w:t xml:space="preserve"> extends significantly beyond the existing EMIR </w:t>
      </w:r>
      <w:r w:rsidRPr="00B661FA">
        <w:rPr>
          <w:rFonts w:ascii="Arial" w:hAnsi="Arial"/>
          <w:b/>
          <w:bCs/>
          <w:lang w:val="en-GB"/>
        </w:rPr>
        <w:t>perimeter</w:t>
      </w:r>
      <w:r w:rsidRPr="00B661FA">
        <w:rPr>
          <w:rFonts w:ascii="Arial" w:hAnsi="Arial"/>
          <w:lang w:val="en-GB"/>
        </w:rPr>
        <w:t xml:space="preserve">, including for the </w:t>
      </w:r>
      <w:r w:rsidRPr="00B661FA">
        <w:rPr>
          <w:rFonts w:ascii="Arial" w:hAnsi="Arial"/>
        </w:rPr>
        <w:t>transaction</w:t>
      </w:r>
      <w:r w:rsidRPr="00B661FA">
        <w:rPr>
          <w:rFonts w:ascii="Arial" w:hAnsi="Arial"/>
          <w:lang w:val="en-GB"/>
        </w:rPr>
        <w:t xml:space="preserve"> </w:t>
      </w:r>
      <w:r w:rsidRPr="00B661FA">
        <w:rPr>
          <w:rFonts w:ascii="Arial" w:hAnsi="Arial"/>
        </w:rPr>
        <w:t>reporting framework</w:t>
      </w:r>
      <w:r w:rsidRPr="00B661FA">
        <w:rPr>
          <w:rFonts w:ascii="Arial" w:hAnsi="Arial"/>
          <w:lang w:val="en-GB"/>
        </w:rPr>
        <w:t xml:space="preserve"> as set out in Article 9 of EMIR</w:t>
      </w:r>
      <w:r w:rsidRPr="00B661FA">
        <w:rPr>
          <w:rFonts w:ascii="Arial" w:hAnsi="Arial"/>
        </w:rPr>
        <w:t xml:space="preserve">. Article 9 EMIR is focused on derivatives, whereas Article 7d encompasses financial and non-financial instruments cleared through recognised third-country </w:t>
      </w:r>
      <w:proofErr w:type="spellStart"/>
      <w:r w:rsidRPr="00B661FA">
        <w:rPr>
          <w:rFonts w:ascii="Arial" w:hAnsi="Arial"/>
        </w:rPr>
        <w:t>CCPs</w:t>
      </w:r>
      <w:proofErr w:type="spellEnd"/>
      <w:r w:rsidRPr="00B661FA">
        <w:rPr>
          <w:rFonts w:ascii="Arial" w:hAnsi="Arial"/>
        </w:rPr>
        <w:t xml:space="preserve">, including derivatives, SFTs, securities and, where relevant, certain non-financial instruments such as spot contracts and crypto-assets other than derivatives. ESMA itself acknowledges that this broader scope requires it to look beyond EMIR Article 9 and assess data available under SFTR, </w:t>
      </w:r>
      <w:proofErr w:type="spellStart"/>
      <w:r w:rsidRPr="00B661FA">
        <w:rPr>
          <w:rFonts w:ascii="Arial" w:hAnsi="Arial"/>
        </w:rPr>
        <w:t>MiFIR</w:t>
      </w:r>
      <w:proofErr w:type="spellEnd"/>
      <w:r w:rsidRPr="00B661FA">
        <w:rPr>
          <w:rFonts w:ascii="Arial" w:hAnsi="Arial"/>
        </w:rPr>
        <w:t xml:space="preserve"> and its existing data collection from Tier 1 third-country </w:t>
      </w:r>
      <w:proofErr w:type="spellStart"/>
      <w:r w:rsidRPr="00B661FA">
        <w:rPr>
          <w:rFonts w:ascii="Arial" w:hAnsi="Arial"/>
        </w:rPr>
        <w:t>CCPs</w:t>
      </w:r>
      <w:proofErr w:type="spellEnd"/>
      <w:r w:rsidRPr="00B661FA">
        <w:rPr>
          <w:rFonts w:ascii="Arial" w:hAnsi="Arial"/>
        </w:rPr>
        <w:t xml:space="preserve">. Moreover, the exclusion of non-financial instruments, such as spot contracts, from EMIR Article 9 and </w:t>
      </w:r>
      <w:proofErr w:type="spellStart"/>
      <w:r w:rsidRPr="00B661FA">
        <w:rPr>
          <w:rFonts w:ascii="Arial" w:hAnsi="Arial"/>
        </w:rPr>
        <w:t>MiFIR</w:t>
      </w:r>
      <w:proofErr w:type="spellEnd"/>
      <w:r w:rsidRPr="00B661FA">
        <w:rPr>
          <w:rFonts w:ascii="Arial" w:hAnsi="Arial"/>
        </w:rPr>
        <w:t xml:space="preserve"> reporting reflects the policy choices underlying those frameworks' scope. Their inclusion under Article 7d represents a significant deviation from those </w:t>
      </w:r>
      <w:r w:rsidRPr="00B661FA">
        <w:rPr>
          <w:rFonts w:ascii="Arial" w:hAnsi="Arial"/>
          <w:lang w:val="en-GB"/>
        </w:rPr>
        <w:t xml:space="preserve">policy </w:t>
      </w:r>
      <w:r w:rsidRPr="00B661FA">
        <w:rPr>
          <w:rFonts w:ascii="Arial" w:hAnsi="Arial"/>
        </w:rPr>
        <w:t>choices</w:t>
      </w:r>
      <w:r w:rsidRPr="00B661FA">
        <w:rPr>
          <w:rFonts w:ascii="Arial" w:hAnsi="Arial"/>
          <w:lang w:val="en-GB"/>
        </w:rPr>
        <w:t xml:space="preserve">, which we would expect to have been made with reference to the systemic and market abuse risks posed by the instruments in question. Accordingly, including these instruments under Article 7d raises the question of the perceived “value add” of reporting and arguably </w:t>
      </w:r>
      <w:r w:rsidRPr="00B661FA">
        <w:rPr>
          <w:rFonts w:ascii="Arial" w:hAnsi="Arial"/>
        </w:rPr>
        <w:t xml:space="preserve">risks undermining the rationale for excluding such activity from transaction reporting in the first place. </w:t>
      </w:r>
    </w:p>
    <w:p w14:paraId="5509FC8B" w14:textId="77777777" w:rsidR="00FE0460" w:rsidRPr="00B661FA" w:rsidRDefault="00FE0460" w:rsidP="00FE0460">
      <w:pPr>
        <w:pStyle w:val="NormalWeb"/>
        <w:spacing w:before="240" w:beforeAutospacing="0" w:after="240" w:afterAutospacing="0" w:line="276" w:lineRule="auto"/>
        <w:rPr>
          <w:rFonts w:ascii="Arial" w:hAnsi="Arial"/>
          <w:lang w:val="en-GB"/>
        </w:rPr>
      </w:pPr>
      <w:r w:rsidRPr="00B661FA">
        <w:rPr>
          <w:rFonts w:ascii="Arial" w:hAnsi="Arial"/>
          <w:lang w:val="en-GB"/>
        </w:rPr>
        <w:lastRenderedPageBreak/>
        <w:t xml:space="preserve">Taken together, the elements comprising the broader Article 7d reporting framework create significant legal uncertainty. They would require reporting entities to build entirely new data-sourcing and reporting systems for products not previously subject to EMIR reporting, creating disproportionate and burdensome requirements that seem at odds with the broader European simplification and burden-reduction agenda. </w:t>
      </w:r>
    </w:p>
    <w:p w14:paraId="7B2A49C4" w14:textId="77777777" w:rsidR="00FE0460" w:rsidRPr="00B661FA" w:rsidRDefault="00FE0460" w:rsidP="00FE0460">
      <w:pPr>
        <w:pStyle w:val="NormalWeb"/>
        <w:spacing w:before="240" w:beforeAutospacing="0" w:after="240" w:afterAutospacing="0" w:line="276" w:lineRule="auto"/>
        <w:jc w:val="both"/>
        <w:rPr>
          <w:rFonts w:ascii="Arial" w:hAnsi="Arial"/>
        </w:rPr>
      </w:pPr>
      <w:r w:rsidRPr="00B661FA">
        <w:rPr>
          <w:rFonts w:ascii="Arial" w:hAnsi="Arial"/>
        </w:rPr>
        <w:t xml:space="preserve">Second, </w:t>
      </w:r>
      <w:r w:rsidRPr="00B661FA">
        <w:rPr>
          <w:rFonts w:ascii="Arial" w:hAnsi="Arial"/>
          <w:lang w:val="en-GB"/>
        </w:rPr>
        <w:t xml:space="preserve">given the broad instrument scope of Article 7d, </w:t>
      </w:r>
      <w:r w:rsidRPr="00B661FA">
        <w:rPr>
          <w:rFonts w:ascii="Arial" w:hAnsi="Arial"/>
          <w:b/>
          <w:bCs/>
        </w:rPr>
        <w:t xml:space="preserve">the reporting population will include entities </w:t>
      </w:r>
      <w:r w:rsidRPr="00B661FA">
        <w:rPr>
          <w:rFonts w:ascii="Arial" w:hAnsi="Arial"/>
          <w:b/>
          <w:bCs/>
          <w:lang w:val="en-GB"/>
        </w:rPr>
        <w:t xml:space="preserve">(funds and/or institutional market participants) </w:t>
      </w:r>
      <w:r w:rsidRPr="00B661FA">
        <w:rPr>
          <w:rFonts w:ascii="Arial" w:hAnsi="Arial"/>
          <w:b/>
          <w:bCs/>
        </w:rPr>
        <w:t xml:space="preserve">that </w:t>
      </w:r>
      <w:r w:rsidRPr="00B661FA">
        <w:rPr>
          <w:rFonts w:ascii="Arial" w:hAnsi="Arial"/>
          <w:b/>
          <w:bCs/>
          <w:lang w:val="en-GB"/>
        </w:rPr>
        <w:t xml:space="preserve">do not trade in derivatives and accordingly are not otherwise </w:t>
      </w:r>
      <w:r w:rsidRPr="00B661FA">
        <w:rPr>
          <w:rFonts w:ascii="Arial" w:hAnsi="Arial"/>
          <w:b/>
          <w:bCs/>
        </w:rPr>
        <w:t>subject to EMIR</w:t>
      </w:r>
      <w:r w:rsidRPr="00B661FA">
        <w:rPr>
          <w:rFonts w:ascii="Arial" w:hAnsi="Arial"/>
        </w:rPr>
        <w:t xml:space="preserve">. This would effectively require entities not subject to EMIR and consequently with no previous involvement in EMIR transaction reporting to develop new compliance screenings, systems, controls and reporting arrangements specifically for Article 7d, potentially creating a disproportionate compliance and operational burden relative to the supervisory value of the information collected. </w:t>
      </w:r>
      <w:r w:rsidRPr="00B661FA">
        <w:rPr>
          <w:rFonts w:ascii="Arial" w:hAnsi="Arial"/>
          <w:lang w:val="en-GB"/>
        </w:rPr>
        <w:t>Furthermore, this calibration of the Article 7d requirements</w:t>
      </w:r>
      <w:r w:rsidRPr="00B661FA">
        <w:rPr>
          <w:rFonts w:ascii="Arial" w:hAnsi="Arial"/>
        </w:rPr>
        <w:t xml:space="preserve"> also introduces a</w:t>
      </w:r>
      <w:r w:rsidRPr="00B661FA">
        <w:rPr>
          <w:rFonts w:ascii="Arial" w:hAnsi="Arial"/>
          <w:lang w:val="en-GB"/>
        </w:rPr>
        <w:t xml:space="preserve"> disproportionate </w:t>
      </w:r>
      <w:r w:rsidRPr="00B661FA">
        <w:rPr>
          <w:rFonts w:ascii="Arial" w:hAnsi="Arial"/>
        </w:rPr>
        <w:t>extraterritorial dimension by requiring the inclusion of relevant activity of non-EU entities belonging to groups subject to consolidated supervision in the Union, even where existing EU transaction-reporting obligations</w:t>
      </w:r>
      <w:r w:rsidRPr="00B661FA">
        <w:rPr>
          <w:rFonts w:ascii="Arial" w:hAnsi="Arial"/>
          <w:lang w:val="en-GB"/>
        </w:rPr>
        <w:t xml:space="preserve"> (under EMIR, SFTR and </w:t>
      </w:r>
      <w:proofErr w:type="spellStart"/>
      <w:r w:rsidRPr="00B661FA">
        <w:rPr>
          <w:rFonts w:ascii="Arial" w:hAnsi="Arial"/>
          <w:lang w:val="en-GB"/>
        </w:rPr>
        <w:t>MiFIR</w:t>
      </w:r>
      <w:proofErr w:type="spellEnd"/>
      <w:r w:rsidRPr="00B661FA">
        <w:rPr>
          <w:rFonts w:ascii="Arial" w:hAnsi="Arial"/>
          <w:lang w:val="en-GB"/>
        </w:rPr>
        <w:t>)</w:t>
      </w:r>
      <w:r w:rsidRPr="00B661FA">
        <w:rPr>
          <w:rFonts w:ascii="Arial" w:hAnsi="Arial"/>
        </w:rPr>
        <w:t xml:space="preserve"> do not capture that activity.</w:t>
      </w:r>
    </w:p>
    <w:p w14:paraId="205CEC46" w14:textId="77777777" w:rsidR="00FE0460" w:rsidRPr="00B661FA" w:rsidRDefault="00FE0460" w:rsidP="00FE0460">
      <w:pPr>
        <w:pStyle w:val="NormalWeb"/>
        <w:spacing w:before="240" w:beforeAutospacing="0" w:after="240" w:afterAutospacing="0" w:line="276" w:lineRule="auto"/>
        <w:jc w:val="both"/>
        <w:rPr>
          <w:rFonts w:ascii="Arial" w:hAnsi="Arial"/>
          <w:lang w:val="en-GB"/>
        </w:rPr>
      </w:pPr>
      <w:r w:rsidRPr="00B661FA">
        <w:rPr>
          <w:rFonts w:ascii="Arial" w:hAnsi="Arial"/>
        </w:rPr>
        <w:t xml:space="preserve">For the reasons outlined above, </w:t>
      </w:r>
      <w:r w:rsidRPr="00B661FA">
        <w:rPr>
          <w:rFonts w:ascii="Arial" w:hAnsi="Arial"/>
          <w:b/>
          <w:bCs/>
        </w:rPr>
        <w:t xml:space="preserve">EFAMA calls for a review of Article 7d EMIR at Level 1. In particular, EFAMA supports deleting this provision and encourages ESMA to recommend its removal </w:t>
      </w:r>
      <w:r w:rsidRPr="00B661FA">
        <w:rPr>
          <w:rFonts w:ascii="Arial" w:hAnsi="Arial"/>
        </w:rPr>
        <w:t>as part of its broader work on simplifying financial transaction reporting.</w:t>
      </w:r>
      <w:r w:rsidRPr="00B661FA">
        <w:rPr>
          <w:rFonts w:ascii="Arial" w:hAnsi="Arial"/>
          <w:lang w:val="en-GB"/>
        </w:rPr>
        <w:t xml:space="preserve"> </w:t>
      </w:r>
      <w:r w:rsidRPr="00B661FA">
        <w:rPr>
          <w:rFonts w:ascii="Arial" w:hAnsi="Arial"/>
          <w:lang w:val="en-US"/>
        </w:rPr>
        <w:t>If deleting Article 7d from the EMIR text is not feasible, EFAMA recommends meaningful simplifications to ensure it remains proportionate, coherent with EMIR’s scope, and aligned with existing reporting channels.</w:t>
      </w:r>
    </w:p>
    <w:p w14:paraId="27E10DE0" w14:textId="77777777" w:rsidR="00FE0460" w:rsidRPr="00B661FA" w:rsidRDefault="00FE0460" w:rsidP="00FE0460">
      <w:pPr>
        <w:pStyle w:val="NormalWeb"/>
        <w:spacing w:before="240" w:beforeAutospacing="0" w:after="240" w:afterAutospacing="0" w:line="276" w:lineRule="auto"/>
        <w:jc w:val="both"/>
        <w:rPr>
          <w:rFonts w:ascii="Arial" w:hAnsi="Arial"/>
          <w:lang w:val="en-US"/>
        </w:rPr>
      </w:pPr>
      <w:r w:rsidRPr="00B661FA">
        <w:rPr>
          <w:rFonts w:ascii="Arial" w:hAnsi="Arial"/>
          <w:lang w:val="en-US"/>
        </w:rPr>
        <w:t xml:space="preserve">We include below the specific changes to the legal framework that would improve Article 7d EMIR:  </w:t>
      </w:r>
    </w:p>
    <w:p w14:paraId="7FDE190C" w14:textId="77777777" w:rsidR="00FE0460" w:rsidRPr="00B661FA" w:rsidRDefault="00FE0460" w:rsidP="00FE0460">
      <w:pPr>
        <w:pStyle w:val="NormalWeb"/>
        <w:numPr>
          <w:ilvl w:val="0"/>
          <w:numId w:val="17"/>
        </w:numPr>
        <w:spacing w:before="240" w:beforeAutospacing="0" w:after="240" w:afterAutospacing="0" w:line="276" w:lineRule="auto"/>
        <w:jc w:val="both"/>
        <w:rPr>
          <w:rFonts w:ascii="Arial" w:hAnsi="Arial"/>
          <w:lang w:val="en-US"/>
        </w:rPr>
      </w:pPr>
      <w:r w:rsidRPr="00B661FA">
        <w:rPr>
          <w:rFonts w:ascii="Arial" w:hAnsi="Arial"/>
          <w:lang w:val="en-US"/>
        </w:rPr>
        <w:t xml:space="preserve">Limit Article 7d reporting strictly to derivatives, by replacing references to ‘financial instruments or non-financial instruments cleared’ with ‘derivative instruments cleared’ </w:t>
      </w:r>
    </w:p>
    <w:p w14:paraId="0673D6ED" w14:textId="77777777" w:rsidR="00FE0460" w:rsidRPr="00B661FA" w:rsidRDefault="00FE0460" w:rsidP="00FE0460">
      <w:pPr>
        <w:pStyle w:val="NormalWeb"/>
        <w:numPr>
          <w:ilvl w:val="0"/>
          <w:numId w:val="17"/>
        </w:numPr>
        <w:spacing w:before="240" w:beforeAutospacing="0" w:after="240" w:afterAutospacing="0" w:line="276" w:lineRule="auto"/>
        <w:jc w:val="both"/>
        <w:rPr>
          <w:rFonts w:ascii="Arial" w:hAnsi="Arial"/>
          <w:lang w:val="en-US"/>
        </w:rPr>
      </w:pPr>
      <w:r w:rsidRPr="00B661FA">
        <w:rPr>
          <w:rFonts w:ascii="Arial" w:hAnsi="Arial"/>
          <w:lang w:val="en-US"/>
        </w:rPr>
        <w:t xml:space="preserve">Remove clearing clients from the Article 7d reporting obligation. The most effective way of achieving this would be to either remove the mention of clearing clients entirely from Article 7d or include a reference to the extension of mandatory delegated reporting in which clearing members report on behalf of their clients. </w:t>
      </w:r>
    </w:p>
    <w:p w14:paraId="2508F56D" w14:textId="77777777" w:rsidR="00FE0460" w:rsidRPr="00B661FA" w:rsidRDefault="00FE0460" w:rsidP="00FE0460">
      <w:pPr>
        <w:pStyle w:val="NormalWeb"/>
        <w:numPr>
          <w:ilvl w:val="0"/>
          <w:numId w:val="17"/>
        </w:numPr>
        <w:spacing w:before="240" w:beforeAutospacing="0" w:after="240" w:afterAutospacing="0" w:line="276" w:lineRule="auto"/>
        <w:jc w:val="both"/>
        <w:rPr>
          <w:rFonts w:ascii="Arial" w:hAnsi="Arial"/>
          <w:lang w:val="en-US"/>
        </w:rPr>
      </w:pPr>
      <w:r w:rsidRPr="00B661FA">
        <w:rPr>
          <w:rFonts w:ascii="Arial" w:hAnsi="Arial"/>
          <w:lang w:val="en-US"/>
        </w:rPr>
        <w:t>Expressly clarify that Article 7d reporting should cover only periods following the entry into force of both the RTS and ITS, without requiring back-reporting for earlier periods. This request is without prejudice to EFAMA’s reading that nothing in the current Level 1 text requires back-reporting (see our response to Q3 below).</w:t>
      </w:r>
    </w:p>
    <w:p w14:paraId="63BC1A55" w14:textId="77777777" w:rsidR="00FE0460" w:rsidRPr="00B661FA" w:rsidRDefault="00FE0460" w:rsidP="00FE0460">
      <w:pPr>
        <w:pStyle w:val="NormalWeb"/>
        <w:numPr>
          <w:ilvl w:val="0"/>
          <w:numId w:val="17"/>
        </w:numPr>
        <w:spacing w:before="240" w:beforeAutospacing="0" w:after="240" w:afterAutospacing="0" w:line="276" w:lineRule="auto"/>
        <w:jc w:val="both"/>
        <w:rPr>
          <w:rFonts w:ascii="Arial" w:hAnsi="Arial"/>
        </w:rPr>
      </w:pPr>
      <w:r w:rsidRPr="00B661FA">
        <w:rPr>
          <w:rFonts w:ascii="Arial" w:hAnsi="Arial"/>
        </w:rPr>
        <w:t xml:space="preserve">Replace reporting by EU clearing members and clients with direct collection from recognised third-country </w:t>
      </w:r>
      <w:proofErr w:type="spellStart"/>
      <w:r w:rsidRPr="00B661FA">
        <w:rPr>
          <w:rFonts w:ascii="Arial" w:hAnsi="Arial"/>
        </w:rPr>
        <w:t>CCPs</w:t>
      </w:r>
      <w:proofErr w:type="spellEnd"/>
      <w:r w:rsidRPr="00B661FA">
        <w:rPr>
          <w:rFonts w:ascii="Arial" w:hAnsi="Arial"/>
        </w:rPr>
        <w:t xml:space="preserve"> and their supervisors, where the information is deemed necessary, by amending the Article 25 recognition framework and supervisory cooperation arrangements accordingly. Where reliance on CCP or supervisory-authority data would require changes to the Level 1 framework, these should be identified explicitly as part of the broader simplification exercise.</w:t>
      </w:r>
    </w:p>
    <w:p w14:paraId="424B1083" w14:textId="77777777" w:rsidR="00FE0460" w:rsidRPr="00B661FA" w:rsidRDefault="00FE0460" w:rsidP="00FE0460">
      <w:pPr>
        <w:pStyle w:val="NormalWeb"/>
        <w:spacing w:before="240" w:beforeAutospacing="0" w:after="240" w:afterAutospacing="0" w:line="276" w:lineRule="auto"/>
        <w:jc w:val="both"/>
        <w:rPr>
          <w:rFonts w:ascii="Arial" w:hAnsi="Arial"/>
          <w:b/>
          <w:bCs/>
        </w:rPr>
      </w:pPr>
      <w:r w:rsidRPr="00B661FA">
        <w:rPr>
          <w:rFonts w:ascii="Arial" w:hAnsi="Arial"/>
        </w:rPr>
        <w:lastRenderedPageBreak/>
        <w:t xml:space="preserve">This approach is particularly important in light of the supervisory feedback described in paragraph 15 of the Consultation Paper. ESMA notes that supervisors across jurisdictions were remarkably consistent in considering that the information required under Article 7d is not necessary for their supervisory or monitoring activities, that </w:t>
      </w:r>
      <w:r w:rsidRPr="00B661FA">
        <w:rPr>
          <w:rFonts w:ascii="Arial" w:hAnsi="Arial"/>
          <w:b/>
          <w:bCs/>
        </w:rPr>
        <w:t xml:space="preserve">EMIR Article 9 already provides sufficient information for supervisory purposes, including regarding clearing activity at recognised third-country </w:t>
      </w:r>
      <w:proofErr w:type="spellStart"/>
      <w:r w:rsidRPr="00B661FA">
        <w:rPr>
          <w:rFonts w:ascii="Arial" w:hAnsi="Arial"/>
          <w:b/>
          <w:bCs/>
        </w:rPr>
        <w:t>CCPs</w:t>
      </w:r>
      <w:proofErr w:type="spellEnd"/>
      <w:r w:rsidRPr="00B661FA">
        <w:rPr>
          <w:rFonts w:ascii="Arial" w:hAnsi="Arial"/>
          <w:b/>
          <w:bCs/>
        </w:rPr>
        <w:t xml:space="preserve">, and that a parallel Article 7d reporting obligation risks creating duplication and disproportionate operational and compliance costs for limited or no additional supervisory value. </w:t>
      </w:r>
    </w:p>
    <w:p w14:paraId="54C53F11" w14:textId="77777777" w:rsidR="00FE0460" w:rsidRPr="00B661FA" w:rsidRDefault="00FE0460" w:rsidP="00FE0460">
      <w:pPr>
        <w:pStyle w:val="NormalWeb"/>
        <w:spacing w:before="240" w:beforeAutospacing="0" w:after="240" w:afterAutospacing="0" w:line="276" w:lineRule="auto"/>
        <w:jc w:val="both"/>
        <w:rPr>
          <w:rFonts w:ascii="Arial" w:hAnsi="Arial"/>
        </w:rPr>
      </w:pPr>
      <w:r w:rsidRPr="00B661FA">
        <w:rPr>
          <w:rFonts w:ascii="Arial" w:hAnsi="Arial"/>
        </w:rPr>
        <w:t>EFAMA recognises that the</w:t>
      </w:r>
      <w:r w:rsidRPr="00B661FA">
        <w:rPr>
          <w:rFonts w:ascii="Arial" w:hAnsi="Arial"/>
          <w:lang w:val="en-GB"/>
        </w:rPr>
        <w:t xml:space="preserve"> Level 1</w:t>
      </w:r>
      <w:r w:rsidRPr="00B661FA">
        <w:rPr>
          <w:rFonts w:ascii="Arial" w:hAnsi="Arial"/>
        </w:rPr>
        <w:t xml:space="preserve"> legislative changes recommended above fall outside ESMA’s mandate in this consultation. Within the existing Level 1 framework, however, we consider that there remains scope to</w:t>
      </w:r>
      <w:r w:rsidRPr="00B661FA">
        <w:rPr>
          <w:rFonts w:ascii="Arial" w:hAnsi="Arial"/>
          <w:lang w:val="en-GB"/>
        </w:rPr>
        <w:t xml:space="preserve"> propose a pragmatic interpretation of the existing Level 1 text and, in line with this,</w:t>
      </w:r>
      <w:r w:rsidRPr="00B661FA">
        <w:rPr>
          <w:rFonts w:ascii="Arial" w:hAnsi="Arial"/>
        </w:rPr>
        <w:t xml:space="preserve"> simplify the proposed RTS and ITS. The recommendations below therefore focus on practical improvements that ESMA could make within its mandate.</w:t>
      </w:r>
    </w:p>
    <w:p w14:paraId="2E1141F9" w14:textId="77777777" w:rsidR="00FE0460" w:rsidRPr="00B661FA" w:rsidRDefault="00FE0460" w:rsidP="00FE0460">
      <w:pPr>
        <w:pStyle w:val="NormalWeb"/>
        <w:spacing w:before="240" w:beforeAutospacing="0" w:after="240" w:afterAutospacing="0" w:line="276" w:lineRule="auto"/>
        <w:jc w:val="both"/>
        <w:rPr>
          <w:rFonts w:ascii="Arial" w:hAnsi="Arial"/>
        </w:rPr>
      </w:pPr>
      <w:r w:rsidRPr="00B661FA">
        <w:rPr>
          <w:rFonts w:ascii="Arial" w:hAnsi="Arial"/>
        </w:rPr>
        <w:t>Regarding the assessment of data availability under existing reporting frameworks, EFAMA welcomes the gap-analysis approach underpinning the draft RTS but stresses that data availability under existing frameworks does not mean reporting firms consistently hold the broader data required under Article 7d.</w:t>
      </w:r>
    </w:p>
    <w:p w14:paraId="671CBC48" w14:textId="77777777" w:rsidR="00FE0460" w:rsidRPr="00B661FA" w:rsidRDefault="00FE0460" w:rsidP="00FE0460">
      <w:pPr>
        <w:pStyle w:val="NormalWeb"/>
        <w:spacing w:before="240" w:beforeAutospacing="0" w:after="240" w:afterAutospacing="0" w:line="276" w:lineRule="auto"/>
        <w:jc w:val="both"/>
        <w:rPr>
          <w:rFonts w:ascii="Arial" w:hAnsi="Arial"/>
          <w:b/>
          <w:bCs/>
          <w:u w:val="single"/>
        </w:rPr>
      </w:pPr>
      <w:r w:rsidRPr="00B661FA">
        <w:rPr>
          <w:rFonts w:ascii="Arial" w:hAnsi="Arial"/>
        </w:rPr>
        <w:t xml:space="preserve">These considerations reinforce, in </w:t>
      </w:r>
      <w:proofErr w:type="spellStart"/>
      <w:r w:rsidRPr="00B661FA">
        <w:rPr>
          <w:rFonts w:ascii="Arial" w:hAnsi="Arial"/>
        </w:rPr>
        <w:t>EFAMA’s</w:t>
      </w:r>
      <w:proofErr w:type="spellEnd"/>
      <w:r w:rsidRPr="00B661FA">
        <w:rPr>
          <w:rFonts w:ascii="Arial" w:hAnsi="Arial"/>
        </w:rPr>
        <w:t xml:space="preserve"> view, the need to use all available means to minimise the incremental burden created by Article 7d</w:t>
      </w:r>
      <w:r w:rsidRPr="00B661FA">
        <w:rPr>
          <w:rFonts w:ascii="Arial" w:hAnsi="Arial"/>
          <w:lang w:val="en-GB"/>
        </w:rPr>
        <w:t>, notably including data-sharing arrangements already integrated into the Article 25 third country CCP authorisation process</w:t>
      </w:r>
      <w:r w:rsidRPr="00B661FA">
        <w:rPr>
          <w:rFonts w:ascii="Arial" w:hAnsi="Arial"/>
        </w:rPr>
        <w:t>. ESMA’s own gap analysis shows that substantial information is already available and that the residual gaps depend on the reporting entity, clearing arrangement, instrument type and particular data element concerned. We therefore encourage ESMA to maintain a strictly targeted approach and consider whether reporting arrangements can be further simplified</w:t>
      </w:r>
      <w:r w:rsidRPr="00B661FA">
        <w:rPr>
          <w:rFonts w:ascii="Arial" w:hAnsi="Arial"/>
          <w:lang w:val="en-GB"/>
        </w:rPr>
        <w:t>, including</w:t>
      </w:r>
      <w:r w:rsidRPr="00B661FA">
        <w:rPr>
          <w:rFonts w:ascii="Arial" w:hAnsi="Arial"/>
        </w:rPr>
        <w:t xml:space="preserve"> through delegated reporting</w:t>
      </w:r>
      <w:r w:rsidRPr="00B661FA">
        <w:rPr>
          <w:rFonts w:ascii="Arial" w:hAnsi="Arial"/>
          <w:lang w:val="en-GB"/>
        </w:rPr>
        <w:t xml:space="preserve"> mechanisms (see our further comments below)</w:t>
      </w:r>
      <w:r w:rsidRPr="00B661FA">
        <w:rPr>
          <w:rFonts w:ascii="Arial" w:hAnsi="Arial"/>
        </w:rPr>
        <w:t>.</w:t>
      </w:r>
    </w:p>
    <w:p w14:paraId="546FF34B" w14:textId="77777777" w:rsidR="00FE0460" w:rsidRPr="00B661FA" w:rsidRDefault="00FE0460" w:rsidP="00FE0460">
      <w:pPr>
        <w:pStyle w:val="NormalWeb"/>
        <w:spacing w:before="240" w:beforeAutospacing="0" w:after="240" w:afterAutospacing="0" w:line="276" w:lineRule="auto"/>
        <w:jc w:val="both"/>
        <w:rPr>
          <w:rFonts w:ascii="Arial" w:hAnsi="Arial"/>
        </w:rPr>
      </w:pPr>
      <w:r w:rsidRPr="00B661FA">
        <w:rPr>
          <w:rFonts w:ascii="Arial" w:hAnsi="Arial"/>
          <w:b/>
          <w:bCs/>
        </w:rPr>
        <w:t>Delegated reporting</w:t>
      </w:r>
    </w:p>
    <w:p w14:paraId="65D5559E" w14:textId="77777777" w:rsidR="00FE0460" w:rsidRPr="00B661FA" w:rsidRDefault="00FE0460" w:rsidP="00FE0460">
      <w:pPr>
        <w:pStyle w:val="NormalWeb"/>
        <w:spacing w:before="240" w:beforeAutospacing="0" w:after="240" w:afterAutospacing="0" w:line="276" w:lineRule="auto"/>
        <w:jc w:val="both"/>
        <w:rPr>
          <w:rFonts w:ascii="Arial" w:hAnsi="Arial"/>
          <w:lang w:val="en-GB"/>
        </w:rPr>
      </w:pPr>
      <w:r w:rsidRPr="00B661FA">
        <w:rPr>
          <w:rFonts w:ascii="Arial" w:hAnsi="Arial"/>
        </w:rPr>
        <w:t xml:space="preserve">From a buy-side perspective, delegated reporting is a well-established mechanism for reducing </w:t>
      </w:r>
      <w:r w:rsidRPr="00B661FA">
        <w:rPr>
          <w:rFonts w:ascii="Arial" w:hAnsi="Arial"/>
          <w:lang w:val="en-GB"/>
        </w:rPr>
        <w:t xml:space="preserve">the </w:t>
      </w:r>
      <w:r w:rsidRPr="00B661FA">
        <w:rPr>
          <w:rFonts w:ascii="Arial" w:hAnsi="Arial"/>
        </w:rPr>
        <w:t xml:space="preserve">operational burden </w:t>
      </w:r>
      <w:r w:rsidRPr="00B661FA">
        <w:rPr>
          <w:rFonts w:ascii="Arial" w:hAnsi="Arial"/>
          <w:lang w:val="en-GB"/>
        </w:rPr>
        <w:t xml:space="preserve">of reporting requirements </w:t>
      </w:r>
      <w:r w:rsidRPr="00B661FA">
        <w:rPr>
          <w:rFonts w:ascii="Arial" w:hAnsi="Arial"/>
        </w:rPr>
        <w:t xml:space="preserve">by allowing the party or service provider best placed to access, process, and submit the relevant information to do so </w:t>
      </w:r>
      <w:r w:rsidRPr="00B661FA">
        <w:rPr>
          <w:rFonts w:ascii="Arial" w:hAnsi="Arial"/>
          <w:lang w:val="en-GB"/>
        </w:rPr>
        <w:t xml:space="preserve">in place of a derivative counterparty that may in practice be at arm's length from the relevant activity and data points. </w:t>
      </w:r>
    </w:p>
    <w:p w14:paraId="44427247" w14:textId="77777777" w:rsidR="00FE0460" w:rsidRPr="00B661FA" w:rsidRDefault="00FE0460" w:rsidP="00FE0460">
      <w:pPr>
        <w:pStyle w:val="NormalWeb"/>
        <w:spacing w:before="240" w:beforeAutospacing="0" w:after="240" w:afterAutospacing="0" w:line="276" w:lineRule="auto"/>
        <w:jc w:val="both"/>
        <w:rPr>
          <w:rFonts w:ascii="Arial" w:hAnsi="Arial"/>
        </w:rPr>
      </w:pPr>
      <w:r w:rsidRPr="00B661FA">
        <w:rPr>
          <w:rFonts w:ascii="Arial" w:hAnsi="Arial"/>
        </w:rPr>
        <w:t xml:space="preserve">In its Final Report on the Call for Evidence on a comprehensive approach for the simplification of financial transaction reporting, published on 2 July 2026, ESMA identified duplication, dual-sided reporting and associated reconciliation processes as important drivers of reporting costs and recommended a longer-term integrated “report once” framework across </w:t>
      </w:r>
      <w:proofErr w:type="spellStart"/>
      <w:r w:rsidRPr="00B661FA">
        <w:rPr>
          <w:rFonts w:ascii="Arial" w:hAnsi="Arial"/>
        </w:rPr>
        <w:t>MiFIR</w:t>
      </w:r>
      <w:proofErr w:type="spellEnd"/>
      <w:r w:rsidRPr="00B661FA">
        <w:rPr>
          <w:rFonts w:ascii="Arial" w:hAnsi="Arial"/>
        </w:rPr>
        <w:t xml:space="preserve">, EMIR and SFTR. ESMA also identified expanding delegated reporting as an intermediate burden-reduction measure.  </w:t>
      </w:r>
    </w:p>
    <w:p w14:paraId="4426EC81" w14:textId="77777777" w:rsidR="00FE0460" w:rsidRPr="00B661FA" w:rsidRDefault="00FE0460" w:rsidP="00FE0460">
      <w:pPr>
        <w:pStyle w:val="NormalWeb"/>
        <w:spacing w:before="240" w:beforeAutospacing="0" w:after="240" w:afterAutospacing="0" w:line="276" w:lineRule="auto"/>
        <w:jc w:val="both"/>
        <w:rPr>
          <w:rFonts w:ascii="Arial" w:hAnsi="Arial"/>
        </w:rPr>
      </w:pPr>
      <w:r w:rsidRPr="00B661FA">
        <w:rPr>
          <w:rFonts w:ascii="Arial" w:hAnsi="Arial"/>
        </w:rPr>
        <w:t xml:space="preserve">In that report, ESMA considers that reporting responsibility should generally be allocated to the counterparty best placed to fulfil it, taking into account its regulatory reporting capabilities, access to relevant data and operational role. </w:t>
      </w:r>
    </w:p>
    <w:p w14:paraId="244BDB1F" w14:textId="77777777" w:rsidR="00FE0460" w:rsidRPr="00B661FA" w:rsidRDefault="00FE0460" w:rsidP="00FE0460">
      <w:pPr>
        <w:pStyle w:val="NormalWeb"/>
        <w:spacing w:before="240" w:beforeAutospacing="0" w:after="240" w:afterAutospacing="0" w:line="276" w:lineRule="auto"/>
        <w:jc w:val="both"/>
        <w:rPr>
          <w:rFonts w:ascii="Arial" w:hAnsi="Arial"/>
        </w:rPr>
      </w:pPr>
      <w:r w:rsidRPr="00B661FA">
        <w:rPr>
          <w:rFonts w:ascii="Arial" w:hAnsi="Arial"/>
        </w:rPr>
        <w:t xml:space="preserve">EFAMA considers that the same underlying principle is relevant to Article 7d. In particular, </w:t>
      </w:r>
      <w:r w:rsidRPr="00B661FA">
        <w:rPr>
          <w:rFonts w:ascii="Arial" w:hAnsi="Arial"/>
          <w:lang w:val="en-GB"/>
        </w:rPr>
        <w:t xml:space="preserve">CCPs, </w:t>
      </w:r>
      <w:r w:rsidRPr="00B661FA">
        <w:rPr>
          <w:rFonts w:ascii="Arial" w:hAnsi="Arial"/>
        </w:rPr>
        <w:t xml:space="preserve">clearing members and clearing service providers are frequently </w:t>
      </w:r>
      <w:r w:rsidRPr="00B661FA">
        <w:rPr>
          <w:rFonts w:ascii="Arial" w:hAnsi="Arial"/>
          <w:lang w:val="en-GB"/>
        </w:rPr>
        <w:t>best</w:t>
      </w:r>
      <w:r w:rsidRPr="00B661FA">
        <w:rPr>
          <w:rFonts w:ascii="Arial" w:hAnsi="Arial"/>
        </w:rPr>
        <w:t xml:space="preserve"> placed to hold or obtain much of </w:t>
      </w:r>
      <w:r w:rsidRPr="00B661FA">
        <w:rPr>
          <w:rFonts w:ascii="Arial" w:hAnsi="Arial"/>
        </w:rPr>
        <w:lastRenderedPageBreak/>
        <w:t>the information required in relation to their clients’ clearing activity. We therefore encourage ESMA to consider the following two approaches.</w:t>
      </w:r>
    </w:p>
    <w:p w14:paraId="0D21E7F7" w14:textId="77777777" w:rsidR="00FE0460" w:rsidRPr="00B661FA" w:rsidRDefault="00FE0460" w:rsidP="00FE0460">
      <w:pPr>
        <w:pStyle w:val="NormalWeb"/>
        <w:spacing w:before="240" w:beforeAutospacing="0" w:after="240" w:afterAutospacing="0" w:line="276" w:lineRule="auto"/>
        <w:jc w:val="both"/>
        <w:rPr>
          <w:rFonts w:ascii="Arial" w:hAnsi="Arial"/>
        </w:rPr>
      </w:pPr>
      <w:r w:rsidRPr="00B661FA">
        <w:rPr>
          <w:rFonts w:ascii="Arial" w:hAnsi="Arial"/>
          <w:b/>
          <w:bCs/>
        </w:rPr>
        <w:t>A. Mandatory delegated reporting</w:t>
      </w:r>
    </w:p>
    <w:p w14:paraId="68CCAEF1" w14:textId="77777777" w:rsidR="00FE0460" w:rsidRPr="00B661FA" w:rsidRDefault="00FE0460" w:rsidP="00FE0460">
      <w:pPr>
        <w:pStyle w:val="NormalWeb"/>
        <w:spacing w:before="240" w:beforeAutospacing="0" w:after="240" w:afterAutospacing="0" w:line="276" w:lineRule="auto"/>
        <w:jc w:val="both"/>
        <w:rPr>
          <w:rFonts w:ascii="Arial" w:hAnsi="Arial"/>
          <w:lang w:val="en-GB"/>
        </w:rPr>
      </w:pPr>
      <w:proofErr w:type="spellStart"/>
      <w:r w:rsidRPr="00B661FA">
        <w:rPr>
          <w:rFonts w:ascii="Arial" w:hAnsi="Arial"/>
        </w:rPr>
        <w:t>EFAMA’s</w:t>
      </w:r>
      <w:proofErr w:type="spellEnd"/>
      <w:r w:rsidRPr="00B661FA">
        <w:rPr>
          <w:rFonts w:ascii="Arial" w:hAnsi="Arial"/>
        </w:rPr>
        <w:t xml:space="preserve"> preferred approach would be for the Article 7d framework ultimately to allocate reporting responsibility to the party best placed to perform it, </w:t>
      </w:r>
      <w:r w:rsidRPr="00B661FA">
        <w:rPr>
          <w:rFonts w:ascii="Arial" w:hAnsi="Arial"/>
          <w:lang w:val="en-GB"/>
        </w:rPr>
        <w:t xml:space="preserve">which from a buy-side perspective will generally and primarily be the relevant </w:t>
      </w:r>
      <w:r w:rsidRPr="00B661FA">
        <w:rPr>
          <w:rFonts w:ascii="Arial" w:hAnsi="Arial"/>
        </w:rPr>
        <w:t>clearing member</w:t>
      </w:r>
      <w:r w:rsidRPr="00B661FA">
        <w:rPr>
          <w:rFonts w:ascii="Arial" w:hAnsi="Arial"/>
          <w:lang w:val="en-GB"/>
        </w:rPr>
        <w:t xml:space="preserve"> accessing </w:t>
      </w:r>
      <w:r w:rsidRPr="00B661FA">
        <w:rPr>
          <w:rFonts w:ascii="Arial" w:hAnsi="Arial"/>
        </w:rPr>
        <w:t>a recognised third-country CCP</w:t>
      </w:r>
      <w:r w:rsidRPr="00B661FA">
        <w:rPr>
          <w:rFonts w:ascii="Arial" w:hAnsi="Arial"/>
          <w:lang w:val="en-GB"/>
        </w:rPr>
        <w:t xml:space="preserve">. </w:t>
      </w:r>
    </w:p>
    <w:p w14:paraId="0F6046F2" w14:textId="77777777" w:rsidR="00FE0460" w:rsidRPr="00B661FA" w:rsidRDefault="00FE0460" w:rsidP="00FE0460">
      <w:pPr>
        <w:pStyle w:val="NormalWeb"/>
        <w:spacing w:before="240" w:beforeAutospacing="0" w:after="240" w:afterAutospacing="0" w:line="276" w:lineRule="auto"/>
        <w:jc w:val="both"/>
        <w:rPr>
          <w:rFonts w:ascii="Arial" w:hAnsi="Arial"/>
          <w:lang w:val="en-GB"/>
        </w:rPr>
      </w:pPr>
      <w:r w:rsidRPr="00B661FA">
        <w:rPr>
          <w:rFonts w:ascii="Arial" w:hAnsi="Arial"/>
          <w:lang w:val="en-GB"/>
        </w:rPr>
        <w:t xml:space="preserve">Adopting this approach </w:t>
      </w:r>
      <w:r w:rsidRPr="00B661FA">
        <w:rPr>
          <w:rFonts w:ascii="Arial" w:hAnsi="Arial"/>
        </w:rPr>
        <w:t>could materially reduce duplication and avoid requiring individual buy-side entities to develop separate reporting processes.</w:t>
      </w:r>
      <w:r w:rsidRPr="00B661FA">
        <w:rPr>
          <w:rFonts w:ascii="Arial" w:hAnsi="Arial"/>
          <w:lang w:val="en-GB"/>
        </w:rPr>
        <w:t xml:space="preserve"> </w:t>
      </w:r>
      <w:r w:rsidRPr="00B661FA">
        <w:rPr>
          <w:rFonts w:ascii="Arial" w:hAnsi="Arial"/>
        </w:rPr>
        <w:t xml:space="preserve">Such an approach would </w:t>
      </w:r>
      <w:r w:rsidRPr="00B661FA">
        <w:rPr>
          <w:rFonts w:ascii="Arial" w:hAnsi="Arial"/>
          <w:lang w:val="en-GB"/>
        </w:rPr>
        <w:t xml:space="preserve">also </w:t>
      </w:r>
      <w:r w:rsidRPr="00B661FA">
        <w:rPr>
          <w:rFonts w:ascii="Arial" w:hAnsi="Arial"/>
        </w:rPr>
        <w:t xml:space="preserve">be consistent with the direction of ESMA’s recommendations on transaction-reporting simplification and the broader “report once” principle. </w:t>
      </w:r>
    </w:p>
    <w:p w14:paraId="7B8E5AE6" w14:textId="77777777" w:rsidR="00FE0460" w:rsidRPr="00B661FA" w:rsidRDefault="00FE0460" w:rsidP="00FE0460">
      <w:pPr>
        <w:pStyle w:val="NormalWeb"/>
        <w:spacing w:before="240" w:beforeAutospacing="0" w:after="240" w:afterAutospacing="0" w:line="276" w:lineRule="auto"/>
        <w:jc w:val="both"/>
        <w:rPr>
          <w:rFonts w:ascii="Arial" w:hAnsi="Arial"/>
          <w:lang w:val="en-GB"/>
        </w:rPr>
      </w:pPr>
      <w:r w:rsidRPr="00B661FA">
        <w:rPr>
          <w:rFonts w:ascii="Arial" w:hAnsi="Arial"/>
          <w:lang w:val="en-GB"/>
        </w:rPr>
        <w:t xml:space="preserve">We recognise the constraints of the Level 1 text, which </w:t>
      </w:r>
      <w:r w:rsidRPr="00B661FA">
        <w:rPr>
          <w:rFonts w:ascii="Arial" w:hAnsi="Arial"/>
        </w:rPr>
        <w:t xml:space="preserve">assigns the reporting obligation directly to </w:t>
      </w:r>
      <w:r w:rsidRPr="00B661FA">
        <w:rPr>
          <w:rFonts w:ascii="Arial" w:hAnsi="Arial"/>
          <w:b/>
          <w:bCs/>
        </w:rPr>
        <w:t>clearing members and clients</w:t>
      </w:r>
      <w:r w:rsidRPr="00B661FA">
        <w:rPr>
          <w:rFonts w:ascii="Arial" w:hAnsi="Arial"/>
          <w:lang w:val="en-GB"/>
        </w:rPr>
        <w:t xml:space="preserve">. We would therefore suggest that this tension could be resolved through a mandatory delegation mechanism (explicitly referenced in the Level 2 text to be elaborated by ESMA) that would shift the regulatory reporting burden to clearing members as the mandatory delegate of their underlying clearing members. </w:t>
      </w:r>
      <w:r w:rsidRPr="00B661FA">
        <w:rPr>
          <w:rFonts w:ascii="Arial" w:hAnsi="Arial"/>
          <w:b/>
          <w:bCs/>
          <w:lang w:val="en-GB"/>
        </w:rPr>
        <w:t xml:space="preserve">In the longer term, EFAMA would encourage such an approach to </w:t>
      </w:r>
      <w:r w:rsidRPr="00B661FA">
        <w:rPr>
          <w:rFonts w:ascii="Arial" w:hAnsi="Arial"/>
          <w:b/>
          <w:bCs/>
        </w:rPr>
        <w:t>be considered as part of the broader simplification exercise</w:t>
      </w:r>
      <w:r w:rsidRPr="00B661FA">
        <w:rPr>
          <w:rFonts w:ascii="Arial" w:hAnsi="Arial"/>
          <w:b/>
          <w:bCs/>
          <w:lang w:val="en-GB"/>
        </w:rPr>
        <w:t xml:space="preserve"> across transaction reporting frameworks. </w:t>
      </w:r>
    </w:p>
    <w:p w14:paraId="1F42111C" w14:textId="77777777" w:rsidR="00FE0460" w:rsidRDefault="00FE0460" w:rsidP="00FE0460">
      <w:pPr>
        <w:rPr>
          <w:rFonts w:eastAsia="Times New Roman"/>
          <w:b/>
          <w:bCs/>
          <w:lang w:eastAsia="en-GB"/>
        </w:rPr>
      </w:pPr>
      <w:r>
        <w:rPr>
          <w:rFonts w:ascii="Arial" w:hAnsi="Arial"/>
          <w:b/>
          <w:bCs/>
        </w:rPr>
        <w:br w:type="page"/>
      </w:r>
    </w:p>
    <w:p w14:paraId="449713D9" w14:textId="77777777" w:rsidR="00FE0460" w:rsidRPr="00B661FA" w:rsidRDefault="00FE0460" w:rsidP="00FE0460">
      <w:pPr>
        <w:pStyle w:val="NormalWeb"/>
        <w:spacing w:before="240" w:beforeAutospacing="0" w:after="240" w:afterAutospacing="0" w:line="276" w:lineRule="auto"/>
        <w:jc w:val="both"/>
        <w:rPr>
          <w:rFonts w:ascii="Arial" w:hAnsi="Arial"/>
        </w:rPr>
      </w:pPr>
      <w:r w:rsidRPr="00B661FA">
        <w:rPr>
          <w:rFonts w:ascii="Arial" w:hAnsi="Arial"/>
          <w:b/>
          <w:bCs/>
        </w:rPr>
        <w:lastRenderedPageBreak/>
        <w:t>B. Voluntary delegation of the reporting process</w:t>
      </w:r>
    </w:p>
    <w:p w14:paraId="72E139E8" w14:textId="77777777" w:rsidR="00FE0460" w:rsidRPr="00B661FA" w:rsidRDefault="00FE0460" w:rsidP="00FE0460">
      <w:pPr>
        <w:pStyle w:val="NormalWeb"/>
        <w:spacing w:before="240" w:beforeAutospacing="0" w:after="240" w:afterAutospacing="0" w:line="276" w:lineRule="auto"/>
        <w:jc w:val="both"/>
        <w:rPr>
          <w:rFonts w:ascii="Arial" w:hAnsi="Arial"/>
          <w:lang w:val="en-GB"/>
        </w:rPr>
      </w:pPr>
      <w:r w:rsidRPr="00B661FA">
        <w:rPr>
          <w:rFonts w:ascii="Arial" w:hAnsi="Arial"/>
        </w:rPr>
        <w:t xml:space="preserve">If a mandatory allocation of reporting responsibility cannot be accommodated </w:t>
      </w:r>
      <w:r w:rsidRPr="00B661FA">
        <w:rPr>
          <w:rFonts w:ascii="Arial" w:hAnsi="Arial"/>
          <w:lang w:val="en-GB"/>
        </w:rPr>
        <w:t>within the parameters of the Level 2 work being carried out by ESMA</w:t>
      </w:r>
      <w:r w:rsidRPr="00B661FA">
        <w:rPr>
          <w:rFonts w:ascii="Arial" w:hAnsi="Arial"/>
        </w:rPr>
        <w:t>, EFAMA would at a minimum welcome clarification that reporting entities could</w:t>
      </w:r>
      <w:r w:rsidRPr="00B661FA">
        <w:rPr>
          <w:rFonts w:ascii="Arial" w:hAnsi="Arial"/>
          <w:lang w:val="en-GB"/>
        </w:rPr>
        <w:t xml:space="preserve"> at a contractual level</w:t>
      </w:r>
      <w:r w:rsidRPr="00B661FA">
        <w:rPr>
          <w:rFonts w:ascii="Arial" w:hAnsi="Arial"/>
        </w:rPr>
        <w:t xml:space="preserve"> appoint a clearing member or other clearing service provider to perform the operational submission of Article 7d reports on their behalf</w:t>
      </w:r>
      <w:r w:rsidRPr="00B661FA">
        <w:rPr>
          <w:rFonts w:ascii="Arial" w:hAnsi="Arial"/>
          <w:lang w:val="en-GB"/>
        </w:rPr>
        <w:t>.</w:t>
      </w:r>
    </w:p>
    <w:p w14:paraId="45775D76" w14:textId="77777777" w:rsidR="00FE0460" w:rsidRPr="00B661FA" w:rsidRDefault="00FE0460" w:rsidP="00FE0460">
      <w:pPr>
        <w:pStyle w:val="NormalWeb"/>
        <w:spacing w:before="240" w:beforeAutospacing="0" w:after="240" w:afterAutospacing="0" w:line="276" w:lineRule="auto"/>
        <w:jc w:val="both"/>
        <w:rPr>
          <w:rFonts w:ascii="Arial" w:hAnsi="Arial"/>
        </w:rPr>
      </w:pPr>
      <w:r w:rsidRPr="00B661FA">
        <w:rPr>
          <w:rFonts w:ascii="Arial" w:hAnsi="Arial"/>
        </w:rPr>
        <w:t xml:space="preserve">A comparable mechanism exists under Article 9(1f) EMIR, which expressly allows counterparties and </w:t>
      </w:r>
      <w:proofErr w:type="spellStart"/>
      <w:r w:rsidRPr="00B661FA">
        <w:rPr>
          <w:rFonts w:ascii="Arial" w:hAnsi="Arial"/>
        </w:rPr>
        <w:t>CCPs</w:t>
      </w:r>
      <w:proofErr w:type="spellEnd"/>
      <w:r w:rsidRPr="00B661FA">
        <w:rPr>
          <w:rFonts w:ascii="Arial" w:hAnsi="Arial"/>
        </w:rPr>
        <w:t xml:space="preserve"> to delegate their reporting obligation. This should be distinguished from the mandatory reporting arrangements under Article 9(1a), where the financial counterparty is solely responsible and legally liable for reporting certain FC-NFC transactions</w:t>
      </w:r>
      <w:r w:rsidRPr="00B661FA">
        <w:rPr>
          <w:rFonts w:ascii="Arial" w:hAnsi="Arial"/>
          <w:lang w:val="en-GB"/>
        </w:rPr>
        <w:t>, as well as broader provisions shifting the burden of Article 9 reporting from, for instance, a UCITS fund or an AIF to their management company or AIFM, respectively</w:t>
      </w:r>
      <w:r w:rsidRPr="00B661FA">
        <w:rPr>
          <w:rFonts w:ascii="Arial" w:hAnsi="Arial"/>
        </w:rPr>
        <w:t xml:space="preserve">. </w:t>
      </w:r>
    </w:p>
    <w:p w14:paraId="0F494C2A" w14:textId="77777777" w:rsidR="00FE0460" w:rsidRPr="00B661FA" w:rsidRDefault="00FE0460" w:rsidP="00FE0460">
      <w:pPr>
        <w:pStyle w:val="NormalWeb"/>
        <w:spacing w:before="240" w:beforeAutospacing="0" w:after="240" w:afterAutospacing="0" w:line="276" w:lineRule="auto"/>
        <w:jc w:val="both"/>
        <w:rPr>
          <w:rFonts w:ascii="Arial" w:hAnsi="Arial"/>
        </w:rPr>
      </w:pPr>
      <w:r w:rsidRPr="00B661FA">
        <w:rPr>
          <w:rFonts w:ascii="Arial" w:hAnsi="Arial"/>
        </w:rPr>
        <w:t xml:space="preserve">Clear confirmation of the possibility of operational delegation under Article 7d would provide useful legal certainty for both clients and clearing members. We expect that many clearing members and service providers would be well placed to offer Article 7d reporting as part of their clearing services, which could materially reduce implementation costs for buy-side clients. </w:t>
      </w:r>
      <w:r w:rsidRPr="00B661FA">
        <w:rPr>
          <w:rFonts w:ascii="Arial" w:hAnsi="Arial"/>
          <w:lang w:val="en-US"/>
        </w:rPr>
        <w:t xml:space="preserve">Accordingly, the framework should expressly also allow such entities to prepare and submit the required reports directly, in the name and on behalf of the relevant buy-side client. </w:t>
      </w:r>
    </w:p>
    <w:p w14:paraId="09FBA800" w14:textId="77777777" w:rsidR="00FE0460" w:rsidRPr="00B661FA" w:rsidRDefault="00FE0460" w:rsidP="00FE0460">
      <w:pPr>
        <w:pStyle w:val="NormalWeb"/>
        <w:spacing w:before="240" w:beforeAutospacing="0" w:after="240" w:afterAutospacing="0" w:line="276" w:lineRule="auto"/>
        <w:jc w:val="both"/>
        <w:rPr>
          <w:rFonts w:ascii="Arial" w:hAnsi="Arial"/>
        </w:rPr>
      </w:pPr>
      <w:r w:rsidRPr="00B661FA">
        <w:rPr>
          <w:rFonts w:ascii="Arial" w:hAnsi="Arial"/>
        </w:rPr>
        <w:t xml:space="preserve">Where a clearing member submits an Article 7d report on behalf of a client, </w:t>
      </w:r>
      <w:r w:rsidRPr="00B661FA">
        <w:rPr>
          <w:rFonts w:ascii="Arial" w:hAnsi="Arial"/>
          <w:b/>
          <w:bCs/>
        </w:rPr>
        <w:t xml:space="preserve">EFAMA proposes that its attestation confirming submission should constitute sufficient evidence for the client </w:t>
      </w:r>
      <w:r w:rsidRPr="00B661FA">
        <w:rPr>
          <w:rFonts w:ascii="Arial" w:hAnsi="Arial"/>
          <w:b/>
          <w:bCs/>
          <w:lang w:val="en-GB"/>
        </w:rPr>
        <w:t xml:space="preserve">– and accordingly also the client’s national competent authority - </w:t>
      </w:r>
      <w:r w:rsidRPr="00B661FA">
        <w:rPr>
          <w:rFonts w:ascii="Arial" w:hAnsi="Arial"/>
          <w:b/>
          <w:bCs/>
        </w:rPr>
        <w:t>that the report has been submitted.</w:t>
      </w:r>
      <w:r w:rsidRPr="00B661FA">
        <w:rPr>
          <w:rFonts w:ascii="Arial" w:hAnsi="Arial"/>
        </w:rPr>
        <w:t xml:space="preserve"> </w:t>
      </w:r>
    </w:p>
    <w:permEnd w:id="1961835906"/>
    <w:p w14:paraId="70BF2304" w14:textId="77777777" w:rsidR="00772944" w:rsidRDefault="00772944" w:rsidP="00772944">
      <w:r>
        <w:t>&lt;ESMA_QUESTION_TCCR_1&gt;</w:t>
      </w:r>
    </w:p>
    <w:p w14:paraId="6FAF4018" w14:textId="77777777" w:rsidR="00772944" w:rsidRDefault="00772944" w:rsidP="00772944"/>
    <w:p w14:paraId="313ACB6F"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annual reporting by the last business day of January, covering the preceding calendar year? If not, please explain your reasoning, including any operational constraints or alternative timelines.</w:t>
      </w:r>
    </w:p>
    <w:p w14:paraId="379B3EC3" w14:textId="77777777" w:rsidR="00772944" w:rsidRDefault="00772944" w:rsidP="00772944">
      <w:r>
        <w:t>&lt;ESMA_QUESTION_TCCR_2&gt;</w:t>
      </w:r>
    </w:p>
    <w:p w14:paraId="0C4B458F" w14:textId="77777777" w:rsidR="004816BF" w:rsidRPr="00B661FA" w:rsidRDefault="004816BF" w:rsidP="004816BF">
      <w:pPr>
        <w:pStyle w:val="NormalWeb"/>
        <w:spacing w:before="240" w:beforeAutospacing="0" w:after="240" w:afterAutospacing="0" w:line="276" w:lineRule="auto"/>
        <w:jc w:val="both"/>
        <w:rPr>
          <w:rFonts w:ascii="Arial" w:hAnsi="Arial"/>
        </w:rPr>
      </w:pPr>
      <w:permStart w:id="975325410" w:edGrp="everyone"/>
      <w:r w:rsidRPr="00B661FA">
        <w:rPr>
          <w:rFonts w:ascii="Arial" w:hAnsi="Arial"/>
        </w:rPr>
        <w:t>EFAMA supports annual reporting covering the preceding calendar year</w:t>
      </w:r>
      <w:r w:rsidRPr="00B661FA">
        <w:rPr>
          <w:rFonts w:ascii="Arial" w:hAnsi="Arial"/>
          <w:lang w:val="en-GB"/>
        </w:rPr>
        <w:t>, in line with broader EMIR mechanisms that reference a 12-month lookback period,</w:t>
      </w:r>
      <w:r w:rsidRPr="00B661FA">
        <w:rPr>
          <w:rFonts w:ascii="Arial" w:hAnsi="Arial"/>
        </w:rPr>
        <w:t xml:space="preserve"> but recommends moving the submission deadline to the </w:t>
      </w:r>
      <w:r w:rsidRPr="00B661FA">
        <w:rPr>
          <w:rFonts w:ascii="Arial" w:hAnsi="Arial"/>
          <w:b/>
          <w:bCs/>
        </w:rPr>
        <w:t>last business day of June</w:t>
      </w:r>
      <w:r w:rsidRPr="00B661FA">
        <w:rPr>
          <w:rFonts w:ascii="Arial" w:hAnsi="Arial"/>
        </w:rPr>
        <w:t xml:space="preserve">. </w:t>
      </w:r>
    </w:p>
    <w:p w14:paraId="3EB84468" w14:textId="77777777" w:rsidR="004816BF" w:rsidRPr="00B661FA" w:rsidRDefault="004816BF" w:rsidP="004816BF">
      <w:pPr>
        <w:pStyle w:val="NormalWeb"/>
        <w:spacing w:before="240" w:beforeAutospacing="0" w:after="240" w:afterAutospacing="0" w:line="276" w:lineRule="auto"/>
        <w:jc w:val="both"/>
        <w:rPr>
          <w:rFonts w:ascii="Arial" w:hAnsi="Arial"/>
        </w:rPr>
      </w:pPr>
      <w:r w:rsidRPr="00B661FA">
        <w:rPr>
          <w:rFonts w:ascii="Arial" w:hAnsi="Arial"/>
        </w:rPr>
        <w:t>A June deadline would provide more scope to coordinate Article 7d reporting with firms’ annual clearing-threshold assessments and associated internal review processes, which follow a similar timetable and also use</w:t>
      </w:r>
      <w:r w:rsidRPr="00B661FA">
        <w:rPr>
          <w:rFonts w:ascii="Arial" w:hAnsi="Arial"/>
          <w:lang w:val="en-GB"/>
        </w:rPr>
        <w:t xml:space="preserve"> a 12-month lookback period</w:t>
      </w:r>
      <w:r w:rsidRPr="00B661FA">
        <w:rPr>
          <w:rFonts w:ascii="Arial" w:hAnsi="Arial"/>
        </w:rPr>
        <w:t xml:space="preserve">. Although the scope and calculation methodologies differ, aligning these operational processes where possible would enable reuse of resources and controls, reduce implementation costs, and support data quality. By contrast, a January deadline would leave firms with </w:t>
      </w:r>
      <w:r w:rsidRPr="00B661FA">
        <w:rPr>
          <w:rFonts w:ascii="Arial" w:hAnsi="Arial"/>
        </w:rPr>
        <w:lastRenderedPageBreak/>
        <w:t xml:space="preserve">a limited window to collect, reconcile and validate the relevant data, at a time when they are also managing </w:t>
      </w:r>
      <w:r w:rsidRPr="00B661FA">
        <w:rPr>
          <w:rFonts w:ascii="Arial" w:hAnsi="Arial"/>
          <w:lang w:val="en-GB"/>
        </w:rPr>
        <w:t xml:space="preserve">multiple </w:t>
      </w:r>
      <w:r w:rsidRPr="00B661FA">
        <w:rPr>
          <w:rFonts w:ascii="Arial" w:hAnsi="Arial"/>
        </w:rPr>
        <w:t xml:space="preserve">other year-end regulatory and financial reporting obligations. </w:t>
      </w:r>
    </w:p>
    <w:p w14:paraId="3E25323B" w14:textId="77777777" w:rsidR="004816BF" w:rsidRPr="00B661FA" w:rsidRDefault="004816BF" w:rsidP="004816BF">
      <w:pPr>
        <w:pStyle w:val="NormalWeb"/>
        <w:spacing w:before="240" w:beforeAutospacing="0" w:after="240" w:afterAutospacing="0" w:line="276" w:lineRule="auto"/>
        <w:jc w:val="both"/>
        <w:rPr>
          <w:rFonts w:ascii="Arial" w:hAnsi="Arial"/>
        </w:rPr>
      </w:pPr>
      <w:r w:rsidRPr="00B661FA">
        <w:rPr>
          <w:rFonts w:ascii="Arial" w:hAnsi="Arial"/>
        </w:rPr>
        <w:t>While June remains our preferred deadline, EFAMA is open to considering an alternative date that provides a workable solution across the market. Given that clearing clients will depend on their clearing members to access much of the required information, close coordination with clearing members is essential to establish a common reporting timetable that allows sufficient time for data exchange and validation.</w:t>
      </w:r>
    </w:p>
    <w:permEnd w:id="975325410"/>
    <w:p w14:paraId="3CEDDD9A" w14:textId="77777777" w:rsidR="00772944" w:rsidRDefault="00772944" w:rsidP="00772944">
      <w:r>
        <w:t>&lt;ESMA_QUESTION_TCCR_2&gt;</w:t>
      </w:r>
    </w:p>
    <w:p w14:paraId="0C5B3D28" w14:textId="77777777" w:rsidR="00772944" w:rsidRDefault="00772944" w:rsidP="00772944"/>
    <w:p w14:paraId="2345E3B3"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proposed transitional application mechanism? In particular, do stakeholders consider that the proposed arrangements provide sufficient time to prepare for the first reporting cycle while ensuring timely availability of the information? </w:t>
      </w:r>
    </w:p>
    <w:p w14:paraId="4B3D1E65" w14:textId="77777777" w:rsidR="00772944" w:rsidRDefault="00772944" w:rsidP="00772944">
      <w:r>
        <w:t>&lt;ESMA_QUESTION_TCCR_3&gt;</w:t>
      </w:r>
    </w:p>
    <w:p w14:paraId="2C0E9365" w14:textId="77777777" w:rsidR="0052751E" w:rsidRPr="00B661FA" w:rsidRDefault="0052751E" w:rsidP="0052751E">
      <w:pPr>
        <w:pStyle w:val="NormalWeb"/>
        <w:spacing w:before="240" w:beforeAutospacing="0" w:after="240" w:afterAutospacing="0" w:line="276" w:lineRule="auto"/>
        <w:jc w:val="both"/>
        <w:rPr>
          <w:rFonts w:ascii="Arial" w:hAnsi="Arial"/>
        </w:rPr>
      </w:pPr>
      <w:permStart w:id="528381897" w:edGrp="everyone"/>
      <w:r w:rsidRPr="00B661FA">
        <w:rPr>
          <w:rFonts w:ascii="Arial" w:hAnsi="Arial"/>
        </w:rPr>
        <w:t>EFAMA has concerns about the proposed transitional arrangements, particularly the requirement to report retrospectively for previous calendar years.</w:t>
      </w:r>
    </w:p>
    <w:p w14:paraId="46394BB4" w14:textId="77777777" w:rsidR="0052751E" w:rsidRPr="00B661FA" w:rsidRDefault="0052751E" w:rsidP="0052751E">
      <w:pPr>
        <w:pStyle w:val="NormalWeb"/>
        <w:spacing w:before="240" w:beforeAutospacing="0" w:after="240" w:afterAutospacing="0" w:line="276" w:lineRule="auto"/>
        <w:jc w:val="both"/>
        <w:rPr>
          <w:rFonts w:ascii="Arial" w:hAnsi="Arial"/>
        </w:rPr>
      </w:pPr>
      <w:r w:rsidRPr="00B661FA">
        <w:rPr>
          <w:rFonts w:ascii="Arial" w:hAnsi="Arial"/>
        </w:rPr>
        <w:t xml:space="preserve">Under ESMA’s proposal, the first submission would occur on the first annual reporting date at least six months after the RTS enters into force. However, that first submission would include separate reports for each calendar year starting from 2025 for which no report has previously been submitted. </w:t>
      </w:r>
    </w:p>
    <w:p w14:paraId="1F1A1335" w14:textId="77777777" w:rsidR="0052751E" w:rsidRPr="00B661FA" w:rsidRDefault="0052751E" w:rsidP="0052751E">
      <w:pPr>
        <w:pStyle w:val="NormalWeb"/>
        <w:spacing w:before="240" w:beforeAutospacing="0" w:after="240" w:afterAutospacing="0" w:line="276" w:lineRule="auto"/>
        <w:jc w:val="both"/>
        <w:rPr>
          <w:rFonts w:ascii="Arial" w:hAnsi="Arial"/>
        </w:rPr>
      </w:pPr>
      <w:r w:rsidRPr="00B661FA">
        <w:rPr>
          <w:rFonts w:ascii="Arial" w:hAnsi="Arial"/>
        </w:rPr>
        <w:t>We consider this back-reporting requirement particularly burdensome, complex and of potentially limited supervisory value. Firms would need to reconstruct historical information for periods when the detailed reporting requirements, methodologies, and data fields had not yet been finalised. This may create significant operational challenges, particularly where the necessary data</w:t>
      </w:r>
      <w:r w:rsidRPr="00B661FA">
        <w:rPr>
          <w:rFonts w:ascii="Arial" w:hAnsi="Arial"/>
          <w:lang w:val="en-GB"/>
        </w:rPr>
        <w:t xml:space="preserve"> points</w:t>
      </w:r>
      <w:r w:rsidRPr="00B661FA">
        <w:rPr>
          <w:rFonts w:ascii="Arial" w:hAnsi="Arial"/>
        </w:rPr>
        <w:t xml:space="preserve"> were not historically collected or retained in the form ultimately required by the RTS. Existing systems may not support automated extraction and aggregation of historical data in the required format, meaning back-reporting could entail substantial manual reconstruction, reconciliation, and validation.</w:t>
      </w:r>
    </w:p>
    <w:p w14:paraId="465F916D" w14:textId="77777777" w:rsidR="0052751E" w:rsidRPr="00B661FA" w:rsidRDefault="0052751E" w:rsidP="0052751E">
      <w:pPr>
        <w:pStyle w:val="NormalWeb"/>
        <w:spacing w:before="240" w:beforeAutospacing="0" w:after="240" w:afterAutospacing="0" w:line="276" w:lineRule="auto"/>
        <w:jc w:val="both"/>
        <w:rPr>
          <w:rFonts w:ascii="Arial" w:hAnsi="Arial"/>
        </w:rPr>
      </w:pPr>
      <w:r w:rsidRPr="00B661FA">
        <w:rPr>
          <w:rFonts w:ascii="Arial" w:hAnsi="Arial"/>
        </w:rPr>
        <w:t xml:space="preserve">While Article 7d(1) EMIR establishes an annual reporting obligation, it does not expressly require the first submission to include separate reports for each calendar year from 2025. Moreover, paragraphs 2 and 3 envisage further specification of the content, level of detail and format of reporting through the RTS and ITS. EFAMA therefore considers that requiring firms to reconstruct historical information according to subsequently finalised technical specifications should not be treated as an automatic consequence of Level 1, but should be justified on the grounds of necessity and proportionality, taking into account the information already available to ESMA as required by Article 7d(2). </w:t>
      </w:r>
    </w:p>
    <w:p w14:paraId="5B5ACCC6" w14:textId="77777777" w:rsidR="0052751E" w:rsidRPr="00B661FA" w:rsidRDefault="0052751E" w:rsidP="0052751E">
      <w:pPr>
        <w:pStyle w:val="NormalWeb"/>
        <w:spacing w:before="240" w:beforeAutospacing="0" w:after="240" w:afterAutospacing="0" w:line="276" w:lineRule="auto"/>
        <w:jc w:val="both"/>
        <w:rPr>
          <w:rFonts w:ascii="Arial" w:hAnsi="Arial"/>
          <w:b/>
          <w:bCs/>
        </w:rPr>
      </w:pPr>
      <w:r w:rsidRPr="00B661FA">
        <w:rPr>
          <w:rFonts w:ascii="Arial" w:hAnsi="Arial"/>
        </w:rPr>
        <w:t xml:space="preserve">Given the supervisory feedback on limited additional value and duplication described in paragraph 15 of the Consultation Paper, we propose a straightforward approach: </w:t>
      </w:r>
      <w:r w:rsidRPr="00B661FA">
        <w:rPr>
          <w:rFonts w:ascii="Arial" w:hAnsi="Arial"/>
          <w:b/>
          <w:bCs/>
        </w:rPr>
        <w:t>removal of any back-reporting requirements</w:t>
      </w:r>
      <w:r w:rsidRPr="00B661FA">
        <w:rPr>
          <w:rFonts w:ascii="Arial" w:hAnsi="Arial"/>
        </w:rPr>
        <w:t xml:space="preserve">, with no retroactive requirements for previous years.  </w:t>
      </w:r>
    </w:p>
    <w:p w14:paraId="456EC163" w14:textId="77777777" w:rsidR="0052751E" w:rsidRPr="00B661FA" w:rsidRDefault="0052751E" w:rsidP="0052751E">
      <w:pPr>
        <w:pStyle w:val="NormalWeb"/>
        <w:spacing w:before="240" w:beforeAutospacing="0" w:after="240" w:afterAutospacing="0" w:line="276" w:lineRule="auto"/>
        <w:jc w:val="both"/>
        <w:rPr>
          <w:rFonts w:ascii="Arial" w:hAnsi="Arial"/>
        </w:rPr>
      </w:pPr>
      <w:r w:rsidRPr="00B661FA">
        <w:rPr>
          <w:rFonts w:ascii="Arial" w:hAnsi="Arial"/>
        </w:rPr>
        <w:lastRenderedPageBreak/>
        <w:t xml:space="preserve">As regards the implementation period, EFAMA considers that </w:t>
      </w:r>
      <w:r w:rsidRPr="00B661FA">
        <w:rPr>
          <w:rFonts w:ascii="Arial" w:hAnsi="Arial"/>
          <w:b/>
          <w:bCs/>
        </w:rPr>
        <w:t>at least 12 months from the entry into force of both the RTS and ITS would be appropriate</w:t>
      </w:r>
      <w:r w:rsidRPr="00B661FA">
        <w:rPr>
          <w:rFonts w:ascii="Arial" w:hAnsi="Arial"/>
        </w:rPr>
        <w:t xml:space="preserve"> where reporting entities remain responsible for establishing their own Article 7d reporting arrangements</w:t>
      </w:r>
      <w:r w:rsidRPr="00B661FA">
        <w:rPr>
          <w:rFonts w:ascii="Arial" w:hAnsi="Arial"/>
          <w:lang w:val="en-GB"/>
        </w:rPr>
        <w:t xml:space="preserve"> (either on a direct basis or in the context of voluntary delegated reporting, in line with our comments above)</w:t>
      </w:r>
      <w:r w:rsidRPr="00B661FA">
        <w:rPr>
          <w:rFonts w:ascii="Arial" w:hAnsi="Arial"/>
        </w:rPr>
        <w:t xml:space="preserve">. This would allow sufficient time to develop systems, establish data flows and put in place the necessary controls and arrangements with clearing members and service providers. The first reporting period should also be determined so that entities benefit from this implementation period before they must begin collecting data in accordance with the final requirements. </w:t>
      </w:r>
    </w:p>
    <w:p w14:paraId="44FDDDAA" w14:textId="77777777" w:rsidR="0052751E" w:rsidRPr="00B661FA" w:rsidRDefault="0052751E" w:rsidP="0052751E">
      <w:pPr>
        <w:pStyle w:val="NormalWeb"/>
        <w:spacing w:before="240" w:beforeAutospacing="0" w:after="240" w:afterAutospacing="0" w:line="276" w:lineRule="auto"/>
        <w:jc w:val="both"/>
        <w:rPr>
          <w:rFonts w:ascii="Arial" w:hAnsi="Arial"/>
        </w:rPr>
      </w:pPr>
      <w:r w:rsidRPr="00B661FA">
        <w:rPr>
          <w:rFonts w:ascii="Arial" w:hAnsi="Arial"/>
        </w:rPr>
        <w:t xml:space="preserve">Depending on when the final Level 2 measures enter into force, a minimum 12-month implementation period could mean that the first submission falls in January 2029 under ESMA’s proposed annual reporting deadline, or June 2029 under </w:t>
      </w:r>
      <w:proofErr w:type="spellStart"/>
      <w:r w:rsidRPr="00B661FA">
        <w:rPr>
          <w:rFonts w:ascii="Arial" w:hAnsi="Arial"/>
        </w:rPr>
        <w:t>EFAMA’s</w:t>
      </w:r>
      <w:proofErr w:type="spellEnd"/>
      <w:r w:rsidRPr="00B661FA">
        <w:rPr>
          <w:rFonts w:ascii="Arial" w:hAnsi="Arial"/>
        </w:rPr>
        <w:t xml:space="preserve"> proposed deadline, as set out in our response to Question 2. This would bring implementation closer to ESMA’s optimistic scenario for adoption, by mid-2028, of the Level 1 amendments needed to support an integrated “report once” framework. While that timetable remains uncertain, coordinating the transition with the broader simplification agenda could reduce the risk of firms incurring costs to establish a standalone Article 7d reporting process shortly before further changes become necessary.</w:t>
      </w:r>
    </w:p>
    <w:permEnd w:id="528381897"/>
    <w:p w14:paraId="32DE6A29" w14:textId="77777777" w:rsidR="00772944" w:rsidRDefault="00772944" w:rsidP="00772944">
      <w:r>
        <w:t>&lt;ESMA_QUESTION_TCCR_3&gt;</w:t>
      </w:r>
    </w:p>
    <w:p w14:paraId="199B8024" w14:textId="77777777" w:rsidR="00772944" w:rsidRDefault="00772944" w:rsidP="00772944"/>
    <w:p w14:paraId="7D8F9601"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proposed approach to the categorisation of instruments for the purposes of Article 7d reporting, based on recital 17, the classes of instruments covered by T1-CCP recognition and the corresponding asset classes? If not, would stakeholders prefer the use of the ISO 10962 Classification of Financial Instruments (CFI), or another approach, to identify both the type of instrument and the associated asset class? Please explain your reasoning, including any implications in terms of data availability and reporting burden.</w:t>
      </w:r>
    </w:p>
    <w:p w14:paraId="087A95A9" w14:textId="77777777" w:rsidR="00772944" w:rsidRDefault="00772944" w:rsidP="00772944">
      <w:r>
        <w:t>&lt;ESMA_QUESTION_TCCR_4&gt;</w:t>
      </w:r>
    </w:p>
    <w:p w14:paraId="16C8BAEE" w14:textId="77777777" w:rsidR="005870CE" w:rsidRPr="00B661FA" w:rsidRDefault="005870CE" w:rsidP="005870CE">
      <w:pPr>
        <w:pStyle w:val="NormalWeb"/>
        <w:spacing w:before="240" w:beforeAutospacing="0" w:after="240" w:afterAutospacing="0" w:line="276" w:lineRule="auto"/>
        <w:jc w:val="both"/>
        <w:rPr>
          <w:rFonts w:ascii="Arial" w:hAnsi="Arial"/>
          <w:lang w:val="en-GB"/>
        </w:rPr>
      </w:pPr>
      <w:permStart w:id="1396466673" w:edGrp="everyone"/>
      <w:r w:rsidRPr="00B661FA">
        <w:rPr>
          <w:rFonts w:ascii="Arial" w:hAnsi="Arial"/>
        </w:rPr>
        <w:t xml:space="preserve">EFAMA considers that the practical implications of the proposed instrument categorisation cannot be assessed separately from the identification of the entities required to report the corresponding activity. </w:t>
      </w:r>
    </w:p>
    <w:p w14:paraId="2DB7F1E3"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lang w:val="en-GB"/>
        </w:rPr>
        <w:t xml:space="preserve">As noted above, </w:t>
      </w:r>
      <w:r w:rsidRPr="00B661FA">
        <w:rPr>
          <w:rFonts w:ascii="Arial" w:hAnsi="Arial"/>
        </w:rPr>
        <w:t xml:space="preserve">EFAMA has </w:t>
      </w:r>
      <w:r w:rsidRPr="00B661FA">
        <w:rPr>
          <w:rFonts w:ascii="Arial" w:hAnsi="Arial"/>
          <w:lang w:val="en-GB"/>
        </w:rPr>
        <w:t xml:space="preserve">significant </w:t>
      </w:r>
      <w:r w:rsidRPr="00B661FA">
        <w:rPr>
          <w:rFonts w:ascii="Arial" w:hAnsi="Arial"/>
        </w:rPr>
        <w:t xml:space="preserve">concerns regarding the breadth of the instrument scope established by Article 7d. The provision significantly extends beyond the traditional scope of EMIR transaction reporting, which focuses on derivatives, by requiring reporting on a wider range of financial and non-financial instruments cleared through recognised third-country </w:t>
      </w:r>
      <w:proofErr w:type="spellStart"/>
      <w:r w:rsidRPr="00B661FA">
        <w:rPr>
          <w:rFonts w:ascii="Arial" w:hAnsi="Arial"/>
        </w:rPr>
        <w:t>CCPs</w:t>
      </w:r>
      <w:proofErr w:type="spellEnd"/>
      <w:r w:rsidRPr="00B661FA">
        <w:rPr>
          <w:rFonts w:ascii="Arial" w:hAnsi="Arial"/>
        </w:rPr>
        <w:t>.</w:t>
      </w:r>
    </w:p>
    <w:p w14:paraId="04C75880"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rPr>
        <w:t xml:space="preserve">This broader scope may also bring into the Article 7d reporting framework entities that have not previously been subject to EMIR transaction reporting, including </w:t>
      </w:r>
      <w:r w:rsidRPr="00B661FA">
        <w:rPr>
          <w:rFonts w:ascii="Arial" w:hAnsi="Arial"/>
          <w:lang w:val="en-GB"/>
        </w:rPr>
        <w:t xml:space="preserve">market participants </w:t>
      </w:r>
      <w:r w:rsidRPr="00B661FA">
        <w:rPr>
          <w:rFonts w:ascii="Arial" w:hAnsi="Arial"/>
        </w:rPr>
        <w:t xml:space="preserve">that do not trade derivatives but may </w:t>
      </w:r>
      <w:r w:rsidRPr="00B661FA">
        <w:rPr>
          <w:rFonts w:ascii="Arial" w:hAnsi="Arial"/>
          <w:lang w:val="en-GB"/>
        </w:rPr>
        <w:t>trade</w:t>
      </w:r>
      <w:r w:rsidRPr="00B661FA">
        <w:rPr>
          <w:rFonts w:ascii="Arial" w:hAnsi="Arial"/>
        </w:rPr>
        <w:t xml:space="preserve"> other instruments through a recognised third-country CCP. Where such </w:t>
      </w:r>
      <w:r w:rsidRPr="00B661FA">
        <w:rPr>
          <w:rFonts w:ascii="Arial" w:hAnsi="Arial"/>
        </w:rPr>
        <w:lastRenderedPageBreak/>
        <w:t>entities qualify as clearing clients, they may need to establish new reporting systems and processes solely to comply with Article 7d, potentially imposing a disproportionate operational burden.</w:t>
      </w:r>
    </w:p>
    <w:p w14:paraId="6E9AE177" w14:textId="77777777" w:rsidR="005870CE" w:rsidRPr="00B661FA" w:rsidRDefault="005870CE" w:rsidP="005870CE">
      <w:pPr>
        <w:pStyle w:val="NormalWeb"/>
        <w:spacing w:before="240" w:beforeAutospacing="0" w:after="240" w:afterAutospacing="0" w:line="276" w:lineRule="auto"/>
        <w:jc w:val="both"/>
        <w:rPr>
          <w:rFonts w:ascii="Arial" w:hAnsi="Arial"/>
          <w:lang w:val="en-GB"/>
        </w:rPr>
      </w:pPr>
      <w:r w:rsidRPr="00B661FA">
        <w:rPr>
          <w:rFonts w:ascii="Arial" w:hAnsi="Arial"/>
        </w:rPr>
        <w:t xml:space="preserve">The assessment </w:t>
      </w:r>
      <w:r w:rsidRPr="00B661FA">
        <w:rPr>
          <w:rFonts w:ascii="Arial" w:hAnsi="Arial"/>
          <w:lang w:val="en-GB"/>
        </w:rPr>
        <w:t xml:space="preserve">of whether a given entity “clears contracts” through an Article 25 CCP </w:t>
      </w:r>
      <w:r w:rsidRPr="00B661FA">
        <w:rPr>
          <w:rFonts w:ascii="Arial" w:hAnsi="Arial"/>
        </w:rPr>
        <w:t>should therefore</w:t>
      </w:r>
      <w:r w:rsidRPr="00B661FA">
        <w:rPr>
          <w:rFonts w:ascii="Arial" w:hAnsi="Arial"/>
          <w:lang w:val="en-GB"/>
        </w:rPr>
        <w:t xml:space="preserve"> be carried out by reference to a combination of mandatory factors: (</w:t>
      </w:r>
      <w:proofErr w:type="spellStart"/>
      <w:r w:rsidRPr="00B661FA">
        <w:rPr>
          <w:rFonts w:ascii="Arial" w:hAnsi="Arial"/>
          <w:lang w:val="en-GB"/>
        </w:rPr>
        <w:t>i</w:t>
      </w:r>
      <w:proofErr w:type="spellEnd"/>
      <w:r w:rsidRPr="00B661FA">
        <w:rPr>
          <w:rFonts w:ascii="Arial" w:hAnsi="Arial"/>
          <w:lang w:val="en-GB"/>
        </w:rPr>
        <w:t xml:space="preserve">) the arrangements in question must be documented under a clearing agreement, rather than other contractual documentation including counterparty terms of business or similar, (ii) the buy-side entity must directly face, for the purposes of these contractual (and resulting practical and operational) arrangements, an entity that is a direct member of an Article 25 </w:t>
      </w:r>
      <w:r w:rsidRPr="00B661FA">
        <w:rPr>
          <w:rFonts w:ascii="Arial" w:hAnsi="Arial"/>
        </w:rPr>
        <w:t>CCP</w:t>
      </w:r>
      <w:r w:rsidRPr="00B661FA">
        <w:rPr>
          <w:rFonts w:ascii="Arial" w:hAnsi="Arial"/>
          <w:lang w:val="en-GB"/>
        </w:rPr>
        <w:t xml:space="preserve"> and is acting in this capacity for the purposes of the arrangements in question, and (iii) in-scope cleared (and clearable) transactions must have been entered into</w:t>
      </w:r>
      <w:r w:rsidRPr="00B661FA">
        <w:rPr>
          <w:rFonts w:ascii="Arial" w:hAnsi="Arial"/>
        </w:rPr>
        <w:t>.</w:t>
      </w:r>
      <w:r w:rsidRPr="00B661FA">
        <w:rPr>
          <w:rFonts w:ascii="Arial" w:hAnsi="Arial"/>
          <w:lang w:val="en-GB"/>
        </w:rPr>
        <w:t xml:space="preserve"> The failure of any transaction in financial or non-financial instruments to meet any of the limbs of this test should automatically ensure that such transaction or arrangement does not meet the requirements, and is therefore out-of-scope for Article 7d reporting.</w:t>
      </w:r>
    </w:p>
    <w:p w14:paraId="46C8908F" w14:textId="77777777" w:rsidR="005870CE" w:rsidRPr="00B661FA" w:rsidRDefault="005870CE" w:rsidP="005870CE">
      <w:pPr>
        <w:pStyle w:val="NormalWeb"/>
        <w:spacing w:before="240" w:beforeAutospacing="0" w:after="240" w:afterAutospacing="0" w:line="276" w:lineRule="auto"/>
        <w:jc w:val="both"/>
        <w:rPr>
          <w:rFonts w:ascii="Arial" w:hAnsi="Arial"/>
          <w:lang w:val="en-GB"/>
        </w:rPr>
      </w:pPr>
      <w:r w:rsidRPr="00B661FA">
        <w:rPr>
          <w:rFonts w:ascii="Arial" w:hAnsi="Arial"/>
        </w:rPr>
        <w:t>With regard to limb (</w:t>
      </w:r>
      <w:proofErr w:type="spellStart"/>
      <w:r w:rsidRPr="00B661FA">
        <w:rPr>
          <w:rFonts w:ascii="Arial" w:hAnsi="Arial"/>
        </w:rPr>
        <w:t>i</w:t>
      </w:r>
      <w:proofErr w:type="spellEnd"/>
      <w:r w:rsidRPr="00B661FA">
        <w:rPr>
          <w:rFonts w:ascii="Arial" w:hAnsi="Arial"/>
        </w:rPr>
        <w:t xml:space="preserve">), EFAMA asks </w:t>
      </w:r>
      <w:r w:rsidRPr="00B661FA">
        <w:rPr>
          <w:rFonts w:ascii="Arial" w:hAnsi="Arial"/>
          <w:b/>
          <w:bCs/>
        </w:rPr>
        <w:t xml:space="preserve">ESMA to confirm that, where no such direct contractual </w:t>
      </w:r>
      <w:r w:rsidRPr="00B661FA">
        <w:rPr>
          <w:rFonts w:ascii="Arial" w:hAnsi="Arial"/>
          <w:b/>
          <w:bCs/>
          <w:u w:val="single"/>
        </w:rPr>
        <w:t>clearing</w:t>
      </w:r>
      <w:r w:rsidRPr="00B661FA">
        <w:rPr>
          <w:rFonts w:ascii="Arial" w:hAnsi="Arial"/>
          <w:b/>
          <w:bCs/>
        </w:rPr>
        <w:t xml:space="preserve"> relationship </w:t>
      </w:r>
      <w:r w:rsidRPr="00B661FA">
        <w:rPr>
          <w:rFonts w:ascii="Arial" w:hAnsi="Arial"/>
          <w:b/>
          <w:bCs/>
          <w:lang w:val="en-GB"/>
        </w:rPr>
        <w:t xml:space="preserve">(as documented under a clearing agreement) </w:t>
      </w:r>
      <w:r w:rsidRPr="00B661FA">
        <w:rPr>
          <w:rFonts w:ascii="Arial" w:hAnsi="Arial"/>
          <w:b/>
          <w:bCs/>
        </w:rPr>
        <w:t xml:space="preserve">exists, the buy-side entity should not be considered </w:t>
      </w:r>
      <w:r w:rsidRPr="00B661FA">
        <w:rPr>
          <w:rFonts w:ascii="Arial" w:hAnsi="Arial"/>
          <w:b/>
          <w:bCs/>
          <w:lang w:val="en-GB"/>
        </w:rPr>
        <w:t xml:space="preserve">in scope for </w:t>
      </w:r>
      <w:r w:rsidRPr="00B661FA">
        <w:rPr>
          <w:rFonts w:ascii="Arial" w:hAnsi="Arial"/>
          <w:b/>
          <w:bCs/>
        </w:rPr>
        <w:t xml:space="preserve">Article 7d. </w:t>
      </w:r>
      <w:r w:rsidRPr="00B661FA">
        <w:rPr>
          <w:rFonts w:ascii="Arial" w:hAnsi="Arial"/>
        </w:rPr>
        <w:t xml:space="preserve">This is particularly relevant </w:t>
      </w:r>
      <w:r w:rsidRPr="00B661FA">
        <w:rPr>
          <w:rFonts w:ascii="Arial" w:hAnsi="Arial"/>
          <w:lang w:val="en-GB"/>
        </w:rPr>
        <w:t xml:space="preserve">in the context of </w:t>
      </w:r>
      <w:r w:rsidRPr="00B661FA">
        <w:rPr>
          <w:rFonts w:ascii="Arial" w:hAnsi="Arial"/>
        </w:rPr>
        <w:t xml:space="preserve">transactions </w:t>
      </w:r>
      <w:r w:rsidRPr="00B661FA">
        <w:rPr>
          <w:rFonts w:ascii="Arial" w:hAnsi="Arial"/>
          <w:lang w:val="en-GB"/>
        </w:rPr>
        <w:t>effected</w:t>
      </w:r>
      <w:r w:rsidRPr="00B661FA">
        <w:rPr>
          <w:rFonts w:ascii="Arial" w:hAnsi="Arial"/>
        </w:rPr>
        <w:t xml:space="preserve"> on a delivery-versus-payment basis</w:t>
      </w:r>
      <w:r w:rsidRPr="00B661FA">
        <w:rPr>
          <w:rFonts w:ascii="Arial" w:hAnsi="Arial"/>
          <w:lang w:val="en-GB"/>
        </w:rPr>
        <w:t>, which will not – in line with established market and contractual convention - be subject to clearing arrangements and/or documentation, or indeed “cleared” in any established sense of this term</w:t>
      </w:r>
      <w:r w:rsidRPr="00B661FA">
        <w:rPr>
          <w:rFonts w:ascii="Arial" w:hAnsi="Arial"/>
        </w:rPr>
        <w:t xml:space="preserve">. </w:t>
      </w:r>
    </w:p>
    <w:p w14:paraId="175EA162" w14:textId="77777777" w:rsidR="005870CE" w:rsidRPr="00B661FA" w:rsidRDefault="005870CE" w:rsidP="005870CE">
      <w:pPr>
        <w:pStyle w:val="NormalWeb"/>
        <w:spacing w:before="240" w:beforeAutospacing="0" w:after="240" w:afterAutospacing="0" w:line="276" w:lineRule="auto"/>
        <w:jc w:val="both"/>
        <w:rPr>
          <w:rFonts w:ascii="Arial" w:hAnsi="Arial"/>
          <w:lang w:val="en-GB"/>
        </w:rPr>
      </w:pPr>
      <w:r w:rsidRPr="00B661FA">
        <w:rPr>
          <w:rFonts w:ascii="Arial" w:hAnsi="Arial"/>
        </w:rPr>
        <w:t>With regard to limb (ii), EFAMA welcomes the clarification in paragraph 22 of the Consultation Paper that indirect clients are outside the scope</w:t>
      </w:r>
      <w:r w:rsidRPr="00B661FA">
        <w:rPr>
          <w:rFonts w:ascii="Arial" w:hAnsi="Arial"/>
          <w:lang w:val="en-GB"/>
        </w:rPr>
        <w:t xml:space="preserve"> of Article 7d</w:t>
      </w:r>
      <w:r w:rsidRPr="00B661FA">
        <w:rPr>
          <w:rFonts w:ascii="Arial" w:hAnsi="Arial"/>
        </w:rPr>
        <w:t>. In this context, EFAMA considers that determining whether a buy-side entity falls within the scope of Article 7d should turn on whether that entity itself qualifies as a “client” within the meaning of Article 2(15) EMIR. In particular, this requires a direct contractual clearing arrangement</w:t>
      </w:r>
      <w:r w:rsidRPr="00B661FA">
        <w:rPr>
          <w:rFonts w:ascii="Arial" w:hAnsi="Arial"/>
          <w:lang w:val="en-GB"/>
        </w:rPr>
        <w:t xml:space="preserve"> (clearing agreement) to be in place</w:t>
      </w:r>
      <w:r w:rsidRPr="00B661FA">
        <w:rPr>
          <w:rFonts w:ascii="Arial" w:hAnsi="Arial"/>
        </w:rPr>
        <w:t xml:space="preserve"> between the buy-side entity and a clearing member, whereby the clearing member provides </w:t>
      </w:r>
      <w:r w:rsidRPr="00B661FA">
        <w:rPr>
          <w:rFonts w:ascii="Arial" w:hAnsi="Arial"/>
          <w:lang w:val="en-GB"/>
        </w:rPr>
        <w:t xml:space="preserve">direct </w:t>
      </w:r>
      <w:r w:rsidRPr="00B661FA">
        <w:rPr>
          <w:rFonts w:ascii="Arial" w:hAnsi="Arial"/>
        </w:rPr>
        <w:t>clearing services to that entity and, in turn, has a contractual relationship with the relevant recognised third-country CCP.</w:t>
      </w:r>
    </w:p>
    <w:p w14:paraId="2461E181"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rPr>
        <w:t xml:space="preserve">Where several intermediaries are involved </w:t>
      </w:r>
      <w:r w:rsidRPr="00B661FA">
        <w:rPr>
          <w:rFonts w:ascii="Arial" w:hAnsi="Arial"/>
          <w:lang w:val="en-GB"/>
        </w:rPr>
        <w:t xml:space="preserve">in the clearing chain </w:t>
      </w:r>
      <w:r w:rsidRPr="00B661FA">
        <w:rPr>
          <w:rFonts w:ascii="Arial" w:hAnsi="Arial"/>
        </w:rPr>
        <w:t>between the buy-side entity</w:t>
      </w:r>
      <w:r w:rsidRPr="00B661FA">
        <w:rPr>
          <w:rFonts w:ascii="Arial" w:hAnsi="Arial"/>
          <w:lang w:val="en-GB"/>
        </w:rPr>
        <w:t xml:space="preserve"> </w:t>
      </w:r>
      <w:r w:rsidRPr="00B661FA">
        <w:rPr>
          <w:rFonts w:ascii="Arial" w:hAnsi="Arial"/>
        </w:rPr>
        <w:t>and the recognised third-country CCP</w:t>
      </w:r>
      <w:r w:rsidRPr="00B661FA">
        <w:rPr>
          <w:rFonts w:ascii="Arial" w:hAnsi="Arial"/>
          <w:lang w:val="en-GB"/>
        </w:rPr>
        <w:t xml:space="preserve"> (i.e. through a series of back-to-back transactions that are ultimately cleared, several stages down the line, at an Article 25 CCP)</w:t>
      </w:r>
      <w:r w:rsidRPr="00B661FA">
        <w:rPr>
          <w:rFonts w:ascii="Arial" w:hAnsi="Arial"/>
        </w:rPr>
        <w:t xml:space="preserve">, </w:t>
      </w:r>
      <w:r w:rsidRPr="00B661FA">
        <w:rPr>
          <w:rFonts w:ascii="Arial" w:hAnsi="Arial"/>
          <w:lang w:val="en-GB"/>
        </w:rPr>
        <w:t>EFAMA would expect such arrangements to be out-of-scope for Article 7d reporting and would welcome explicit confirmation from ESMA of this principle. T</w:t>
      </w:r>
      <w:r w:rsidRPr="00B661FA">
        <w:rPr>
          <w:rFonts w:ascii="Arial" w:hAnsi="Arial"/>
        </w:rPr>
        <w:t xml:space="preserve">he buy-side entity should not be expected to investigate </w:t>
      </w:r>
      <w:r w:rsidRPr="00B661FA">
        <w:rPr>
          <w:rFonts w:ascii="Arial" w:hAnsi="Arial"/>
          <w:lang w:val="en-GB"/>
        </w:rPr>
        <w:t xml:space="preserve">this on a case-by-case basis, given the disproportionate burden it would create. </w:t>
      </w:r>
    </w:p>
    <w:p w14:paraId="5A14CE7B"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lang w:val="en-GB"/>
        </w:rPr>
        <w:t xml:space="preserve">Given that indirect clearing arrangements can, in practice, take multiple forms, </w:t>
      </w:r>
      <w:r w:rsidRPr="00B661FA">
        <w:rPr>
          <w:rFonts w:ascii="Arial" w:hAnsi="Arial"/>
          <w:b/>
          <w:bCs/>
          <w:lang w:val="en-GB"/>
        </w:rPr>
        <w:t>EFAMA considers that ESMA should provide practical examples distinguishing direct client clearing from indirect access</w:t>
      </w:r>
      <w:r w:rsidRPr="00B661FA">
        <w:rPr>
          <w:rFonts w:ascii="Arial" w:hAnsi="Arial"/>
          <w:lang w:val="en-GB"/>
        </w:rPr>
        <w:t xml:space="preserve">, and distinguishing scenarios in which contracts are cleared from scenarios in which other transaction-related activities take place. </w:t>
      </w:r>
      <w:r w:rsidRPr="00B661FA">
        <w:rPr>
          <w:rFonts w:ascii="Arial" w:hAnsi="Arial"/>
          <w:b/>
          <w:bCs/>
        </w:rPr>
        <w:t>EFAMA members expect that situations involving only execution and settlement of equities or debt instruments, including transactions settled on a delivery-versus-payment basis, will not be considered client-clearing arrangements and will therefore fall outside the scope of Article 7d reporting.</w:t>
      </w:r>
    </w:p>
    <w:p w14:paraId="6B421C7F" w14:textId="77777777" w:rsidR="005870CE" w:rsidRPr="00B661FA" w:rsidRDefault="005870CE" w:rsidP="005870CE">
      <w:pPr>
        <w:pStyle w:val="NormalWeb"/>
        <w:spacing w:before="240" w:beforeAutospacing="0" w:after="240" w:afterAutospacing="0" w:line="276" w:lineRule="auto"/>
        <w:jc w:val="both"/>
        <w:rPr>
          <w:rFonts w:ascii="Arial" w:hAnsi="Arial"/>
          <w:lang w:val="en-GB"/>
        </w:rPr>
      </w:pPr>
      <w:r w:rsidRPr="00B661FA">
        <w:rPr>
          <w:rFonts w:ascii="Arial" w:hAnsi="Arial"/>
        </w:rPr>
        <w:lastRenderedPageBreak/>
        <w:t xml:space="preserve">With regard to limb (iii), </w:t>
      </w:r>
      <w:r w:rsidRPr="00B661FA">
        <w:rPr>
          <w:rFonts w:ascii="Arial" w:hAnsi="Arial"/>
          <w:lang w:val="en-GB"/>
        </w:rPr>
        <w:t xml:space="preserve">EFAMA notes that, particularly in the context of EMIR, clearing is a regulatory concept that primarily applies to derivative contracts. Certain transactions will not, as a matter of convention and standard market practice, be cleared even if they are effected on an entity that may be authorised as an Article 25 CCP. Accordingly, the final Level 2 text proposed by ESMA should clarify which transactions can be cleared in the direct regulatory sense of this term. </w:t>
      </w:r>
    </w:p>
    <w:p w14:paraId="624C2FD7"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rPr>
        <w:t xml:space="preserve">Moreover, members are particularly concerned by the inclusion of </w:t>
      </w:r>
      <w:r w:rsidRPr="00B661FA">
        <w:rPr>
          <w:rFonts w:ascii="Arial" w:hAnsi="Arial"/>
          <w:b/>
          <w:bCs/>
        </w:rPr>
        <w:t>non-financial instruments</w:t>
      </w:r>
      <w:r w:rsidRPr="00B661FA">
        <w:rPr>
          <w:rFonts w:ascii="Arial" w:hAnsi="Arial"/>
        </w:rPr>
        <w:t xml:space="preserve">, such as spot contracts and crypto-assets other than derivatives. These categories fall outside the existing EMIR Article 9 reporting framework and, in many cases, equivalent clearing-specific information is not available through other EU reporting regimes.  </w:t>
      </w:r>
    </w:p>
    <w:p w14:paraId="1FD4471D"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rPr>
        <w:t xml:space="preserve">For example, spot contracts that may fall within the proposed scope, including spot FX transactions, are not subject to EMIR transaction reporting and, where they do not qualify as financial instruments, are also outside the </w:t>
      </w:r>
      <w:proofErr w:type="spellStart"/>
      <w:r w:rsidRPr="00B661FA">
        <w:rPr>
          <w:rFonts w:ascii="Arial" w:hAnsi="Arial"/>
        </w:rPr>
        <w:t>MiFIR</w:t>
      </w:r>
      <w:proofErr w:type="spellEnd"/>
      <w:r w:rsidRPr="00B661FA">
        <w:rPr>
          <w:rFonts w:ascii="Arial" w:hAnsi="Arial"/>
        </w:rPr>
        <w:t xml:space="preserve"> transaction-reporting framework. Including them under Article 7d would therefore require new reporting processes for activity that has historically fallen outside these regimes.</w:t>
      </w:r>
    </w:p>
    <w:p w14:paraId="2DB8EE9D"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rPr>
        <w:t xml:space="preserve">For non-financial instruments, ESMA should identify the recognised services and product categories giving rise to reportable activity. Settlement alone should not be treated as clearing through a recognised CCP, and the absence of a separately identified margin payment by the fund should not, by itself, determine whether the fund qualifies as a clearing client. </w:t>
      </w:r>
    </w:p>
    <w:p w14:paraId="2AA6D707"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b/>
          <w:bCs/>
        </w:rPr>
        <w:t>EFAMA would be pleased to work with ESMA in developing practical examples illustrating these different structures</w:t>
      </w:r>
      <w:r w:rsidRPr="00B661FA">
        <w:rPr>
          <w:rFonts w:ascii="Arial" w:hAnsi="Arial"/>
          <w:b/>
          <w:bCs/>
          <w:lang w:val="en-GB"/>
        </w:rPr>
        <w:t xml:space="preserve"> and concepts, focusing particularly on the delineation of </w:t>
      </w:r>
      <w:r w:rsidRPr="00B661FA">
        <w:rPr>
          <w:rFonts w:ascii="Arial" w:hAnsi="Arial"/>
          <w:b/>
          <w:bCs/>
        </w:rPr>
        <w:t>direct client relationships from indirect or intermediary-based arrangements</w:t>
      </w:r>
      <w:r w:rsidRPr="00B661FA">
        <w:rPr>
          <w:rFonts w:ascii="Arial" w:hAnsi="Arial"/>
          <w:b/>
          <w:bCs/>
          <w:lang w:val="en-GB"/>
        </w:rPr>
        <w:t>, as well as scenarios where a contract may be considered “cleared” or “clearable”</w:t>
      </w:r>
      <w:r w:rsidRPr="00B661FA">
        <w:rPr>
          <w:rFonts w:ascii="Arial" w:hAnsi="Arial"/>
          <w:b/>
          <w:bCs/>
        </w:rPr>
        <w:t>.</w:t>
      </w:r>
    </w:p>
    <w:p w14:paraId="5D93E0C9"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lang w:val="en-GB"/>
        </w:rPr>
        <w:t>Building upon the concepts set out above, and t</w:t>
      </w:r>
      <w:r w:rsidRPr="00B661FA">
        <w:rPr>
          <w:rFonts w:ascii="Arial" w:hAnsi="Arial"/>
        </w:rPr>
        <w:t xml:space="preserve">o simplify the proposed framework, EFAMA recommends replacing </w:t>
      </w:r>
      <w:r w:rsidRPr="00B661FA">
        <w:rPr>
          <w:rFonts w:ascii="Arial" w:hAnsi="Arial"/>
          <w:b/>
          <w:bCs/>
        </w:rPr>
        <w:t xml:space="preserve">fields 2 (“Category of instrument”) and 3 (“Type of instrument”) in Table 2 </w:t>
      </w:r>
      <w:r w:rsidRPr="00B661FA">
        <w:rPr>
          <w:rFonts w:ascii="Arial" w:hAnsi="Arial"/>
        </w:rPr>
        <w:t xml:space="preserve">with a single “Type of instrument” field containing only two values: </w:t>
      </w:r>
      <w:r w:rsidRPr="00B661FA">
        <w:rPr>
          <w:rFonts w:ascii="Arial" w:hAnsi="Arial"/>
          <w:b/>
          <w:bCs/>
        </w:rPr>
        <w:t>DERV (derivatives)</w:t>
      </w:r>
      <w:r w:rsidRPr="00B661FA">
        <w:rPr>
          <w:rFonts w:ascii="Arial" w:hAnsi="Arial"/>
        </w:rPr>
        <w:t xml:space="preserve"> and </w:t>
      </w:r>
      <w:r w:rsidRPr="00B661FA">
        <w:rPr>
          <w:rFonts w:ascii="Arial" w:hAnsi="Arial"/>
          <w:b/>
          <w:bCs/>
        </w:rPr>
        <w:t>SFTS (securities financing transactions)</w:t>
      </w:r>
      <w:r w:rsidRPr="00B661FA">
        <w:rPr>
          <w:rFonts w:ascii="Arial" w:hAnsi="Arial"/>
        </w:rPr>
        <w:t xml:space="preserve">. Under this approach, DERV would encompass both OTC and exchange-traded derivatives, removing the need for reporting entities to distinguish between these categories. </w:t>
      </w:r>
    </w:p>
    <w:p w14:paraId="0D237689"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rPr>
        <w:t>For instruments reported as DERV, EFAMA proposes limiting the asset-class breakdown in field 4 to the following categories:</w:t>
      </w:r>
    </w:p>
    <w:p w14:paraId="24870E62"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b/>
          <w:bCs/>
        </w:rPr>
        <w:t>EQUI</w:t>
      </w:r>
      <w:r w:rsidRPr="00B661FA">
        <w:rPr>
          <w:rFonts w:ascii="Arial" w:hAnsi="Arial"/>
        </w:rPr>
        <w:t xml:space="preserve"> – Equity;</w:t>
      </w:r>
    </w:p>
    <w:p w14:paraId="6C3F8A4F"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b/>
          <w:bCs/>
        </w:rPr>
        <w:t>COMM</w:t>
      </w:r>
      <w:r w:rsidRPr="00B661FA">
        <w:rPr>
          <w:rFonts w:ascii="Arial" w:hAnsi="Arial"/>
        </w:rPr>
        <w:t xml:space="preserve"> – Commodity;</w:t>
      </w:r>
    </w:p>
    <w:p w14:paraId="5CA9E831"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b/>
          <w:bCs/>
        </w:rPr>
        <w:t>INTR</w:t>
      </w:r>
      <w:r w:rsidRPr="00B661FA">
        <w:rPr>
          <w:rFonts w:ascii="Arial" w:hAnsi="Arial"/>
        </w:rPr>
        <w:t xml:space="preserve"> – Interest rate;</w:t>
      </w:r>
    </w:p>
    <w:p w14:paraId="7D3D846D"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b/>
          <w:bCs/>
        </w:rPr>
        <w:t>CRDT</w:t>
      </w:r>
      <w:r w:rsidRPr="00B661FA">
        <w:rPr>
          <w:rFonts w:ascii="Arial" w:hAnsi="Arial"/>
        </w:rPr>
        <w:t xml:space="preserve"> – Credit;</w:t>
      </w:r>
    </w:p>
    <w:p w14:paraId="3C0E47A1"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b/>
          <w:bCs/>
        </w:rPr>
        <w:t>CURR</w:t>
      </w:r>
      <w:r w:rsidRPr="00B661FA">
        <w:rPr>
          <w:rFonts w:ascii="Arial" w:hAnsi="Arial"/>
        </w:rPr>
        <w:t xml:space="preserve"> – Currencies; and</w:t>
      </w:r>
    </w:p>
    <w:p w14:paraId="0ADEB30C"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b/>
          <w:bCs/>
        </w:rPr>
        <w:lastRenderedPageBreak/>
        <w:t>OTHE</w:t>
      </w:r>
      <w:r w:rsidRPr="00B661FA">
        <w:rPr>
          <w:rFonts w:ascii="Arial" w:hAnsi="Arial"/>
        </w:rPr>
        <w:t xml:space="preserve"> – Other derivatives.</w:t>
      </w:r>
    </w:p>
    <w:p w14:paraId="1C8798BF"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rPr>
        <w:t>This simplified categorisation would reduce the need for additional classification and data mapping while retaining a meaningful overview of clearing activity by instrument type and broad asset class. EFAMA therefore favours this approach over requiring ISO 10962 CFI codes or a more granular classification, which could introduce additional implementation costs without a clear corresponding supervisory benefit.</w:t>
      </w:r>
    </w:p>
    <w:p w14:paraId="18FB9282"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rPr>
        <w:t>Moreover, EFAMA considers that the reporting templates should more clearly reflect ESMA’s commitment to avoiding the resubmission of information already available under existing reporting frameworks. In particular, including derivatives and SFTs in Table 2, together with the associated asset-class breakdown in field 4, may create uncertainty about whether reporting entities are expected to populate these fields despite the availability of the relevant information under EMIR Article 9 or SFTR. The RTS and ITS should expressly identify when these categories and fields are not applicable, ensuring that the common template does not result in duplicative reporting.</w:t>
      </w:r>
    </w:p>
    <w:p w14:paraId="063044C5" w14:textId="77777777" w:rsidR="005870CE" w:rsidRPr="00B661FA" w:rsidRDefault="005870CE" w:rsidP="005870CE">
      <w:pPr>
        <w:pStyle w:val="NormalWeb"/>
        <w:spacing w:before="240" w:beforeAutospacing="0" w:after="240" w:afterAutospacing="0" w:line="276" w:lineRule="auto"/>
        <w:jc w:val="both"/>
        <w:rPr>
          <w:rFonts w:ascii="Arial" w:hAnsi="Arial"/>
        </w:rPr>
      </w:pPr>
      <w:r w:rsidRPr="00B661FA">
        <w:rPr>
          <w:rFonts w:ascii="Arial" w:hAnsi="Arial"/>
        </w:rPr>
        <w:t>EFAMA understands that these categories may remain relevant to the clearing activity of non-EU entities included in consolidated reports, where equivalent information is not available under existing EU reporting frameworks. However, this illustrates the additional burden arising from the geographical scope of Article 7d, which EFAMA considers should be reassessed at Level 1. Pending such a review, ESMA should clearly ensure consolidated reporting does not require resubmitting information already available</w:t>
      </w:r>
      <w:r w:rsidRPr="00B661FA">
        <w:rPr>
          <w:rFonts w:ascii="Arial" w:hAnsi="Arial"/>
          <w:lang w:val="en-GB"/>
        </w:rPr>
        <w:t xml:space="preserve"> under existing reporting mechanisms</w:t>
      </w:r>
      <w:r w:rsidRPr="00B661FA">
        <w:rPr>
          <w:rFonts w:ascii="Arial" w:hAnsi="Arial"/>
        </w:rPr>
        <w:t>.</w:t>
      </w:r>
    </w:p>
    <w:permEnd w:id="1396466673"/>
    <w:p w14:paraId="6E117F7A" w14:textId="77777777" w:rsidR="00772944" w:rsidRDefault="00772944" w:rsidP="00772944">
      <w:r>
        <w:t>&lt;ESMA_QUESTION_TCCR_4&gt;</w:t>
      </w:r>
    </w:p>
    <w:p w14:paraId="30546215" w14:textId="77777777" w:rsidR="00772944" w:rsidRDefault="00772944" w:rsidP="00772944"/>
    <w:p w14:paraId="304395B9" w14:textId="77777777" w:rsidR="00772944" w:rsidRDefault="00772944" w:rsidP="00772944">
      <w:pPr>
        <w:pStyle w:val="Questionstyle"/>
        <w:numPr>
          <w:ilvl w:val="0"/>
          <w:numId w:val="14"/>
        </w:numPr>
        <w:tabs>
          <w:tab w:val="clear" w:pos="567"/>
        </w:tabs>
        <w:spacing w:before="120" w:after="120"/>
        <w:ind w:left="851" w:hanging="709"/>
      </w:pPr>
      <w:r>
        <w:t>Do stakeholders agree with the proposed methodology for calculating average values cleared over one year, based on aggregate month</w:t>
      </w:r>
      <w:r>
        <w:rPr>
          <w:rFonts w:ascii="Cambria Math" w:hAnsi="Cambria Math" w:cs="Cambria Math"/>
        </w:rPr>
        <w:noBreakHyphen/>
      </w:r>
      <w:r>
        <w:t>end average positions, with a breakdown by Union currency and asset class? Please explain your views, including any implications for data availability, operational feasibility or reporting burden.</w:t>
      </w:r>
    </w:p>
    <w:p w14:paraId="2BD3A8BC" w14:textId="77777777" w:rsidR="00772944" w:rsidRDefault="00772944" w:rsidP="00772944">
      <w:r>
        <w:t>&lt;ESMA_QUESTION_TCCR_5&gt;</w:t>
      </w:r>
    </w:p>
    <w:p w14:paraId="71FCF58F" w14:textId="77777777" w:rsidR="00772944" w:rsidRDefault="00772944" w:rsidP="00772944">
      <w:permStart w:id="719744548" w:edGrp="everyone"/>
      <w:r>
        <w:t>TYPE YOUR TEXT HERE</w:t>
      </w:r>
    </w:p>
    <w:permEnd w:id="719744548"/>
    <w:p w14:paraId="106550CF" w14:textId="77777777" w:rsidR="00772944" w:rsidRDefault="00772944" w:rsidP="00772944">
      <w:r>
        <w:t>&lt;ESMA_QUESTION_TCCR_5&gt;</w:t>
      </w:r>
    </w:p>
    <w:p w14:paraId="19D9D15F" w14:textId="77777777" w:rsidR="00772944" w:rsidRDefault="00772944" w:rsidP="00772944"/>
    <w:p w14:paraId="5441D784"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that, for the purposes of Article 7d(1)(c), initial margin provides a more meaningful and proportionate indicator of exposure to recognised third country CCPs than variation margin, and with the proposal to </w:t>
      </w:r>
      <w:r>
        <w:lastRenderedPageBreak/>
        <w:t>report margins at a less granular level than average values cleared, in particular by reporting initial margin per CCP recognised under Article 25?</w:t>
      </w:r>
    </w:p>
    <w:p w14:paraId="7CF5D105" w14:textId="77777777" w:rsidR="00772944" w:rsidRDefault="00772944" w:rsidP="00772944">
      <w:r>
        <w:t>&lt;ESMA_QUESTION_TCCR_6&gt;</w:t>
      </w:r>
    </w:p>
    <w:p w14:paraId="7FCE73AB" w14:textId="77777777" w:rsidR="00675087" w:rsidRPr="00B661FA" w:rsidRDefault="00675087" w:rsidP="00675087">
      <w:pPr>
        <w:pStyle w:val="NormalWeb"/>
        <w:spacing w:before="240" w:beforeAutospacing="0" w:after="240" w:afterAutospacing="0" w:line="276" w:lineRule="auto"/>
        <w:jc w:val="both"/>
        <w:rPr>
          <w:rFonts w:ascii="Arial" w:hAnsi="Arial"/>
          <w:lang w:val="en-US"/>
        </w:rPr>
      </w:pPr>
      <w:permStart w:id="536377789" w:edGrp="everyone"/>
      <w:r w:rsidRPr="00B661FA">
        <w:rPr>
          <w:rFonts w:ascii="Arial" w:hAnsi="Arial"/>
          <w:lang w:val="en-US"/>
        </w:rPr>
        <w:t xml:space="preserve">EFAMA agrees that reporting should be limited to initial margin. EFAMA also supports reporting initial margin at the level of each CCP </w:t>
      </w:r>
      <w:proofErr w:type="spellStart"/>
      <w:r w:rsidRPr="00B661FA">
        <w:rPr>
          <w:rFonts w:ascii="Arial" w:hAnsi="Arial"/>
          <w:lang w:val="en-US"/>
        </w:rPr>
        <w:t>recognised</w:t>
      </w:r>
      <w:proofErr w:type="spellEnd"/>
      <w:r w:rsidRPr="00B661FA">
        <w:rPr>
          <w:rFonts w:ascii="Arial" w:hAnsi="Arial"/>
          <w:lang w:val="en-US"/>
        </w:rPr>
        <w:t xml:space="preserve"> under Article 25, rather than applying the more granular breakdown envisaged for average cleared values. This approach should, however, apply only where initial margin is actually required or collected in connection with the relevant cleared transaction falling within the potential scope of Article 7d. </w:t>
      </w:r>
    </w:p>
    <w:p w14:paraId="2E385617" w14:textId="77777777" w:rsidR="00675087" w:rsidRPr="00B661FA" w:rsidRDefault="00675087" w:rsidP="00675087">
      <w:pPr>
        <w:pStyle w:val="NormalWeb"/>
        <w:spacing w:before="240" w:beforeAutospacing="0" w:after="240" w:afterAutospacing="0" w:line="276" w:lineRule="auto"/>
        <w:jc w:val="both"/>
        <w:rPr>
          <w:rFonts w:ascii="Arial" w:hAnsi="Arial"/>
          <w:lang w:val="en-US"/>
        </w:rPr>
      </w:pPr>
      <w:r w:rsidRPr="00B661FA">
        <w:rPr>
          <w:rFonts w:ascii="Arial" w:hAnsi="Arial"/>
          <w:lang w:val="en-US"/>
        </w:rPr>
        <w:t xml:space="preserve">We believe this clarification is necessary because Article 3 of the draft RTS applies generally to all reporting entities referred to in Article 1. Article 1, in turn, includes Union-established clients that clear financial instruments other than derivatives and securities financing transactions, including cash equities and debt securities, through a </w:t>
      </w:r>
      <w:proofErr w:type="spellStart"/>
      <w:r w:rsidRPr="00B661FA">
        <w:rPr>
          <w:rFonts w:ascii="Arial" w:hAnsi="Arial"/>
          <w:lang w:val="en-US"/>
        </w:rPr>
        <w:t>recognised</w:t>
      </w:r>
      <w:proofErr w:type="spellEnd"/>
      <w:r w:rsidRPr="00B661FA">
        <w:rPr>
          <w:rFonts w:ascii="Arial" w:hAnsi="Arial"/>
          <w:lang w:val="en-US"/>
        </w:rPr>
        <w:t xml:space="preserve"> third-country CCP. In such cases, even where a buy-side entity qualifies as a client within the scope of Article 1, it may not be required to post initial margin at client level. The fact that the client falls within the scope of Article 1 does not necessarily mean that an amount of initial margin exists for that client and can be reported under Article 3.</w:t>
      </w:r>
    </w:p>
    <w:permEnd w:id="536377789"/>
    <w:p w14:paraId="7FE055BC" w14:textId="77777777" w:rsidR="00772944" w:rsidRDefault="00772944" w:rsidP="00772944">
      <w:r>
        <w:t>&lt;ESMA_QUESTION_TCCR_6&gt;</w:t>
      </w:r>
    </w:p>
    <w:p w14:paraId="5C461A63" w14:textId="77777777" w:rsidR="00772944" w:rsidRDefault="00772944" w:rsidP="00772944"/>
    <w:p w14:paraId="086F2302" w14:textId="77777777" w:rsidR="00772944" w:rsidRDefault="00772944" w:rsidP="00772944">
      <w:pPr>
        <w:pStyle w:val="Questionstyle"/>
        <w:numPr>
          <w:ilvl w:val="0"/>
          <w:numId w:val="14"/>
        </w:numPr>
        <w:tabs>
          <w:tab w:val="clear" w:pos="567"/>
        </w:tabs>
        <w:spacing w:before="120" w:after="120"/>
        <w:ind w:left="851" w:hanging="709"/>
      </w:pPr>
      <w:r>
        <w:t>Do stakeholders also agree with ESMA’s proposal to calculate reported initial margin as the average of month end observations over the reporting year? Alternatively, would either (i) the average of quarter end observations or (ii) the reporting of quarter end observations individually provide a more proportionate and operationally feasible approach?</w:t>
      </w:r>
    </w:p>
    <w:p w14:paraId="2A9EAB71" w14:textId="77777777" w:rsidR="00772944" w:rsidRDefault="00772944" w:rsidP="00772944">
      <w:r>
        <w:t>&lt;ESMA_QUESTION_TCCR_7&gt;</w:t>
      </w:r>
    </w:p>
    <w:p w14:paraId="2423CBDE" w14:textId="77777777" w:rsidR="00772944" w:rsidRDefault="00772944" w:rsidP="00772944">
      <w:permStart w:id="319102224" w:edGrp="everyone"/>
      <w:r>
        <w:t>TYPE YOUR TEXT HERE</w:t>
      </w:r>
    </w:p>
    <w:permEnd w:id="319102224"/>
    <w:p w14:paraId="0C50D7DF" w14:textId="77777777" w:rsidR="00772944" w:rsidRDefault="00772944" w:rsidP="00772944">
      <w:r>
        <w:t>&lt;ESMA_QUESTION_TCCR_7&gt;</w:t>
      </w:r>
    </w:p>
    <w:p w14:paraId="14763FC9" w14:textId="77777777" w:rsidR="00772944" w:rsidRDefault="00772944" w:rsidP="00772944"/>
    <w:p w14:paraId="1779B739" w14:textId="77777777" w:rsidR="00772944" w:rsidRDefault="00772944" w:rsidP="00772944">
      <w:pPr>
        <w:pStyle w:val="Questionstyle"/>
        <w:numPr>
          <w:ilvl w:val="0"/>
          <w:numId w:val="14"/>
        </w:numPr>
        <w:tabs>
          <w:tab w:val="clear" w:pos="567"/>
        </w:tabs>
        <w:spacing w:before="120" w:after="120"/>
        <w:ind w:left="851" w:hanging="709"/>
      </w:pPr>
      <w:r>
        <w:t>To what extent is it operationally feasible to obtain, provide and report initial margin information for the purposes of Article 7d reporting? ESMA would particularly welcome views from reporting entities, clearing members and other stakeholders involved in the reporting chain on the level of aggregation at which such information is available, the effort required to extract such information, and any associated implementation costs or operational burden.</w:t>
      </w:r>
    </w:p>
    <w:p w14:paraId="3376B7D6" w14:textId="77777777" w:rsidR="00772944" w:rsidRDefault="00772944" w:rsidP="00772944">
      <w:r>
        <w:t>&lt;ESMA_QUESTION_TCCR_8&gt;</w:t>
      </w:r>
    </w:p>
    <w:p w14:paraId="2C3CE1EE" w14:textId="77777777" w:rsidR="006C47D6" w:rsidRPr="00B661FA" w:rsidRDefault="006C47D6" w:rsidP="006C47D6">
      <w:pPr>
        <w:pStyle w:val="NormalWeb"/>
        <w:spacing w:before="240" w:beforeAutospacing="0" w:after="240" w:afterAutospacing="0" w:line="276" w:lineRule="auto"/>
        <w:jc w:val="both"/>
        <w:rPr>
          <w:rFonts w:ascii="Arial" w:hAnsi="Arial"/>
        </w:rPr>
      </w:pPr>
      <w:permStart w:id="546269201" w:edGrp="everyone"/>
      <w:r w:rsidRPr="00B661FA">
        <w:rPr>
          <w:rFonts w:ascii="Arial" w:hAnsi="Arial"/>
        </w:rPr>
        <w:lastRenderedPageBreak/>
        <w:t xml:space="preserve">EFAMA has concerns regarding the operational feasibility of the proposed initial-margin reporting requirement for clients clearing through a non-EU clearing member that is not part of a group subject to consolidated supervision in the Union. Under the draft RTS, for example, an EU firm clearing through a non-EU clearing member could be required to obtain the relevant initial margin information from that clearing member and report it under Article 7d. This could create a significant operational burden where the client does not already hold the information at the level required by the reporting template. </w:t>
      </w:r>
    </w:p>
    <w:p w14:paraId="36B425A7" w14:textId="77777777" w:rsidR="006C47D6" w:rsidRPr="00B661FA" w:rsidRDefault="006C47D6" w:rsidP="006C47D6">
      <w:pPr>
        <w:pStyle w:val="NormalWeb"/>
        <w:spacing w:before="240" w:beforeAutospacing="0" w:after="240" w:afterAutospacing="0" w:line="276" w:lineRule="auto"/>
        <w:jc w:val="both"/>
        <w:rPr>
          <w:rFonts w:ascii="Arial" w:hAnsi="Arial"/>
        </w:rPr>
      </w:pPr>
      <w:r w:rsidRPr="00B661FA">
        <w:rPr>
          <w:rFonts w:ascii="Arial" w:hAnsi="Arial"/>
        </w:rPr>
        <w:t xml:space="preserve">This is particularly relevant from a buy-side perspective, as the clearing member is more likely to hold detailed margin information. ESMA itself recognises that margin information may need to be obtained from clearing members. That margin data does not lend itself to the same degree of disaggregation as transaction-based information. </w:t>
      </w:r>
    </w:p>
    <w:p w14:paraId="3815485E" w14:textId="77777777" w:rsidR="006C47D6" w:rsidRPr="00B661FA" w:rsidRDefault="006C47D6" w:rsidP="006C47D6">
      <w:pPr>
        <w:pStyle w:val="NormalWeb"/>
        <w:spacing w:before="240" w:beforeAutospacing="0" w:after="240" w:afterAutospacing="0" w:line="276" w:lineRule="auto"/>
        <w:jc w:val="both"/>
        <w:rPr>
          <w:rFonts w:ascii="Arial" w:hAnsi="Arial"/>
        </w:rPr>
      </w:pPr>
      <w:r w:rsidRPr="00B661FA">
        <w:rPr>
          <w:rFonts w:ascii="Arial" w:hAnsi="Arial"/>
        </w:rPr>
        <w:t xml:space="preserve">The availability of this information also depends on the legal and operational arrangements governing collateral. Under title-transfer arrangements, clients would ordinarily hold records of collateral transferred to the clearing member, but these may not identify the value recognised for margining purposes after applicable haircuts. Under security-interest or pledge arrangements, information may be held across separate or segregated collateral accounts, making extraction and aggregation more complex. ESMA should therefore clarify how clients should determine the reportable initial-margin amount under different collateral and account structures, including the valuation information to be obtained from clearing members or </w:t>
      </w:r>
      <w:proofErr w:type="spellStart"/>
      <w:r w:rsidRPr="00B661FA">
        <w:rPr>
          <w:rFonts w:ascii="Arial" w:hAnsi="Arial"/>
        </w:rPr>
        <w:t>CCPs</w:t>
      </w:r>
      <w:proofErr w:type="spellEnd"/>
      <w:r w:rsidRPr="00B661FA">
        <w:rPr>
          <w:rFonts w:ascii="Arial" w:hAnsi="Arial"/>
        </w:rPr>
        <w:t>.</w:t>
      </w:r>
    </w:p>
    <w:p w14:paraId="238609AE" w14:textId="77777777" w:rsidR="006C47D6" w:rsidRPr="00B661FA" w:rsidRDefault="006C47D6" w:rsidP="006C47D6">
      <w:pPr>
        <w:pStyle w:val="NormalWeb"/>
        <w:spacing w:before="240" w:beforeAutospacing="0" w:after="240" w:afterAutospacing="0" w:line="276" w:lineRule="auto"/>
        <w:jc w:val="both"/>
        <w:rPr>
          <w:rFonts w:ascii="Arial" w:hAnsi="Arial"/>
        </w:rPr>
      </w:pPr>
      <w:r w:rsidRPr="00B661FA">
        <w:rPr>
          <w:rFonts w:ascii="Arial" w:hAnsi="Arial"/>
        </w:rPr>
        <w:t>The issue may be further complicated for asset managers managing segregated mandates. A single client may appoint several asset managers, meaning that no individual asset manager necessarily has a complete view of the client’s overall clearing activity or margin position. While the legal reporting obligation would remain with the relevant client under the current framework, asset managers often help clients meet their regulatory obligations, which could add operational complexity.</w:t>
      </w:r>
    </w:p>
    <w:p w14:paraId="682E0F48" w14:textId="77777777" w:rsidR="006C47D6" w:rsidRPr="00B661FA" w:rsidRDefault="006C47D6" w:rsidP="006C47D6">
      <w:pPr>
        <w:pStyle w:val="NormalWeb"/>
        <w:spacing w:before="240" w:beforeAutospacing="0" w:after="240" w:afterAutospacing="0" w:line="276" w:lineRule="auto"/>
        <w:jc w:val="both"/>
        <w:rPr>
          <w:rFonts w:ascii="Arial" w:hAnsi="Arial"/>
        </w:rPr>
      </w:pPr>
      <w:r w:rsidRPr="00B661FA">
        <w:rPr>
          <w:rFonts w:ascii="Arial" w:hAnsi="Arial"/>
        </w:rPr>
        <w:t xml:space="preserve">These considerations reinforce </w:t>
      </w:r>
      <w:proofErr w:type="spellStart"/>
      <w:r w:rsidRPr="00B661FA">
        <w:rPr>
          <w:rFonts w:ascii="Arial" w:hAnsi="Arial"/>
        </w:rPr>
        <w:t>EFAMA’s</w:t>
      </w:r>
      <w:proofErr w:type="spellEnd"/>
      <w:r w:rsidRPr="00B661FA">
        <w:rPr>
          <w:rFonts w:ascii="Arial" w:hAnsi="Arial"/>
        </w:rPr>
        <w:t xml:space="preserve"> broader point on delegation (</w:t>
      </w:r>
      <w:r w:rsidRPr="00B661FA">
        <w:rPr>
          <w:rFonts w:ascii="Arial" w:hAnsi="Arial"/>
          <w:i/>
          <w:iCs/>
        </w:rPr>
        <w:t xml:space="preserve">see </w:t>
      </w:r>
      <w:proofErr w:type="spellStart"/>
      <w:r w:rsidRPr="00B661FA">
        <w:rPr>
          <w:rFonts w:ascii="Arial" w:hAnsi="Arial"/>
          <w:i/>
          <w:iCs/>
        </w:rPr>
        <w:t>EFAMA’s</w:t>
      </w:r>
      <w:proofErr w:type="spellEnd"/>
      <w:r w:rsidRPr="00B661FA">
        <w:rPr>
          <w:rFonts w:ascii="Arial" w:hAnsi="Arial"/>
          <w:i/>
          <w:iCs/>
        </w:rPr>
        <w:t xml:space="preserve"> response to Question 1</w:t>
      </w:r>
      <w:r w:rsidRPr="00B661FA">
        <w:rPr>
          <w:rFonts w:ascii="Arial" w:hAnsi="Arial"/>
        </w:rPr>
        <w:t>). Where the relevant information is already held by the clearing member or service provider, allowing that entity to report on the client's behalf would help avoid unnecessary data transfers, reconciliation, and duplication of processes.</w:t>
      </w:r>
    </w:p>
    <w:permEnd w:id="546269201"/>
    <w:p w14:paraId="38E133BF" w14:textId="77777777" w:rsidR="00772944" w:rsidRDefault="00772944" w:rsidP="00772944">
      <w:r>
        <w:t>&lt;ESMA_QUESTION_TCCR_8&gt;</w:t>
      </w:r>
    </w:p>
    <w:p w14:paraId="328AEDF2" w14:textId="77777777" w:rsidR="00772944" w:rsidRDefault="00772944" w:rsidP="00772944"/>
    <w:p w14:paraId="16D7224D"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adopt Option B (distinguishing between EU and non</w:t>
      </w:r>
      <w:r>
        <w:rPr>
          <w:rFonts w:ascii="Cambria Math" w:hAnsi="Cambria Math" w:cs="Cambria Math"/>
        </w:rPr>
        <w:noBreakHyphen/>
      </w:r>
      <w:r>
        <w:t>EU entities within a group) as the baseline level of granularity for consolidated reporting under Article 7d(1)(b)? If not, which of the alternative options (Option A — fully consolidated reporting, or Option C — full entity</w:t>
      </w:r>
      <w:r>
        <w:rPr>
          <w:rFonts w:ascii="Cambria Math" w:hAnsi="Cambria Math" w:cs="Cambria Math"/>
        </w:rPr>
        <w:noBreakHyphen/>
      </w:r>
      <w:r>
        <w:t>level breakdown) would stakeholders prefer, and for what reasons?</w:t>
      </w:r>
    </w:p>
    <w:p w14:paraId="564B9F17" w14:textId="77777777" w:rsidR="00772944" w:rsidRDefault="00772944" w:rsidP="00772944">
      <w:r>
        <w:t>&lt;ESMA_QUESTION_TCCR_9&gt;</w:t>
      </w:r>
    </w:p>
    <w:p w14:paraId="463D7608" w14:textId="77777777" w:rsidR="00267930" w:rsidRPr="00B661FA" w:rsidRDefault="00267930" w:rsidP="00267930">
      <w:pPr>
        <w:pStyle w:val="NormalWeb"/>
        <w:spacing w:before="240" w:beforeAutospacing="0" w:after="240" w:afterAutospacing="0" w:line="276" w:lineRule="auto"/>
        <w:jc w:val="both"/>
        <w:rPr>
          <w:rFonts w:ascii="Arial" w:hAnsi="Arial"/>
          <w:lang w:val="en-US"/>
        </w:rPr>
      </w:pPr>
      <w:permStart w:id="1896043658" w:edGrp="everyone"/>
      <w:r w:rsidRPr="00B661FA">
        <w:rPr>
          <w:rFonts w:ascii="Arial" w:hAnsi="Arial"/>
          <w:lang w:val="en-US"/>
        </w:rPr>
        <w:lastRenderedPageBreak/>
        <w:t>EFAMA considers that the consolidated reporting obligation under Article 7d should cover only the clearing activity of entities falling within the territorial scope of EMIR, and should not extend to clearing activity undertaken by non-EU entities of an EU consolidated group.</w:t>
      </w:r>
    </w:p>
    <w:p w14:paraId="3EE5DBE9" w14:textId="77777777" w:rsidR="00267930" w:rsidRPr="00B661FA" w:rsidRDefault="00267930" w:rsidP="00267930">
      <w:pPr>
        <w:pStyle w:val="NormalWeb"/>
        <w:spacing w:before="240" w:beforeAutospacing="0" w:after="240" w:afterAutospacing="0" w:line="276" w:lineRule="auto"/>
        <w:jc w:val="both"/>
        <w:rPr>
          <w:rFonts w:ascii="Arial" w:hAnsi="Arial"/>
          <w:lang w:val="en-US"/>
        </w:rPr>
      </w:pPr>
      <w:r w:rsidRPr="00B661FA">
        <w:rPr>
          <w:rFonts w:ascii="Arial" w:hAnsi="Arial"/>
          <w:lang w:val="en-US"/>
        </w:rPr>
        <w:t>Article 7d(1) establishes reporting obligations for clearing members and clients established in the Union and, where such entities form part of a group subject to consolidated supervision in the Union, requires the Union parent undertaking to report the relevant clearing activity on a consolidated basis. However, the Level 1 provision does not expressly include clearing activity undertaken by entities established outside the Union.</w:t>
      </w:r>
    </w:p>
    <w:p w14:paraId="13324CAB" w14:textId="77777777" w:rsidR="00267930" w:rsidRPr="00B661FA" w:rsidRDefault="00267930" w:rsidP="00267930">
      <w:pPr>
        <w:pStyle w:val="NormalWeb"/>
        <w:spacing w:before="240" w:beforeAutospacing="0" w:after="240" w:afterAutospacing="0" w:line="276" w:lineRule="auto"/>
        <w:jc w:val="both"/>
        <w:rPr>
          <w:rFonts w:ascii="Arial" w:hAnsi="Arial"/>
          <w:lang w:val="en-US"/>
        </w:rPr>
      </w:pPr>
      <w:r w:rsidRPr="00B661FA">
        <w:rPr>
          <w:rFonts w:ascii="Arial" w:hAnsi="Arial"/>
          <w:lang w:val="en-US"/>
        </w:rPr>
        <w:t>From a supervisory perspective, EFAMA questions the added value of extending the reporting perimeter to the activity of non-EU group entities that are not themselves subject to EMIR. Such an approach would seek to capture a broad population of entities whose activities are currently outside the Regulation's territorial scope, while creating significant practical challenges in ensuring the resulting information is collected and reported consistently and comparably across groups. This risks materially reducing the quality and supervisory usefulness of the data collected.</w:t>
      </w:r>
    </w:p>
    <w:p w14:paraId="0BB3F97E" w14:textId="77777777" w:rsidR="00267930" w:rsidRPr="00B661FA" w:rsidRDefault="00267930" w:rsidP="00267930">
      <w:pPr>
        <w:pStyle w:val="NormalWeb"/>
        <w:spacing w:before="240" w:beforeAutospacing="0" w:after="240" w:afterAutospacing="0" w:line="276" w:lineRule="auto"/>
        <w:jc w:val="both"/>
        <w:rPr>
          <w:rFonts w:ascii="Arial" w:hAnsi="Arial"/>
          <w:lang w:val="en-US"/>
        </w:rPr>
      </w:pPr>
      <w:r w:rsidRPr="00B661FA">
        <w:rPr>
          <w:rFonts w:ascii="Arial" w:hAnsi="Arial"/>
          <w:lang w:val="en-US"/>
        </w:rPr>
        <w:t>The different approaches ESMA has considered for capturing group-level information on an aggregated basis also illustrate the inherent difficulty of defining a consistent and meaningful reporting methodology for non-EU entities. In EFAMA's view, this reinforces the case for maintaining a clear EMIR nexus in determining the reporting perimeter, rather than seeking to capture third-country activity for which the supervisory relevance and comparability of the resulting data are less clear.</w:t>
      </w:r>
    </w:p>
    <w:p w14:paraId="12770130" w14:textId="77777777" w:rsidR="00267930" w:rsidRPr="00B661FA" w:rsidRDefault="00267930" w:rsidP="00267930">
      <w:pPr>
        <w:pStyle w:val="NormalWeb"/>
        <w:spacing w:before="240" w:beforeAutospacing="0" w:after="240" w:afterAutospacing="0" w:line="276" w:lineRule="auto"/>
        <w:jc w:val="both"/>
        <w:rPr>
          <w:rFonts w:ascii="Arial" w:hAnsi="Arial"/>
          <w:lang w:val="en-US"/>
        </w:rPr>
      </w:pPr>
      <w:r w:rsidRPr="00B661FA">
        <w:rPr>
          <w:rFonts w:ascii="Arial" w:hAnsi="Arial"/>
          <w:lang w:val="en-US"/>
        </w:rPr>
        <w:t>Extending the reporting perimeter to non-EU entities would also give Article 7d significant extraterritorial effects by requiring reporting in respect of an entire population of entities that are not currently within the scope of EMIR. This would sit uneasily with the territorial approach underlying the Regulation and would arguably go beyond what is necessary to achieve Article 7d's supervisory objectives.</w:t>
      </w:r>
    </w:p>
    <w:p w14:paraId="7A753A91" w14:textId="77777777" w:rsidR="00267930" w:rsidRPr="00B661FA" w:rsidRDefault="00267930" w:rsidP="00267930">
      <w:pPr>
        <w:pStyle w:val="NormalWeb"/>
        <w:spacing w:before="240" w:beforeAutospacing="0" w:after="240" w:afterAutospacing="0" w:line="276" w:lineRule="auto"/>
        <w:jc w:val="both"/>
        <w:rPr>
          <w:rFonts w:ascii="Arial" w:hAnsi="Arial"/>
          <w:lang w:val="en-US"/>
        </w:rPr>
      </w:pPr>
      <w:r w:rsidRPr="00B661FA">
        <w:rPr>
          <w:rFonts w:ascii="Arial" w:hAnsi="Arial"/>
          <w:lang w:val="en-US"/>
        </w:rPr>
        <w:t>In addition, requiring EU parent undertakings to report information relating to non-EU entities could create significant operational and compliance burdens, including the collection, validation and aggregation of information from entities subject primarily to third-country regulatory and reporting frameworks. Differences in local systems, data definitions and reporting requirements would further increase the risk of inconsistent or incomplete reporting at group level. Such information may also already be available to the relevant third-country authorities.</w:t>
      </w:r>
    </w:p>
    <w:p w14:paraId="7E54CC5A" w14:textId="77777777" w:rsidR="00267930" w:rsidRPr="00B661FA" w:rsidRDefault="00267930" w:rsidP="00267930">
      <w:pPr>
        <w:pStyle w:val="NormalWeb"/>
        <w:spacing w:before="240" w:beforeAutospacing="0" w:after="240" w:afterAutospacing="0" w:line="276" w:lineRule="auto"/>
        <w:jc w:val="both"/>
        <w:rPr>
          <w:rFonts w:ascii="Arial" w:hAnsi="Arial"/>
        </w:rPr>
      </w:pPr>
      <w:r w:rsidRPr="00B661FA">
        <w:rPr>
          <w:rFonts w:ascii="Arial" w:hAnsi="Arial"/>
        </w:rPr>
        <w:t>EFAMA therefore considers that the most important improvement to the proposed framework would be to restrict consolidated reporting to the clearing activity of entities falling within the territorial scope of Article 7d(1). This would ensure the reporting framework remains proportionate, operationally workable, and focused on information with clear supervisory value under EMIR.</w:t>
      </w:r>
    </w:p>
    <w:p w14:paraId="16308651" w14:textId="77777777" w:rsidR="00267930" w:rsidRPr="00B661FA" w:rsidRDefault="00267930" w:rsidP="00267930">
      <w:pPr>
        <w:pStyle w:val="NormalWeb"/>
        <w:spacing w:before="240" w:beforeAutospacing="0" w:after="240" w:afterAutospacing="0" w:line="276" w:lineRule="auto"/>
        <w:jc w:val="both"/>
        <w:rPr>
          <w:rFonts w:ascii="Arial" w:hAnsi="Arial"/>
        </w:rPr>
      </w:pPr>
      <w:r w:rsidRPr="00B661FA">
        <w:rPr>
          <w:rFonts w:ascii="Arial" w:hAnsi="Arial"/>
        </w:rPr>
        <w:t>EFAMA does not take a position between the alternative methodologies proposed by ESMA for consolidated reporting</w:t>
      </w:r>
      <w:r w:rsidRPr="00B661FA">
        <w:rPr>
          <w:rFonts w:ascii="Arial" w:hAnsi="Arial"/>
          <w:lang w:val="en-GB"/>
        </w:rPr>
        <w:t>, beyond recommending that the most streamlined and operationally workable approach is ultimately reflected in the final RTS and ITS</w:t>
      </w:r>
      <w:r w:rsidRPr="00B661FA">
        <w:rPr>
          <w:rFonts w:ascii="Arial" w:hAnsi="Arial"/>
        </w:rPr>
        <w:t>. Whichever approach is ultimately retained, it should apply only to EU entities within the scope of Article 7d. It should not require the inclusion of clearing activity undertaken by non-EU group entities. If achieving this outcome requires a Level 1 amendment, ESMA should identify and recommend the necessary change.</w:t>
      </w:r>
    </w:p>
    <w:permEnd w:id="1896043658"/>
    <w:p w14:paraId="13D98E04" w14:textId="77777777" w:rsidR="00772944" w:rsidRDefault="00772944" w:rsidP="00772944">
      <w:r>
        <w:lastRenderedPageBreak/>
        <w:t>&lt;ESMA_QUESTION_TCCR_9&gt;</w:t>
      </w:r>
    </w:p>
    <w:p w14:paraId="1C29FD88" w14:textId="77777777" w:rsidR="00772944" w:rsidRDefault="00772944" w:rsidP="00772944"/>
    <w:p w14:paraId="11F0083A" w14:textId="77777777" w:rsidR="00772944" w:rsidRDefault="00772944" w:rsidP="00772944">
      <w:pPr>
        <w:pStyle w:val="Questionstyle"/>
        <w:numPr>
          <w:ilvl w:val="0"/>
          <w:numId w:val="14"/>
        </w:numPr>
        <w:tabs>
          <w:tab w:val="clear" w:pos="567"/>
        </w:tabs>
        <w:spacing w:before="120" w:after="120"/>
        <w:ind w:left="851" w:hanging="709"/>
      </w:pPr>
      <w:r>
        <w:t>What are the operational implications and implementation costs of Options A, B and C, including data availability and any additional allocation or aggregation logic required?</w:t>
      </w:r>
    </w:p>
    <w:p w14:paraId="407846ED" w14:textId="77777777" w:rsidR="00772944" w:rsidRDefault="00772944" w:rsidP="00772944">
      <w:r>
        <w:t>&lt;ESMA_QUESTION_TCCR_10&gt;</w:t>
      </w:r>
    </w:p>
    <w:p w14:paraId="3E7EA4D7" w14:textId="77777777" w:rsidR="004F7224" w:rsidRPr="00B661FA" w:rsidRDefault="004F7224" w:rsidP="004F7224">
      <w:pPr>
        <w:pStyle w:val="NormalWeb"/>
        <w:spacing w:before="240" w:beforeAutospacing="0" w:after="240" w:afterAutospacing="0" w:line="276" w:lineRule="auto"/>
        <w:jc w:val="both"/>
        <w:rPr>
          <w:rFonts w:ascii="Arial" w:hAnsi="Arial"/>
        </w:rPr>
      </w:pPr>
      <w:permStart w:id="1751663536" w:edGrp="everyone"/>
      <w:r w:rsidRPr="00B661FA">
        <w:rPr>
          <w:rFonts w:ascii="Arial" w:hAnsi="Arial"/>
        </w:rPr>
        <w:t xml:space="preserve">It is difficult to meaningfully assess data requirements, aggregation logic and implementation costs under Options A, B and C without first confirming how Article 7d(1)(b) applies to asset-management structures. EFAMA expects that investment funds and segregated mandates </w:t>
      </w:r>
      <w:r w:rsidRPr="00B661FA">
        <w:rPr>
          <w:rFonts w:ascii="Arial" w:hAnsi="Arial"/>
          <w:b/>
          <w:bCs/>
        </w:rPr>
        <w:t>will not be</w:t>
      </w:r>
      <w:r w:rsidRPr="00B661FA">
        <w:rPr>
          <w:rFonts w:ascii="Arial" w:hAnsi="Arial"/>
        </w:rPr>
        <w:t xml:space="preserve"> brought within the reporting perimeter solely by virtue of a management relationship with an asset manager or management company. </w:t>
      </w:r>
    </w:p>
    <w:p w14:paraId="1B86AE57" w14:textId="77777777" w:rsidR="004F7224" w:rsidRPr="00B661FA" w:rsidRDefault="004F7224" w:rsidP="004F7224">
      <w:pPr>
        <w:pStyle w:val="NormalWeb"/>
        <w:spacing w:before="240" w:beforeAutospacing="0" w:after="240" w:afterAutospacing="0" w:line="276" w:lineRule="auto"/>
        <w:jc w:val="both"/>
        <w:rPr>
          <w:rFonts w:ascii="Arial" w:hAnsi="Arial"/>
        </w:rPr>
      </w:pPr>
      <w:r w:rsidRPr="00B661FA">
        <w:rPr>
          <w:rFonts w:ascii="Arial" w:hAnsi="Arial"/>
        </w:rPr>
        <w:t xml:space="preserve">The assets and positions of funds and segregated mandates are legally and operationally distinct from those of the </w:t>
      </w:r>
      <w:r w:rsidRPr="00B661FA">
        <w:rPr>
          <w:rFonts w:ascii="Arial" w:hAnsi="Arial"/>
          <w:lang w:val="en-GB"/>
        </w:rPr>
        <w:t xml:space="preserve">asset manager or </w:t>
      </w:r>
      <w:r w:rsidRPr="00B661FA">
        <w:rPr>
          <w:rFonts w:ascii="Arial" w:hAnsi="Arial"/>
        </w:rPr>
        <w:t>management company. This is consistent with the treatment of funds elsewhere in EMIR, including Article 4a(3), which applies fund-level calculation, and Articles 9(1b) and 9(1c), which distinguish the fund as counterparty from the management company or AIFM responsible for reporting on its behalf.</w:t>
      </w:r>
    </w:p>
    <w:p w14:paraId="18DAF81B" w14:textId="77777777" w:rsidR="004F7224" w:rsidRPr="00B661FA" w:rsidRDefault="004F7224" w:rsidP="004F7224">
      <w:pPr>
        <w:pStyle w:val="NormalWeb"/>
        <w:spacing w:before="240" w:beforeAutospacing="0" w:after="240" w:afterAutospacing="0" w:line="276" w:lineRule="auto"/>
        <w:jc w:val="both"/>
        <w:rPr>
          <w:rFonts w:ascii="Arial" w:hAnsi="Arial"/>
        </w:rPr>
      </w:pPr>
      <w:r w:rsidRPr="00B661FA">
        <w:rPr>
          <w:rFonts w:ascii="Arial" w:hAnsi="Arial"/>
        </w:rPr>
        <w:t xml:space="preserve">EFAMA therefore considers that such positions should not be consolidated with the </w:t>
      </w:r>
      <w:r w:rsidRPr="00B661FA">
        <w:rPr>
          <w:rFonts w:ascii="Arial" w:hAnsi="Arial"/>
          <w:lang w:val="en-GB"/>
        </w:rPr>
        <w:t xml:space="preserve">investment manager or management company’s </w:t>
      </w:r>
      <w:r w:rsidRPr="00B661FA">
        <w:rPr>
          <w:rFonts w:ascii="Arial" w:hAnsi="Arial"/>
        </w:rPr>
        <w:t>own activity or that of its wider group. As a separate but complementary point, EFAMA also refers to its response to Question 9, where we explain why consolidated reporting should be limited to EU entities falling within the territorial scope of Article 7d and should not extend to the activity of non-EU group entities. This perimeter question is likewise material to any meaningful assessment of operational impact and implementation costs.</w:t>
      </w:r>
    </w:p>
    <w:permEnd w:id="1751663536"/>
    <w:p w14:paraId="4E9EFCFF" w14:textId="77777777" w:rsidR="00772944" w:rsidRDefault="00772944" w:rsidP="00772944">
      <w:r>
        <w:t>&lt;ESMA_QUESTION_TCCR_10&gt;</w:t>
      </w:r>
    </w:p>
    <w:p w14:paraId="445C9B21" w14:textId="77777777" w:rsidR="00772944" w:rsidRDefault="00772944" w:rsidP="00772944"/>
    <w:p w14:paraId="2FB80852"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reporting under Article 7d in CSV format? If not, do stakeholders consider that another format would be more appropriate? Please explain your reasoning, including any implications in terms of operational feasibility, implementation costs or data processing. In addition, ESMA would welcome evidence on whether the proposed CSV format would materially reduce implementation complexity relative to alternative formats, including from the perspective of smaller reporting entities.</w:t>
      </w:r>
    </w:p>
    <w:p w14:paraId="422408A2" w14:textId="77777777" w:rsidR="00772944" w:rsidRDefault="00772944" w:rsidP="00772944">
      <w:r>
        <w:t>&lt;ESMA_QUESTION_TCCR_11&gt;</w:t>
      </w:r>
    </w:p>
    <w:p w14:paraId="7B6BF654" w14:textId="77777777" w:rsidR="00772944" w:rsidRDefault="00772944" w:rsidP="00772944">
      <w:permStart w:id="2085827393" w:edGrp="everyone"/>
      <w:r>
        <w:t>TYPE YOUR TEXT HERE</w:t>
      </w:r>
    </w:p>
    <w:permEnd w:id="2085827393"/>
    <w:p w14:paraId="77D5FFA8" w14:textId="77777777" w:rsidR="00772944" w:rsidRDefault="00772944" w:rsidP="00772944">
      <w:r>
        <w:lastRenderedPageBreak/>
        <w:t>&lt;ESMA_QUESTION_TCCR_11&gt;</w:t>
      </w:r>
    </w:p>
    <w:p w14:paraId="67BDB5B5" w14:textId="77777777" w:rsidR="00772944" w:rsidRDefault="00772944" w:rsidP="00772944"/>
    <w:p w14:paraId="73F0CD52" w14:textId="77777777" w:rsidR="00772944" w:rsidRDefault="00772944" w:rsidP="00772944"/>
    <w:p w14:paraId="77092DBB" w14:textId="77777777" w:rsidR="00772944" w:rsidRPr="00772944" w:rsidRDefault="00772944" w:rsidP="00772944">
      <w:pPr>
        <w:rPr>
          <w:lang w:val="fr-BE"/>
        </w:rPr>
      </w:pPr>
    </w:p>
    <w:sectPr w:rsidR="00772944" w:rsidRPr="00772944"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0C1E7" w14:textId="77777777" w:rsidR="00CB45F3" w:rsidRDefault="00CB45F3" w:rsidP="007E7997">
      <w:pPr>
        <w:spacing w:line="240" w:lineRule="auto"/>
      </w:pPr>
      <w:r>
        <w:separator/>
      </w:r>
    </w:p>
  </w:endnote>
  <w:endnote w:type="continuationSeparator" w:id="0">
    <w:p w14:paraId="5C73A912" w14:textId="77777777" w:rsidR="00CB45F3" w:rsidRDefault="00CB45F3" w:rsidP="007E7997">
      <w:pPr>
        <w:spacing w:line="240" w:lineRule="auto"/>
      </w:pPr>
      <w:r>
        <w:continuationSeparator/>
      </w:r>
    </w:p>
  </w:endnote>
  <w:endnote w:type="continuationNotice" w:id="1">
    <w:p w14:paraId="4F9F6D9A" w14:textId="77777777" w:rsidR="00CB45F3" w:rsidRDefault="00CB45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CF643" w14:textId="77777777" w:rsidR="00CB45F3" w:rsidRDefault="00CB45F3" w:rsidP="007E7997">
      <w:pPr>
        <w:spacing w:line="240" w:lineRule="auto"/>
      </w:pPr>
      <w:r>
        <w:separator/>
      </w:r>
    </w:p>
  </w:footnote>
  <w:footnote w:type="continuationSeparator" w:id="0">
    <w:p w14:paraId="0CFD65BA" w14:textId="77777777" w:rsidR="00CB45F3" w:rsidRDefault="00CB45F3" w:rsidP="007E7997">
      <w:pPr>
        <w:spacing w:line="240" w:lineRule="auto"/>
      </w:pPr>
      <w:r>
        <w:continuationSeparator/>
      </w:r>
    </w:p>
  </w:footnote>
  <w:footnote w:type="continuationNotice" w:id="1">
    <w:p w14:paraId="1E7CC50B" w14:textId="77777777" w:rsidR="00CB45F3" w:rsidRDefault="00CB45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5E4D532D" w:rsidR="00D77369" w:rsidRPr="00A51B24" w:rsidRDefault="00D77369" w:rsidP="008858FE">
    <w:pPr>
      <w:pStyle w:val="Header"/>
      <w:rPr>
        <w:bCs/>
        <w:caps/>
        <w:color w:val="FF0000" w:themeColor="accent6"/>
        <w:sz w:val="22"/>
      </w:rPr>
    </w:pPr>
    <w:r w:rsidRPr="00EE24AE">
      <w:rPr>
        <w:rStyle w:val="ESMAConfidentialRestricted"/>
        <w:noProof/>
      </w:rPr>
      <w:drawing>
        <wp:anchor distT="0" distB="0" distL="114300" distR="114300" simplePos="0" relativeHeight="25166131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5A4BBA">
      <w:t>18</w:t>
    </w:r>
    <w:r w:rsidR="00306F0E" w:rsidRPr="00EE24AE">
      <w:t xml:space="preserve"> </w:t>
    </w:r>
    <w:r w:rsidR="005A4BBA">
      <w:t>August</w:t>
    </w:r>
    <w:r w:rsidR="00EB238F" w:rsidRPr="00EE24AE">
      <w:t xml:space="preserve"> </w:t>
    </w:r>
    <w:r w:rsidR="00A51B24" w:rsidRPr="00EE24AE">
      <w:t>202</w:t>
    </w:r>
    <w:r w:rsidR="00FF6828">
      <w:t>6</w:t>
    </w:r>
  </w:p>
  <w:p w14:paraId="10BD5565" w14:textId="1C9D8EA9" w:rsidR="008C61D9" w:rsidRDefault="00A866AB" w:rsidP="00C57EE7">
    <w:pPr>
      <w:jc w:val="right"/>
    </w:pPr>
    <w:r w:rsidRPr="00A866AB">
      <w:rPr>
        <w:color w:val="001B4F" w:themeColor="text1" w:themeShade="80"/>
        <w:sz w:val="16"/>
      </w:rPr>
      <w:t>ESMA12-2121844265-6120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142635B"/>
    <w:multiLevelType w:val="hybridMultilevel"/>
    <w:tmpl w:val="C4D0D3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9"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2"/>
  </w:num>
  <w:num w:numId="2" w16cid:durableId="270287514">
    <w:abstractNumId w:val="4"/>
  </w:num>
  <w:num w:numId="3" w16cid:durableId="1675497260">
    <w:abstractNumId w:val="10"/>
  </w:num>
  <w:num w:numId="4" w16cid:durableId="1146706333">
    <w:abstractNumId w:val="3"/>
  </w:num>
  <w:num w:numId="5" w16cid:durableId="1502348752">
    <w:abstractNumId w:val="0"/>
  </w:num>
  <w:num w:numId="6" w16cid:durableId="1544101585">
    <w:abstractNumId w:val="6"/>
  </w:num>
  <w:num w:numId="7" w16cid:durableId="896626050">
    <w:abstractNumId w:val="13"/>
  </w:num>
  <w:num w:numId="8" w16cid:durableId="806780153">
    <w:abstractNumId w:val="2"/>
  </w:num>
  <w:num w:numId="9" w16cid:durableId="1677002603">
    <w:abstractNumId w:val="11"/>
  </w:num>
  <w:num w:numId="10" w16cid:durableId="22487393">
    <w:abstractNumId w:val="9"/>
  </w:num>
  <w:num w:numId="11" w16cid:durableId="270942799">
    <w:abstractNumId w:val="8"/>
  </w:num>
  <w:num w:numId="12" w16cid:durableId="10230698">
    <w:abstractNumId w:val="8"/>
    <w:lvlOverride w:ilvl="0">
      <w:startOverride w:val="1"/>
    </w:lvlOverride>
  </w:num>
  <w:num w:numId="13" w16cid:durableId="1914856611">
    <w:abstractNumId w:val="1"/>
  </w:num>
  <w:num w:numId="14" w16cid:durableId="297614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7"/>
  </w:num>
  <w:num w:numId="17" w16cid:durableId="354044486">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KJPSVJiin/8gR/qfNgoDiRTH+EC67sMXNuBjddLcjdNc5MHfRj8sltTfhaQT/Koq46oiAQ/z8mPfyhRJ1xqJA==" w:salt="E15doo68Dej3AWX6B0fDV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17B15"/>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05C"/>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3BA"/>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2DC8"/>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56"/>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3CD3"/>
    <w:rsid w:val="0016408C"/>
    <w:rsid w:val="00164153"/>
    <w:rsid w:val="00164468"/>
    <w:rsid w:val="001646B2"/>
    <w:rsid w:val="00165987"/>
    <w:rsid w:val="00165B05"/>
    <w:rsid w:val="00165F27"/>
    <w:rsid w:val="00166381"/>
    <w:rsid w:val="00166568"/>
    <w:rsid w:val="00166ED0"/>
    <w:rsid w:val="001675D5"/>
    <w:rsid w:val="001678F4"/>
    <w:rsid w:val="00167E6A"/>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C3A"/>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511"/>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A1B"/>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6C2"/>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0FE3"/>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D90"/>
    <w:rsid w:val="00236FCF"/>
    <w:rsid w:val="002372D3"/>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0BE"/>
    <w:rsid w:val="002475F6"/>
    <w:rsid w:val="00247837"/>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799"/>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930"/>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1C0A"/>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0B4D"/>
    <w:rsid w:val="002B159F"/>
    <w:rsid w:val="002B1BEA"/>
    <w:rsid w:val="002B1E5E"/>
    <w:rsid w:val="002B1FBE"/>
    <w:rsid w:val="002B20CA"/>
    <w:rsid w:val="002B2422"/>
    <w:rsid w:val="002B2467"/>
    <w:rsid w:val="002B2D98"/>
    <w:rsid w:val="002B30BB"/>
    <w:rsid w:val="002B342E"/>
    <w:rsid w:val="002B358A"/>
    <w:rsid w:val="002B35CC"/>
    <w:rsid w:val="002B4AD7"/>
    <w:rsid w:val="002B5800"/>
    <w:rsid w:val="002B59F0"/>
    <w:rsid w:val="002B5B01"/>
    <w:rsid w:val="002B6654"/>
    <w:rsid w:val="002B698F"/>
    <w:rsid w:val="002B73FB"/>
    <w:rsid w:val="002B7497"/>
    <w:rsid w:val="002B76FE"/>
    <w:rsid w:val="002B7955"/>
    <w:rsid w:val="002B7F6D"/>
    <w:rsid w:val="002C066F"/>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239"/>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469"/>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A4B"/>
    <w:rsid w:val="00347D6A"/>
    <w:rsid w:val="00350CA1"/>
    <w:rsid w:val="00350D45"/>
    <w:rsid w:val="00350F2B"/>
    <w:rsid w:val="003510C9"/>
    <w:rsid w:val="003514E5"/>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2F5"/>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9A7"/>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3CE"/>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303"/>
    <w:rsid w:val="003C35E6"/>
    <w:rsid w:val="003C365A"/>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4F6"/>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0F2F"/>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3FA5"/>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A50"/>
    <w:rsid w:val="00440D4E"/>
    <w:rsid w:val="004414EF"/>
    <w:rsid w:val="00441977"/>
    <w:rsid w:val="00441B89"/>
    <w:rsid w:val="004424E6"/>
    <w:rsid w:val="00442518"/>
    <w:rsid w:val="0044299D"/>
    <w:rsid w:val="00442A7C"/>
    <w:rsid w:val="00442FCD"/>
    <w:rsid w:val="00444272"/>
    <w:rsid w:val="00444295"/>
    <w:rsid w:val="00444714"/>
    <w:rsid w:val="004448AC"/>
    <w:rsid w:val="00444A3E"/>
    <w:rsid w:val="00444F94"/>
    <w:rsid w:val="00445696"/>
    <w:rsid w:val="00445B7E"/>
    <w:rsid w:val="00445BC4"/>
    <w:rsid w:val="00445E7B"/>
    <w:rsid w:val="004468C4"/>
    <w:rsid w:val="00446B31"/>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16BF"/>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4B6"/>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3AF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875"/>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224"/>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AE1"/>
    <w:rsid w:val="00526E5D"/>
    <w:rsid w:val="00526FDB"/>
    <w:rsid w:val="0052751E"/>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CE"/>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93B"/>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BBA"/>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4BA0"/>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9D4"/>
    <w:rsid w:val="005F2A47"/>
    <w:rsid w:val="005F32BC"/>
    <w:rsid w:val="005F32FB"/>
    <w:rsid w:val="005F37AE"/>
    <w:rsid w:val="005F37FB"/>
    <w:rsid w:val="005F3BBA"/>
    <w:rsid w:val="005F4337"/>
    <w:rsid w:val="005F49ED"/>
    <w:rsid w:val="005F4CCD"/>
    <w:rsid w:val="005F4E6E"/>
    <w:rsid w:val="005F4E92"/>
    <w:rsid w:val="005F50D8"/>
    <w:rsid w:val="005F5534"/>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6AC"/>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087"/>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9D6"/>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7D6"/>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94"/>
    <w:rsid w:val="006E54A6"/>
    <w:rsid w:val="006E55E7"/>
    <w:rsid w:val="006E56E1"/>
    <w:rsid w:val="006E5CFD"/>
    <w:rsid w:val="006E5FD9"/>
    <w:rsid w:val="006E6300"/>
    <w:rsid w:val="006E65C6"/>
    <w:rsid w:val="006E6651"/>
    <w:rsid w:val="006E66F1"/>
    <w:rsid w:val="006E6A98"/>
    <w:rsid w:val="006E6AF5"/>
    <w:rsid w:val="006E6F60"/>
    <w:rsid w:val="006E785C"/>
    <w:rsid w:val="006E791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6AB7"/>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6E8F"/>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363"/>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944"/>
    <w:rsid w:val="00772ACD"/>
    <w:rsid w:val="00772BA7"/>
    <w:rsid w:val="00772EDB"/>
    <w:rsid w:val="00773003"/>
    <w:rsid w:val="00773718"/>
    <w:rsid w:val="007739B5"/>
    <w:rsid w:val="00773B45"/>
    <w:rsid w:val="00773BAA"/>
    <w:rsid w:val="00773D9D"/>
    <w:rsid w:val="0077428B"/>
    <w:rsid w:val="007746D7"/>
    <w:rsid w:val="007749F3"/>
    <w:rsid w:val="0077506E"/>
    <w:rsid w:val="007750F2"/>
    <w:rsid w:val="00775136"/>
    <w:rsid w:val="00775C32"/>
    <w:rsid w:val="0077682F"/>
    <w:rsid w:val="007768B8"/>
    <w:rsid w:val="00776991"/>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E30"/>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C0D"/>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6A14"/>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9D8"/>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3EB7"/>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020"/>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8FE"/>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0FE"/>
    <w:rsid w:val="00865852"/>
    <w:rsid w:val="0086587C"/>
    <w:rsid w:val="00865D34"/>
    <w:rsid w:val="00865DC6"/>
    <w:rsid w:val="008660C4"/>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3D73"/>
    <w:rsid w:val="00894515"/>
    <w:rsid w:val="008949C9"/>
    <w:rsid w:val="00894BC1"/>
    <w:rsid w:val="00895081"/>
    <w:rsid w:val="00895385"/>
    <w:rsid w:val="00895F4A"/>
    <w:rsid w:val="0089621C"/>
    <w:rsid w:val="0089636C"/>
    <w:rsid w:val="008964DA"/>
    <w:rsid w:val="00896B12"/>
    <w:rsid w:val="00897688"/>
    <w:rsid w:val="00897895"/>
    <w:rsid w:val="008979B0"/>
    <w:rsid w:val="00897A9E"/>
    <w:rsid w:val="00897EC7"/>
    <w:rsid w:val="00897F0F"/>
    <w:rsid w:val="008A0247"/>
    <w:rsid w:val="008A026F"/>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1D9"/>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059"/>
    <w:rsid w:val="008D4264"/>
    <w:rsid w:val="008D4358"/>
    <w:rsid w:val="008D4CDF"/>
    <w:rsid w:val="008D5790"/>
    <w:rsid w:val="008D5C28"/>
    <w:rsid w:val="008D60F2"/>
    <w:rsid w:val="008D6386"/>
    <w:rsid w:val="008D6716"/>
    <w:rsid w:val="008D7023"/>
    <w:rsid w:val="008D7161"/>
    <w:rsid w:val="008D71B6"/>
    <w:rsid w:val="008D7909"/>
    <w:rsid w:val="008D795B"/>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1B83"/>
    <w:rsid w:val="008F29DA"/>
    <w:rsid w:val="008F2D5D"/>
    <w:rsid w:val="008F3010"/>
    <w:rsid w:val="008F3070"/>
    <w:rsid w:val="008F35EC"/>
    <w:rsid w:val="008F39FB"/>
    <w:rsid w:val="008F3D0D"/>
    <w:rsid w:val="008F3D56"/>
    <w:rsid w:val="008F4C8C"/>
    <w:rsid w:val="008F54C4"/>
    <w:rsid w:val="008F54CA"/>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3A2"/>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27C"/>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0F"/>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2E3"/>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829"/>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C99"/>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4B2"/>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313"/>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6AB"/>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0E92"/>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B8A"/>
    <w:rsid w:val="00AC4C35"/>
    <w:rsid w:val="00AC50E9"/>
    <w:rsid w:val="00AC50FD"/>
    <w:rsid w:val="00AC5949"/>
    <w:rsid w:val="00AC5AED"/>
    <w:rsid w:val="00AC5CCD"/>
    <w:rsid w:val="00AC5CED"/>
    <w:rsid w:val="00AC631D"/>
    <w:rsid w:val="00AC670D"/>
    <w:rsid w:val="00AC6BA0"/>
    <w:rsid w:val="00AC6BD6"/>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705"/>
    <w:rsid w:val="00AE2CC4"/>
    <w:rsid w:val="00AE2F10"/>
    <w:rsid w:val="00AE33F4"/>
    <w:rsid w:val="00AE378E"/>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03"/>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125"/>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19F"/>
    <w:rsid w:val="00B767E0"/>
    <w:rsid w:val="00B773A7"/>
    <w:rsid w:val="00B7765E"/>
    <w:rsid w:val="00B77662"/>
    <w:rsid w:val="00B777E2"/>
    <w:rsid w:val="00B80369"/>
    <w:rsid w:val="00B8053F"/>
    <w:rsid w:val="00B80879"/>
    <w:rsid w:val="00B8136E"/>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D09"/>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0E8"/>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A7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2DB"/>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2955"/>
    <w:rsid w:val="00C438BE"/>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EE7"/>
    <w:rsid w:val="00C600A2"/>
    <w:rsid w:val="00C603E4"/>
    <w:rsid w:val="00C60425"/>
    <w:rsid w:val="00C604AB"/>
    <w:rsid w:val="00C60620"/>
    <w:rsid w:val="00C6063C"/>
    <w:rsid w:val="00C60778"/>
    <w:rsid w:val="00C60B79"/>
    <w:rsid w:val="00C617BD"/>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1D67"/>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6A7"/>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5F3"/>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205"/>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208"/>
    <w:rsid w:val="00CF36F9"/>
    <w:rsid w:val="00CF374D"/>
    <w:rsid w:val="00CF3F92"/>
    <w:rsid w:val="00CF423C"/>
    <w:rsid w:val="00CF42BA"/>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CF7FE4"/>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6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D9E"/>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5932"/>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0E96"/>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3F8C"/>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1BCC"/>
    <w:rsid w:val="00E02098"/>
    <w:rsid w:val="00E0221B"/>
    <w:rsid w:val="00E02534"/>
    <w:rsid w:val="00E02FC9"/>
    <w:rsid w:val="00E034A3"/>
    <w:rsid w:val="00E03793"/>
    <w:rsid w:val="00E04282"/>
    <w:rsid w:val="00E04C42"/>
    <w:rsid w:val="00E04CD1"/>
    <w:rsid w:val="00E04F36"/>
    <w:rsid w:val="00E05459"/>
    <w:rsid w:val="00E0559A"/>
    <w:rsid w:val="00E056B8"/>
    <w:rsid w:val="00E0696E"/>
    <w:rsid w:val="00E06C4B"/>
    <w:rsid w:val="00E06E20"/>
    <w:rsid w:val="00E0777E"/>
    <w:rsid w:val="00E0798B"/>
    <w:rsid w:val="00E07C32"/>
    <w:rsid w:val="00E100D7"/>
    <w:rsid w:val="00E11057"/>
    <w:rsid w:val="00E1105F"/>
    <w:rsid w:val="00E1169A"/>
    <w:rsid w:val="00E116E6"/>
    <w:rsid w:val="00E11C7E"/>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5AFB"/>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8"/>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64A"/>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0E2"/>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4AE"/>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EF79C4"/>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17708"/>
    <w:rsid w:val="00F20024"/>
    <w:rsid w:val="00F205B9"/>
    <w:rsid w:val="00F2079A"/>
    <w:rsid w:val="00F20BF3"/>
    <w:rsid w:val="00F20C06"/>
    <w:rsid w:val="00F2136E"/>
    <w:rsid w:val="00F219DE"/>
    <w:rsid w:val="00F21E8B"/>
    <w:rsid w:val="00F226E0"/>
    <w:rsid w:val="00F22B59"/>
    <w:rsid w:val="00F2338B"/>
    <w:rsid w:val="00F23A73"/>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451"/>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4F5A"/>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1AB"/>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460"/>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828"/>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6D7CC81-0D09-4BAF-931F-13A1A7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9F"/>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 w:type="paragraph" w:styleId="NormalWeb">
    <w:name w:val="Normal (Web)"/>
    <w:basedOn w:val="Normal"/>
    <w:uiPriority w:val="99"/>
    <w:unhideWhenUsed/>
    <w:rsid w:val="00FE0460"/>
    <w:pPr>
      <w:spacing w:before="100" w:beforeAutospacing="1" w:after="100" w:afterAutospacing="1" w:line="240" w:lineRule="auto"/>
      <w:jc w:val="left"/>
    </w:pPr>
    <w:rPr>
      <w:rFonts w:ascii="Times New Roman" w:eastAsia="Times New Roman" w:hAnsi="Times New Roman" w:cs="Arial"/>
      <w:color w:val="auto"/>
      <w:sz w:val="20"/>
      <w:lang w:val="en-B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C006E6" w:rsidP="00C006E6">
          <w:pPr>
            <w:pStyle w:val="2B0FF21738C1433DBAFB661809AC1F871"/>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C006E6" w:rsidP="00C006E6">
          <w:pPr>
            <w:pStyle w:val="B6E42B0E299148B09DE18600D49992C91"/>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C006E6" w:rsidP="00C006E6">
          <w:pPr>
            <w:pStyle w:val="2C1105927AE5462D802EE598D84A45F61"/>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02DC8"/>
    <w:rsid w:val="00127E56"/>
    <w:rsid w:val="0015768C"/>
    <w:rsid w:val="001B6511"/>
    <w:rsid w:val="001D0361"/>
    <w:rsid w:val="002802A1"/>
    <w:rsid w:val="00281F35"/>
    <w:rsid w:val="002B46E7"/>
    <w:rsid w:val="002C7239"/>
    <w:rsid w:val="002E146C"/>
    <w:rsid w:val="0034145D"/>
    <w:rsid w:val="003514E5"/>
    <w:rsid w:val="003D1413"/>
    <w:rsid w:val="00400F2F"/>
    <w:rsid w:val="00430EC2"/>
    <w:rsid w:val="00433FA5"/>
    <w:rsid w:val="004D67E0"/>
    <w:rsid w:val="004E4CF9"/>
    <w:rsid w:val="00502AA2"/>
    <w:rsid w:val="00526B46"/>
    <w:rsid w:val="005609FD"/>
    <w:rsid w:val="00591427"/>
    <w:rsid w:val="0059793B"/>
    <w:rsid w:val="005D66AB"/>
    <w:rsid w:val="006216AC"/>
    <w:rsid w:val="006D3543"/>
    <w:rsid w:val="006E5494"/>
    <w:rsid w:val="006E791C"/>
    <w:rsid w:val="00714CF1"/>
    <w:rsid w:val="00736117"/>
    <w:rsid w:val="00740052"/>
    <w:rsid w:val="00813189"/>
    <w:rsid w:val="00813EAE"/>
    <w:rsid w:val="008222A0"/>
    <w:rsid w:val="00836D47"/>
    <w:rsid w:val="00982D57"/>
    <w:rsid w:val="00993537"/>
    <w:rsid w:val="009B6B9C"/>
    <w:rsid w:val="009C0B17"/>
    <w:rsid w:val="00A44918"/>
    <w:rsid w:val="00A563E1"/>
    <w:rsid w:val="00AB0E92"/>
    <w:rsid w:val="00B22006"/>
    <w:rsid w:val="00B46CAE"/>
    <w:rsid w:val="00BB4678"/>
    <w:rsid w:val="00BE5A7C"/>
    <w:rsid w:val="00C006E6"/>
    <w:rsid w:val="00C528E6"/>
    <w:rsid w:val="00C946A7"/>
    <w:rsid w:val="00CF3208"/>
    <w:rsid w:val="00D25DE9"/>
    <w:rsid w:val="00D40353"/>
    <w:rsid w:val="00D9677A"/>
    <w:rsid w:val="00DC3796"/>
    <w:rsid w:val="00DC4211"/>
    <w:rsid w:val="00E03F6C"/>
    <w:rsid w:val="00F81463"/>
    <w:rsid w:val="00FA09D7"/>
    <w:rsid w:val="00FE0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2D3"/>
    <w:rPr>
      <w:color w:val="808080"/>
    </w:rPr>
  </w:style>
  <w:style w:type="paragraph" w:customStyle="1" w:styleId="2B0FF21738C1433DBAFB661809AC1F871">
    <w:name w:val="2B0FF21738C1433DBAFB661809AC1F871"/>
    <w:rsid w:val="00C006E6"/>
    <w:pPr>
      <w:spacing w:after="250" w:line="276" w:lineRule="auto"/>
      <w:jc w:val="both"/>
    </w:pPr>
    <w:rPr>
      <w:color w:val="1A1A1A" w:themeColor="background1" w:themeShade="1A"/>
      <w:szCs w:val="20"/>
      <w:lang w:eastAsia="en-US"/>
    </w:rPr>
  </w:style>
  <w:style w:type="paragraph" w:customStyle="1" w:styleId="B6E42B0E299148B09DE18600D49992C91">
    <w:name w:val="B6E42B0E299148B09DE18600D49992C91"/>
    <w:rsid w:val="00C006E6"/>
    <w:pPr>
      <w:spacing w:after="250" w:line="276" w:lineRule="auto"/>
      <w:jc w:val="both"/>
    </w:pPr>
    <w:rPr>
      <w:color w:val="1A1A1A" w:themeColor="background1" w:themeShade="1A"/>
      <w:szCs w:val="20"/>
      <w:lang w:eastAsia="en-US"/>
    </w:rPr>
  </w:style>
  <w:style w:type="paragraph" w:customStyle="1" w:styleId="2C1105927AE5462D802EE598D84A45F61">
    <w:name w:val="2C1105927AE5462D802EE598D84A45F61"/>
    <w:rsid w:val="00C006E6"/>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Value>
      <Value>42</Value>
    </TaxCatchAll>
    <_dlc_DocId xmlns="d0fb0f98-34f9-4d57-9559-eb8efd17aa5e">ESMA12-2121844265-6120</_dlc_DocId>
    <_dlc_DocIdUrl xmlns="d0fb0f98-34f9-4d57-9559-eb8efd17aa5e">
      <Url>https://securitiesandmarketsauth.sharepoint.com/sites/sherpa-daru/_layouts/15/DocIdRedir.aspx?ID=ESMA12-2121844265-6120</Url>
      <Description>ESMA12-2121844265-6120</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2023</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Derivative reporting</TermName>
          <TermId xmlns="http://schemas.microsoft.com/office/infopath/2007/PartnerControls">c0453927-c279-4b83-b28c-a7e89261ef79</TermId>
        </TermInfo>
      </Terms>
    </caa5aeb1a6644849b60fbe2335e12657>
    <IconOverlay xmlns="http://schemas.microsoft.com/sharepoint/v4" xsi:nil="true"/>
    <adfed02cb80f4453940112edc610ae0b xmlns="d0fb0f98-34f9-4d57-9559-eb8efd17aa5e">
      <Terms xmlns="http://schemas.microsoft.com/office/infopath/2007/PartnerControls"/>
    </adfed02cb80f4453940112edc610ae0b>
    <lcf76f155ced4ddcb4097134ff3c332f xmlns="6f12cd6b-8b2a-4dd7-980a-cc1ae6d6393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3" ma:contentTypeDescription="" ma:contentTypeScope="" ma:versionID="57cf31132a3ab548408b31b9c49364ea">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8cead7b0efef077b84ac3f94c1384b5"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http://schemas.microsoft.com/sharepoint/v4"/>
    <ds:schemaRef ds:uri="6f12cd6b-8b2a-4dd7-980a-cc1ae6d63939"/>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385CFE0B-7B49-4A4A-A10A-067979E52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5.xml><?xml version="1.0" encoding="utf-8"?>
<ds:datastoreItem xmlns:ds="http://schemas.openxmlformats.org/officeDocument/2006/customXml" ds:itemID="{E146212F-5043-4D90-84A4-4A69539C8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6300</Words>
  <Characters>35915</Characters>
  <Application>Microsoft Office Word</Application>
  <DocSecurity>8</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42131</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Isabelle Van Acker</cp:lastModifiedBy>
  <cp:revision>11</cp:revision>
  <cp:lastPrinted>2023-09-09T09:53:00Z</cp:lastPrinted>
  <dcterms:created xsi:type="dcterms:W3CDTF">2026-10-12T12:55:00Z</dcterms:created>
  <dcterms:modified xsi:type="dcterms:W3CDTF">2026-10-12T12:59:00Z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0ca70d09-8a79-408e-9d34-d08e44b130e5</vt:lpwstr>
  </property>
  <property fmtid="{D5CDD505-2E9C-101B-9397-08002B2CF9AE}" pid="8" name="Topic">
    <vt:lpwstr>42</vt:lpwstr>
  </property>
  <property fmtid="{D5CDD505-2E9C-101B-9397-08002B2CF9AE}" pid="9" name="ConfidentialityLevel">
    <vt:lpwstr>6;#Regular|07f1e362-856b-423d-bea6-a14079762141</vt:lpwstr>
  </property>
  <property fmtid="{D5CDD505-2E9C-101B-9397-08002B2CF9AE}" pid="10" name="DocumentType">
    <vt:lpwstr>5;#Note|b9e1c92e-303a-4555-86f0-5c711c65937e</vt:lpwstr>
  </property>
  <property fmtid="{D5CDD505-2E9C-101B-9397-08002B2CF9AE}" pid="11" name="Order">
    <vt:r8>52000</vt:r8>
  </property>
  <property fmtid="{D5CDD505-2E9C-101B-9397-08002B2CF9AE}" pid="12" name="DocumentSetDescription">
    <vt:lpwstr/>
  </property>
  <property fmtid="{D5CDD505-2E9C-101B-9397-08002B2CF9AE}" pid="13" name="TeamName">
    <vt:lpwstr>43;#Post-Trading|22dee67e-8766-4361-bbd4-81c804883283</vt:lpwstr>
  </property>
  <property fmtid="{D5CDD505-2E9C-101B-9397-08002B2CF9AE}" pid="14" name="SubTopic">
    <vt:lpwstr>1280;#EMIR – PTRRS – Consultation RTS CO Exemption|056223a5-11fb-4521-a115-cc7a80111c26</vt:lpwstr>
  </property>
  <property fmtid="{D5CDD505-2E9C-101B-9397-08002B2CF9AE}" pid="15" name="_ExtendedDescription">
    <vt:lpwstr/>
  </property>
  <property fmtid="{D5CDD505-2E9C-101B-9397-08002B2CF9AE}" pid="16" name="URL">
    <vt:lpwstr/>
  </property>
  <property fmtid="{D5CDD505-2E9C-101B-9397-08002B2CF9AE}" pid="17" name="MSIP_Label_05ae7051-b702-462d-8e81-9ac0b6085f00_Extended_MSFT_Method">
    <vt:lpwstr>Standard</vt:lpwstr>
  </property>
  <property fmtid="{D5CDD505-2E9C-101B-9397-08002B2CF9AE}" pid="18" name="MSIP_Label_05ae7051-b702-462d-8e81-9ac0b6085f00_Removed">
    <vt:lpwstr>False</vt:lpwstr>
  </property>
  <property fmtid="{D5CDD505-2E9C-101B-9397-08002B2CF9AE}" pid="19" name="MSIP_Label_05ae7051-b702-462d-8e81-9ac0b6085f00_ActionId">
    <vt:lpwstr>39f833d7-6386-4e82-a49c-e2fb28295084</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2025-06-17T12:33:41Z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Sensitivity">
    <vt:lpwstr>Regular</vt:lpwstr>
  </property>
  <property fmtid="{D5CDD505-2E9C-101B-9397-08002B2CF9AE}" pid="25" name="docLang">
    <vt:lpwstr>en</vt:lpwstr>
  </property>
  <property fmtid="{D5CDD505-2E9C-101B-9397-08002B2CF9AE}" pid="26" name="MediaServiceImageTags">
    <vt:lpwstr/>
  </property>
  <property fmtid="{D5CDD505-2E9C-101B-9397-08002B2CF9AE}" pid="27" name="MultiTopic">
    <vt:lpwstr/>
  </property>
  <property fmtid="{D5CDD505-2E9C-101B-9397-08002B2CF9AE}" pid="28" name="GrammarlyDocumentId">
    <vt:lpwstr>26905649-2e0a-447f-b8a9-645b6cbf9f08</vt:lpwstr>
  </property>
</Properties>
</file>