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el"/>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el"/>
          </w:pPr>
        </w:p>
        <w:p w14:paraId="01438AE1" w14:textId="052010EB" w:rsidR="00563C1F" w:rsidRDefault="00EC6066" w:rsidP="00F72D28">
          <w:pPr>
            <w:pStyle w:val="Titel"/>
          </w:pPr>
          <w:r>
            <w:t xml:space="preserve">Reply </w:t>
          </w:r>
          <w:r w:rsidR="00DD03DC">
            <w:t>F</w:t>
          </w:r>
          <w:r>
            <w:t>orm</w:t>
          </w:r>
        </w:p>
        <w:p w14:paraId="031F2108" w14:textId="793B616E"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Content>
            <w:tc>
              <w:tcPr>
                <w:tcW w:w="4531" w:type="dxa"/>
              </w:tcPr>
              <w:p w14:paraId="76683ED7" w14:textId="62F33F83" w:rsidR="00635BCA" w:rsidRPr="00557BD2" w:rsidRDefault="00492860" w:rsidP="00D21C35">
                <w:r>
                  <w:t>Stadtwerke München GmbH</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Content>
            <w:tc>
              <w:tcPr>
                <w:tcW w:w="4531" w:type="dxa"/>
              </w:tcPr>
              <w:p w14:paraId="1185A96B" w14:textId="0058D9F9" w:rsidR="00B17279" w:rsidRDefault="00492860" w:rsidP="00B17279">
                <w:r>
                  <w:t>Stakeholder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permStart w:id="1982091919" w:edGrp="everyone" w:displacedByCustomXml="prev"/>
            <w:tc>
              <w:tcPr>
                <w:tcW w:w="4531" w:type="dxa"/>
              </w:tcPr>
              <w:p w14:paraId="10359AFE" w14:textId="7403FD25" w:rsidR="00B17279" w:rsidRDefault="00492860"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4FCB8799" w:rsidR="00B17279" w:rsidRPr="00557BD2" w:rsidRDefault="00492860"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5E35C4F3" w14:textId="77777777" w:rsidR="00492860" w:rsidRPr="00492860" w:rsidRDefault="00492860">
      <w:pPr>
        <w:pStyle w:val="Default"/>
        <w:rPr>
          <w:sz w:val="22"/>
          <w:szCs w:val="22"/>
          <w:lang w:val="en-US"/>
        </w:rPr>
      </w:pPr>
      <w:permStart w:id="1961835906" w:edGrp="everyone"/>
      <w:r w:rsidRPr="00492860">
        <w:rPr>
          <w:sz w:val="22"/>
          <w:szCs w:val="22"/>
          <w:lang w:val="en-US"/>
        </w:rPr>
        <w:t xml:space="preserve">We agree with ESMA’s assessment that there is already a high degree of data availability for derivatives transactions under existing reporting frameworks. ESMA’s gap analysis shows that information such as instrument types, asset classes, currencies and average clearing volumes can generally be derived from existing reporting under Article 9 EMIR. We welcome ESMA’s intention to avoid duplicative reporting by making greater use of information already available under existing frameworks. </w:t>
      </w:r>
    </w:p>
    <w:p w14:paraId="4FD17545" w14:textId="77777777" w:rsidR="00492860" w:rsidRPr="00492860" w:rsidRDefault="00492860">
      <w:pPr>
        <w:pStyle w:val="Default"/>
        <w:rPr>
          <w:sz w:val="22"/>
          <w:szCs w:val="22"/>
          <w:lang w:val="en-US"/>
        </w:rPr>
      </w:pPr>
      <w:r w:rsidRPr="00492860">
        <w:rPr>
          <w:sz w:val="22"/>
          <w:szCs w:val="22"/>
          <w:lang w:val="en-US"/>
        </w:rPr>
        <w:t xml:space="preserve">Specifically for NFCs below the clearing threshold (NFC-), the main data gap identified by ESMA concerns certain collateral and margin information fields, as NFC- are exempt from reporting specific collateral-related fields under the current EMIR reporting standards. </w:t>
      </w:r>
    </w:p>
    <w:p w14:paraId="318CAD7C" w14:textId="77777777" w:rsidR="00492860" w:rsidRPr="00492860" w:rsidRDefault="00492860">
      <w:pPr>
        <w:pStyle w:val="Default"/>
        <w:rPr>
          <w:sz w:val="22"/>
          <w:szCs w:val="22"/>
          <w:lang w:val="en-US"/>
        </w:rPr>
      </w:pPr>
      <w:r w:rsidRPr="00492860">
        <w:rPr>
          <w:sz w:val="22"/>
          <w:szCs w:val="22"/>
          <w:lang w:val="en-US"/>
        </w:rPr>
        <w:t xml:space="preserve">Given the limited nature of this data gap and ESMA’s observation that competent authorities consider existing Article 9 EMIR data sufficient for supervisory purposes, introducing a separate annual reporting obligation for NFC- would be disproportionate and would create additional operational complexity and compliance costs with limited supervisory value. </w:t>
      </w:r>
    </w:p>
    <w:p w14:paraId="608306F6" w14:textId="77777777" w:rsidR="00492860" w:rsidRPr="00492860" w:rsidRDefault="00492860">
      <w:pPr>
        <w:pStyle w:val="Default"/>
        <w:rPr>
          <w:sz w:val="22"/>
          <w:szCs w:val="22"/>
          <w:lang w:val="en-US"/>
        </w:rPr>
      </w:pPr>
      <w:r>
        <w:rPr>
          <w:sz w:val="22"/>
          <w:szCs w:val="22"/>
        </w:rPr>
        <w:t xml:space="preserve">Against this background, NFC- should be explicitly excluded from the scope of Article 7d reporting. </w:t>
      </w:r>
      <w:r w:rsidRPr="00492860">
        <w:rPr>
          <w:sz w:val="22"/>
          <w:szCs w:val="22"/>
          <w:lang w:val="en-US"/>
        </w:rPr>
        <w:t>Such an exemption would be consistent with the principle of proportionality, EMIR’s</w:t>
      </w:r>
      <w:r w:rsidRPr="00492860">
        <w:rPr>
          <w:szCs w:val="22"/>
          <w:lang w:val="en-US"/>
        </w:rPr>
        <w:t xml:space="preserve"> </w:t>
      </w:r>
      <w:r w:rsidRPr="00492860">
        <w:rPr>
          <w:sz w:val="22"/>
          <w:szCs w:val="22"/>
          <w:lang w:val="en-US"/>
        </w:rPr>
        <w:t xml:space="preserve">risk-based approach and ESMA’s stated objective of limiting additional regulatory burdens to the minimum necessary. </w:t>
      </w:r>
    </w:p>
    <w:p w14:paraId="1DAEEF19" w14:textId="77777777" w:rsidR="00492860" w:rsidRPr="00492860" w:rsidRDefault="00492860">
      <w:pPr>
        <w:pStyle w:val="Default"/>
        <w:rPr>
          <w:sz w:val="22"/>
          <w:szCs w:val="22"/>
          <w:lang w:val="en-US"/>
        </w:rPr>
      </w:pPr>
      <w:r w:rsidRPr="00492860">
        <w:rPr>
          <w:sz w:val="22"/>
          <w:szCs w:val="22"/>
          <w:lang w:val="en-US"/>
        </w:rPr>
        <w:t xml:space="preserve">ESMA’s findings on duplication and limited supervisory value reinforce the need to reconsider the Article 7d reporting requirement in the context of future EMIR revisions or simplification initiatives under the Market Integration and Supervision Package (MISP). </w:t>
      </w:r>
    </w:p>
    <w:p w14:paraId="5B1762DA" w14:textId="77777777" w:rsidR="00492860" w:rsidRPr="00492860" w:rsidRDefault="00492860">
      <w:pPr>
        <w:pStyle w:val="Default"/>
        <w:rPr>
          <w:sz w:val="22"/>
          <w:szCs w:val="22"/>
          <w:lang w:val="en-US"/>
        </w:rPr>
      </w:pPr>
      <w:r w:rsidRPr="00492860">
        <w:rPr>
          <w:sz w:val="22"/>
          <w:szCs w:val="22"/>
          <w:lang w:val="en-US"/>
        </w:rPr>
        <w:t xml:space="preserve">At a minimum, reporting should be limited to asset classes that fall within the scope of the Active Account Requirement. </w:t>
      </w:r>
    </w:p>
    <w:p w14:paraId="2B383E0E" w14:textId="77777777" w:rsidR="00492860" w:rsidRPr="00492860" w:rsidRDefault="00492860">
      <w:pPr>
        <w:pStyle w:val="Default"/>
        <w:rPr>
          <w:sz w:val="22"/>
          <w:szCs w:val="22"/>
          <w:lang w:val="en-US"/>
        </w:rPr>
      </w:pPr>
      <w:r w:rsidRPr="00492860">
        <w:rPr>
          <w:sz w:val="22"/>
          <w:szCs w:val="22"/>
          <w:lang w:val="en-US"/>
        </w:rPr>
        <w:t xml:space="preserve">In addition, information on activity at third-country CCPs would be more effectively reported directly by the CCP or the clearing member. Requiring clearing members to provide data to clients, who must then aggregate and report the same information, creates unnecessary </w:t>
      </w:r>
      <w:r w:rsidRPr="00492860">
        <w:rPr>
          <w:sz w:val="22"/>
          <w:szCs w:val="22"/>
          <w:lang w:val="en-US"/>
        </w:rPr>
        <w:lastRenderedPageBreak/>
        <w:t xml:space="preserve">complexity, increases operational burden and may reduce data quality. NFCs should therefore be permitted to delegate their reporting obligations to their clearing member and/or CCP. </w:t>
      </w:r>
    </w:p>
    <w:p w14:paraId="27B17867" w14:textId="77777777" w:rsidR="00492860" w:rsidRPr="00492860" w:rsidRDefault="00492860">
      <w:pPr>
        <w:pStyle w:val="Default"/>
        <w:rPr>
          <w:sz w:val="22"/>
          <w:szCs w:val="22"/>
          <w:lang w:val="en-US"/>
        </w:rPr>
      </w:pPr>
      <w:r w:rsidRPr="00492860">
        <w:rPr>
          <w:b/>
          <w:bCs/>
          <w:sz w:val="22"/>
          <w:szCs w:val="22"/>
          <w:lang w:val="en-US"/>
        </w:rPr>
        <w:t xml:space="preserve">Counterparty Scope: </w:t>
      </w:r>
      <w:r w:rsidRPr="00492860">
        <w:rPr>
          <w:sz w:val="22"/>
          <w:szCs w:val="22"/>
          <w:lang w:val="en-US"/>
        </w:rPr>
        <w:t>The term “group subject to consolidated supervision” is not defined and its scope remains unclear. ESMA’s interpretation of Article 7</w:t>
      </w:r>
      <w:proofErr w:type="gramStart"/>
      <w:r w:rsidRPr="00492860">
        <w:rPr>
          <w:sz w:val="22"/>
          <w:szCs w:val="22"/>
          <w:lang w:val="en-US"/>
        </w:rPr>
        <w:t>a(</w:t>
      </w:r>
      <w:proofErr w:type="gramEnd"/>
      <w:r w:rsidRPr="00492860">
        <w:rPr>
          <w:sz w:val="22"/>
          <w:szCs w:val="22"/>
          <w:lang w:val="en-US"/>
        </w:rPr>
        <w:t xml:space="preserve">2) EMIR suggests that the concept might be linked to prudential supervision rather than mere accounting consolidation. For the purposes of Article 7d, an interpretation of the term based solely on accounting consolidation should be avoided. Such an interpretation could significantly expand the reporting scope of Article 7d. </w:t>
      </w:r>
      <w:proofErr w:type="gramStart"/>
      <w:r w:rsidRPr="00492860">
        <w:rPr>
          <w:sz w:val="22"/>
          <w:szCs w:val="22"/>
          <w:lang w:val="en-US"/>
        </w:rPr>
        <w:t>Non-EU</w:t>
      </w:r>
      <w:proofErr w:type="gramEnd"/>
      <w:r w:rsidRPr="00492860">
        <w:rPr>
          <w:sz w:val="22"/>
          <w:szCs w:val="22"/>
          <w:lang w:val="en-US"/>
        </w:rPr>
        <w:t xml:space="preserve"> entities consolidated into an EU group could become subject to reporting obligations despite not being subject to EMIR and despite already complying with local reporting requirements. Such an outcome would be disproportionate, increase operational complexity and place affected firms at a competitive disadvantage. </w:t>
      </w:r>
    </w:p>
    <w:p w14:paraId="5E64CEAC" w14:textId="77777777" w:rsidR="00492860" w:rsidRPr="00492860" w:rsidRDefault="00492860">
      <w:pPr>
        <w:pStyle w:val="Default"/>
        <w:rPr>
          <w:sz w:val="22"/>
          <w:szCs w:val="22"/>
          <w:lang w:val="en-US"/>
        </w:rPr>
      </w:pPr>
      <w:r w:rsidRPr="00492860">
        <w:rPr>
          <w:b/>
          <w:bCs/>
          <w:sz w:val="22"/>
          <w:szCs w:val="22"/>
          <w:lang w:val="en-US"/>
        </w:rPr>
        <w:t>Product Scope:</w:t>
      </w:r>
      <w:r w:rsidRPr="00492860">
        <w:rPr>
          <w:sz w:val="22"/>
          <w:szCs w:val="22"/>
          <w:lang w:val="en-US"/>
        </w:rPr>
        <w:t xml:space="preserve"> The product scope depends on the counterparty scope and remains unclear due to undefined terminology. The term “financial instruments other than derivatives” could be interpreted as excluding commodity derivatives. However, this understanding stands in contrast to </w:t>
      </w:r>
      <w:proofErr w:type="gramStart"/>
      <w:r w:rsidRPr="00492860">
        <w:rPr>
          <w:sz w:val="22"/>
          <w:szCs w:val="22"/>
          <w:lang w:val="en-US"/>
        </w:rPr>
        <w:t>the Table</w:t>
      </w:r>
      <w:proofErr w:type="gramEnd"/>
      <w:r w:rsidRPr="00492860">
        <w:rPr>
          <w:sz w:val="22"/>
          <w:szCs w:val="22"/>
          <w:lang w:val="en-US"/>
        </w:rPr>
        <w:t xml:space="preserve"> 2 of the ITS and Table 3 under Nr. 76, where OTC and ETD commodity derivatives are mentioned. Clarification is therefore needed to determine whether commodity derivatives cleared through </w:t>
      </w:r>
      <w:proofErr w:type="spellStart"/>
      <w:r w:rsidRPr="00492860">
        <w:rPr>
          <w:sz w:val="22"/>
          <w:szCs w:val="22"/>
          <w:lang w:val="en-US"/>
        </w:rPr>
        <w:t>recognised</w:t>
      </w:r>
      <w:proofErr w:type="spellEnd"/>
      <w:r w:rsidRPr="00492860">
        <w:rPr>
          <w:sz w:val="22"/>
          <w:szCs w:val="22"/>
          <w:lang w:val="en-US"/>
        </w:rPr>
        <w:t xml:space="preserve"> third-country CCPs fall within scope. </w:t>
      </w:r>
    </w:p>
    <w:p w14:paraId="5C5992B8" w14:textId="77777777" w:rsidR="00492860" w:rsidRPr="00492860" w:rsidRDefault="00492860">
      <w:pPr>
        <w:pStyle w:val="Default"/>
        <w:rPr>
          <w:sz w:val="22"/>
          <w:szCs w:val="22"/>
          <w:lang w:val="en-US"/>
        </w:rPr>
      </w:pPr>
      <w:r w:rsidRPr="00492860">
        <w:rPr>
          <w:sz w:val="22"/>
          <w:szCs w:val="22"/>
          <w:lang w:val="en-US"/>
        </w:rPr>
        <w:t xml:space="preserve">Likewise, “non-financial instruments” appears to refer to spot contracts. If confirmed, commodity spot contracts cleared through </w:t>
      </w:r>
      <w:proofErr w:type="spellStart"/>
      <w:r w:rsidRPr="00492860">
        <w:rPr>
          <w:sz w:val="22"/>
          <w:szCs w:val="22"/>
          <w:lang w:val="en-US"/>
        </w:rPr>
        <w:t>recognised</w:t>
      </w:r>
      <w:proofErr w:type="spellEnd"/>
      <w:r w:rsidRPr="00492860">
        <w:rPr>
          <w:sz w:val="22"/>
          <w:szCs w:val="22"/>
          <w:lang w:val="en-US"/>
        </w:rPr>
        <w:t xml:space="preserve"> third-country CCPs would also be reportable. ESMA should provide greater clarity on the intended scope and resulting reporting obligations. </w:t>
      </w:r>
    </w:p>
    <w:p w14:paraId="70BF2304" w14:textId="5C0BF2EC" w:rsidR="00772944" w:rsidRDefault="00492860" w:rsidP="00772944">
      <w:r>
        <w:rPr>
          <w:b/>
          <w:bCs/>
          <w:szCs w:val="22"/>
        </w:rPr>
        <w:t xml:space="preserve">Currency Scope: </w:t>
      </w:r>
      <w:r w:rsidRPr="00492860">
        <w:rPr>
          <w:szCs w:val="22"/>
        </w:rPr>
        <w:t>While the reporting of average cleared positions under Table 2 is explicitly limited to Union currencies, the reporting of initial margins under Table 3 appears to include non-EU currencies. For reasons of consistency and proportionality, all information reported under Article 7d should be limited to Union currencies. Such an interpretation is consistent with</w:t>
      </w:r>
      <w:r>
        <w:rPr>
          <w:b/>
          <w:bCs/>
          <w:szCs w:val="22"/>
        </w:rPr>
        <w:t xml:space="preserve"> </w:t>
      </w:r>
      <w:r>
        <w:rPr>
          <w:szCs w:val="22"/>
        </w:rPr>
        <w:t xml:space="preserve">the overall Level 1. Absent explicit clarification, a consistent approach across all reporting fields should apply.  </w:t>
      </w:r>
      <w:permEnd w:id="1961835906"/>
      <w:r w:rsidR="00772944">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275CD709" w14:textId="77777777" w:rsidR="00492860" w:rsidRPr="00492860" w:rsidRDefault="00492860">
      <w:pPr>
        <w:pStyle w:val="Default"/>
        <w:rPr>
          <w:sz w:val="22"/>
          <w:szCs w:val="22"/>
          <w:lang w:val="en-US"/>
        </w:rPr>
      </w:pPr>
      <w:permStart w:id="975325410" w:edGrp="everyone"/>
      <w:r w:rsidRPr="00492860">
        <w:rPr>
          <w:sz w:val="22"/>
          <w:szCs w:val="22"/>
          <w:lang w:val="en-US"/>
        </w:rPr>
        <w:t xml:space="preserve">ESMA’s proposed timeline would require firms to compile and report all Article 7d data within one month. As the timely compliance with this obligation depends on receiving comprehensive data from clearing members, firms need sufficient time to collect, validate and consolidate the required information. We therefore recommend extending the reporting deadline to the last business day of March, covering the previous calendar year, instead of the last business day of January. This would also alleviate pressure during January, a period already heavily impacted by year-end closing and annual reporting activities, reducing operational risk and the likelihood of reporting errors or delays. </w:t>
      </w:r>
    </w:p>
    <w:p w14:paraId="1C3D2497" w14:textId="77777777" w:rsidR="00F972C6" w:rsidRDefault="00492860" w:rsidP="00772944">
      <w:pPr>
        <w:rPr>
          <w:szCs w:val="22"/>
        </w:rPr>
      </w:pPr>
      <w:r>
        <w:rPr>
          <w:szCs w:val="22"/>
        </w:rPr>
        <w:lastRenderedPageBreak/>
        <w:t xml:space="preserve">At the same time, we would like to emphasize that, from our perspective, the reporting obligations set out in Article 7d are not appropriate for non-financial counterparties (NFCs-). Consequently, NFCs- should be excluded from this requirement. </w:t>
      </w:r>
    </w:p>
    <w:permEnd w:id="975325410"/>
    <w:p w14:paraId="3CEDDD9A" w14:textId="538479B0"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309CB955" w14:textId="77777777" w:rsidR="00492860" w:rsidRPr="00492860" w:rsidRDefault="00492860">
      <w:pPr>
        <w:pStyle w:val="Default"/>
        <w:rPr>
          <w:sz w:val="22"/>
          <w:szCs w:val="22"/>
          <w:lang w:val="en-US"/>
        </w:rPr>
      </w:pPr>
      <w:permStart w:id="528381897" w:edGrp="everyone"/>
      <w:r w:rsidRPr="007B7EE3">
        <w:rPr>
          <w:sz w:val="22"/>
          <w:szCs w:val="22"/>
          <w:lang w:val="en-US"/>
        </w:rPr>
        <w:t xml:space="preserve">We do not support requiring reports already for the calendar year 2025. Reporting obligations should apply only once the new RTS is in force. Accordingly, if reporting starts in 2027, only 2027 data should be reported in 2028. </w:t>
      </w:r>
      <w:r w:rsidRPr="00492860">
        <w:rPr>
          <w:sz w:val="22"/>
          <w:szCs w:val="22"/>
          <w:lang w:val="en-US"/>
        </w:rPr>
        <w:t xml:space="preserve">Requiring the retrospective collection of historical data would create significant implementation costs and operational burdens with limited </w:t>
      </w:r>
      <w:proofErr w:type="spellStart"/>
      <w:proofErr w:type="gramStart"/>
      <w:r w:rsidRPr="00492860">
        <w:rPr>
          <w:sz w:val="22"/>
          <w:szCs w:val="22"/>
          <w:lang w:val="en-US"/>
        </w:rPr>
        <w:t>supervisoryvalue</w:t>
      </w:r>
      <w:proofErr w:type="spellEnd"/>
      <w:proofErr w:type="gramEnd"/>
      <w:r w:rsidRPr="00492860">
        <w:rPr>
          <w:sz w:val="22"/>
          <w:szCs w:val="22"/>
          <w:lang w:val="en-US"/>
        </w:rPr>
        <w:t xml:space="preserve">, particularly given that most relevant information is already available through existing EMIR Article 9 reporting. </w:t>
      </w:r>
    </w:p>
    <w:p w14:paraId="447AE941" w14:textId="77777777" w:rsidR="00106BF1" w:rsidRDefault="00492860" w:rsidP="00772944">
      <w:pPr>
        <w:rPr>
          <w:szCs w:val="22"/>
        </w:rPr>
      </w:pPr>
      <w:r>
        <w:rPr>
          <w:szCs w:val="22"/>
        </w:rPr>
        <w:t xml:space="preserve">At the same time, we would like to emphasize that, from our perspective, the reporting obligations set out in Article 7d are not appropriate for non-financial counterparties (NFCs-). Consequently, NFCs should be excluded from this requirement.  </w:t>
      </w:r>
    </w:p>
    <w:permEnd w:id="528381897"/>
    <w:p w14:paraId="32DE6A29" w14:textId="5A212450"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7025A14A" w14:textId="77777777" w:rsidR="00492860" w:rsidRPr="00492860" w:rsidRDefault="00492860">
      <w:pPr>
        <w:pStyle w:val="Default"/>
        <w:rPr>
          <w:sz w:val="22"/>
          <w:szCs w:val="22"/>
          <w:lang w:val="en-US"/>
        </w:rPr>
      </w:pPr>
      <w:permStart w:id="1396466673" w:edGrp="everyone"/>
      <w:r w:rsidRPr="00492860">
        <w:rPr>
          <w:sz w:val="22"/>
          <w:szCs w:val="22"/>
          <w:lang w:val="en-US"/>
        </w:rPr>
        <w:t xml:space="preserve">We recommend reducing the granularity required in fields 2, 3 and 4. The proposed classifications are generally not readily available from existing data sources. </w:t>
      </w:r>
    </w:p>
    <w:p w14:paraId="6EA976A3" w14:textId="77777777" w:rsidR="00492860" w:rsidRPr="00492860" w:rsidRDefault="00492860">
      <w:pPr>
        <w:pStyle w:val="Default"/>
        <w:rPr>
          <w:sz w:val="22"/>
          <w:szCs w:val="22"/>
          <w:lang w:val="en-US"/>
        </w:rPr>
      </w:pPr>
      <w:r w:rsidRPr="00492860">
        <w:rPr>
          <w:sz w:val="22"/>
          <w:szCs w:val="22"/>
          <w:lang w:val="en-US"/>
        </w:rPr>
        <w:t xml:space="preserve">To simplify reporting, fields 2 and 3 should be replaced by a single instrument type field distinguishing only between Derivatives and Securities Financing Transactions. For </w:t>
      </w:r>
      <w:r w:rsidRPr="00492860">
        <w:rPr>
          <w:sz w:val="22"/>
          <w:szCs w:val="22"/>
          <w:lang w:val="en-US"/>
        </w:rPr>
        <w:lastRenderedPageBreak/>
        <w:t xml:space="preserve">derivatives, field 4 should be limited to broad asset classes such as equity, commodity, interest rate, </w:t>
      </w:r>
      <w:proofErr w:type="gramStart"/>
      <w:r w:rsidRPr="00492860">
        <w:rPr>
          <w:sz w:val="22"/>
          <w:szCs w:val="22"/>
          <w:lang w:val="en-US"/>
        </w:rPr>
        <w:t>cred-it</w:t>
      </w:r>
      <w:proofErr w:type="gramEnd"/>
      <w:r w:rsidRPr="00492860">
        <w:rPr>
          <w:sz w:val="22"/>
          <w:szCs w:val="22"/>
          <w:lang w:val="en-US"/>
        </w:rPr>
        <w:t xml:space="preserve">, currency and other. This approach would better align with available data, reduce implementation effort and decrease the number of reporting tables to be completed. </w:t>
      </w:r>
    </w:p>
    <w:p w14:paraId="054F9C05" w14:textId="77777777" w:rsidR="00106BF1" w:rsidRDefault="00492860" w:rsidP="00772944">
      <w:pPr>
        <w:rPr>
          <w:szCs w:val="22"/>
        </w:rPr>
      </w:pPr>
      <w:r>
        <w:rPr>
          <w:szCs w:val="22"/>
        </w:rPr>
        <w:t xml:space="preserve">At the same time, we would like to emphasize that, from our perspective, the reporting obligations set out in Article 7d are not appropriate for non-financial counterparties (NFCs-). Consequently, NFCs should be excluded from this requirement. </w:t>
      </w:r>
    </w:p>
    <w:permEnd w:id="1396466673"/>
    <w:p w14:paraId="6E117F7A" w14:textId="40E7525D"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7EC6654D" w14:textId="77777777" w:rsidR="00492860" w:rsidRPr="00492860" w:rsidRDefault="00492860">
      <w:pPr>
        <w:pStyle w:val="Default"/>
        <w:rPr>
          <w:sz w:val="22"/>
          <w:szCs w:val="22"/>
          <w:lang w:val="en-US"/>
        </w:rPr>
      </w:pPr>
      <w:permStart w:id="719744548" w:edGrp="everyone"/>
      <w:r w:rsidRPr="00492860">
        <w:rPr>
          <w:sz w:val="22"/>
          <w:szCs w:val="22"/>
          <w:lang w:val="en-US"/>
        </w:rPr>
        <w:t xml:space="preserve">Overall, we support the proposed methodology for calculating annual average cleared values based on aggregated month-end average positions. </w:t>
      </w:r>
    </w:p>
    <w:p w14:paraId="1C29266C" w14:textId="77777777" w:rsidR="00492860" w:rsidRPr="00492860" w:rsidRDefault="00492860">
      <w:pPr>
        <w:pStyle w:val="Default"/>
        <w:rPr>
          <w:sz w:val="22"/>
          <w:szCs w:val="22"/>
          <w:lang w:val="en-US"/>
        </w:rPr>
      </w:pPr>
      <w:r w:rsidRPr="00492860">
        <w:rPr>
          <w:sz w:val="22"/>
          <w:szCs w:val="22"/>
          <w:lang w:val="en-US"/>
        </w:rPr>
        <w:t xml:space="preserve">While month-end average position data is available in-house, initial margin data is currently not available at the required level of granularity, as clearing banks do not provide CCP-specific information. Consequently, the reporting requirement would not be operationally feasible for clients unless clearing banks make the necessary data available in an appropriate format. We therefore recommend that the RTS explicitly require clearing banks to provide the data needed for clients to meet their reporting obligations. </w:t>
      </w:r>
    </w:p>
    <w:p w14:paraId="71B3C2FD" w14:textId="77777777" w:rsidR="00492860" w:rsidRPr="00492860" w:rsidRDefault="00492860">
      <w:pPr>
        <w:pStyle w:val="Default"/>
        <w:rPr>
          <w:sz w:val="22"/>
          <w:szCs w:val="22"/>
          <w:lang w:val="en-US"/>
        </w:rPr>
      </w:pPr>
      <w:r w:rsidRPr="00492860">
        <w:rPr>
          <w:sz w:val="22"/>
          <w:szCs w:val="22"/>
          <w:lang w:val="en-US"/>
        </w:rPr>
        <w:t xml:space="preserve">Furthermore, as noted in our response to Question 1, clarification is needed regarding the term “per Union currency”. If only contracts denominated in Union currencies are in scope, no currency conversion would be required. If non-Union currency contracts must also be </w:t>
      </w:r>
      <w:proofErr w:type="gramStart"/>
      <w:r w:rsidRPr="00492860">
        <w:rPr>
          <w:sz w:val="22"/>
          <w:szCs w:val="22"/>
          <w:lang w:val="en-US"/>
        </w:rPr>
        <w:t>report-ed</w:t>
      </w:r>
      <w:proofErr w:type="gramEnd"/>
      <w:r w:rsidRPr="00492860">
        <w:rPr>
          <w:sz w:val="22"/>
          <w:szCs w:val="22"/>
          <w:lang w:val="en-US"/>
        </w:rPr>
        <w:t xml:space="preserve">, additional conversion processes would be necessary, increasing operational complexity and reporting costs. If this is the case, then the draft RTS must specify the process for the currency conversion. </w:t>
      </w:r>
    </w:p>
    <w:p w14:paraId="1E3CEEB1" w14:textId="77777777" w:rsidR="002D4791" w:rsidRDefault="00492860" w:rsidP="00772944">
      <w:pPr>
        <w:rPr>
          <w:szCs w:val="22"/>
        </w:rPr>
      </w:pPr>
      <w:r>
        <w:rPr>
          <w:szCs w:val="22"/>
        </w:rPr>
        <w:t xml:space="preserve">At the same time, we would like to emphasize that, from our perspective, the reporting obligations set out in Article 7d are not appropriate for non-financial counterparties (NFCs-). Consequently, NFCs should be excluded from this requirement. </w:t>
      </w:r>
    </w:p>
    <w:permEnd w:id="719744548"/>
    <w:p w14:paraId="106550CF" w14:textId="4E89F9B2"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that, for the purposes of Article 7d(1)(c), initial margin provides a more meaningful and proportionate indicator of exposure to recognised third country CCPs than variation margin, and with the proposal to </w:t>
      </w:r>
      <w:r>
        <w:lastRenderedPageBreak/>
        <w:t>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38F44D00" w14:textId="2D96137C" w:rsidR="00492860" w:rsidRPr="00492860" w:rsidRDefault="00492860">
      <w:pPr>
        <w:pStyle w:val="Default"/>
        <w:rPr>
          <w:sz w:val="22"/>
          <w:szCs w:val="22"/>
          <w:lang w:val="en-US"/>
        </w:rPr>
      </w:pPr>
      <w:permStart w:id="536377789" w:edGrp="everyone"/>
      <w:r>
        <w:rPr>
          <w:sz w:val="22"/>
          <w:szCs w:val="22"/>
        </w:rPr>
        <w:t xml:space="preserve">We agree that, for the purposes of Article 7d(1)(c), initial margin should be reported at the level of the CCP. </w:t>
      </w:r>
      <w:r w:rsidRPr="00492860">
        <w:rPr>
          <w:sz w:val="22"/>
          <w:szCs w:val="22"/>
          <w:lang w:val="en-US"/>
        </w:rPr>
        <w:t xml:space="preserve">In our view, it would not make sense to require the reporting of variation margin, as initial margin is the more relevant risk indicator. However, while initial margin may provide a meaningful indicator of positions vis-à-vis </w:t>
      </w:r>
      <w:proofErr w:type="spellStart"/>
      <w:r w:rsidRPr="00492860">
        <w:rPr>
          <w:sz w:val="22"/>
          <w:szCs w:val="22"/>
          <w:lang w:val="en-US"/>
        </w:rPr>
        <w:t>recognised</w:t>
      </w:r>
      <w:proofErr w:type="spellEnd"/>
      <w:r w:rsidRPr="00492860">
        <w:rPr>
          <w:sz w:val="22"/>
          <w:szCs w:val="22"/>
          <w:lang w:val="en-US"/>
        </w:rPr>
        <w:t xml:space="preserve"> third-country CCPs, NFCs below the clearing threshold (NFC-) face significant practical challenges in collecting this information. The relevant data are regularly managed by clearing members or clearing brokers and are often not part of the internal risk management or reporting processes of NFC-. </w:t>
      </w:r>
    </w:p>
    <w:p w14:paraId="0F3AC2F5" w14:textId="77777777" w:rsidR="00492860" w:rsidRPr="00492860" w:rsidRDefault="00492860">
      <w:pPr>
        <w:pStyle w:val="Default"/>
        <w:rPr>
          <w:sz w:val="22"/>
          <w:szCs w:val="22"/>
          <w:lang w:val="en-US"/>
        </w:rPr>
      </w:pPr>
      <w:r w:rsidRPr="00492860">
        <w:rPr>
          <w:sz w:val="22"/>
          <w:szCs w:val="22"/>
          <w:lang w:val="en-US"/>
        </w:rPr>
        <w:t xml:space="preserve">ESMA itself acknowledges that market participants frequently need to obtain the required margin information from clearing members. This demonstrates the significant operational burden associated with the proposed reporting requirement. </w:t>
      </w:r>
    </w:p>
    <w:p w14:paraId="250F6DA7" w14:textId="77777777" w:rsidR="00106BF1" w:rsidRDefault="00492860" w:rsidP="00772944">
      <w:pPr>
        <w:rPr>
          <w:szCs w:val="22"/>
        </w:rPr>
      </w:pPr>
      <w:r>
        <w:rPr>
          <w:szCs w:val="22"/>
        </w:rPr>
        <w:t xml:space="preserve">For NFC-, the annual reporting of average initial margins would require new data collection, coordination and control processes between companies, clearing members and other service providers. The operational effort required for these processes would be disproportionate to the additional supervisory value, which ESMA itself describes as limited. Therefore, we would like to emphasize that NFC- should be excluded from this requirement.  </w:t>
      </w:r>
    </w:p>
    <w:permEnd w:id="536377789"/>
    <w:p w14:paraId="7FE055BC" w14:textId="3A533470"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4A221D5E" w14:textId="77777777" w:rsidR="00492860" w:rsidRPr="00492860" w:rsidRDefault="00492860">
      <w:pPr>
        <w:pStyle w:val="Default"/>
        <w:rPr>
          <w:sz w:val="22"/>
          <w:szCs w:val="22"/>
          <w:lang w:val="en-US"/>
        </w:rPr>
      </w:pPr>
      <w:permStart w:id="319102224" w:edGrp="everyone"/>
      <w:r w:rsidRPr="00492860">
        <w:rPr>
          <w:sz w:val="22"/>
          <w:szCs w:val="22"/>
          <w:lang w:val="en-US"/>
        </w:rPr>
        <w:t xml:space="preserve">We agree with ESMA’s proposal in principle. </w:t>
      </w:r>
    </w:p>
    <w:p w14:paraId="19CD8E92" w14:textId="77777777" w:rsidR="00492860" w:rsidRPr="00492860" w:rsidRDefault="00492860">
      <w:pPr>
        <w:pStyle w:val="Default"/>
        <w:rPr>
          <w:sz w:val="22"/>
          <w:szCs w:val="22"/>
          <w:lang w:val="en-US"/>
        </w:rPr>
      </w:pPr>
      <w:r w:rsidRPr="00492860">
        <w:rPr>
          <w:sz w:val="22"/>
          <w:szCs w:val="22"/>
          <w:lang w:val="en-US"/>
        </w:rPr>
        <w:t xml:space="preserve">However, calculating the reported initial margin </w:t>
      </w:r>
      <w:proofErr w:type="gramStart"/>
      <w:r w:rsidRPr="00492860">
        <w:rPr>
          <w:sz w:val="22"/>
          <w:szCs w:val="22"/>
          <w:lang w:val="en-US"/>
        </w:rPr>
        <w:t>on the basis of</w:t>
      </w:r>
      <w:proofErr w:type="gramEnd"/>
      <w:r w:rsidRPr="00492860">
        <w:rPr>
          <w:sz w:val="22"/>
          <w:szCs w:val="22"/>
          <w:lang w:val="en-US"/>
        </w:rPr>
        <w:t xml:space="preserve"> twelve month-end observations would further increase the complexity of the reporting obligation, particularly for NFCs below the clearing threshold (NFC-). Many NFC- have neither the systems nor the internal processes in place to retain monthly initial margin data historically or to obtain such data regularly from clearing members. </w:t>
      </w:r>
    </w:p>
    <w:p w14:paraId="63BE842B" w14:textId="77777777" w:rsidR="00106BF1" w:rsidRDefault="00492860" w:rsidP="00772944">
      <w:pPr>
        <w:rPr>
          <w:szCs w:val="22"/>
        </w:rPr>
      </w:pPr>
      <w:r>
        <w:rPr>
          <w:szCs w:val="22"/>
        </w:rPr>
        <w:t xml:space="preserve">From the perspective of NFC-, even a simplified approach would involve additional operational effort. Against this background, the full exemption of NFC- from the scope of Article 7d reporting would be the most appropriate and proportionate solution. </w:t>
      </w:r>
    </w:p>
    <w:permEnd w:id="319102224"/>
    <w:p w14:paraId="0C50D7DF" w14:textId="5BEE65A6"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3F1A2EC1" w14:textId="77777777" w:rsidR="00492860" w:rsidRPr="00492860" w:rsidRDefault="00492860">
      <w:pPr>
        <w:pStyle w:val="Default"/>
        <w:rPr>
          <w:sz w:val="22"/>
          <w:szCs w:val="22"/>
          <w:lang w:val="en-US"/>
        </w:rPr>
      </w:pPr>
      <w:permStart w:id="546269201" w:edGrp="everyone"/>
      <w:r w:rsidRPr="00492860">
        <w:rPr>
          <w:sz w:val="22"/>
          <w:szCs w:val="22"/>
          <w:lang w:val="en-US"/>
        </w:rPr>
        <w:t xml:space="preserve">As already stated in our response to Question 5, the proposed reporting of initial margin information under Article 7d is not operationally feasible from a client perspective unless clearing banks provide the necessary data at a more granular level, e.g. by CCP identifier. </w:t>
      </w:r>
    </w:p>
    <w:p w14:paraId="6A807834" w14:textId="77777777" w:rsidR="00492860" w:rsidRPr="00492860" w:rsidRDefault="00492860">
      <w:pPr>
        <w:pStyle w:val="Default"/>
        <w:rPr>
          <w:sz w:val="22"/>
          <w:szCs w:val="22"/>
          <w:lang w:val="en-US"/>
        </w:rPr>
      </w:pPr>
      <w:r w:rsidRPr="00492860">
        <w:rPr>
          <w:sz w:val="22"/>
          <w:szCs w:val="22"/>
          <w:lang w:val="en-US"/>
        </w:rPr>
        <w:t xml:space="preserve">The associated implementation costs would be significant, especially for NFC-. In addition to the fact that the data would need to be obtained from external clearing service providers, adjustments to IT systems, control processes and governance structures, as well as internal and external coordination processes, would be required. This would result in both one-off implementation costs and ongoing operational costs. </w:t>
      </w:r>
    </w:p>
    <w:p w14:paraId="4140EF25" w14:textId="77777777" w:rsidR="00492860" w:rsidRDefault="00492860" w:rsidP="00772944">
      <w:pPr>
        <w:rPr>
          <w:szCs w:val="22"/>
        </w:rPr>
      </w:pPr>
      <w:r>
        <w:rPr>
          <w:szCs w:val="22"/>
        </w:rPr>
        <w:t xml:space="preserve">At the same time, ESMA itself expects only limited additional supervisory value from the proposed reporting requirement. This supports exempting NFC- from the reporting obligation and continuing to rely on information already available under Article 9 EMIR for supervisory purposes. </w:t>
      </w:r>
    </w:p>
    <w:permEnd w:id="546269201"/>
    <w:p w14:paraId="38E133BF" w14:textId="231A411E"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36240048" w14:textId="77777777" w:rsidR="00492860" w:rsidRPr="00492860" w:rsidRDefault="00492860">
      <w:pPr>
        <w:pStyle w:val="Default"/>
        <w:rPr>
          <w:sz w:val="22"/>
          <w:szCs w:val="22"/>
          <w:lang w:val="en-US"/>
        </w:rPr>
      </w:pPr>
      <w:permStart w:id="1896043658" w:edGrp="everyone"/>
      <w:r w:rsidRPr="00492860">
        <w:rPr>
          <w:sz w:val="22"/>
          <w:szCs w:val="22"/>
          <w:lang w:val="en-US"/>
        </w:rPr>
        <w:t xml:space="preserve">No, we do not agree to adopt Option B. For us, Option C (full entity-level breakdown) is the preferred option from an operational perspective, as it would require the least implementation effort. The underlying data is generally available at entity level and can therefore be reported directly, provided that the relevant information is supplied by the clearing banks. </w:t>
      </w:r>
    </w:p>
    <w:p w14:paraId="129FB185" w14:textId="77777777" w:rsidR="00492860" w:rsidRDefault="00492860" w:rsidP="00772944">
      <w:pPr>
        <w:rPr>
          <w:szCs w:val="22"/>
        </w:rPr>
      </w:pPr>
      <w:r>
        <w:rPr>
          <w:szCs w:val="22"/>
        </w:rPr>
        <w:t xml:space="preserve">Options A and B, however, would require additional aggregation and data processing steps prior to reporting. This would increase implementation and maintenance costs and add complexity to reporting processes through the need for additional controls and coordination processes. </w:t>
      </w:r>
    </w:p>
    <w:p w14:paraId="13D98E04" w14:textId="6D4BDE65" w:rsidR="00772944" w:rsidRDefault="00492860" w:rsidP="00772944">
      <w:r>
        <w:rPr>
          <w:szCs w:val="22"/>
        </w:rPr>
        <w:lastRenderedPageBreak/>
        <w:t xml:space="preserve"> </w:t>
      </w:r>
      <w:permEnd w:id="1896043658"/>
      <w:r w:rsidR="00772944">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310DC99D" w14:textId="77777777" w:rsidR="00492860" w:rsidRPr="00492860" w:rsidRDefault="00492860">
      <w:pPr>
        <w:pStyle w:val="Default"/>
        <w:rPr>
          <w:sz w:val="22"/>
          <w:szCs w:val="22"/>
          <w:lang w:val="en-US"/>
        </w:rPr>
      </w:pPr>
      <w:permStart w:id="1751663536" w:edGrp="everyone"/>
      <w:r w:rsidRPr="00492860">
        <w:rPr>
          <w:sz w:val="22"/>
          <w:szCs w:val="22"/>
          <w:lang w:val="en-US"/>
        </w:rPr>
        <w:t xml:space="preserve">Option C (full entity-level breakdown) is the preferred option from an operational perspective, as it </w:t>
      </w:r>
      <w:proofErr w:type="gramStart"/>
      <w:r w:rsidRPr="00492860">
        <w:rPr>
          <w:sz w:val="22"/>
          <w:szCs w:val="22"/>
          <w:lang w:val="en-US"/>
        </w:rPr>
        <w:t>would require</w:t>
      </w:r>
      <w:proofErr w:type="gramEnd"/>
      <w:r w:rsidRPr="00492860">
        <w:rPr>
          <w:sz w:val="22"/>
          <w:szCs w:val="22"/>
          <w:lang w:val="en-US"/>
        </w:rPr>
        <w:t xml:space="preserve"> the least implementation effort. The underlying data is generally available at entity level and can therefore be reported directly, provided that the relevant information is supplied by the clearing banks. </w:t>
      </w:r>
    </w:p>
    <w:p w14:paraId="4E9EFCFF" w14:textId="78FC6C9D" w:rsidR="00772944" w:rsidRDefault="00492860" w:rsidP="00772944">
      <w:r>
        <w:rPr>
          <w:szCs w:val="22"/>
        </w:rPr>
        <w:t xml:space="preserve">Options A and B, however, would require additional aggregation and data processing steps prior to reporting. This would increase implementation and maintenance costs and add complexity to reporting processes through the need for additional controls and reconciliations. </w:t>
      </w:r>
      <w:permEnd w:id="1751663536"/>
      <w:r w:rsidR="00772944">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CB7CB99" w14:textId="77777777" w:rsidR="00492860" w:rsidRDefault="00492860" w:rsidP="00772944">
      <w:pPr>
        <w:rPr>
          <w:szCs w:val="22"/>
        </w:rPr>
      </w:pPr>
      <w:permStart w:id="2085827393" w:edGrp="everyone"/>
      <w:r>
        <w:rPr>
          <w:szCs w:val="22"/>
        </w:rPr>
        <w:t xml:space="preserve">We agree with ESMA’s proposal to report in CSV format. </w:t>
      </w:r>
    </w:p>
    <w:permEnd w:id="2085827393"/>
    <w:p w14:paraId="77D5FFA8" w14:textId="43966BF1"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4851" w14:textId="77777777" w:rsidR="00A454B2" w:rsidRDefault="00A454B2" w:rsidP="007E7997">
      <w:pPr>
        <w:spacing w:line="240" w:lineRule="auto"/>
      </w:pPr>
      <w:r>
        <w:separator/>
      </w:r>
    </w:p>
  </w:endnote>
  <w:endnote w:type="continuationSeparator" w:id="0">
    <w:p w14:paraId="38DB1A3B" w14:textId="77777777" w:rsidR="00A454B2" w:rsidRDefault="00A454B2" w:rsidP="007E7997">
      <w:pPr>
        <w:spacing w:line="240" w:lineRule="auto"/>
      </w:pPr>
      <w:r>
        <w:continuationSeparator/>
      </w:r>
    </w:p>
  </w:endnote>
  <w:endnote w:type="continuationNotice" w:id="1">
    <w:p w14:paraId="74A37B2E" w14:textId="77777777" w:rsidR="00A454B2" w:rsidRDefault="00A454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5A3CE" w14:textId="77777777" w:rsidR="00A454B2" w:rsidRDefault="00A454B2" w:rsidP="007E7997">
      <w:pPr>
        <w:spacing w:line="240" w:lineRule="auto"/>
      </w:pPr>
      <w:r>
        <w:separator/>
      </w:r>
    </w:p>
  </w:footnote>
  <w:footnote w:type="continuationSeparator" w:id="0">
    <w:p w14:paraId="186CA02D" w14:textId="77777777" w:rsidR="00A454B2" w:rsidRDefault="00A454B2" w:rsidP="007E7997">
      <w:pPr>
        <w:spacing w:line="240" w:lineRule="auto"/>
      </w:pPr>
      <w:r>
        <w:continuationSeparator/>
      </w:r>
    </w:p>
  </w:footnote>
  <w:footnote w:type="continuationNotice" w:id="1">
    <w:p w14:paraId="15D62186" w14:textId="77777777" w:rsidR="00A454B2" w:rsidRDefault="00A454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Kopfzeile"/>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BF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4791"/>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2860"/>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62B"/>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EE3"/>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54B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2D6"/>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2C6"/>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98B"/>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619F"/>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 w:type="paragraph" w:customStyle="1" w:styleId="Default">
    <w:name w:val="Default"/>
    <w:rsid w:val="00492860"/>
    <w:pPr>
      <w:autoSpaceDE w:val="0"/>
      <w:autoSpaceDN w:val="0"/>
      <w:adjustRightInd w:val="0"/>
      <w:spacing w:after="0" w:line="240" w:lineRule="auto"/>
    </w:pPr>
    <w:rPr>
      <w:rFonts w:ascii="Arial" w:hAnsi="Arial" w:cs="Arial"/>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97029"/>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A2A19"/>
    <w:rsid w:val="00BE5A7C"/>
    <w:rsid w:val="00C006E6"/>
    <w:rsid w:val="00C528E6"/>
    <w:rsid w:val="00CF3208"/>
    <w:rsid w:val="00D25DE9"/>
    <w:rsid w:val="00D40353"/>
    <w:rsid w:val="00D472D6"/>
    <w:rsid w:val="00D9677A"/>
    <w:rsid w:val="00DC3796"/>
    <w:rsid w:val="00DC4211"/>
    <w:rsid w:val="00E03F6C"/>
    <w:rsid w:val="00F81463"/>
    <w:rsid w:val="00FA09D7"/>
    <w:rsid w:val="00FA398B"/>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2838</Words>
  <Characters>17175</Characters>
  <Application>Microsoft Office Word</Application>
  <DocSecurity>8</DocSecurity>
  <Lines>305</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19975</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Nies.Jakob EW-PV</cp:lastModifiedBy>
  <cp:revision>2</cp:revision>
  <cp:lastPrinted>2023-09-09T09:53:00Z</cp:lastPrinted>
  <dcterms:created xsi:type="dcterms:W3CDTF">2026-10-12T12:45:00Z</dcterms:created>
  <dcterms:modified xsi:type="dcterms:W3CDTF">2026-10-12T12:45:00Z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docLang">
    <vt:lpwstr>en</vt:lpwstr>
  </property>
  <property fmtid="{D5CDD505-2E9C-101B-9397-08002B2CF9AE}" pid="25" name="MediaServiceImageTags">
    <vt:lpwstr/>
  </property>
  <property fmtid="{D5CDD505-2E9C-101B-9397-08002B2CF9AE}" pid="26" name="MultiTopic">
    <vt:lpwstr/>
  </property>
  <property fmtid="{D5CDD505-2E9C-101B-9397-08002B2CF9AE}" pid="27" name="MSIP_Label_3a7a1c20-cc6b-4730-9360-82f38479186f_Enabled">
    <vt:lpwstr>true</vt:lpwstr>
  </property>
  <property fmtid="{D5CDD505-2E9C-101B-9397-08002B2CF9AE}" pid="28" name="MSIP_Label_3a7a1c20-cc6b-4730-9360-82f38479186f_SetDate">
    <vt:lpwstr>2026-10-12T10:13:39Z</vt:lpwstr>
  </property>
  <property fmtid="{D5CDD505-2E9C-101B-9397-08002B2CF9AE}" pid="29" name="MSIP_Label_3a7a1c20-cc6b-4730-9360-82f38479186f_Method">
    <vt:lpwstr>Standard</vt:lpwstr>
  </property>
  <property fmtid="{D5CDD505-2E9C-101B-9397-08002B2CF9AE}" pid="30" name="MSIP_Label_3a7a1c20-cc6b-4730-9360-82f38479186f_Name">
    <vt:lpwstr>NICHT ÖFFENTLICH New</vt:lpwstr>
  </property>
  <property fmtid="{D5CDD505-2E9C-101B-9397-08002B2CF9AE}" pid="31" name="MSIP_Label_3a7a1c20-cc6b-4730-9360-82f38479186f_SiteId">
    <vt:lpwstr>a4f89343-eb5e-47ab-8838-f98d0a9c1314</vt:lpwstr>
  </property>
  <property fmtid="{D5CDD505-2E9C-101B-9397-08002B2CF9AE}" pid="32" name="MSIP_Label_3a7a1c20-cc6b-4730-9360-82f38479186f_ActionId">
    <vt:lpwstr>d3bee66b-e29c-4994-8662-684e139f3077</vt:lpwstr>
  </property>
  <property fmtid="{D5CDD505-2E9C-101B-9397-08002B2CF9AE}" pid="33" name="MSIP_Label_3a7a1c20-cc6b-4730-9360-82f38479186f_ContentBits">
    <vt:lpwstr>0</vt:lpwstr>
  </property>
  <property fmtid="{D5CDD505-2E9C-101B-9397-08002B2CF9AE}" pid="34" name="MSIP_Label_3a7a1c20-cc6b-4730-9360-82f38479186f_Tag">
    <vt:lpwstr>10, 3, 0, 1</vt:lpwstr>
  </property>
</Properties>
</file>