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el"/>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el"/>
          </w:pPr>
        </w:p>
        <w:p w14:paraId="01438AE1" w14:textId="052010EB" w:rsidR="00563C1F" w:rsidRDefault="00EC6066" w:rsidP="00F72D28">
          <w:pPr>
            <w:pStyle w:val="Titel"/>
          </w:pPr>
          <w:r>
            <w:t xml:space="preserve">Reply </w:t>
          </w:r>
          <w:r w:rsidR="00DD03DC">
            <w:t>F</w:t>
          </w:r>
          <w:r>
            <w:t>orm</w:t>
          </w:r>
        </w:p>
        <w:p w14:paraId="031F2108" w14:textId="793B616E" w:rsidR="007E7997" w:rsidRPr="00C01571" w:rsidRDefault="00D77369" w:rsidP="00D77369">
          <w:pPr>
            <w:pStyle w:val="Unt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t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enabsatz"/>
            <w:rPr>
              <w:lang w:val="en-GB"/>
            </w:rPr>
          </w:pPr>
          <w:r w:rsidRPr="00DB2FD6">
            <w:rPr>
              <w:lang w:val="en-GB"/>
            </w:rPr>
            <w:t>respond to the question stated;</w:t>
          </w:r>
        </w:p>
        <w:p w14:paraId="72FD40F6" w14:textId="77777777" w:rsidR="002533FC" w:rsidRPr="00DB2FD6" w:rsidRDefault="002533FC" w:rsidP="00EC6066">
          <w:pPr>
            <w:pStyle w:val="Listenabsatz"/>
            <w:rPr>
              <w:lang w:val="en-GB"/>
            </w:rPr>
          </w:pPr>
          <w:r w:rsidRPr="00DB2FD6">
            <w:rPr>
              <w:lang w:val="en-GB"/>
            </w:rPr>
            <w:t>indicate the specific question to which the comment relates;</w:t>
          </w:r>
        </w:p>
        <w:p w14:paraId="78B206B7" w14:textId="77777777" w:rsidR="002533FC" w:rsidRPr="00E13D25" w:rsidRDefault="002533FC" w:rsidP="00EC6066">
          <w:pPr>
            <w:pStyle w:val="Listenabsatz"/>
          </w:pPr>
          <w:r w:rsidRPr="00E13D25">
            <w:t>contain a clear rationale; and</w:t>
          </w:r>
        </w:p>
        <w:p w14:paraId="60B8834E" w14:textId="77777777" w:rsidR="002533FC" w:rsidRPr="00DB2FD6" w:rsidRDefault="002533FC" w:rsidP="00EC6066">
          <w:pPr>
            <w:pStyle w:val="Listenabsatz"/>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Unt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EndPr/>
          <w:sdtContent>
            <w:tc>
              <w:tcPr>
                <w:tcW w:w="4531" w:type="dxa"/>
              </w:tcPr>
              <w:p w14:paraId="76683ED7" w14:textId="02DEC74A" w:rsidR="00635BCA" w:rsidRPr="00557BD2" w:rsidRDefault="000621F6" w:rsidP="00D21C35">
                <w:r>
                  <w:t>Association of German Public Banks</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EndPr/>
          <w:sdtContent>
            <w:tc>
              <w:tcPr>
                <w:tcW w:w="4531" w:type="dxa"/>
              </w:tcPr>
              <w:p w14:paraId="1185A96B" w14:textId="3C44A943" w:rsidR="00B17279" w:rsidRDefault="000621F6" w:rsidP="00B17279">
                <w:r>
                  <w:t>Other</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1982091919" w:edGrp="everyone" w:displacedByCustomXml="prev"/>
            <w:tc>
              <w:tcPr>
                <w:tcW w:w="4531" w:type="dxa"/>
              </w:tcPr>
              <w:p w14:paraId="10359AFE" w14:textId="2A967E5E" w:rsidR="00B17279" w:rsidRDefault="000621F6"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73F283F9" w:rsidR="00B17279" w:rsidRPr="00557BD2" w:rsidRDefault="000621F6" w:rsidP="00B17279">
                <w:r>
                  <w:t>Germany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berschrift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48786A12" w14:textId="77777777" w:rsidR="000621F6" w:rsidRDefault="000621F6" w:rsidP="000621F6">
      <w:pPr>
        <w:jc w:val="left"/>
        <w:rPr>
          <w:lang w:val="en-US"/>
        </w:rPr>
      </w:pPr>
      <w:permStart w:id="1961835906" w:edGrp="everyone"/>
      <w:r w:rsidRPr="002300DF">
        <w:rPr>
          <w:lang w:val="en-US"/>
        </w:rPr>
        <w:t>No. We assume - as do the NCAs themselves - that the NCAs already have all the data they need.</w:t>
      </w:r>
    </w:p>
    <w:p w14:paraId="4E89FEF1" w14:textId="77777777" w:rsidR="000621F6" w:rsidRPr="002300DF" w:rsidRDefault="000621F6" w:rsidP="000621F6">
      <w:pPr>
        <w:jc w:val="left"/>
        <w:rPr>
          <w:lang w:val="en-US"/>
        </w:rPr>
      </w:pPr>
      <w:r>
        <w:rPr>
          <w:lang w:val="en-US"/>
        </w:rPr>
        <w:t>We, the association of German public banks, representing around 60 banking institutions - including Landesbanken, promotional banks such as KfW, as well as DZ Bank - have discussed the consultation paper at length with our members and are of the following opinion:</w:t>
      </w:r>
    </w:p>
    <w:p w14:paraId="1F064B8E" w14:textId="77777777" w:rsidR="000621F6" w:rsidRPr="00F34BE4" w:rsidRDefault="000621F6" w:rsidP="000621F6">
      <w:pPr>
        <w:jc w:val="left"/>
        <w:rPr>
          <w:lang w:val="en-US"/>
        </w:rPr>
      </w:pPr>
      <w:r w:rsidRPr="00F34BE4">
        <w:rPr>
          <w:lang w:val="en-US"/>
        </w:rPr>
        <w:t>Despite ESMA's own thorough and commendably rigorous analysis, the conclusion to establish yet another reporting framework cannot be supported</w:t>
      </w:r>
      <w:r>
        <w:rPr>
          <w:lang w:val="en-US"/>
        </w:rPr>
        <w:t xml:space="preserve">, </w:t>
      </w:r>
      <w:r w:rsidRPr="00F34BE4">
        <w:rPr>
          <w:lang w:val="en-US"/>
        </w:rPr>
        <w:t>particularly given that the analysis itself found that almost all relevant data already exists. The feedback from NCAs was unambiguous on this point. As ESMA notes in recital 15, supervisors across jurisdictions consistently indicated that "</w:t>
      </w:r>
      <w:r w:rsidRPr="00F34BE4">
        <w:rPr>
          <w:i/>
          <w:lang w:val="en-US"/>
        </w:rPr>
        <w:t>the information to be reported under Article 7d is not considered necessary for their supervisory or monitoring activities.</w:t>
      </w:r>
      <w:r w:rsidRPr="00F34BE4">
        <w:rPr>
          <w:lang w:val="en-US"/>
        </w:rPr>
        <w:t>" That is a remarkable finding, and it deserves a more consequential response than proceeding with the reporting obligation regardless.</w:t>
      </w:r>
    </w:p>
    <w:p w14:paraId="4F8D3E8F" w14:textId="77777777" w:rsidR="000621F6" w:rsidRDefault="000621F6" w:rsidP="000621F6">
      <w:pPr>
        <w:jc w:val="left"/>
        <w:rPr>
          <w:lang w:val="en-US"/>
        </w:rPr>
      </w:pPr>
      <w:r w:rsidRPr="00F34BE4">
        <w:rPr>
          <w:lang w:val="en-US"/>
        </w:rPr>
        <w:t>The result would be a</w:t>
      </w:r>
      <w:r>
        <w:rPr>
          <w:lang w:val="en-US"/>
        </w:rPr>
        <w:t xml:space="preserve"> new reporting </w:t>
      </w:r>
      <w:r w:rsidRPr="00F34BE4">
        <w:rPr>
          <w:lang w:val="en-US"/>
        </w:rPr>
        <w:t xml:space="preserve">obligation </w:t>
      </w:r>
      <w:r>
        <w:rPr>
          <w:lang w:val="en-US"/>
        </w:rPr>
        <w:t xml:space="preserve">of data elements </w:t>
      </w:r>
      <w:r w:rsidRPr="00F34BE4">
        <w:rPr>
          <w:lang w:val="en-US"/>
        </w:rPr>
        <w:t xml:space="preserve">whose designated recipients </w:t>
      </w:r>
      <w:r>
        <w:rPr>
          <w:lang w:val="en-US"/>
        </w:rPr>
        <w:t xml:space="preserve">- </w:t>
      </w:r>
      <w:r w:rsidRPr="00F34BE4">
        <w:rPr>
          <w:lang w:val="en-US"/>
        </w:rPr>
        <w:t xml:space="preserve">the NCAs </w:t>
      </w:r>
      <w:r>
        <w:rPr>
          <w:lang w:val="en-US"/>
        </w:rPr>
        <w:t xml:space="preserve">- </w:t>
      </w:r>
      <w:r w:rsidRPr="00F34BE4">
        <w:rPr>
          <w:lang w:val="en-US"/>
        </w:rPr>
        <w:t xml:space="preserve">have themselves declared it superfluous. A framework that binds resources on both sides of the reporting relationship, at market participants who must build and operate it and at authorities who have stated they do not need its output, is </w:t>
      </w:r>
      <w:r>
        <w:rPr>
          <w:lang w:val="en-US"/>
        </w:rPr>
        <w:t xml:space="preserve">a prime example </w:t>
      </w:r>
      <w:r w:rsidRPr="00F34BE4">
        <w:rPr>
          <w:lang w:val="en-US"/>
        </w:rPr>
        <w:t>of effort without benefit. It should not be created.</w:t>
      </w:r>
    </w:p>
    <w:p w14:paraId="78A5C1B9" w14:textId="77777777" w:rsidR="000621F6" w:rsidRPr="00F34BE4" w:rsidRDefault="000621F6" w:rsidP="000621F6">
      <w:pPr>
        <w:jc w:val="left"/>
        <w:rPr>
          <w:lang w:val="en-US"/>
        </w:rPr>
      </w:pPr>
      <w:r w:rsidRPr="00F34BE4">
        <w:rPr>
          <w:lang w:val="en-US"/>
        </w:rPr>
        <w:lastRenderedPageBreak/>
        <w:t>This aligns directly with the message set out by Klaus Löber at the ESMA conference on 2 September 2026</w:t>
      </w:r>
      <w:r>
        <w:rPr>
          <w:lang w:val="en-US"/>
        </w:rPr>
        <w:t xml:space="preserve"> (</w:t>
      </w:r>
      <w:hyperlink r:id="rId18" w:history="1">
        <w:r w:rsidRPr="000D672C">
          <w:rPr>
            <w:rStyle w:val="Hyperlink"/>
            <w:lang w:val="en-US"/>
          </w:rPr>
          <w:t>https://www.esma.europa.eu/sites/default/files/2026-09/ESMA91-721126732-3487_Klaus_Loeber_speech_Post-trade_360_speech.pdf</w:t>
        </w:r>
      </w:hyperlink>
      <w:proofErr w:type="gramStart"/>
      <w:r>
        <w:rPr>
          <w:lang w:val="en-US"/>
        </w:rPr>
        <w:t xml:space="preserve">) </w:t>
      </w:r>
      <w:r w:rsidRPr="00F34BE4">
        <w:rPr>
          <w:lang w:val="en-US"/>
        </w:rPr>
        <w:t>.</w:t>
      </w:r>
      <w:proofErr w:type="gramEnd"/>
      <w:r w:rsidRPr="00F34BE4">
        <w:rPr>
          <w:lang w:val="en-US"/>
        </w:rPr>
        <w:t xml:space="preserve"> As he emphasi</w:t>
      </w:r>
      <w:r>
        <w:rPr>
          <w:lang w:val="en-US"/>
        </w:rPr>
        <w:t>z</w:t>
      </w:r>
      <w:r w:rsidRPr="00F34BE4">
        <w:rPr>
          <w:lang w:val="en-US"/>
        </w:rPr>
        <w:t>ed, the simplification and burden-reduction agenda "should not be misunderstood as deregulation"</w:t>
      </w:r>
      <w:r>
        <w:rPr>
          <w:lang w:val="en-US"/>
        </w:rPr>
        <w:t>. I</w:t>
      </w:r>
      <w:r w:rsidRPr="00F34BE4">
        <w:rPr>
          <w:lang w:val="en-US"/>
        </w:rPr>
        <w:t>t is "about making rules more effective, more coherent and less duplicative" and "about ensuring that supervisory reporting produces information that authorities can actually use." The task, in his words, is "to distinguish between useful complexity and unnecessary complexity," where useful complexity reflects real risks while unnecessary complexity "absorbs resources without improving resilience." The stated goal is "less burden where risk is low or information is duplicative; more focus where risk is material, cross-border or systemic."</w:t>
      </w:r>
    </w:p>
    <w:p w14:paraId="0A05C4E1" w14:textId="77777777" w:rsidR="000621F6" w:rsidRPr="00F34BE4" w:rsidRDefault="000621F6" w:rsidP="000621F6">
      <w:pPr>
        <w:jc w:val="left"/>
        <w:rPr>
          <w:lang w:val="en-US"/>
        </w:rPr>
      </w:pPr>
      <w:r w:rsidRPr="00F34BE4">
        <w:rPr>
          <w:lang w:val="en-US"/>
        </w:rPr>
        <w:t xml:space="preserve">Measured against that standard, the </w:t>
      </w:r>
      <w:r>
        <w:rPr>
          <w:lang w:val="en-US"/>
        </w:rPr>
        <w:t xml:space="preserve">data to be reported under </w:t>
      </w:r>
      <w:r w:rsidRPr="00F34BE4">
        <w:rPr>
          <w:lang w:val="en-US"/>
        </w:rPr>
        <w:t>Article 7d</w:t>
      </w:r>
      <w:r>
        <w:rPr>
          <w:lang w:val="en-US"/>
        </w:rPr>
        <w:t xml:space="preserve"> EMIR</w:t>
      </w:r>
      <w:r w:rsidRPr="00F34BE4">
        <w:rPr>
          <w:lang w:val="en-US"/>
        </w:rPr>
        <w:t xml:space="preserve"> is largely duplicative, the addressees consider it unnecessary, and the information </w:t>
      </w:r>
      <w:r>
        <w:rPr>
          <w:lang w:val="en-US"/>
        </w:rPr>
        <w:t xml:space="preserve">is easily available from the third country </w:t>
      </w:r>
      <w:r w:rsidRPr="00F34BE4">
        <w:rPr>
          <w:lang w:val="en-US"/>
        </w:rPr>
        <w:t>CCPs</w:t>
      </w:r>
      <w:r>
        <w:rPr>
          <w:lang w:val="en-US"/>
        </w:rPr>
        <w:t xml:space="preserve"> (TC CCPs, cf. below)</w:t>
      </w:r>
      <w:r w:rsidRPr="00F34BE4">
        <w:rPr>
          <w:lang w:val="en-US"/>
        </w:rPr>
        <w:t>. This is precisely the "unnecessary complexity" that the agenda seeks to remove.</w:t>
      </w:r>
    </w:p>
    <w:p w14:paraId="1A5EAA28" w14:textId="77777777" w:rsidR="000621F6" w:rsidRPr="008407E8" w:rsidRDefault="000621F6" w:rsidP="000621F6">
      <w:pPr>
        <w:jc w:val="left"/>
        <w:rPr>
          <w:u w:val="single"/>
          <w:lang w:val="en-US"/>
        </w:rPr>
      </w:pPr>
      <w:r w:rsidRPr="008407E8">
        <w:rPr>
          <w:u w:val="single"/>
          <w:lang w:val="en-US"/>
        </w:rPr>
        <w:t>No backloading of historical data — an established Union precedent</w:t>
      </w:r>
    </w:p>
    <w:p w14:paraId="3CB27FC5" w14:textId="77777777" w:rsidR="000621F6" w:rsidRPr="00F34BE4" w:rsidRDefault="000621F6" w:rsidP="000621F6">
      <w:pPr>
        <w:jc w:val="left"/>
        <w:rPr>
          <w:lang w:val="en-US"/>
        </w:rPr>
      </w:pPr>
      <w:r w:rsidRPr="00F34BE4">
        <w:rPr>
          <w:lang w:val="en-US"/>
        </w:rPr>
        <w:t xml:space="preserve">There </w:t>
      </w:r>
      <w:r>
        <w:rPr>
          <w:lang w:val="en-US"/>
        </w:rPr>
        <w:t xml:space="preserve">the </w:t>
      </w:r>
      <w:r w:rsidRPr="00F34BE4">
        <w:rPr>
          <w:lang w:val="en-US"/>
        </w:rPr>
        <w:t>retroactive reporting obligation</w:t>
      </w:r>
      <w:r>
        <w:rPr>
          <w:lang w:val="en-US"/>
        </w:rPr>
        <w:t xml:space="preserve"> starting 2025 should be abandoned</w:t>
      </w:r>
      <w:r w:rsidRPr="00F34BE4">
        <w:rPr>
          <w:lang w:val="en-US"/>
        </w:rPr>
        <w:t xml:space="preserve">. The </w:t>
      </w:r>
      <w:r>
        <w:rPr>
          <w:lang w:val="en-US"/>
        </w:rPr>
        <w:t xml:space="preserve">European </w:t>
      </w:r>
      <w:r w:rsidRPr="00F34BE4">
        <w:rPr>
          <w:lang w:val="en-US"/>
        </w:rPr>
        <w:t>Commission has</w:t>
      </w:r>
      <w:r>
        <w:rPr>
          <w:lang w:val="en-US"/>
        </w:rPr>
        <w:t xml:space="preserve"> in its report dated 23 November 2016 (</w:t>
      </w:r>
      <w:hyperlink r:id="rId19" w:history="1">
        <w:proofErr w:type="gramStart"/>
        <w:r w:rsidRPr="003650BF">
          <w:rPr>
            <w:rStyle w:val="Hyperlink"/>
            <w:lang w:val="en-US"/>
          </w:rPr>
          <w:t>COM(</w:t>
        </w:r>
        <w:proofErr w:type="gramEnd"/>
        <w:r w:rsidRPr="003650BF">
          <w:rPr>
            <w:rStyle w:val="Hyperlink"/>
            <w:lang w:val="en-US"/>
          </w:rPr>
          <w:t>2016) 857</w:t>
        </w:r>
      </w:hyperlink>
      <w:r>
        <w:rPr>
          <w:lang w:val="en-US"/>
        </w:rPr>
        <w:t xml:space="preserve">, </w:t>
      </w:r>
      <w:r w:rsidRPr="00F34BE4">
        <w:rPr>
          <w:lang w:val="en-US"/>
        </w:rPr>
        <w:t>see Chapter 4.</w:t>
      </w:r>
      <w:r>
        <w:rPr>
          <w:lang w:val="en-US"/>
        </w:rPr>
        <w:t>2</w:t>
      </w:r>
      <w:r w:rsidRPr="00F34BE4">
        <w:rPr>
          <w:lang w:val="en-US"/>
        </w:rPr>
        <w:t>.</w:t>
      </w:r>
      <w:r>
        <w:rPr>
          <w:lang w:val="en-US"/>
        </w:rPr>
        <w:t>1</w:t>
      </w:r>
      <w:r w:rsidRPr="00F34BE4">
        <w:rPr>
          <w:lang w:val="en-US"/>
        </w:rPr>
        <w:t xml:space="preserve">) </w:t>
      </w:r>
      <w:r>
        <w:rPr>
          <w:lang w:val="en-US"/>
        </w:rPr>
        <w:t xml:space="preserve">assessed </w:t>
      </w:r>
      <w:r w:rsidRPr="00F34BE4">
        <w:rPr>
          <w:lang w:val="en-US"/>
        </w:rPr>
        <w:t>the "backloading" of historical trades under EMIR</w:t>
      </w:r>
      <w:r>
        <w:rPr>
          <w:lang w:val="en-US"/>
        </w:rPr>
        <w:t xml:space="preserve">. </w:t>
      </w:r>
      <w:r w:rsidRPr="003650BF">
        <w:rPr>
          <w:lang w:val="en-US"/>
        </w:rPr>
        <w:t xml:space="preserve">It </w:t>
      </w:r>
      <w:r>
        <w:rPr>
          <w:lang w:val="en-US"/>
        </w:rPr>
        <w:t>has taken the view that “</w:t>
      </w:r>
      <w:r w:rsidRPr="003650BF">
        <w:rPr>
          <w:i/>
          <w:lang w:val="en-US"/>
        </w:rPr>
        <w:t>It is appropriate to review to what extent transactions entered into before the clearing obligation enters into force […] should remain in scope of the relevant requirements</w:t>
      </w:r>
      <w:r>
        <w:rPr>
          <w:lang w:val="en-US"/>
        </w:rPr>
        <w:t>”</w:t>
      </w:r>
      <w:r w:rsidRPr="003650BF">
        <w:rPr>
          <w:lang w:val="en-US"/>
        </w:rPr>
        <w:t>.</w:t>
      </w:r>
      <w:r>
        <w:rPr>
          <w:lang w:val="en-US"/>
        </w:rPr>
        <w:t xml:space="preserve"> The </w:t>
      </w:r>
      <w:r w:rsidRPr="00F34BE4">
        <w:rPr>
          <w:lang w:val="en-US"/>
        </w:rPr>
        <w:t xml:space="preserve">backloading </w:t>
      </w:r>
      <w:r>
        <w:rPr>
          <w:lang w:val="en-US"/>
        </w:rPr>
        <w:t xml:space="preserve">of </w:t>
      </w:r>
      <w:r w:rsidRPr="00F34BE4">
        <w:rPr>
          <w:lang w:val="en-US"/>
        </w:rPr>
        <w:t>historical data was assessed as disproportionate and was subsequently removed. The same reasoning applies here: the cost and complexity of reconstructing and reporting historical positions bear no reasonable relation to any supervisory value, especially where the broad development of the market can already be discerned from the TC CCP reports. Historical reporting should therefore be d</w:t>
      </w:r>
      <w:r>
        <w:rPr>
          <w:lang w:val="en-US"/>
        </w:rPr>
        <w:t xml:space="preserve">eleted </w:t>
      </w:r>
      <w:r w:rsidRPr="00F34BE4">
        <w:rPr>
          <w:lang w:val="en-US"/>
        </w:rPr>
        <w:t>entirely.</w:t>
      </w:r>
    </w:p>
    <w:p w14:paraId="26DC8E19" w14:textId="77777777" w:rsidR="000621F6" w:rsidRPr="003650BF" w:rsidRDefault="000621F6" w:rsidP="000621F6">
      <w:pPr>
        <w:jc w:val="left"/>
        <w:rPr>
          <w:u w:val="single"/>
          <w:lang w:val="en-US"/>
        </w:rPr>
      </w:pPr>
      <w:r>
        <w:rPr>
          <w:u w:val="single"/>
          <w:lang w:val="en-US"/>
        </w:rPr>
        <w:t>Monitoring a complex product scope</w:t>
      </w:r>
    </w:p>
    <w:p w14:paraId="76440D46" w14:textId="77777777" w:rsidR="000621F6" w:rsidRDefault="000621F6" w:rsidP="000621F6">
      <w:pPr>
        <w:jc w:val="left"/>
        <w:rPr>
          <w:lang w:val="en-US"/>
        </w:rPr>
      </w:pPr>
      <w:r w:rsidRPr="00F34BE4">
        <w:rPr>
          <w:lang w:val="en-US"/>
        </w:rPr>
        <w:t>To identify what falls in and out of scope</w:t>
      </w:r>
      <w:r>
        <w:rPr>
          <w:lang w:val="en-US"/>
        </w:rPr>
        <w:t xml:space="preserve"> (i.e. derivatives and SFTs “no”, other financial and non-financial instruments “yes”)</w:t>
      </w:r>
      <w:r w:rsidRPr="00F34BE4">
        <w:rPr>
          <w:lang w:val="en-US"/>
        </w:rPr>
        <w:t xml:space="preserve">, </w:t>
      </w:r>
      <w:r>
        <w:rPr>
          <w:lang w:val="en-US"/>
        </w:rPr>
        <w:t xml:space="preserve">the market participants </w:t>
      </w:r>
      <w:r w:rsidRPr="00F34BE4">
        <w:rPr>
          <w:lang w:val="en-US"/>
        </w:rPr>
        <w:t xml:space="preserve">must establish and operate a permanent monitoring cycle. </w:t>
      </w:r>
      <w:r>
        <w:rPr>
          <w:lang w:val="en-US"/>
        </w:rPr>
        <w:t>Here, t</w:t>
      </w:r>
      <w:r w:rsidRPr="00F34BE4">
        <w:rPr>
          <w:lang w:val="en-US"/>
        </w:rPr>
        <w:t xml:space="preserve">he recurring cost lies not only in the act of reporting but in the continuous obligation to observe, classify and document positions </w:t>
      </w:r>
      <w:proofErr w:type="gramStart"/>
      <w:r w:rsidRPr="00F34BE4">
        <w:rPr>
          <w:lang w:val="en-US"/>
        </w:rPr>
        <w:t>in order to</w:t>
      </w:r>
      <w:proofErr w:type="gramEnd"/>
      <w:r w:rsidRPr="00F34BE4">
        <w:rPr>
          <w:lang w:val="en-US"/>
        </w:rPr>
        <w:t xml:space="preserve"> determine reportability at all. A </w:t>
      </w:r>
      <w:r>
        <w:rPr>
          <w:lang w:val="en-US"/>
        </w:rPr>
        <w:t xml:space="preserve">rather limited </w:t>
      </w:r>
      <w:r w:rsidRPr="00F34BE4">
        <w:rPr>
          <w:lang w:val="en-US"/>
        </w:rPr>
        <w:t xml:space="preserve">scope therefore reduces the visible output, not the </w:t>
      </w:r>
      <w:r>
        <w:rPr>
          <w:lang w:val="en-US"/>
        </w:rPr>
        <w:t xml:space="preserve">enormous </w:t>
      </w:r>
      <w:r w:rsidRPr="00F34BE4">
        <w:rPr>
          <w:lang w:val="en-US"/>
        </w:rPr>
        <w:t>structural burden.</w:t>
      </w:r>
    </w:p>
    <w:p w14:paraId="2BBE3F7A" w14:textId="77777777" w:rsidR="000621F6" w:rsidRPr="00EF2DA5" w:rsidRDefault="000621F6" w:rsidP="000621F6">
      <w:pPr>
        <w:jc w:val="left"/>
        <w:rPr>
          <w:u w:val="single"/>
          <w:lang w:val="en-US"/>
        </w:rPr>
      </w:pPr>
      <w:r w:rsidRPr="00EF2DA5">
        <w:rPr>
          <w:u w:val="single"/>
          <w:lang w:val="en-US"/>
        </w:rPr>
        <w:t>Possible unintended consequences</w:t>
      </w:r>
    </w:p>
    <w:p w14:paraId="3C95E757" w14:textId="77777777" w:rsidR="000621F6" w:rsidRPr="00F34BE4" w:rsidRDefault="000621F6" w:rsidP="000621F6">
      <w:pPr>
        <w:jc w:val="left"/>
        <w:rPr>
          <w:lang w:val="en-US"/>
        </w:rPr>
      </w:pPr>
      <w:r>
        <w:lastRenderedPageBreak/>
        <w:t>We</w:t>
      </w:r>
      <w:r w:rsidRPr="00EF2DA5">
        <w:t xml:space="preserve"> are concerned about the risk of unintended consequences. The reporting obligation, as currently envisaged, may not achieve its stated supervisory objective</w:t>
      </w:r>
      <w:r>
        <w:t xml:space="preserve"> but </w:t>
      </w:r>
      <w:r w:rsidRPr="00EF2DA5">
        <w:t xml:space="preserve">it risks effectively deterring market participants from engaging with </w:t>
      </w:r>
      <w:r>
        <w:t>TC-</w:t>
      </w:r>
      <w:r w:rsidRPr="00EF2DA5">
        <w:t xml:space="preserve">CCPs altogether. If institutions conclude that the compliance burden of monitoring and reporting </w:t>
      </w:r>
      <w:r>
        <w:t xml:space="preserve">only </w:t>
      </w:r>
      <w:r w:rsidRPr="00EF2DA5">
        <w:t xml:space="preserve">a </w:t>
      </w:r>
      <w:r>
        <w:t xml:space="preserve">few </w:t>
      </w:r>
      <w:r w:rsidRPr="00EF2DA5">
        <w:t>transactions outweighs the business rationale, the rational response will be to exit that market entirely. The result would not be greater transparency, but the quiet elimination of a business segment</w:t>
      </w:r>
      <w:r>
        <w:t>. A</w:t>
      </w:r>
      <w:r w:rsidRPr="00EF2DA5">
        <w:t xml:space="preserve">n outcome that was presumably not the legislator's intent and </w:t>
      </w:r>
      <w:r>
        <w:t>which</w:t>
      </w:r>
      <w:r w:rsidRPr="00EF2DA5">
        <w:t xml:space="preserve"> warrants careful reconsideration.</w:t>
      </w:r>
    </w:p>
    <w:p w14:paraId="5DD8BB09" w14:textId="77777777" w:rsidR="000621F6" w:rsidRPr="00657C01" w:rsidRDefault="000621F6" w:rsidP="000621F6">
      <w:pPr>
        <w:jc w:val="left"/>
        <w:rPr>
          <w:u w:val="single"/>
          <w:lang w:val="en-US"/>
        </w:rPr>
      </w:pPr>
      <w:r w:rsidRPr="00657C01">
        <w:rPr>
          <w:u w:val="single"/>
          <w:lang w:val="en-US"/>
        </w:rPr>
        <w:t>An unexplained inconsistency in prioritisation</w:t>
      </w:r>
    </w:p>
    <w:p w14:paraId="5E8C3E94" w14:textId="77777777" w:rsidR="000621F6" w:rsidRDefault="000621F6" w:rsidP="000621F6">
      <w:pPr>
        <w:jc w:val="left"/>
        <w:rPr>
          <w:lang w:val="en-US"/>
        </w:rPr>
      </w:pPr>
      <w:r w:rsidRPr="00F34BE4">
        <w:rPr>
          <w:lang w:val="en-US"/>
        </w:rPr>
        <w:t>The A</w:t>
      </w:r>
      <w:r>
        <w:rPr>
          <w:lang w:val="en-US"/>
        </w:rPr>
        <w:t xml:space="preserve">rticle </w:t>
      </w:r>
      <w:r w:rsidRPr="00F34BE4">
        <w:rPr>
          <w:lang w:val="en-US"/>
        </w:rPr>
        <w:t>7d</w:t>
      </w:r>
      <w:r>
        <w:rPr>
          <w:lang w:val="en-US"/>
        </w:rPr>
        <w:t xml:space="preserve"> reporting RTS </w:t>
      </w:r>
      <w:r w:rsidRPr="00F34BE4">
        <w:rPr>
          <w:lang w:val="en-US"/>
        </w:rPr>
        <w:t xml:space="preserve">was proactively put on hold by ESMA </w:t>
      </w:r>
      <w:r>
        <w:rPr>
          <w:lang w:val="en-US"/>
        </w:rPr>
        <w:t xml:space="preserve">– based on another reasoning but </w:t>
      </w:r>
      <w:proofErr w:type="gramStart"/>
      <w:r>
        <w:rPr>
          <w:lang w:val="en-US"/>
        </w:rPr>
        <w:t>all the more</w:t>
      </w:r>
      <w:proofErr w:type="gramEnd"/>
      <w:r>
        <w:rPr>
          <w:lang w:val="en-US"/>
        </w:rPr>
        <w:t xml:space="preserve"> a </w:t>
      </w:r>
      <w:r w:rsidRPr="00F34BE4">
        <w:rPr>
          <w:lang w:val="en-US"/>
        </w:rPr>
        <w:t>sensible step</w:t>
      </w:r>
      <w:r>
        <w:rPr>
          <w:lang w:val="en-US"/>
        </w:rPr>
        <w:t xml:space="preserve"> based on the analysis above (</w:t>
      </w:r>
      <w:hyperlink r:id="rId20" w:history="1">
        <w:r w:rsidRPr="000D672C">
          <w:rPr>
            <w:rStyle w:val="Hyperlink"/>
            <w:lang w:val="en-US"/>
          </w:rPr>
          <w:t>https://www.esma.europa.eu/sites/default/files/2025-03/ESMA22-50751485-1598_Letter_from_Chair_on_prioritisation_2025.pdf</w:t>
        </w:r>
      </w:hyperlink>
      <w:r>
        <w:rPr>
          <w:lang w:val="en-US"/>
        </w:rPr>
        <w:t>)</w:t>
      </w:r>
      <w:r w:rsidRPr="00F34BE4">
        <w:rPr>
          <w:lang w:val="en-US"/>
        </w:rPr>
        <w:t xml:space="preserve">. Yet it was not included by the </w:t>
      </w:r>
      <w:r>
        <w:rPr>
          <w:lang w:val="en-US"/>
        </w:rPr>
        <w:t xml:space="preserve">European </w:t>
      </w:r>
      <w:r w:rsidRPr="00F34BE4">
        <w:rPr>
          <w:lang w:val="en-US"/>
        </w:rPr>
        <w:t>Commission in the list of RTS to be de-prioritised</w:t>
      </w:r>
      <w:r>
        <w:rPr>
          <w:lang w:val="en-US"/>
        </w:rPr>
        <w:t xml:space="preserve"> – and maybe ultimately to be abandoned after the respective Level 1 change deleting such a requirement (</w:t>
      </w:r>
      <w:hyperlink r:id="rId21" w:history="1">
        <w:r w:rsidRPr="000D672C">
          <w:rPr>
            <w:rStyle w:val="Hyperlink"/>
            <w:lang w:val="en-US"/>
          </w:rPr>
          <w:t>https://finance.ec.europa.eu/publications/de-prioritisation-level-2-acts-financial-services-legislation_en</w:t>
        </w:r>
      </w:hyperlink>
      <w:r>
        <w:rPr>
          <w:lang w:val="en-US"/>
        </w:rPr>
        <w:t>)</w:t>
      </w:r>
      <w:r w:rsidRPr="00F34BE4">
        <w:rPr>
          <w:lang w:val="en-US"/>
        </w:rPr>
        <w:t>.</w:t>
      </w:r>
    </w:p>
    <w:p w14:paraId="4549ACB3" w14:textId="77777777" w:rsidR="000621F6" w:rsidRPr="00F34BE4" w:rsidRDefault="000621F6" w:rsidP="000621F6">
      <w:pPr>
        <w:jc w:val="left"/>
        <w:rPr>
          <w:u w:val="single"/>
          <w:lang w:val="en-US"/>
        </w:rPr>
      </w:pPr>
      <w:r>
        <w:rPr>
          <w:u w:val="single"/>
          <w:lang w:val="en-US"/>
        </w:rPr>
        <w:t>Considering a</w:t>
      </w:r>
      <w:r w:rsidRPr="00F34BE4">
        <w:rPr>
          <w:u w:val="single"/>
          <w:lang w:val="en-US"/>
        </w:rPr>
        <w:t xml:space="preserve"> source-based approach </w:t>
      </w:r>
    </w:p>
    <w:p w14:paraId="36732F50" w14:textId="77777777" w:rsidR="000621F6" w:rsidRPr="00F34BE4" w:rsidRDefault="000621F6" w:rsidP="000621F6">
      <w:pPr>
        <w:jc w:val="left"/>
        <w:rPr>
          <w:lang w:val="en-US"/>
        </w:rPr>
      </w:pPr>
      <w:r>
        <w:rPr>
          <w:lang w:val="en-US"/>
        </w:rPr>
        <w:t xml:space="preserve">According to </w:t>
      </w:r>
      <w:r w:rsidRPr="00F34BE4">
        <w:rPr>
          <w:lang w:val="en-US"/>
        </w:rPr>
        <w:t>footnote 7</w:t>
      </w:r>
      <w:r>
        <w:rPr>
          <w:lang w:val="en-US"/>
        </w:rPr>
        <w:t xml:space="preserve">, the </w:t>
      </w:r>
      <w:r w:rsidRPr="00F34BE4">
        <w:rPr>
          <w:lang w:val="en-US"/>
        </w:rPr>
        <w:t xml:space="preserve">reporting obligation was originally designed to apply directly to </w:t>
      </w:r>
      <w:r>
        <w:rPr>
          <w:lang w:val="en-US"/>
        </w:rPr>
        <w:t xml:space="preserve">TC </w:t>
      </w:r>
      <w:r w:rsidRPr="00F34BE4">
        <w:rPr>
          <w:lang w:val="en-US"/>
        </w:rPr>
        <w:t>CCPs</w:t>
      </w:r>
      <w:r>
        <w:rPr>
          <w:lang w:val="en-US"/>
        </w:rPr>
        <w:t>. A</w:t>
      </w:r>
      <w:r w:rsidRPr="00F34BE4">
        <w:rPr>
          <w:lang w:val="en-US"/>
        </w:rPr>
        <w:t xml:space="preserve"> logical and proportionate approach, as they hold all the relevant data. During the EMIR 3 negotiations it was deemed disproportionate to impose this burden on Tier 1 TC CCPs. Yet rather than dropping or redesigning the requirement, the obligation was simply shifted to EU clearing members and clients instead.</w:t>
      </w:r>
      <w:r>
        <w:rPr>
          <w:lang w:val="en-US"/>
        </w:rPr>
        <w:t xml:space="preserve"> This is </w:t>
      </w:r>
      <w:r w:rsidRPr="00F34BE4">
        <w:rPr>
          <w:lang w:val="en-US"/>
        </w:rPr>
        <w:t>the precise opposite of the burden-reduction agenda that ESMA itself cites in recital 12.</w:t>
      </w:r>
    </w:p>
    <w:p w14:paraId="7BEAD332" w14:textId="77777777" w:rsidR="000621F6" w:rsidRPr="00F34BE4" w:rsidRDefault="000621F6" w:rsidP="000621F6">
      <w:pPr>
        <w:jc w:val="left"/>
        <w:rPr>
          <w:lang w:val="en-US"/>
        </w:rPr>
      </w:pPr>
      <w:r w:rsidRPr="00F34BE4">
        <w:rPr>
          <w:lang w:val="en-US"/>
        </w:rPr>
        <w:t xml:space="preserve">The </w:t>
      </w:r>
      <w:r>
        <w:rPr>
          <w:lang w:val="en-US"/>
        </w:rPr>
        <w:t xml:space="preserve">missing </w:t>
      </w:r>
      <w:r w:rsidRPr="00F34BE4">
        <w:rPr>
          <w:lang w:val="en-US"/>
        </w:rPr>
        <w:t xml:space="preserve">data points should be retrievable through the existing annual data request to Tier 1 CCPs. </w:t>
      </w:r>
      <w:r>
        <w:rPr>
          <w:lang w:val="en-US"/>
        </w:rPr>
        <w:t>To the extent possible, a</w:t>
      </w:r>
      <w:r w:rsidRPr="00F34BE4">
        <w:rPr>
          <w:lang w:val="en-US"/>
        </w:rPr>
        <w:t xml:space="preserve"> source-based approach should be pursued</w:t>
      </w:r>
      <w:r>
        <w:rPr>
          <w:lang w:val="en-US"/>
        </w:rPr>
        <w:t>.</w:t>
      </w:r>
    </w:p>
    <w:p w14:paraId="7AB51BC6" w14:textId="77777777" w:rsidR="000621F6" w:rsidRPr="00540853" w:rsidRDefault="000621F6" w:rsidP="000621F6">
      <w:pPr>
        <w:jc w:val="left"/>
        <w:rPr>
          <w:u w:val="single"/>
          <w:lang w:val="en-US"/>
        </w:rPr>
      </w:pPr>
      <w:r w:rsidRPr="00540853">
        <w:rPr>
          <w:u w:val="single"/>
          <w:lang w:val="en-US"/>
        </w:rPr>
        <w:t xml:space="preserve">The consultation and </w:t>
      </w:r>
      <w:r>
        <w:rPr>
          <w:u w:val="single"/>
          <w:lang w:val="en-US"/>
        </w:rPr>
        <w:t xml:space="preserve">the </w:t>
      </w:r>
      <w:r w:rsidRPr="00540853">
        <w:rPr>
          <w:u w:val="single"/>
          <w:lang w:val="en-US"/>
        </w:rPr>
        <w:t>resulting reporting obligation should not be a mere fulfilment of the mandate.</w:t>
      </w:r>
    </w:p>
    <w:p w14:paraId="10F76974" w14:textId="77777777" w:rsidR="000621F6" w:rsidRPr="00F34BE4" w:rsidRDefault="000621F6" w:rsidP="000621F6">
      <w:pPr>
        <w:jc w:val="left"/>
        <w:rPr>
          <w:lang w:val="en-US"/>
        </w:rPr>
      </w:pPr>
      <w:r w:rsidRPr="00F34BE4">
        <w:rPr>
          <w:lang w:val="en-US"/>
        </w:rPr>
        <w:t xml:space="preserve">Taken together, the Consultation Paper reads as a faithful execution of a Level 1 mandate that is </w:t>
      </w:r>
      <w:proofErr w:type="gramStart"/>
      <w:r>
        <w:rPr>
          <w:lang w:val="en-US"/>
        </w:rPr>
        <w:t xml:space="preserve">in </w:t>
      </w:r>
      <w:r w:rsidRPr="00F34BE4">
        <w:rPr>
          <w:lang w:val="en-US"/>
        </w:rPr>
        <w:t>itself neither</w:t>
      </w:r>
      <w:proofErr w:type="gramEnd"/>
      <w:r w:rsidRPr="00F34BE4">
        <w:rPr>
          <w:lang w:val="en-US"/>
        </w:rPr>
        <w:t xml:space="preserve"> sensible nor proportionate. There is, however, a </w:t>
      </w:r>
      <w:r>
        <w:rPr>
          <w:lang w:val="en-US"/>
        </w:rPr>
        <w:t xml:space="preserve">way out, comparable to the </w:t>
      </w:r>
      <w:r w:rsidRPr="00F34BE4">
        <w:rPr>
          <w:lang w:val="en-US"/>
        </w:rPr>
        <w:t xml:space="preserve">treatment of RTS 22 </w:t>
      </w:r>
      <w:r>
        <w:rPr>
          <w:lang w:val="en-US"/>
        </w:rPr>
        <w:t xml:space="preserve">under the </w:t>
      </w:r>
      <w:r w:rsidRPr="00F34BE4">
        <w:rPr>
          <w:lang w:val="en-US"/>
        </w:rPr>
        <w:t>MiFIR review, where the requirement was discontinued in its entirety</w:t>
      </w:r>
      <w:r>
        <w:rPr>
          <w:lang w:val="en-US"/>
        </w:rPr>
        <w:t xml:space="preserve"> (</w:t>
      </w:r>
      <w:hyperlink r:id="rId22" w:history="1">
        <w:r w:rsidRPr="000D672C">
          <w:rPr>
            <w:rStyle w:val="Hyperlink"/>
            <w:lang w:val="en-US"/>
          </w:rPr>
          <w:t>https://www.esma.europa.eu/sites/default/files/2025-06/ESMA12-2121844265-4779_Final_Report_on_RTS_22_and_24.pdf</w:t>
        </w:r>
      </w:hyperlink>
      <w:r>
        <w:rPr>
          <w:lang w:val="en-US"/>
        </w:rPr>
        <w:t>)</w:t>
      </w:r>
      <w:r w:rsidRPr="00F34BE4">
        <w:rPr>
          <w:lang w:val="en-US"/>
        </w:rPr>
        <w:t>. Given that NCAs do not need the data</w:t>
      </w:r>
      <w:r>
        <w:rPr>
          <w:lang w:val="en-US"/>
        </w:rPr>
        <w:t xml:space="preserve"> and</w:t>
      </w:r>
      <w:r w:rsidRPr="00F34BE4">
        <w:rPr>
          <w:lang w:val="en-US"/>
        </w:rPr>
        <w:t xml:space="preserve"> that the data largely already exists at the TC CCPs, the burden-reducing conclusion is that these requirements </w:t>
      </w:r>
      <w:r w:rsidRPr="002300DF">
        <w:rPr>
          <w:lang w:val="en-US"/>
        </w:rPr>
        <w:t>are unnecessary and harmful</w:t>
      </w:r>
      <w:r w:rsidRPr="00F34BE4">
        <w:rPr>
          <w:lang w:val="en-US"/>
        </w:rPr>
        <w:t xml:space="preserve">. Rather than building a new framework, </w:t>
      </w:r>
      <w:r w:rsidRPr="00F34BE4">
        <w:rPr>
          <w:lang w:val="en-US"/>
        </w:rPr>
        <w:lastRenderedPageBreak/>
        <w:t>ESMA should draw on the TC CCP relationship</w:t>
      </w:r>
      <w:r>
        <w:rPr>
          <w:lang w:val="en-US"/>
        </w:rPr>
        <w:t xml:space="preserve"> </w:t>
      </w:r>
      <w:r w:rsidRPr="00F34BE4">
        <w:rPr>
          <w:lang w:val="en-US"/>
        </w:rPr>
        <w:t>to obtain any genuinely required information at source.</w:t>
      </w:r>
    </w:p>
    <w:p w14:paraId="7E95379E" w14:textId="77777777" w:rsidR="000621F6" w:rsidRPr="00657C01" w:rsidRDefault="000621F6" w:rsidP="000621F6">
      <w:pPr>
        <w:jc w:val="left"/>
        <w:rPr>
          <w:u w:val="single"/>
          <w:lang w:val="en-US"/>
        </w:rPr>
      </w:pPr>
      <w:r w:rsidRPr="00657C01">
        <w:rPr>
          <w:u w:val="single"/>
          <w:lang w:val="en-US"/>
        </w:rPr>
        <w:t>A proportionate fallback: quantify first, decide later</w:t>
      </w:r>
    </w:p>
    <w:p w14:paraId="3D83963E" w14:textId="77777777" w:rsidR="000621F6" w:rsidRPr="00517F61" w:rsidRDefault="000621F6" w:rsidP="000621F6">
      <w:pPr>
        <w:jc w:val="left"/>
        <w:rPr>
          <w:lang w:val="en-US"/>
        </w:rPr>
      </w:pPr>
      <w:r w:rsidRPr="00F34BE4">
        <w:rPr>
          <w:lang w:val="en-US"/>
        </w:rPr>
        <w:t xml:space="preserve">If, notwithstanding the above, the file is pursued, a quantification of the actual </w:t>
      </w:r>
      <w:r>
        <w:rPr>
          <w:lang w:val="en-US"/>
        </w:rPr>
        <w:t xml:space="preserve">affected </w:t>
      </w:r>
      <w:r w:rsidRPr="00F34BE4">
        <w:rPr>
          <w:lang w:val="en-US"/>
        </w:rPr>
        <w:t>business volume of the financial and non-financial counterparties should be carried out first</w:t>
      </w:r>
      <w:r>
        <w:rPr>
          <w:lang w:val="en-US"/>
        </w:rPr>
        <w:t xml:space="preserve">. Only on such evidence, </w:t>
      </w:r>
      <w:r w:rsidRPr="00F34BE4">
        <w:rPr>
          <w:lang w:val="en-US"/>
        </w:rPr>
        <w:t xml:space="preserve">the genuine relevance of the reporting </w:t>
      </w:r>
      <w:r>
        <w:rPr>
          <w:lang w:val="en-US"/>
        </w:rPr>
        <w:t xml:space="preserve">requirement - which will require numerous market participants to set up a new, onerous and burdensome reporting framework, including monitoring etc. - </w:t>
      </w:r>
      <w:r w:rsidRPr="00F34BE4">
        <w:rPr>
          <w:lang w:val="en-US"/>
        </w:rPr>
        <w:t xml:space="preserve">can </w:t>
      </w:r>
      <w:r>
        <w:rPr>
          <w:lang w:val="en-US"/>
        </w:rPr>
        <w:t xml:space="preserve">truly </w:t>
      </w:r>
      <w:r w:rsidRPr="00F34BE4">
        <w:rPr>
          <w:lang w:val="en-US"/>
        </w:rPr>
        <w:t xml:space="preserve">be established. </w:t>
      </w:r>
      <w:r>
        <w:rPr>
          <w:lang w:val="en-US"/>
        </w:rPr>
        <w:t>Any additional reporting obligation can only be justified w</w:t>
      </w:r>
      <w:r w:rsidRPr="00F34BE4">
        <w:rPr>
          <w:lang w:val="en-US"/>
        </w:rPr>
        <w:t xml:space="preserve">here that quantification demonstrates material, cross-border systemic exposure </w:t>
      </w:r>
      <w:r>
        <w:rPr>
          <w:lang w:val="en-US"/>
        </w:rPr>
        <w:t xml:space="preserve">- </w:t>
      </w:r>
      <w:r w:rsidRPr="00F34BE4">
        <w:rPr>
          <w:lang w:val="en-US"/>
        </w:rPr>
        <w:t xml:space="preserve">precisely the risk-based </w:t>
      </w:r>
      <w:r>
        <w:rPr>
          <w:lang w:val="en-US"/>
        </w:rPr>
        <w:t xml:space="preserve">approach </w:t>
      </w:r>
      <w:r w:rsidRPr="00F34BE4">
        <w:rPr>
          <w:lang w:val="en-US"/>
        </w:rPr>
        <w:t>that ESMA itself has endorsed.</w:t>
      </w:r>
      <w:r>
        <w:rPr>
          <w:lang w:val="en-US"/>
        </w:rPr>
        <w:t xml:space="preserve"> To this end</w:t>
      </w:r>
      <w:r w:rsidRPr="00EF2DA5">
        <w:t xml:space="preserve">, we would recommend conducting a thorough cost-benefit analysis before </w:t>
      </w:r>
      <w:r>
        <w:t xml:space="preserve">implementing any new </w:t>
      </w:r>
      <w:r w:rsidRPr="00EF2DA5">
        <w:t xml:space="preserve">reporting requirements. </w:t>
      </w:r>
      <w:r>
        <w:t>For example, a</w:t>
      </w:r>
      <w:r w:rsidRPr="00EF2DA5">
        <w:t xml:space="preserve"> targeted query within the relevant </w:t>
      </w:r>
      <w:r>
        <w:t xml:space="preserve">ESMA </w:t>
      </w:r>
      <w:r w:rsidRPr="00EF2DA5">
        <w:t>Consultative Working Group could help assess the expected compliance costs</w:t>
      </w:r>
      <w:r>
        <w:t xml:space="preserve">. </w:t>
      </w:r>
      <w:proofErr w:type="gramStart"/>
      <w:r>
        <w:t xml:space="preserve">In particular </w:t>
      </w:r>
      <w:r w:rsidRPr="00EF2DA5">
        <w:t>those</w:t>
      </w:r>
      <w:proofErr w:type="gramEnd"/>
      <w:r w:rsidRPr="00EF2DA5">
        <w:t xml:space="preserve"> associated with establishing and maintaining the necessary monitoring infrastructure and</w:t>
      </w:r>
      <w:r>
        <w:t xml:space="preserve"> possibly </w:t>
      </w:r>
      <w:r w:rsidRPr="00EF2DA5">
        <w:t xml:space="preserve">intra-group reporting processes. Based on our current assessment, the exposure among our members is limited. Yet even a small number of reportable transactions would require a disproportionately complex and resource-intensive </w:t>
      </w:r>
      <w:r>
        <w:t>monitoring</w:t>
      </w:r>
      <w:r w:rsidRPr="00EF2DA5">
        <w:t xml:space="preserve"> framework to be built and sustained. This raises serious questions about proportionality that should be addressed with concrete data before the </w:t>
      </w:r>
      <w:r>
        <w:t xml:space="preserve">reporting </w:t>
      </w:r>
      <w:r w:rsidRPr="00EF2DA5">
        <w:t>framework is finalised.</w:t>
      </w:r>
    </w:p>
    <w:p w14:paraId="45E15678" w14:textId="611C8AC9" w:rsidR="00772944" w:rsidRPr="000621F6" w:rsidRDefault="000621F6" w:rsidP="000621F6">
      <w:pPr>
        <w:jc w:val="left"/>
        <w:rPr>
          <w:b/>
          <w:bCs/>
          <w:lang w:val="en-US"/>
        </w:rPr>
      </w:pPr>
      <w:r>
        <w:rPr>
          <w:b/>
          <w:bCs/>
          <w:lang w:val="en-US"/>
        </w:rPr>
        <w:t xml:space="preserve">In summary: </w:t>
      </w:r>
      <w:r w:rsidRPr="005834AE">
        <w:rPr>
          <w:b/>
          <w:bCs/>
          <w:lang w:val="en-US"/>
        </w:rPr>
        <w:t xml:space="preserve">We advocate for deprioritizing this RTS / ITS and while retrieving the missing data from TC CCPs to reconsider whether this reporting structure is truly necessary </w:t>
      </w:r>
      <w:proofErr w:type="gramStart"/>
      <w:r w:rsidRPr="005834AE">
        <w:rPr>
          <w:b/>
          <w:bCs/>
          <w:lang w:val="en-US"/>
        </w:rPr>
        <w:t>in light of</w:t>
      </w:r>
      <w:proofErr w:type="gramEnd"/>
      <w:r w:rsidRPr="005834AE">
        <w:rPr>
          <w:b/>
          <w:bCs/>
          <w:lang w:val="en-US"/>
        </w:rPr>
        <w:t xml:space="preserve"> </w:t>
      </w:r>
      <w:r w:rsidR="00C2456E">
        <w:rPr>
          <w:b/>
          <w:bCs/>
          <w:lang w:val="en-US"/>
        </w:rPr>
        <w:t xml:space="preserve">ESMA’s </w:t>
      </w:r>
      <w:r w:rsidRPr="005834AE">
        <w:rPr>
          <w:b/>
          <w:bCs/>
          <w:lang w:val="en-US"/>
        </w:rPr>
        <w:t>own findings.</w:t>
      </w:r>
    </w:p>
    <w:permEnd w:id="1961835906"/>
    <w:p w14:paraId="70BF2304" w14:textId="77777777"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7D4C6366" w14:textId="77777777" w:rsidR="000621F6" w:rsidRPr="00C631C8" w:rsidRDefault="000621F6" w:rsidP="000621F6">
      <w:pPr>
        <w:jc w:val="left"/>
        <w:rPr>
          <w:lang w:val="en-US"/>
        </w:rPr>
      </w:pPr>
      <w:permStart w:id="975325410" w:edGrp="everyone"/>
      <w:r>
        <w:rPr>
          <w:lang w:val="en-US"/>
        </w:rPr>
        <w:t xml:space="preserve">No. </w:t>
      </w:r>
      <w:r w:rsidRPr="00C631C8">
        <w:rPr>
          <w:lang w:val="en-US"/>
        </w:rPr>
        <w:t>We would prefer that no fixed reporting deadline is established</w:t>
      </w:r>
      <w:r>
        <w:rPr>
          <w:lang w:val="en-US"/>
        </w:rPr>
        <w:t>, and</w:t>
      </w:r>
      <w:r w:rsidRPr="00C631C8">
        <w:rPr>
          <w:lang w:val="en-US"/>
        </w:rPr>
        <w:t xml:space="preserve"> certainly not one tied to the end of a calendar month. End-of-month deadlines have a well-known tendency to create reporting bottlenecks, as multiple obligations converge at the same point in time. A</w:t>
      </w:r>
      <w:r>
        <w:rPr>
          <w:lang w:val="en-US"/>
        </w:rPr>
        <w:t>n end-of-</w:t>
      </w:r>
      <w:r w:rsidRPr="00C631C8">
        <w:rPr>
          <w:lang w:val="en-US"/>
        </w:rPr>
        <w:t xml:space="preserve">January deadline would be particularly problematic, as it would coincide with reporting </w:t>
      </w:r>
      <w:r w:rsidRPr="00C631C8">
        <w:rPr>
          <w:lang w:val="en-US"/>
        </w:rPr>
        <w:lastRenderedPageBreak/>
        <w:t>requirements under the AAR (Active Account Requirement), which are themselves already complex and resource-intensive.</w:t>
      </w:r>
    </w:p>
    <w:p w14:paraId="768E4C64" w14:textId="77777777" w:rsidR="000621F6" w:rsidRDefault="000621F6" w:rsidP="000621F6">
      <w:pPr>
        <w:jc w:val="left"/>
        <w:rPr>
          <w:lang w:val="en-US"/>
        </w:rPr>
      </w:pPr>
      <w:r w:rsidRPr="00C631C8">
        <w:rPr>
          <w:lang w:val="en-US"/>
        </w:rPr>
        <w:t xml:space="preserve">We also fail to see a compelling regulatory justification for requiring all market participants to report simultaneously at a single fixed point in time. ESMA's ability to assess the overall extent of market dependency on </w:t>
      </w:r>
      <w:r>
        <w:rPr>
          <w:lang w:val="en-US"/>
        </w:rPr>
        <w:t>TC CCPs</w:t>
      </w:r>
      <w:r w:rsidRPr="00C631C8">
        <w:rPr>
          <w:lang w:val="en-US"/>
        </w:rPr>
        <w:t xml:space="preserve"> does not hinge on the simultaneous receipt of all submissions</w:t>
      </w:r>
      <w:r>
        <w:rPr>
          <w:lang w:val="en-US"/>
        </w:rPr>
        <w:t xml:space="preserve"> and data</w:t>
      </w:r>
      <w:r w:rsidRPr="00C631C8">
        <w:rPr>
          <w:lang w:val="en-US"/>
        </w:rPr>
        <w:t>. A windowed reporting approach would yield the same analytical picture while significantly reducing the operational burden on reporting entities</w:t>
      </w:r>
      <w:r>
        <w:rPr>
          <w:lang w:val="en-US"/>
        </w:rPr>
        <w:t xml:space="preserve">, </w:t>
      </w:r>
      <w:r w:rsidRPr="00C631C8">
        <w:rPr>
          <w:lang w:val="en-US"/>
        </w:rPr>
        <w:t>without any meaningful loss of supervisory value.</w:t>
      </w:r>
    </w:p>
    <w:p w14:paraId="59C385B9" w14:textId="3746DB58" w:rsidR="00772944" w:rsidRPr="000621F6" w:rsidRDefault="000621F6" w:rsidP="000621F6">
      <w:pPr>
        <w:jc w:val="left"/>
        <w:rPr>
          <w:lang w:val="en-US"/>
        </w:rPr>
      </w:pPr>
      <w:r w:rsidRPr="00C631C8">
        <w:rPr>
          <w:b/>
          <w:bCs/>
          <w:lang w:val="en-US"/>
        </w:rPr>
        <w:t xml:space="preserve">Our proposal is to define Q1 </w:t>
      </w:r>
      <w:proofErr w:type="gramStart"/>
      <w:r w:rsidRPr="00C631C8">
        <w:rPr>
          <w:b/>
          <w:bCs/>
          <w:lang w:val="en-US"/>
        </w:rPr>
        <w:t>of</w:t>
      </w:r>
      <w:proofErr w:type="gramEnd"/>
      <w:r w:rsidRPr="00C631C8">
        <w:rPr>
          <w:b/>
          <w:bCs/>
          <w:lang w:val="en-US"/>
        </w:rPr>
        <w:t xml:space="preserve"> the following year as a reporting window</w:t>
      </w:r>
      <w:r w:rsidRPr="00C631C8">
        <w:rPr>
          <w:lang w:val="en-US"/>
        </w:rPr>
        <w:t>, with a final deadline of 31 March at the latest. This approach would allow firms to sequence their reporting obligations more effectively and allocate internal resources without unnecessary pressure.</w:t>
      </w:r>
    </w:p>
    <w:permEnd w:id="975325410"/>
    <w:p w14:paraId="3CEDDD9A" w14:textId="77777777"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5BF6D103" w14:textId="77777777" w:rsidR="000621F6" w:rsidRPr="003905B9" w:rsidRDefault="000621F6" w:rsidP="000621F6">
      <w:pPr>
        <w:jc w:val="left"/>
        <w:rPr>
          <w:lang w:val="en-US"/>
        </w:rPr>
      </w:pPr>
      <w:permStart w:id="528381897" w:edGrp="everyone"/>
      <w:r w:rsidRPr="003905B9">
        <w:rPr>
          <w:lang w:val="en-US"/>
        </w:rPr>
        <w:t>No</w:t>
      </w:r>
      <w:r>
        <w:rPr>
          <w:lang w:val="en-US"/>
        </w:rPr>
        <w:t xml:space="preserve">. </w:t>
      </w:r>
      <w:r w:rsidRPr="003905B9">
        <w:rPr>
          <w:b/>
          <w:lang w:val="en-US"/>
        </w:rPr>
        <w:t>We strongly reject any requirement for retroactive reporting</w:t>
      </w:r>
      <w:r>
        <w:rPr>
          <w:b/>
          <w:lang w:val="en-US"/>
        </w:rPr>
        <w:t xml:space="preserve"> until 2025 (backloading)</w:t>
      </w:r>
      <w:r w:rsidRPr="003905B9">
        <w:rPr>
          <w:b/>
          <w:lang w:val="en-US"/>
        </w:rPr>
        <w:t>.</w:t>
      </w:r>
      <w:r w:rsidRPr="003905B9">
        <w:rPr>
          <w:lang w:val="en-US"/>
        </w:rPr>
        <w:t xml:space="preserve"> Requiring institutions to collect data going back </w:t>
      </w:r>
      <w:r>
        <w:rPr>
          <w:lang w:val="en-US"/>
        </w:rPr>
        <w:t xml:space="preserve">to 2025 </w:t>
      </w:r>
      <w:r w:rsidRPr="003905B9">
        <w:rPr>
          <w:lang w:val="en-US"/>
        </w:rPr>
        <w:t xml:space="preserve">is disproportionate and unjustifiable, particularly given that firms are only now gaining a clearer understanding of what data would </w:t>
      </w:r>
      <w:proofErr w:type="gramStart"/>
      <w:r w:rsidRPr="003905B9">
        <w:rPr>
          <w:lang w:val="en-US"/>
        </w:rPr>
        <w:t>actually need</w:t>
      </w:r>
      <w:proofErr w:type="gramEnd"/>
      <w:r w:rsidRPr="003905B9">
        <w:rPr>
          <w:lang w:val="en-US"/>
        </w:rPr>
        <w:t xml:space="preserve"> to be captured. The compliance burden this would impose is substantial, while the supervisory benefit of receiving historical data retrospectively is, at best, marginal relative to that burden.</w:t>
      </w:r>
    </w:p>
    <w:p w14:paraId="26BD3EE0" w14:textId="77777777" w:rsidR="000621F6" w:rsidRPr="003905B9" w:rsidRDefault="000621F6" w:rsidP="000621F6">
      <w:pPr>
        <w:jc w:val="left"/>
        <w:rPr>
          <w:lang w:val="en-US"/>
        </w:rPr>
      </w:pPr>
      <w:r w:rsidRPr="003905B9">
        <w:rPr>
          <w:lang w:val="en-US"/>
        </w:rPr>
        <w:t xml:space="preserve">We understand ESMA's interest in monitoring the development of clearing activity at third-country CCPs (TC CCPs) over time. However, ESMA should </w:t>
      </w:r>
      <w:r>
        <w:rPr>
          <w:lang w:val="en-US"/>
        </w:rPr>
        <w:t xml:space="preserve">follow </w:t>
      </w:r>
      <w:r w:rsidRPr="003905B9">
        <w:rPr>
          <w:lang w:val="en-US"/>
        </w:rPr>
        <w:t xml:space="preserve">a pragmatic approach, consistent with its own simplification and burden reduction agenda, and refrain from requiring retrospective reporting. This is also in line with ESMA's commitment </w:t>
      </w:r>
      <w:r>
        <w:rPr>
          <w:lang w:val="en-US"/>
        </w:rPr>
        <w:t xml:space="preserve">- </w:t>
      </w:r>
      <w:r w:rsidRPr="003905B9">
        <w:rPr>
          <w:lang w:val="en-US"/>
        </w:rPr>
        <w:t xml:space="preserve">as referenced in recital 12 </w:t>
      </w:r>
      <w:r>
        <w:rPr>
          <w:lang w:val="en-US"/>
        </w:rPr>
        <w:t xml:space="preserve">- </w:t>
      </w:r>
      <w:r w:rsidRPr="006B27D3">
        <w:rPr>
          <w:b/>
          <w:bCs/>
          <w:lang w:val="en-US"/>
        </w:rPr>
        <w:t>to ensuring the competitiveness of EU firms. Retroactive reporting obligations work directly against that objective</w:t>
      </w:r>
      <w:r w:rsidRPr="003905B9">
        <w:rPr>
          <w:lang w:val="en-US"/>
        </w:rPr>
        <w:t>.</w:t>
      </w:r>
    </w:p>
    <w:p w14:paraId="02C3F6C4" w14:textId="7C13A175" w:rsidR="00772944" w:rsidRPr="000621F6" w:rsidRDefault="000621F6" w:rsidP="000621F6">
      <w:pPr>
        <w:jc w:val="left"/>
        <w:rPr>
          <w:lang w:val="en-US"/>
        </w:rPr>
      </w:pPr>
      <w:r>
        <w:rPr>
          <w:lang w:val="en-US"/>
        </w:rPr>
        <w:t xml:space="preserve">In addition, </w:t>
      </w:r>
      <w:r w:rsidRPr="006B27D3">
        <w:rPr>
          <w:b/>
          <w:bCs/>
          <w:lang w:val="en-US"/>
        </w:rPr>
        <w:t>entities required to report on a consolidated basis should be granted a longer implementation period</w:t>
      </w:r>
      <w:r>
        <w:rPr>
          <w:b/>
          <w:bCs/>
          <w:lang w:val="en-US"/>
        </w:rPr>
        <w:t xml:space="preserve"> of 12 months</w:t>
      </w:r>
      <w:r w:rsidRPr="003905B9">
        <w:rPr>
          <w:lang w:val="en-US"/>
        </w:rPr>
        <w:t xml:space="preserve">. Consolidated reporting at Union parent level involves significantly greater operational complexity, as ESMA itself acknowledges in recital </w:t>
      </w:r>
      <w:r w:rsidRPr="003905B9">
        <w:rPr>
          <w:lang w:val="en-US"/>
        </w:rPr>
        <w:lastRenderedPageBreak/>
        <w:t xml:space="preserve">12, noting that such reporting </w:t>
      </w:r>
      <w:r w:rsidRPr="003905B9">
        <w:rPr>
          <w:i/>
          <w:iCs/>
          <w:lang w:val="en-US"/>
        </w:rPr>
        <w:t>"may result in more onerous obligations for EU headquartered groups."</w:t>
      </w:r>
      <w:r w:rsidRPr="003905B9">
        <w:rPr>
          <w:lang w:val="en-US"/>
        </w:rPr>
        <w:t xml:space="preserve"> The implementation timeline should reflect this reality and allow adequate time for group-level data aggregation and governance processes to be put in place.</w:t>
      </w:r>
    </w:p>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217F0BD5" w14:textId="77777777" w:rsidR="000621F6" w:rsidRDefault="000621F6" w:rsidP="000621F6">
      <w:pPr>
        <w:jc w:val="left"/>
      </w:pPr>
      <w:permStart w:id="1396466673" w:edGrp="everyone"/>
      <w:r>
        <w:t>We agree with ESMA’s proposed approach; using the CFI would be too granular.</w:t>
      </w:r>
    </w:p>
    <w:p w14:paraId="21F5A6B3" w14:textId="77777777" w:rsidR="000621F6" w:rsidRPr="00517F61" w:rsidRDefault="000621F6" w:rsidP="000621F6">
      <w:pPr>
        <w:jc w:val="left"/>
        <w:rPr>
          <w:lang w:val="en-US"/>
        </w:rPr>
      </w:pPr>
      <w:r w:rsidRPr="00517F61">
        <w:rPr>
          <w:lang w:val="en-US"/>
        </w:rPr>
        <w:t>On a more technical note, t</w:t>
      </w:r>
      <w:r>
        <w:rPr>
          <w:lang w:val="en-US"/>
        </w:rPr>
        <w:t xml:space="preserve">he following </w:t>
      </w:r>
      <w:r w:rsidRPr="00517F61">
        <w:rPr>
          <w:lang w:val="en-US"/>
        </w:rPr>
        <w:t xml:space="preserve">points require </w:t>
      </w:r>
      <w:r>
        <w:rPr>
          <w:lang w:val="en-US"/>
        </w:rPr>
        <w:t xml:space="preserve">from our point of view additional </w:t>
      </w:r>
      <w:r w:rsidRPr="00517F61">
        <w:rPr>
          <w:lang w:val="en-US"/>
        </w:rPr>
        <w:t>clarification:</w:t>
      </w:r>
    </w:p>
    <w:p w14:paraId="6808DCF8" w14:textId="77777777" w:rsidR="000621F6" w:rsidRPr="00C37D16" w:rsidRDefault="000621F6" w:rsidP="000621F6">
      <w:pPr>
        <w:jc w:val="left"/>
        <w:rPr>
          <w:u w:val="single"/>
          <w:lang w:val="en-US"/>
        </w:rPr>
      </w:pPr>
      <w:r w:rsidRPr="00C37D16">
        <w:rPr>
          <w:u w:val="single"/>
          <w:lang w:val="en-US"/>
        </w:rPr>
        <w:t>Definition of “securities” (Annex, Table 2, draft RTS):</w:t>
      </w:r>
    </w:p>
    <w:p w14:paraId="3711FBEC" w14:textId="77777777" w:rsidR="000621F6" w:rsidRPr="00517F61" w:rsidRDefault="000621F6" w:rsidP="000621F6">
      <w:pPr>
        <w:jc w:val="left"/>
        <w:rPr>
          <w:lang w:val="en-US"/>
        </w:rPr>
      </w:pPr>
      <w:r w:rsidRPr="00F03397">
        <w:rPr>
          <w:lang w:val="en-US"/>
        </w:rPr>
        <w:t xml:space="preserve">It is unclear whether this refers to "transferable securities" within the meaning of Art. 4(1)(44) in conjunction with Annex I Section </w:t>
      </w:r>
      <w:proofErr w:type="gramStart"/>
      <w:r w:rsidRPr="00F03397">
        <w:rPr>
          <w:lang w:val="en-US"/>
        </w:rPr>
        <w:t>C(</w:t>
      </w:r>
      <w:proofErr w:type="gramEnd"/>
      <w:r w:rsidRPr="00F03397">
        <w:rPr>
          <w:lang w:val="en-US"/>
        </w:rPr>
        <w:t xml:space="preserve">1) MiFID II, or to the broader Annex I Section </w:t>
      </w:r>
      <w:proofErr w:type="gramStart"/>
      <w:r w:rsidRPr="00F03397">
        <w:rPr>
          <w:lang w:val="en-US"/>
        </w:rPr>
        <w:t>C(</w:t>
      </w:r>
      <w:proofErr w:type="gramEnd"/>
      <w:r w:rsidRPr="00F03397">
        <w:rPr>
          <w:lang w:val="en-US"/>
        </w:rPr>
        <w:t>1)</w:t>
      </w:r>
      <w:proofErr w:type="gramStart"/>
      <w:r w:rsidRPr="00F03397">
        <w:rPr>
          <w:lang w:val="en-US"/>
        </w:rPr>
        <w:t>–(</w:t>
      </w:r>
      <w:proofErr w:type="gramEnd"/>
      <w:r w:rsidRPr="00F03397">
        <w:rPr>
          <w:lang w:val="en-US"/>
        </w:rPr>
        <w:t>3) MiFID II as reflected in the current ESMA publication (ESMA70-152-348, "List of TC-CCP recognised to offer services and activities in the Union", 30 June 2026). These two readings define materially different reporting populations.</w:t>
      </w:r>
    </w:p>
    <w:p w14:paraId="47FA60CE" w14:textId="77777777" w:rsidR="000621F6" w:rsidRDefault="000621F6" w:rsidP="000621F6">
      <w:pPr>
        <w:jc w:val="left"/>
        <w:rPr>
          <w:lang w:val="en-US"/>
        </w:rPr>
      </w:pPr>
      <w:r w:rsidRPr="005834AE">
        <w:rPr>
          <w:bCs/>
          <w:u w:val="single"/>
          <w:lang w:val="en-US"/>
        </w:rPr>
        <w:t>Nil reporting:</w:t>
      </w:r>
      <w:r w:rsidRPr="00517F61">
        <w:rPr>
          <w:lang w:val="en-US"/>
        </w:rPr>
        <w:t xml:space="preserve"> We assume that a reporting obligation only arises where an institution </w:t>
      </w:r>
      <w:proofErr w:type="gramStart"/>
      <w:r w:rsidRPr="00517F61">
        <w:rPr>
          <w:lang w:val="en-US"/>
        </w:rPr>
        <w:t>actually clears</w:t>
      </w:r>
      <w:proofErr w:type="gramEnd"/>
      <w:r w:rsidRPr="00517F61">
        <w:rPr>
          <w:lang w:val="en-US"/>
        </w:rPr>
        <w:t xml:space="preserve"> an in-scope instrument at a TC CCP. Nil reports should not be required. We ask ESMA to confirm this explicitly in the final framework.</w:t>
      </w:r>
    </w:p>
    <w:p w14:paraId="6B609108" w14:textId="77777777" w:rsidR="000621F6" w:rsidRPr="00F03397" w:rsidRDefault="000621F6" w:rsidP="000621F6">
      <w:pPr>
        <w:jc w:val="left"/>
        <w:rPr>
          <w:u w:val="single"/>
          <w:lang w:val="en-US"/>
        </w:rPr>
      </w:pPr>
      <w:r w:rsidRPr="00F03397">
        <w:rPr>
          <w:u w:val="single"/>
          <w:lang w:val="en-US"/>
        </w:rPr>
        <w:t>A disproportionate reporting architecture: currencies and tables</w:t>
      </w:r>
    </w:p>
    <w:p w14:paraId="72A8C3B5" w14:textId="77777777" w:rsidR="000621F6" w:rsidRPr="00F34BE4" w:rsidRDefault="000621F6" w:rsidP="000621F6">
      <w:pPr>
        <w:jc w:val="left"/>
        <w:rPr>
          <w:lang w:val="en-US"/>
        </w:rPr>
      </w:pPr>
      <w:r w:rsidRPr="00F34BE4">
        <w:rPr>
          <w:lang w:val="en-US"/>
        </w:rPr>
        <w:t>The reporting design multiplies effort without producing analytically meaningful results. Reporting is required across all European non-EUR currencies, while initial margin (IM) is to be converted into EUR even where it is denominated in non-EU currencies</w:t>
      </w:r>
      <w:r>
        <w:rPr>
          <w:lang w:val="en-US"/>
        </w:rPr>
        <w:t xml:space="preserve">. This is an </w:t>
      </w:r>
      <w:r w:rsidRPr="00F34BE4">
        <w:rPr>
          <w:lang w:val="en-US"/>
        </w:rPr>
        <w:t>internal inconsistency. The currency list itself illustrates the lack of proportionality:</w:t>
      </w:r>
    </w:p>
    <w:p w14:paraId="4F68F4DC" w14:textId="77777777" w:rsidR="000621F6" w:rsidRPr="00F03397" w:rsidRDefault="000621F6" w:rsidP="000621F6">
      <w:pPr>
        <w:pStyle w:val="Listenabsatz"/>
        <w:numPr>
          <w:ilvl w:val="0"/>
          <w:numId w:val="17"/>
        </w:numPr>
        <w:contextualSpacing/>
        <w:jc w:val="left"/>
        <w:rPr>
          <w:lang w:val="en-US"/>
        </w:rPr>
      </w:pPr>
      <w:r w:rsidRPr="00F03397">
        <w:rPr>
          <w:lang w:val="en-US"/>
        </w:rPr>
        <w:lastRenderedPageBreak/>
        <w:t xml:space="preserve">DKK is pegged to the euro, so separate reporting </w:t>
      </w:r>
      <w:r>
        <w:rPr>
          <w:lang w:val="en-US"/>
        </w:rPr>
        <w:t xml:space="preserve">IM in DKK </w:t>
      </w:r>
      <w:r w:rsidRPr="00F03397">
        <w:rPr>
          <w:lang w:val="en-US"/>
        </w:rPr>
        <w:t>adds no informational value;</w:t>
      </w:r>
    </w:p>
    <w:p w14:paraId="08866A60" w14:textId="77777777" w:rsidR="000621F6" w:rsidRPr="00F03397" w:rsidRDefault="000621F6" w:rsidP="000621F6">
      <w:pPr>
        <w:pStyle w:val="Listenabsatz"/>
        <w:numPr>
          <w:ilvl w:val="0"/>
          <w:numId w:val="17"/>
        </w:numPr>
        <w:contextualSpacing/>
        <w:jc w:val="left"/>
        <w:rPr>
          <w:lang w:val="en-US"/>
        </w:rPr>
      </w:pPr>
      <w:r w:rsidRPr="00F03397">
        <w:rPr>
          <w:lang w:val="en-US"/>
        </w:rPr>
        <w:t>CZK, HUF, PLN, RON, SEK are free-floating;</w:t>
      </w:r>
    </w:p>
    <w:p w14:paraId="27AB9F2C" w14:textId="77777777" w:rsidR="000621F6" w:rsidRPr="00F03397" w:rsidRDefault="000621F6" w:rsidP="000621F6">
      <w:pPr>
        <w:pStyle w:val="Listenabsatz"/>
        <w:numPr>
          <w:ilvl w:val="0"/>
          <w:numId w:val="17"/>
        </w:numPr>
        <w:contextualSpacing/>
        <w:jc w:val="left"/>
        <w:rPr>
          <w:lang w:val="en-US"/>
        </w:rPr>
      </w:pPr>
      <w:r w:rsidRPr="00F03397">
        <w:rPr>
          <w:lang w:val="en-US"/>
        </w:rPr>
        <w:t xml:space="preserve">BGN </w:t>
      </w:r>
      <w:r>
        <w:rPr>
          <w:lang w:val="en-US"/>
        </w:rPr>
        <w:t xml:space="preserve">is </w:t>
      </w:r>
      <w:r w:rsidRPr="00F03397">
        <w:rPr>
          <w:lang w:val="en-US"/>
        </w:rPr>
        <w:t>obsolete since Bulgaria's euro adoption in early 2026.</w:t>
      </w:r>
    </w:p>
    <w:p w14:paraId="61CC1A15" w14:textId="2DC2F526" w:rsidR="00772944" w:rsidRDefault="000621F6" w:rsidP="000621F6">
      <w:r w:rsidRPr="00F34BE4">
        <w:rPr>
          <w:lang w:val="en-US"/>
        </w:rPr>
        <w:t xml:space="preserve">Even where this granularity derives from Level 1, it produces fragmentation rather than insight. Requiring, in effect, up to </w:t>
      </w:r>
      <w:r>
        <w:rPr>
          <w:lang w:val="en-US"/>
        </w:rPr>
        <w:t xml:space="preserve">six or </w:t>
      </w:r>
      <w:r w:rsidRPr="00F34BE4">
        <w:rPr>
          <w:lang w:val="en-US"/>
        </w:rPr>
        <w:t>seven reporting tables per product group splits the data so finely that the resulting picture is no longer meaningful. The architecture should be consolidated, and obsolete or pegged currencies should not generate standalone reporting streams.</w:t>
      </w:r>
    </w:p>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70B77610" w14:textId="77777777" w:rsidR="00D05913" w:rsidRDefault="00D05913" w:rsidP="00D05913">
      <w:pPr>
        <w:jc w:val="left"/>
      </w:pPr>
      <w:permStart w:id="719744548" w:edGrp="everyone"/>
      <w:r>
        <w:t>From our perspective, it is unclear what is meant by “average values cleared over one year.”</w:t>
      </w:r>
    </w:p>
    <w:p w14:paraId="493946C9" w14:textId="77777777" w:rsidR="00D05913" w:rsidRDefault="00D05913" w:rsidP="00D05913">
      <w:pPr>
        <w:jc w:val="left"/>
      </w:pPr>
      <w:r>
        <w:t>As we understand it, the clearing volume for the last 12 months is to be reported, broken down by CCP, asset class, and EU currencies. To do this, the end-of-month volume for each of the last 12 months must be added together.</w:t>
      </w:r>
    </w:p>
    <w:p w14:paraId="71FCF58F" w14:textId="08125F40" w:rsidR="00772944" w:rsidRDefault="00D05913" w:rsidP="00D05913">
      <w:pPr>
        <w:jc w:val="left"/>
      </w:pPr>
      <w:r>
        <w:t>Therefore, it is unclear what the following sentence is supposed to mean: “the resulting 12-month-end aggregates are then averaged over the year.” If one were to calculate the average of the last 12 months, one would arrive at an average monthly volume. However, we assume that it is not the average monthly volume that is to be reported, but rather the total volume for the last 12 months. We continue to assume, in accordance with Article 2(1)(b) of the draft RTS, that the breakdown by instrument type, Union currency, and asset class must be reported separately for each TC-CCP.</w:t>
      </w:r>
    </w:p>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that, for the purposes of Article 7d(1)(c), initial margin provides a more meaningful and proportionate indicator of exposure to </w:t>
      </w:r>
      <w:r>
        <w:lastRenderedPageBreak/>
        <w:t>recognised third country CCPs than variation margin, and with the proposal to 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0F35AAA0" w14:textId="77777777" w:rsidR="00D05913" w:rsidRPr="006B27D3" w:rsidRDefault="00D05913" w:rsidP="00D05913">
      <w:pPr>
        <w:jc w:val="left"/>
        <w:rPr>
          <w:lang w:val="en-US"/>
        </w:rPr>
      </w:pPr>
      <w:permStart w:id="536377789" w:edGrp="everyone"/>
      <w:r>
        <w:rPr>
          <w:lang w:val="en-US"/>
        </w:rPr>
        <w:t xml:space="preserve">No. </w:t>
      </w:r>
      <w:r w:rsidRPr="006B27D3">
        <w:rPr>
          <w:lang w:val="en-US"/>
        </w:rPr>
        <w:t xml:space="preserve">We question the informational value of requiring initial margin (IM) reporting across all asset classes without distinction. </w:t>
      </w:r>
      <w:r w:rsidRPr="00331764">
        <w:rPr>
          <w:lang w:val="en-US"/>
        </w:rPr>
        <w:t>Especially for equities and bonds, where settlement cycles are typically two days—and following the transition to T+1 only one day—the resulting initial margin requirement is low and short-lived. From a risk perspective, the added value of this information is therefore limited and, in our view, does not justify the complex reporting setup.</w:t>
      </w:r>
      <w:r>
        <w:rPr>
          <w:lang w:val="en-US"/>
        </w:rPr>
        <w:t xml:space="preserve"> </w:t>
      </w:r>
    </w:p>
    <w:p w14:paraId="18DF6CD5" w14:textId="77777777" w:rsidR="00D05913" w:rsidRPr="006B27D3" w:rsidRDefault="00D05913" w:rsidP="00D05913">
      <w:pPr>
        <w:jc w:val="left"/>
        <w:rPr>
          <w:lang w:val="en-US"/>
        </w:rPr>
      </w:pPr>
      <w:r w:rsidRPr="006B27D3">
        <w:rPr>
          <w:lang w:val="en-US"/>
        </w:rPr>
        <w:t>I</w:t>
      </w:r>
      <w:r>
        <w:rPr>
          <w:lang w:val="en-US"/>
        </w:rPr>
        <w:t xml:space="preserve">M </w:t>
      </w:r>
      <w:r w:rsidRPr="006B27D3">
        <w:rPr>
          <w:lang w:val="en-US"/>
        </w:rPr>
        <w:t xml:space="preserve">as a risk mitigation tool is meaningful primarily in the context of derivatives and securities financing transactions (SFTs), where open positions give rise to genuine counterparty </w:t>
      </w:r>
      <w:r>
        <w:rPr>
          <w:lang w:val="en-US"/>
        </w:rPr>
        <w:t>risks</w:t>
      </w:r>
      <w:r w:rsidRPr="006B27D3">
        <w:rPr>
          <w:lang w:val="en-US"/>
        </w:rPr>
        <w:t xml:space="preserve"> over time. The reporting templates should reflect this distinction.</w:t>
      </w:r>
    </w:p>
    <w:p w14:paraId="4E5EDD67" w14:textId="77777777" w:rsidR="00D05913" w:rsidRDefault="00D05913" w:rsidP="00D05913">
      <w:pPr>
        <w:jc w:val="left"/>
        <w:rPr>
          <w:lang w:val="en-US"/>
        </w:rPr>
      </w:pPr>
      <w:r w:rsidRPr="006B27D3">
        <w:rPr>
          <w:lang w:val="en-US"/>
        </w:rPr>
        <w:t xml:space="preserve">We therefore </w:t>
      </w:r>
      <w:r w:rsidRPr="006B27D3">
        <w:rPr>
          <w:b/>
          <w:lang w:val="en-US"/>
        </w:rPr>
        <w:t>recommend a more differentiated template structure</w:t>
      </w:r>
      <w:r w:rsidRPr="006B27D3">
        <w:rPr>
          <w:lang w:val="en-US"/>
        </w:rPr>
        <w:t xml:space="preserve">: certain </w:t>
      </w:r>
      <w:r>
        <w:rPr>
          <w:lang w:val="en-US"/>
        </w:rPr>
        <w:t>data</w:t>
      </w:r>
      <w:r w:rsidRPr="006B27D3">
        <w:rPr>
          <w:lang w:val="en-US"/>
        </w:rPr>
        <w:t xml:space="preserve"> </w:t>
      </w:r>
      <w:r>
        <w:rPr>
          <w:lang w:val="en-US"/>
        </w:rPr>
        <w:t xml:space="preserve">elements </w:t>
      </w:r>
      <w:r w:rsidRPr="006B27D3">
        <w:rPr>
          <w:lang w:val="en-US"/>
        </w:rPr>
        <w:t xml:space="preserve">should </w:t>
      </w:r>
      <w:r>
        <w:rPr>
          <w:lang w:val="en-US"/>
        </w:rPr>
        <w:t xml:space="preserve">only be reported for </w:t>
      </w:r>
      <w:r w:rsidRPr="006B27D3">
        <w:rPr>
          <w:lang w:val="en-US"/>
        </w:rPr>
        <w:t>derivatives and SFTs</w:t>
      </w:r>
      <w:r>
        <w:rPr>
          <w:lang w:val="en-US"/>
        </w:rPr>
        <w:t xml:space="preserve"> (e</w:t>
      </w:r>
      <w:proofErr w:type="gramStart"/>
      <w:r>
        <w:rPr>
          <w:lang w:val="en-US"/>
        </w:rPr>
        <w:t>. g</w:t>
      </w:r>
      <w:proofErr w:type="gramEnd"/>
      <w:r>
        <w:rPr>
          <w:lang w:val="en-US"/>
        </w:rPr>
        <w:t xml:space="preserve">. IM, </w:t>
      </w:r>
      <w:r w:rsidRPr="006B27D3">
        <w:rPr>
          <w:lang w:val="en-US"/>
        </w:rPr>
        <w:t xml:space="preserve">where </w:t>
      </w:r>
      <w:r>
        <w:rPr>
          <w:lang w:val="en-US"/>
        </w:rPr>
        <w:t xml:space="preserve">it </w:t>
      </w:r>
      <w:r w:rsidRPr="006B27D3">
        <w:rPr>
          <w:lang w:val="en-US"/>
        </w:rPr>
        <w:t>serves a clear prudential purpose</w:t>
      </w:r>
      <w:r>
        <w:rPr>
          <w:lang w:val="en-US"/>
        </w:rPr>
        <w:t>)</w:t>
      </w:r>
      <w:r w:rsidRPr="006B27D3">
        <w:rPr>
          <w:lang w:val="en-US"/>
        </w:rPr>
        <w:t xml:space="preserve">, while other </w:t>
      </w:r>
      <w:r>
        <w:rPr>
          <w:lang w:val="en-US"/>
        </w:rPr>
        <w:t>data points may be relevant for all instruments in scope.</w:t>
      </w:r>
      <w:r w:rsidRPr="006B27D3">
        <w:rPr>
          <w:lang w:val="en-US"/>
        </w:rPr>
        <w:t xml:space="preserve"> A one-size-fits-all approach risks generating noise rather than insight and impose</w:t>
      </w:r>
      <w:r>
        <w:rPr>
          <w:lang w:val="en-US"/>
        </w:rPr>
        <w:t>s</w:t>
      </w:r>
      <w:r w:rsidRPr="006B27D3">
        <w:rPr>
          <w:lang w:val="en-US"/>
        </w:rPr>
        <w:t xml:space="preserve"> unnecessary reporting burdens without corresponding supervisory benefit.</w:t>
      </w:r>
    </w:p>
    <w:p w14:paraId="7D60A67F" w14:textId="0782245F" w:rsidR="00772944" w:rsidRPr="00D05913" w:rsidRDefault="00D05913" w:rsidP="00D05913">
      <w:pPr>
        <w:jc w:val="left"/>
        <w:rPr>
          <w:lang w:val="en-US"/>
        </w:rPr>
      </w:pPr>
      <w:r w:rsidRPr="00147371">
        <w:rPr>
          <w:lang w:val="en-US"/>
        </w:rPr>
        <w:t>However, we interpret Article 2, in conjunction with Article 3 of the RTS draft, to mean that EU clearing members and their EU clients are not required to report initial margin.</w:t>
      </w:r>
    </w:p>
    <w:permEnd w:id="536377789"/>
    <w:p w14:paraId="7FE055BC" w14:textId="77777777"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2423CBDE" w14:textId="7048F918" w:rsidR="00772944" w:rsidRDefault="00D05913" w:rsidP="00772944">
      <w:permStart w:id="319102224" w:edGrp="everyone"/>
      <w:r>
        <w:t>We</w:t>
      </w:r>
      <w:r w:rsidRPr="001C1B9B">
        <w:t xml:space="preserve"> interpret Article 2, in conjunction with Article 3 of the RTS draft, to mean that EU clearing members and their EU clients are not required to report initial margin.</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lastRenderedPageBreak/>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6C775412" w14:textId="5F8869CF" w:rsidR="00772944" w:rsidRDefault="00D05913" w:rsidP="00772944">
      <w:permStart w:id="546269201" w:edGrp="everyone"/>
      <w:r>
        <w:t xml:space="preserve">Cf. our answer to Q 6. </w:t>
      </w:r>
      <w:r w:rsidRPr="001C1B9B">
        <w:t>We interpret Article 2, in conjunction with Article 3 of the RTS draft, to mean that EU clearing members and their EU clients are not required to report initial margin.</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14593B11" w14:textId="77777777" w:rsidR="00D05913" w:rsidRDefault="00D05913" w:rsidP="00D05913">
      <w:pPr>
        <w:jc w:val="left"/>
      </w:pPr>
      <w:permStart w:id="1896043658" w:edGrp="everyone"/>
      <w:r>
        <w:t>Yes.</w:t>
      </w:r>
    </w:p>
    <w:p w14:paraId="2E231B42" w14:textId="1D88AF33" w:rsidR="00772944" w:rsidRPr="00D05913" w:rsidRDefault="00D05913" w:rsidP="00D05913">
      <w:pPr>
        <w:jc w:val="left"/>
        <w:rPr>
          <w:lang w:val="en-US"/>
        </w:rPr>
      </w:pPr>
      <w:r>
        <w:t xml:space="preserve">However, the definition of </w:t>
      </w:r>
      <w:r w:rsidRPr="00331764">
        <w:t>"the relevant clients within the group" (Art. 1(4) sentence 1 of the draft RTS)</w:t>
      </w:r>
      <w:r>
        <w:t xml:space="preserve"> is not unambiguously clear</w:t>
      </w:r>
      <w:r w:rsidRPr="00331764">
        <w:t xml:space="preserve">: </w:t>
      </w:r>
      <w:r>
        <w:t>W</w:t>
      </w:r>
      <w:r w:rsidRPr="00331764">
        <w:t xml:space="preserve">hich clients </w:t>
      </w:r>
      <w:proofErr w:type="gramStart"/>
      <w:r>
        <w:t>have to</w:t>
      </w:r>
      <w:proofErr w:type="gramEnd"/>
      <w:r>
        <w:t xml:space="preserve"> be </w:t>
      </w:r>
      <w:r w:rsidRPr="00331764">
        <w:t>capture</w:t>
      </w:r>
      <w:r>
        <w:t>d</w:t>
      </w:r>
      <w:r w:rsidRPr="00331764">
        <w:t xml:space="preserve"> in the reporting by parent undertakings</w:t>
      </w:r>
      <w:r>
        <w:t>?</w:t>
      </w:r>
      <w:r w:rsidRPr="00331764">
        <w:t xml:space="preserve"> The scope of the group-level obligation cannot be determined based on the current wording.</w:t>
      </w:r>
    </w:p>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6145D23B" w14:textId="77777777" w:rsidR="00772944" w:rsidRDefault="00772944" w:rsidP="00772944">
      <w:permStart w:id="1751663536" w:edGrp="everyone"/>
      <w:r>
        <w:t>TYPE YOUR TEXT HERE</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7B6BF654" w14:textId="475D3DB7" w:rsidR="00772944" w:rsidRDefault="00D05913" w:rsidP="00D05913">
      <w:pPr>
        <w:jc w:val="left"/>
      </w:pPr>
      <w:permStart w:id="2085827393" w:edGrp="everyone"/>
      <w:r>
        <w:t>Yes, since this is in line with the required reporting format under the AAR.</w:t>
      </w:r>
    </w:p>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23"/>
      <w:footerReference w:type="defaul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53715" w14:textId="77777777" w:rsidR="0081446C" w:rsidRDefault="0081446C" w:rsidP="007E7997">
      <w:pPr>
        <w:spacing w:line="240" w:lineRule="auto"/>
      </w:pPr>
      <w:r>
        <w:separator/>
      </w:r>
    </w:p>
  </w:endnote>
  <w:endnote w:type="continuationSeparator" w:id="0">
    <w:p w14:paraId="682920D1" w14:textId="77777777" w:rsidR="0081446C" w:rsidRDefault="0081446C" w:rsidP="007E7997">
      <w:pPr>
        <w:spacing w:line="240" w:lineRule="auto"/>
      </w:pPr>
      <w:r>
        <w:continuationSeparator/>
      </w:r>
    </w:p>
  </w:endnote>
  <w:endnote w:type="continuationNotice" w:id="1">
    <w:p w14:paraId="0F1A1D84" w14:textId="77777777" w:rsidR="0081446C" w:rsidRDefault="008144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9D463" w14:textId="77777777" w:rsidR="0081446C" w:rsidRDefault="0081446C" w:rsidP="007E7997">
      <w:pPr>
        <w:spacing w:line="240" w:lineRule="auto"/>
      </w:pPr>
      <w:r>
        <w:separator/>
      </w:r>
    </w:p>
  </w:footnote>
  <w:footnote w:type="continuationSeparator" w:id="0">
    <w:p w14:paraId="54959E82" w14:textId="77777777" w:rsidR="0081446C" w:rsidRDefault="0081446C" w:rsidP="007E7997">
      <w:pPr>
        <w:spacing w:line="240" w:lineRule="auto"/>
      </w:pPr>
      <w:r>
        <w:continuationSeparator/>
      </w:r>
    </w:p>
  </w:footnote>
  <w:footnote w:type="continuationNotice" w:id="1">
    <w:p w14:paraId="0354AF4F" w14:textId="77777777" w:rsidR="0081446C" w:rsidRDefault="008144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Kopfzeile"/>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6B009F"/>
    <w:multiLevelType w:val="hybridMultilevel"/>
    <w:tmpl w:val="F4F01E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A61840"/>
    <w:multiLevelType w:val="hybridMultilevel"/>
    <w:tmpl w:val="6624CD50"/>
    <w:lvl w:ilvl="0" w:tplc="30EC5BE8">
      <w:start w:val="1"/>
      <w:numFmt w:val="bullet"/>
      <w:pStyle w:val="Listenabsatz"/>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2"/>
  </w:num>
  <w:num w:numId="2" w16cid:durableId="270287514">
    <w:abstractNumId w:val="5"/>
  </w:num>
  <w:num w:numId="3" w16cid:durableId="1675497260">
    <w:abstractNumId w:val="10"/>
  </w:num>
  <w:num w:numId="4" w16cid:durableId="1146706333">
    <w:abstractNumId w:val="4"/>
  </w:num>
  <w:num w:numId="5" w16cid:durableId="1502348752">
    <w:abstractNumId w:val="0"/>
  </w:num>
  <w:num w:numId="6" w16cid:durableId="1544101585">
    <w:abstractNumId w:val="6"/>
  </w:num>
  <w:num w:numId="7" w16cid:durableId="896626050">
    <w:abstractNumId w:val="13"/>
  </w:num>
  <w:num w:numId="8" w16cid:durableId="806780153">
    <w:abstractNumId w:val="2"/>
  </w:num>
  <w:num w:numId="9" w16cid:durableId="1677002603">
    <w:abstractNumId w:val="11"/>
  </w:num>
  <w:num w:numId="10" w16cid:durableId="22487393">
    <w:abstractNumId w:val="9"/>
  </w:num>
  <w:num w:numId="11" w16cid:durableId="270942799">
    <w:abstractNumId w:val="8"/>
  </w:num>
  <w:num w:numId="12" w16cid:durableId="10230698">
    <w:abstractNumId w:val="8"/>
    <w:lvlOverride w:ilvl="0">
      <w:startOverride w:val="1"/>
    </w:lvlOverride>
  </w:num>
  <w:num w:numId="13" w16cid:durableId="1914856611">
    <w:abstractNumId w:val="1"/>
  </w:num>
  <w:num w:numId="14" w16cid:durableId="297614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7"/>
  </w:num>
  <w:num w:numId="17" w16cid:durableId="711463043">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1F6"/>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40C"/>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6B8"/>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46C"/>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174"/>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56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5913"/>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4F7"/>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619F"/>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 w:type="paragraph" w:customStyle="1" w:styleId="para">
    <w:name w:val="para"/>
    <w:basedOn w:val="Listenabsatz"/>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bsatz-Standardschriftar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esma.europa.eu/sites/default/files/2026-09/ESMA91-721126732-3487_Klaus_Loeber_speech_Post-trade_360_speech.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finance.ec.europa.eu/publications/de-prioritisation-level-2-acts-financial-services-legislation_en"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yperlink" Target="https://www.esma.europa.eu/sites/default/files/2025-03/ESMA22-50751485-1598_Letter_from_Chair_on_prioritisation_2025.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eur-lex.europa.eu/legal-content/EN/TXT/HTML/?uri=CELEX:52016DC085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esma.europa.eu/sites/default/files/2025-06/ESMA12-2121844265-4779_Final_Report_on_RTS_22_and_24.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tzhalt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tzhalt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0D0915"/>
    <w:rsid w:val="00102DC8"/>
    <w:rsid w:val="00127E56"/>
    <w:rsid w:val="0015768C"/>
    <w:rsid w:val="001B6511"/>
    <w:rsid w:val="001D0361"/>
    <w:rsid w:val="002507A3"/>
    <w:rsid w:val="002802A1"/>
    <w:rsid w:val="00281F35"/>
    <w:rsid w:val="002B46E7"/>
    <w:rsid w:val="002C7239"/>
    <w:rsid w:val="002E146C"/>
    <w:rsid w:val="0034145D"/>
    <w:rsid w:val="003514E5"/>
    <w:rsid w:val="0039740C"/>
    <w:rsid w:val="003D1413"/>
    <w:rsid w:val="00400F2F"/>
    <w:rsid w:val="00430EC2"/>
    <w:rsid w:val="00433FA5"/>
    <w:rsid w:val="004D67E0"/>
    <w:rsid w:val="004E4CF9"/>
    <w:rsid w:val="00502AA2"/>
    <w:rsid w:val="00526B46"/>
    <w:rsid w:val="005609FD"/>
    <w:rsid w:val="00591427"/>
    <w:rsid w:val="0059793B"/>
    <w:rsid w:val="005D66AB"/>
    <w:rsid w:val="006216AC"/>
    <w:rsid w:val="006D3543"/>
    <w:rsid w:val="006E5494"/>
    <w:rsid w:val="006E791C"/>
    <w:rsid w:val="00714CF1"/>
    <w:rsid w:val="00736117"/>
    <w:rsid w:val="00740052"/>
    <w:rsid w:val="00813189"/>
    <w:rsid w:val="00813EAE"/>
    <w:rsid w:val="008222A0"/>
    <w:rsid w:val="00836D47"/>
    <w:rsid w:val="00982D57"/>
    <w:rsid w:val="00993537"/>
    <w:rsid w:val="009B6B9C"/>
    <w:rsid w:val="009C0B17"/>
    <w:rsid w:val="00A44918"/>
    <w:rsid w:val="00A563E1"/>
    <w:rsid w:val="00AB0E92"/>
    <w:rsid w:val="00B22006"/>
    <w:rsid w:val="00B46CAE"/>
    <w:rsid w:val="00BE5A7C"/>
    <w:rsid w:val="00C006E6"/>
    <w:rsid w:val="00C528E6"/>
    <w:rsid w:val="00CF3208"/>
    <w:rsid w:val="00D25DE9"/>
    <w:rsid w:val="00D40353"/>
    <w:rsid w:val="00D9677A"/>
    <w:rsid w:val="00DC3796"/>
    <w:rsid w:val="00DC4211"/>
    <w:rsid w:val="00E03F6C"/>
    <w:rsid w:val="00F81463"/>
    <w:rsid w:val="00FA09D7"/>
    <w:rsid w:val="00FD04F7"/>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3356</Words>
  <Characters>21149</Characters>
  <Application>Microsoft Office Word</Application>
  <DocSecurity>8</DocSecurity>
  <Lines>176</Lines>
  <Paragraphs>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24457</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Schroeder, Sarah</cp:lastModifiedBy>
  <cp:revision>4</cp:revision>
  <cp:lastPrinted>2023-09-09T09:53:00Z</cp:lastPrinted>
  <dcterms:created xsi:type="dcterms:W3CDTF">2026-10-11T16:48:00Z</dcterms:created>
  <dcterms:modified xsi:type="dcterms:W3CDTF">2026-10-11T17:04:00Z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ies>
</file>