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le"/>
          </w:pPr>
          <w:r>
            <w:t xml:space="preserve">Reply </w:t>
          </w:r>
          <w:r w:rsidR="00DD03DC">
            <w:t>F</w:t>
          </w:r>
          <w:r>
            <w:t>orm</w:t>
          </w:r>
        </w:p>
        <w:p w14:paraId="031F2108" w14:textId="6EBE2158" w:rsidR="007E7997" w:rsidRPr="00C01571" w:rsidRDefault="00941BDF" w:rsidP="00D77369">
          <w:pPr>
            <w:pStyle w:val="Subtitle"/>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FED4E"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footerReference w:type="even" r:id="rId14"/>
              <w:footerReference w:type="default" r:id="rId15"/>
              <w:headerReference w:type="first" r:id="rId16"/>
              <w:footerReference w:type="first" r:id="rId17"/>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Subtitle"/>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stParagraph"/>
            <w:rPr>
              <w:lang w:val="en-GB"/>
            </w:rPr>
          </w:pPr>
          <w:r w:rsidRPr="00DB2FD6">
            <w:rPr>
              <w:lang w:val="en-GB"/>
            </w:rPr>
            <w:t>respond to the question stated;</w:t>
          </w:r>
        </w:p>
        <w:p w14:paraId="72FD40F6" w14:textId="77777777" w:rsidR="002533FC" w:rsidRPr="00DB2FD6" w:rsidRDefault="002533FC" w:rsidP="00EC6066">
          <w:pPr>
            <w:pStyle w:val="ListParagraph"/>
            <w:rPr>
              <w:lang w:val="en-GB"/>
            </w:rPr>
          </w:pPr>
          <w:r w:rsidRPr="00DB2FD6">
            <w:rPr>
              <w:lang w:val="en-GB"/>
            </w:rPr>
            <w:t>indicate the specific question to which the comment relates;</w:t>
          </w:r>
        </w:p>
        <w:p w14:paraId="78B206B7" w14:textId="77777777" w:rsidR="002533FC" w:rsidRPr="00E13D25" w:rsidRDefault="002533FC" w:rsidP="00EC6066">
          <w:pPr>
            <w:pStyle w:val="ListParagraph"/>
          </w:pPr>
          <w:r w:rsidRPr="00E13D25">
            <w:t>contain a clear rationale; and</w:t>
          </w:r>
        </w:p>
        <w:p w14:paraId="60B8834E" w14:textId="77777777" w:rsidR="002533FC" w:rsidRPr="00DB2FD6" w:rsidRDefault="002533FC" w:rsidP="00EC6066">
          <w:pPr>
            <w:pStyle w:val="ListParagraph"/>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8"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Subtitle"/>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9" w:history="1">
            <w:r w:rsidRPr="005B6B12">
              <w:rPr>
                <w:rStyle w:val="Hyperlink"/>
              </w:rPr>
              <w:t>www.esma.europa.eu</w:t>
            </w:r>
          </w:hyperlink>
          <w:r w:rsidRPr="005B6B12">
            <w:t xml:space="preserve"> under the heading </w:t>
          </w:r>
          <w:r w:rsidRPr="00025A7F">
            <w:rPr>
              <w:rStyle w:val="Hyperlink"/>
            </w:rPr>
            <w:t>‘</w:t>
          </w:r>
          <w:hyperlink r:id="rId20" w:history="1">
            <w:r>
              <w:rPr>
                <w:rStyle w:val="Hyperlink"/>
              </w:rPr>
              <w:t>Data protection</w:t>
            </w:r>
          </w:hyperlink>
          <w:r>
            <w:rPr>
              <w:rStyle w:val="Hyperlink"/>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Heading1"/>
        <w:rPr>
          <w:lang w:val="fr-BE"/>
        </w:rPr>
      </w:pPr>
      <w:r>
        <w:rPr>
          <w:lang w:val="fr-BE"/>
        </w:rPr>
        <w:lastRenderedPageBreak/>
        <w:t xml:space="preserve">General information about </w:t>
      </w:r>
      <w:r w:rsidRPr="00501EF4">
        <w:t>respondent</w:t>
      </w:r>
    </w:p>
    <w:tbl>
      <w:tblPr>
        <w:tblStyle w:val="TableGrid"/>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2A177175" w:rsidR="00E40D2C" w:rsidRPr="00557BD2" w:rsidRDefault="006E7DB4" w:rsidP="00410FFE">
                <w:r>
                  <w:t>Bank of Valletta Plc</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63A94CE9" w:rsidR="00E40D2C" w:rsidRDefault="006E7DB4" w:rsidP="00410FFE">
                <w:r>
                  <w:t>Credit institution</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0"/>
              <w14:checkedState w14:val="2612" w14:font="MS Gothic"/>
              <w14:uncheckedState w14:val="2610" w14:font="MS Gothic"/>
            </w14:checkbox>
          </w:sdtPr>
          <w:sdtEndPr/>
          <w:sdtContent>
            <w:permStart w:id="996560612" w:edGrp="everyone" w:displacedByCustomXml="prev"/>
            <w:tc>
              <w:tcPr>
                <w:tcW w:w="4531" w:type="dxa"/>
              </w:tcPr>
              <w:p w14:paraId="7AB9C082" w14:textId="111EEFE1" w:rsidR="00E40D2C" w:rsidRDefault="006E7DB4"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591A29A6" w:rsidR="00E40D2C" w:rsidRPr="00557BD2" w:rsidRDefault="00843D15" w:rsidP="00410FFE">
                <w:r>
                  <w:t>Malta</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Heading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2B34DBE4" w14:textId="12BFC9A9" w:rsidR="00941BDF" w:rsidRDefault="00545D3D" w:rsidP="00941BDF">
      <w:permStart w:id="1643068749" w:edGrp="everyone"/>
      <w:r w:rsidRPr="00545D3D">
        <w:rPr>
          <w:u w:val="single"/>
        </w:rPr>
        <w:t xml:space="preserve">The Bank welcomes the introduction of flexibility in the way the arrangements with professional clients should be documented.  The option to amend existing service agreements with the professional client avoids unnecessary administrative work where the operational arrangements are already clearly established. In addition to the above, clarity is required on the definition of a professional client </w:t>
      </w:r>
      <w:proofErr w:type="gramStart"/>
      <w:r w:rsidRPr="00545D3D">
        <w:rPr>
          <w:u w:val="single"/>
        </w:rPr>
        <w:t>in order to</w:t>
      </w:r>
      <w:proofErr w:type="gramEnd"/>
      <w:r w:rsidRPr="00545D3D">
        <w:rPr>
          <w:u w:val="single"/>
        </w:rPr>
        <w:t xml:space="preserve"> avoid unnecessary administrative burdens.</w:t>
      </w:r>
    </w:p>
    <w:permEnd w:id="1643068749"/>
    <w:p w14:paraId="25E48283" w14:textId="77777777"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6C5A02CD" w14:textId="1687EFF6" w:rsidR="00941BDF" w:rsidRDefault="000F35DC" w:rsidP="00941BDF">
      <w:permStart w:id="1918919098" w:edGrp="everyone"/>
      <w:r>
        <w:t>NA</w:t>
      </w:r>
    </w:p>
    <w:permEnd w:id="1918919098"/>
    <w:p w14:paraId="542A64E3" w14:textId="77777777"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t>&lt;ESMA_QUESTION_GLAC_3&gt;</w:t>
      </w:r>
    </w:p>
    <w:p w14:paraId="0EF6CD10" w14:textId="5660FD50" w:rsidR="00941BDF" w:rsidRPr="00287CBE" w:rsidRDefault="006E2223" w:rsidP="00287CBE">
      <w:pPr>
        <w:spacing w:after="160"/>
        <w:rPr>
          <w:rFonts w:ascii="Aptos" w:eastAsia="Aptos" w:hAnsi="Aptos" w:cs="Times New Roman"/>
          <w:color w:val="auto"/>
          <w:kern w:val="2"/>
          <w:sz w:val="24"/>
          <w:szCs w:val="24"/>
          <w14:ligatures w14:val="standardContextual"/>
        </w:rPr>
      </w:pPr>
      <w:permStart w:id="1132867138" w:edGrp="everyone"/>
      <w:r w:rsidRPr="006E2223">
        <w:rPr>
          <w:rFonts w:ascii="Aptos" w:eastAsia="Aptos" w:hAnsi="Aptos" w:cs="Times New Roman"/>
          <w:color w:val="auto"/>
          <w:kern w:val="2"/>
          <w:sz w:val="24"/>
          <w:szCs w:val="24"/>
          <w:u w:val="single"/>
          <w14:ligatures w14:val="standardContextual"/>
        </w:rPr>
        <w:lastRenderedPageBreak/>
        <w:t>The Bank supports the objective of electronic communication on T+</w:t>
      </w:r>
      <w:proofErr w:type="gramStart"/>
      <w:r w:rsidRPr="006E2223">
        <w:rPr>
          <w:rFonts w:ascii="Aptos" w:eastAsia="Aptos" w:hAnsi="Aptos" w:cs="Times New Roman"/>
          <w:color w:val="auto"/>
          <w:kern w:val="2"/>
          <w:sz w:val="24"/>
          <w:szCs w:val="24"/>
          <w:u w:val="single"/>
          <w14:ligatures w14:val="standardContextual"/>
        </w:rPr>
        <w:t>0, but</w:t>
      </w:r>
      <w:proofErr w:type="gramEnd"/>
      <w:r w:rsidRPr="006E2223">
        <w:rPr>
          <w:rFonts w:ascii="Aptos" w:eastAsia="Aptos" w:hAnsi="Aptos" w:cs="Times New Roman"/>
          <w:color w:val="auto"/>
          <w:kern w:val="2"/>
          <w:sz w:val="24"/>
          <w:szCs w:val="24"/>
          <w:u w:val="single"/>
          <w14:ligatures w14:val="standardContextual"/>
        </w:rPr>
        <w:t xml:space="preserve"> considers that email should remain acceptable as long as the data is in a </w:t>
      </w:r>
      <w:proofErr w:type="gramStart"/>
      <w:r w:rsidRPr="006E2223">
        <w:rPr>
          <w:rFonts w:ascii="Aptos" w:eastAsia="Aptos" w:hAnsi="Aptos" w:cs="Times New Roman"/>
          <w:color w:val="auto"/>
          <w:kern w:val="2"/>
          <w:sz w:val="24"/>
          <w:szCs w:val="24"/>
          <w:u w:val="single"/>
          <w14:ligatures w14:val="standardContextual"/>
        </w:rPr>
        <w:t>machine readable</w:t>
      </w:r>
      <w:proofErr w:type="gramEnd"/>
      <w:r w:rsidRPr="006E2223">
        <w:rPr>
          <w:rFonts w:ascii="Aptos" w:eastAsia="Aptos" w:hAnsi="Aptos" w:cs="Times New Roman"/>
          <w:color w:val="auto"/>
          <w:kern w:val="2"/>
          <w:sz w:val="24"/>
          <w:szCs w:val="24"/>
          <w:u w:val="single"/>
          <w14:ligatures w14:val="standardContextual"/>
        </w:rPr>
        <w:t xml:space="preserve"> format, to enable timely processing. Where international open communication procedures and standards are required, firms should be given sufficient implementation flexibility.</w:t>
      </w:r>
    </w:p>
    <w:permEnd w:id="1132867138"/>
    <w:p w14:paraId="2D259F67" w14:textId="7777777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2DE14390" w14:textId="77777777" w:rsidR="0050335C" w:rsidRPr="0050335C" w:rsidRDefault="0050335C" w:rsidP="0050335C">
      <w:pPr>
        <w:spacing w:after="160"/>
        <w:rPr>
          <w:rFonts w:ascii="Aptos" w:eastAsia="Aptos" w:hAnsi="Aptos" w:cs="Times New Roman"/>
          <w:color w:val="auto"/>
          <w:kern w:val="2"/>
          <w:sz w:val="24"/>
          <w:szCs w:val="24"/>
          <w:u w:val="single"/>
          <w14:ligatures w14:val="standardContextual"/>
        </w:rPr>
      </w:pPr>
      <w:permStart w:id="299643757" w:edGrp="everyone"/>
      <w:r w:rsidRPr="0050335C">
        <w:rPr>
          <w:rFonts w:ascii="Aptos" w:eastAsia="Aptos" w:hAnsi="Aptos" w:cs="Times New Roman"/>
          <w:color w:val="auto"/>
          <w:kern w:val="2"/>
          <w:sz w:val="24"/>
          <w:szCs w:val="24"/>
          <w:u w:val="single"/>
          <w14:ligatures w14:val="standardContextual"/>
        </w:rPr>
        <w:t xml:space="preserve">The Bank considers that interfaces designed for human interaction, such as graphical user interfaces (GUIs), may be appropriate for communication with professional clients, </w:t>
      </w:r>
      <w:proofErr w:type="gramStart"/>
      <w:r w:rsidRPr="0050335C">
        <w:rPr>
          <w:rFonts w:ascii="Aptos" w:eastAsia="Aptos" w:hAnsi="Aptos" w:cs="Times New Roman"/>
          <w:color w:val="auto"/>
          <w:kern w:val="2"/>
          <w:sz w:val="24"/>
          <w:szCs w:val="24"/>
          <w:u w:val="single"/>
          <w14:ligatures w14:val="standardContextual"/>
        </w:rPr>
        <w:t>provided that</w:t>
      </w:r>
      <w:proofErr w:type="gramEnd"/>
      <w:r w:rsidRPr="0050335C">
        <w:rPr>
          <w:rFonts w:ascii="Aptos" w:eastAsia="Aptos" w:hAnsi="Aptos" w:cs="Times New Roman"/>
          <w:color w:val="auto"/>
          <w:kern w:val="2"/>
          <w:sz w:val="24"/>
          <w:szCs w:val="24"/>
          <w:u w:val="single"/>
          <w14:ligatures w14:val="standardContextual"/>
        </w:rPr>
        <w:t xml:space="preserve"> they ensure an equivalent level of accessibility, durability and retrievability of information as more traditional communication channels such emails. Whilst the Bank currently communicates with its professional clients primarily via email, it recognises that GUIs can offer an efficient and user-friendly means of delivering information.</w:t>
      </w:r>
    </w:p>
    <w:p w14:paraId="000FBCC4" w14:textId="682C8E96" w:rsidR="00941BDF" w:rsidRPr="00FD7F8D" w:rsidRDefault="0050335C" w:rsidP="00FD7F8D">
      <w:pPr>
        <w:spacing w:after="160"/>
        <w:rPr>
          <w:rFonts w:ascii="Aptos" w:eastAsia="Aptos" w:hAnsi="Aptos" w:cs="Times New Roman"/>
          <w:color w:val="auto"/>
          <w:kern w:val="2"/>
          <w:sz w:val="24"/>
          <w:szCs w:val="24"/>
          <w:u w:val="single"/>
          <w14:ligatures w14:val="standardContextual"/>
        </w:rPr>
      </w:pPr>
      <w:r w:rsidRPr="0050335C">
        <w:rPr>
          <w:rFonts w:ascii="Aptos" w:eastAsia="Aptos" w:hAnsi="Aptos" w:cs="Times New Roman"/>
          <w:color w:val="auto"/>
          <w:kern w:val="2"/>
          <w:sz w:val="24"/>
          <w:szCs w:val="24"/>
          <w:u w:val="single"/>
          <w14:ligatures w14:val="standardContextual"/>
        </w:rPr>
        <w:t>However, for a GUI to be considered appropriate, clients should be able to easily access, retrieve, download and retain information for future reference. In addition, firms should ensure that important communications are clearly identifiable, remain accessible for a reasonable period, and do not create barriers to the client's ability to evidence receipt or review of the information. The suitability of a GUI should therefore depend on its functionality and ability to support effective record-keeping and transparency rather than on the communication medium itself.</w:t>
      </w:r>
    </w:p>
    <w:permEnd w:id="299643757"/>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22FD6F0E" w14:textId="13B3AADE" w:rsidR="00941BDF" w:rsidRPr="00635149" w:rsidRDefault="00592CBE" w:rsidP="00635149">
      <w:pPr>
        <w:spacing w:after="160"/>
        <w:rPr>
          <w:rFonts w:ascii="Aptos" w:eastAsia="Aptos" w:hAnsi="Aptos" w:cs="Times New Roman"/>
          <w:color w:val="auto"/>
          <w:kern w:val="2"/>
          <w:sz w:val="24"/>
          <w:szCs w:val="24"/>
          <w14:ligatures w14:val="standardContextual"/>
        </w:rPr>
      </w:pPr>
      <w:permStart w:id="1075073537" w:edGrp="everyone"/>
      <w:r w:rsidRPr="00592CBE">
        <w:rPr>
          <w:rFonts w:ascii="Aptos" w:eastAsia="Aptos" w:hAnsi="Aptos" w:cs="Times New Roman"/>
          <w:color w:val="auto"/>
          <w:kern w:val="2"/>
          <w:sz w:val="24"/>
          <w:szCs w:val="24"/>
          <w:u w:val="single"/>
          <w14:ligatures w14:val="standardContextual"/>
        </w:rPr>
        <w:t xml:space="preserve">The Bank agrees that where the necessary settlement information is already available through a centralised database allocation and confirmation messages should not be </w:t>
      </w:r>
      <w:r w:rsidRPr="00592CBE">
        <w:rPr>
          <w:rFonts w:ascii="Aptos" w:eastAsia="Aptos" w:hAnsi="Aptos" w:cs="Times New Roman"/>
          <w:color w:val="auto"/>
          <w:kern w:val="2"/>
          <w:sz w:val="24"/>
          <w:szCs w:val="24"/>
          <w:u w:val="single"/>
          <w14:ligatures w14:val="standardContextual"/>
        </w:rPr>
        <w:lastRenderedPageBreak/>
        <w:t>required, provided the arrangement is documented and the information is available within the required timeframe.</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235C0448" w14:textId="77777777" w:rsidR="002F5893" w:rsidRPr="002F5893" w:rsidRDefault="002F5893" w:rsidP="002F5893">
      <w:pPr>
        <w:spacing w:after="160" w:line="278" w:lineRule="auto"/>
        <w:rPr>
          <w:rFonts w:ascii="Aptos" w:eastAsia="Aptos" w:hAnsi="Aptos" w:cs="Times New Roman"/>
          <w:color w:val="auto"/>
          <w:kern w:val="2"/>
          <w:sz w:val="24"/>
          <w:szCs w:val="24"/>
          <w:u w:val="single"/>
          <w14:ligatures w14:val="standardContextual"/>
        </w:rPr>
      </w:pPr>
      <w:permStart w:id="1673032747" w:edGrp="everyone"/>
      <w:r w:rsidRPr="002F5893">
        <w:rPr>
          <w:rFonts w:ascii="Aptos" w:eastAsia="Aptos" w:hAnsi="Aptos" w:cs="Times New Roman"/>
          <w:color w:val="auto"/>
          <w:kern w:val="2"/>
          <w:sz w:val="24"/>
          <w:szCs w:val="24"/>
          <w:u w:val="single"/>
          <w14:ligatures w14:val="standardContextual"/>
        </w:rPr>
        <w:t>The Bank partially agrees with the proposed amendment. Whilst current agreements with per se professional clients already address the consequences of failed settlement and the responsibilities of the parties in the settlement process, they do not generally regulate the consequences of late or failed communications relating to allocations and confirmations as a separate contractual obligation.</w:t>
      </w:r>
    </w:p>
    <w:p w14:paraId="1C1D1586" w14:textId="77777777" w:rsidR="002F5893" w:rsidRPr="002F5893" w:rsidRDefault="002F5893" w:rsidP="002F5893">
      <w:pPr>
        <w:spacing w:after="160" w:line="278" w:lineRule="auto"/>
        <w:rPr>
          <w:rFonts w:ascii="Aptos" w:eastAsia="Aptos" w:hAnsi="Aptos" w:cs="Times New Roman"/>
          <w:color w:val="auto"/>
          <w:kern w:val="2"/>
          <w:sz w:val="24"/>
          <w:szCs w:val="24"/>
          <w:u w:val="single"/>
          <w14:ligatures w14:val="standardContextual"/>
        </w:rPr>
      </w:pPr>
      <w:r w:rsidRPr="002F5893">
        <w:rPr>
          <w:rFonts w:ascii="Aptos" w:eastAsia="Aptos" w:hAnsi="Aptos" w:cs="Times New Roman"/>
          <w:color w:val="auto"/>
          <w:kern w:val="2"/>
          <w:sz w:val="24"/>
          <w:szCs w:val="24"/>
          <w:u w:val="single"/>
          <w14:ligatures w14:val="standardContextual"/>
        </w:rPr>
        <w:t xml:space="preserve">The Bank understands the rationale behind enhancing legal certainty and ensuring that both parties clearly understand their respective responsibilities where communications are delayed, incomplete or not received. However, introducing a requirement to specifically address all potential communication failures within customer agreements may result in additional contractual complexity and require the amendment of </w:t>
      </w:r>
      <w:proofErr w:type="gramStart"/>
      <w:r w:rsidRPr="002F5893">
        <w:rPr>
          <w:rFonts w:ascii="Aptos" w:eastAsia="Aptos" w:hAnsi="Aptos" w:cs="Times New Roman"/>
          <w:color w:val="auto"/>
          <w:kern w:val="2"/>
          <w:sz w:val="24"/>
          <w:szCs w:val="24"/>
          <w:u w:val="single"/>
          <w14:ligatures w14:val="standardContextual"/>
        </w:rPr>
        <w:t>a large number of</w:t>
      </w:r>
      <w:proofErr w:type="gramEnd"/>
      <w:r w:rsidRPr="002F5893">
        <w:rPr>
          <w:rFonts w:ascii="Aptos" w:eastAsia="Aptos" w:hAnsi="Aptos" w:cs="Times New Roman"/>
          <w:color w:val="auto"/>
          <w:kern w:val="2"/>
          <w:sz w:val="24"/>
          <w:szCs w:val="24"/>
          <w:u w:val="single"/>
          <w14:ligatures w14:val="standardContextual"/>
        </w:rPr>
        <w:t xml:space="preserve"> existing client agreements.</w:t>
      </w:r>
    </w:p>
    <w:p w14:paraId="22CF8794" w14:textId="77777777" w:rsidR="002F5893" w:rsidRPr="002F5893" w:rsidRDefault="002F5893" w:rsidP="002F5893">
      <w:pPr>
        <w:spacing w:after="160" w:line="278" w:lineRule="auto"/>
        <w:rPr>
          <w:rFonts w:ascii="Aptos" w:eastAsia="Aptos" w:hAnsi="Aptos" w:cs="Times New Roman"/>
          <w:color w:val="auto"/>
          <w:kern w:val="2"/>
          <w:sz w:val="24"/>
          <w:szCs w:val="24"/>
          <w:u w:val="single"/>
          <w14:ligatures w14:val="standardContextual"/>
        </w:rPr>
      </w:pPr>
      <w:r w:rsidRPr="002F5893">
        <w:rPr>
          <w:rFonts w:ascii="Aptos" w:eastAsia="Aptos" w:hAnsi="Aptos" w:cs="Times New Roman"/>
          <w:color w:val="auto"/>
          <w:kern w:val="2"/>
          <w:sz w:val="24"/>
          <w:szCs w:val="24"/>
          <w:u w:val="single"/>
          <w14:ligatures w14:val="standardContextual"/>
        </w:rPr>
        <w:t>In practice, the consequences of a delayed or failed communication will often depend on the specific circumstances, including the cause of the failure, the timing of the communication, the communication channel used, and whether the delay ultimately affects settlement. The Bank therefore believes that any requirement should remain proportionate and principles-based, allowing firms and professional clients sufficient flexibility to agree contractual arrangements that reflect the nature of their relationship and operating model.</w:t>
      </w:r>
    </w:p>
    <w:p w14:paraId="408055F5" w14:textId="5F758BBD" w:rsidR="00941BDF" w:rsidRPr="009C6FDC" w:rsidRDefault="002F5893" w:rsidP="009C6FDC">
      <w:pPr>
        <w:spacing w:after="160" w:line="278" w:lineRule="auto"/>
        <w:rPr>
          <w:rFonts w:ascii="Aptos" w:eastAsia="Aptos" w:hAnsi="Aptos" w:cs="Times New Roman"/>
          <w:color w:val="auto"/>
          <w:kern w:val="2"/>
          <w:sz w:val="24"/>
          <w:szCs w:val="24"/>
          <w:u w:val="single"/>
          <w14:ligatures w14:val="standardContextual"/>
        </w:rPr>
      </w:pPr>
      <w:r w:rsidRPr="002F5893">
        <w:rPr>
          <w:rFonts w:ascii="Aptos" w:eastAsia="Aptos" w:hAnsi="Aptos" w:cs="Times New Roman"/>
          <w:color w:val="auto"/>
          <w:kern w:val="2"/>
          <w:sz w:val="24"/>
          <w:szCs w:val="24"/>
          <w:u w:val="single"/>
          <w14:ligatures w14:val="standardContextual"/>
        </w:rPr>
        <w:t xml:space="preserve">ESMA may also wish to clarify whether the requirement is intended to extend only to communications directly impacting settlement efficiency and settlement discipline or whether it applies more broadly to all allocation and confirmation exchanges. Such clarification would assist firms in assessing the necessity and scope of any contractual amendments. Overall, whilst the proposal may enhance transparency and accountability, the operational and contractual implementation effort should be weighed against the </w:t>
      </w:r>
      <w:r w:rsidRPr="002F5893">
        <w:rPr>
          <w:rFonts w:ascii="Aptos" w:eastAsia="Aptos" w:hAnsi="Aptos" w:cs="Times New Roman"/>
          <w:color w:val="auto"/>
          <w:kern w:val="2"/>
          <w:sz w:val="24"/>
          <w:szCs w:val="24"/>
          <w:u w:val="single"/>
          <w14:ligatures w14:val="standardContextual"/>
        </w:rPr>
        <w:lastRenderedPageBreak/>
        <w:t>incremental benefits, particularly where existing agreements already contain provisions governing settlement failures and related liabilities.</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4AB4AF33" w14:textId="77777777" w:rsidR="00692CF2" w:rsidRPr="00692CF2" w:rsidRDefault="00692CF2" w:rsidP="00692CF2">
      <w:pPr>
        <w:spacing w:after="160" w:line="278" w:lineRule="auto"/>
        <w:rPr>
          <w:rFonts w:ascii="Aptos" w:eastAsia="Aptos" w:hAnsi="Aptos" w:cs="Times New Roman"/>
          <w:color w:val="auto"/>
          <w:kern w:val="2"/>
          <w:sz w:val="24"/>
          <w:szCs w:val="24"/>
          <w:u w:val="single"/>
          <w14:ligatures w14:val="standardContextual"/>
        </w:rPr>
      </w:pPr>
      <w:permStart w:id="1349406036" w:edGrp="everyone"/>
      <w:r w:rsidRPr="00692CF2">
        <w:rPr>
          <w:rFonts w:ascii="Aptos" w:eastAsia="Aptos" w:hAnsi="Aptos" w:cs="Times New Roman"/>
          <w:color w:val="auto"/>
          <w:kern w:val="2"/>
          <w:sz w:val="24"/>
          <w:szCs w:val="24"/>
          <w:u w:val="single"/>
          <w14:ligatures w14:val="standardContextual"/>
        </w:rPr>
        <w:t xml:space="preserve">Here one should consider that a securities transaction typically involves multiple parties and relationships within the execution chain. The first relationship is between the client (whether retail or professional) and the Bank acting as broker, whereby the client submits an order for execution. </w:t>
      </w:r>
    </w:p>
    <w:p w14:paraId="10B20A7A" w14:textId="77777777" w:rsidR="00692CF2" w:rsidRPr="00692CF2" w:rsidRDefault="00692CF2" w:rsidP="00692CF2">
      <w:pPr>
        <w:spacing w:after="160" w:line="278" w:lineRule="auto"/>
        <w:rPr>
          <w:rFonts w:ascii="Aptos" w:eastAsia="Aptos" w:hAnsi="Aptos" w:cs="Times New Roman"/>
          <w:color w:val="auto"/>
          <w:kern w:val="2"/>
          <w:sz w:val="24"/>
          <w:szCs w:val="24"/>
          <w:u w:val="single"/>
          <w14:ligatures w14:val="standardContextual"/>
        </w:rPr>
      </w:pPr>
      <w:r w:rsidRPr="00692CF2">
        <w:rPr>
          <w:rFonts w:ascii="Aptos" w:eastAsia="Aptos" w:hAnsi="Aptos" w:cs="Times New Roman"/>
          <w:color w:val="auto"/>
          <w:kern w:val="2"/>
          <w:sz w:val="24"/>
          <w:szCs w:val="24"/>
          <w:u w:val="single"/>
          <w14:ligatures w14:val="standardContextual"/>
        </w:rPr>
        <w:t xml:space="preserve">The second relationship is between the Bank and its executing broker or market counterparty, which executes the order on the relevant market. If the proposed requirement to transmit allocations and confirmations through a standardised electronic messaging method is intended to apply not only between market participants and intermediaries, but also between the Bank and its underlying professional clients, this could create significant practical challenges. </w:t>
      </w:r>
    </w:p>
    <w:p w14:paraId="1948A0B9" w14:textId="77777777" w:rsidR="00692CF2" w:rsidRPr="00692CF2" w:rsidRDefault="00692CF2" w:rsidP="00692CF2">
      <w:pPr>
        <w:spacing w:after="160" w:line="278" w:lineRule="auto"/>
        <w:rPr>
          <w:rFonts w:ascii="Aptos" w:eastAsia="Aptos" w:hAnsi="Aptos" w:cs="Times New Roman"/>
          <w:color w:val="auto"/>
          <w:kern w:val="2"/>
          <w:sz w:val="24"/>
          <w:szCs w:val="24"/>
          <w:u w:val="single"/>
          <w14:ligatures w14:val="standardContextual"/>
        </w:rPr>
      </w:pPr>
      <w:r w:rsidRPr="00692CF2">
        <w:rPr>
          <w:rFonts w:ascii="Aptos" w:eastAsia="Aptos" w:hAnsi="Aptos" w:cs="Times New Roman"/>
          <w:color w:val="auto"/>
          <w:kern w:val="2"/>
          <w:sz w:val="24"/>
          <w:szCs w:val="24"/>
          <w:u w:val="single"/>
          <w14:ligatures w14:val="standardContextual"/>
        </w:rPr>
        <w:t>Many professional clients, particularly smaller intermediary firms, do not have access to SWIFT or equivalent standardised messaging infrastructure and currently make orders by phone. Allowing this only in the case of documented temporary technical unavailability would result in additional costs with limited operational benefit, given their size and level of market activity.</w:t>
      </w:r>
    </w:p>
    <w:p w14:paraId="0283EEF7" w14:textId="409FF919" w:rsidR="00941BDF" w:rsidRPr="00692CF2" w:rsidRDefault="00692CF2" w:rsidP="00692CF2">
      <w:pPr>
        <w:spacing w:after="160" w:line="278" w:lineRule="auto"/>
        <w:rPr>
          <w:rFonts w:ascii="Aptos" w:eastAsia="Aptos" w:hAnsi="Aptos" w:cs="Times New Roman"/>
          <w:color w:val="auto"/>
          <w:kern w:val="2"/>
          <w:sz w:val="24"/>
          <w:szCs w:val="24"/>
          <w:u w:val="single"/>
          <w14:ligatures w14:val="standardContextual"/>
        </w:rPr>
      </w:pPr>
      <w:r w:rsidRPr="00692CF2">
        <w:rPr>
          <w:rFonts w:ascii="Aptos" w:eastAsia="Aptos" w:hAnsi="Aptos" w:cs="Times New Roman"/>
          <w:color w:val="auto"/>
          <w:kern w:val="2"/>
          <w:sz w:val="24"/>
          <w:szCs w:val="24"/>
          <w:u w:val="single"/>
          <w14:ligatures w14:val="standardContextual"/>
        </w:rPr>
        <w:br/>
        <w:t xml:space="preserve">Accordingly, clarification would be welcomed as to whether the requirement is intended to apply solely to communications between regulated market participants within the settlement chain, or whether it is also expected to extend </w:t>
      </w:r>
      <w:proofErr w:type="gramStart"/>
      <w:r w:rsidRPr="00692CF2">
        <w:rPr>
          <w:rFonts w:ascii="Aptos" w:eastAsia="Aptos" w:hAnsi="Aptos" w:cs="Times New Roman"/>
          <w:color w:val="auto"/>
          <w:kern w:val="2"/>
          <w:sz w:val="24"/>
          <w:szCs w:val="24"/>
          <w:u w:val="single"/>
          <w14:ligatures w14:val="standardContextual"/>
        </w:rPr>
        <w:t>to underlying</w:t>
      </w:r>
      <w:proofErr w:type="gramEnd"/>
      <w:r w:rsidRPr="00692CF2">
        <w:rPr>
          <w:rFonts w:ascii="Aptos" w:eastAsia="Aptos" w:hAnsi="Aptos" w:cs="Times New Roman"/>
          <w:color w:val="auto"/>
          <w:kern w:val="2"/>
          <w:sz w:val="24"/>
          <w:szCs w:val="24"/>
          <w:u w:val="single"/>
          <w14:ligatures w14:val="standardContextual"/>
        </w:rPr>
        <w:t xml:space="preserve"> professional clients including both category I and II professional clients under Annex II to MiFID.</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lastRenderedPageBreak/>
        <w:t>&lt;ESMA_QUESTION_GLAC_8&gt;</w:t>
      </w:r>
    </w:p>
    <w:p w14:paraId="114DC1E3" w14:textId="77777777" w:rsidR="00436F91" w:rsidRPr="00436F91" w:rsidRDefault="00436F91" w:rsidP="00436F91">
      <w:pPr>
        <w:spacing w:after="160" w:line="278" w:lineRule="auto"/>
        <w:rPr>
          <w:rFonts w:ascii="Aptos" w:eastAsia="Aptos" w:hAnsi="Aptos" w:cs="Times New Roman"/>
          <w:color w:val="auto"/>
          <w:kern w:val="2"/>
          <w:sz w:val="24"/>
          <w:szCs w:val="24"/>
          <w:u w:val="single"/>
          <w14:ligatures w14:val="standardContextual"/>
        </w:rPr>
      </w:pPr>
      <w:permStart w:id="1120359020" w:edGrp="everyone"/>
      <w:r w:rsidRPr="00436F91">
        <w:rPr>
          <w:rFonts w:ascii="Aptos" w:eastAsia="Aptos" w:hAnsi="Aptos" w:cs="Times New Roman"/>
          <w:color w:val="auto"/>
          <w:kern w:val="2"/>
          <w:sz w:val="24"/>
          <w:szCs w:val="24"/>
          <w:u w:val="single"/>
          <w14:ligatures w14:val="standardContextual"/>
        </w:rPr>
        <w:t xml:space="preserve">Here similarly to Q7, one should consider that a securities transaction typically involves multiple parties and relationships within the execution chain. The first relationship is between the client (whether retail or professional) and the Bank acting as broker, whereby the client submits an order for execution. </w:t>
      </w:r>
    </w:p>
    <w:p w14:paraId="4C690E40" w14:textId="77777777" w:rsidR="00A87442" w:rsidRDefault="00436F91" w:rsidP="00A87442">
      <w:pPr>
        <w:rPr>
          <w:rFonts w:ascii="Aptos" w:eastAsia="Aptos" w:hAnsi="Aptos" w:cs="Times New Roman"/>
          <w:color w:val="auto"/>
          <w:kern w:val="2"/>
          <w:sz w:val="24"/>
          <w:szCs w:val="24"/>
          <w:u w:val="single"/>
          <w14:ligatures w14:val="standardContextual"/>
        </w:rPr>
      </w:pPr>
      <w:r w:rsidRPr="00436F91">
        <w:rPr>
          <w:rFonts w:ascii="Aptos" w:eastAsia="Aptos" w:hAnsi="Aptos" w:cs="Times New Roman"/>
          <w:color w:val="auto"/>
          <w:kern w:val="2"/>
          <w:sz w:val="24"/>
          <w:szCs w:val="24"/>
          <w:u w:val="single"/>
          <w14:ligatures w14:val="standardContextual"/>
        </w:rPr>
        <w:t xml:space="preserve">The second relationship is between the Bank and its executing broker or market </w:t>
      </w:r>
      <w:proofErr w:type="gramStart"/>
      <w:r w:rsidRPr="00436F91">
        <w:rPr>
          <w:rFonts w:ascii="Aptos" w:eastAsia="Aptos" w:hAnsi="Aptos" w:cs="Times New Roman"/>
          <w:color w:val="auto"/>
          <w:kern w:val="2"/>
          <w:sz w:val="24"/>
          <w:szCs w:val="24"/>
          <w:u w:val="single"/>
          <w14:ligatures w14:val="standardContextual"/>
        </w:rPr>
        <w:t>counterparty,  which</w:t>
      </w:r>
      <w:proofErr w:type="gramEnd"/>
      <w:r w:rsidRPr="00436F91">
        <w:rPr>
          <w:rFonts w:ascii="Aptos" w:eastAsia="Aptos" w:hAnsi="Aptos" w:cs="Times New Roman"/>
          <w:color w:val="auto"/>
          <w:kern w:val="2"/>
          <w:sz w:val="24"/>
          <w:szCs w:val="24"/>
          <w:u w:val="single"/>
          <w14:ligatures w14:val="standardContextual"/>
        </w:rPr>
        <w:t xml:space="preserve"> executes the order on the relevant market. If the proposed requirement to transmit allocations and confirmations through a standardised electronic messaging method is intended to apply not only between market participants and intermediaries, but also between the Bank and its underlying professional clients, this could create significant practical challenges.</w:t>
      </w:r>
      <w:r w:rsidR="00A87442">
        <w:rPr>
          <w:rFonts w:ascii="Aptos" w:eastAsia="Aptos" w:hAnsi="Aptos" w:cs="Times New Roman"/>
          <w:color w:val="auto"/>
          <w:kern w:val="2"/>
          <w:sz w:val="24"/>
          <w:szCs w:val="24"/>
          <w:u w:val="single"/>
          <w14:ligatures w14:val="standardContextual"/>
        </w:rPr>
        <w:t xml:space="preserve"> </w:t>
      </w:r>
    </w:p>
    <w:p w14:paraId="754B045B" w14:textId="49AECC53" w:rsidR="00941BDF" w:rsidRPr="00A87442" w:rsidRDefault="00A87442" w:rsidP="00A87442">
      <w:pPr>
        <w:rPr>
          <w:rFonts w:ascii="Aptos" w:eastAsia="Aptos" w:hAnsi="Aptos" w:cs="Times New Roman"/>
          <w:color w:val="auto"/>
          <w:kern w:val="2"/>
          <w:sz w:val="24"/>
          <w:szCs w:val="24"/>
          <w14:ligatures w14:val="standardContextual"/>
        </w:rPr>
      </w:pPr>
      <w:r w:rsidRPr="00A87442">
        <w:rPr>
          <w:rFonts w:ascii="Aptos" w:eastAsia="Aptos" w:hAnsi="Aptos" w:cs="Times New Roman"/>
          <w:color w:val="auto"/>
          <w:kern w:val="2"/>
          <w:sz w:val="24"/>
          <w:szCs w:val="24"/>
          <w:u w:val="single"/>
          <w14:ligatures w14:val="standardContextual"/>
        </w:rPr>
        <w:t>Many professional clients, particularly smaller intermediary firms, do not have access to SWIFT or equivalent standardised messaging infrastructure The Bank supports harmonisation and the objective of standardised electronic communication but considers that proportionality and implementation flexibility are necessary, particularly for lower-volume relationships or local market arrangements where the relevant settlement data is already pre-agreed.</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5888EF65" w14:textId="0B2D95E2" w:rsidR="00941BDF" w:rsidRPr="007629F1" w:rsidRDefault="00B45E5B" w:rsidP="007629F1">
      <w:pPr>
        <w:spacing w:after="160" w:line="278" w:lineRule="auto"/>
        <w:rPr>
          <w:rFonts w:ascii="Aptos" w:eastAsia="Aptos" w:hAnsi="Aptos" w:cs="Times New Roman"/>
          <w:color w:val="auto"/>
          <w:kern w:val="2"/>
          <w:sz w:val="24"/>
          <w:szCs w:val="24"/>
          <w14:ligatures w14:val="standardContextual"/>
        </w:rPr>
      </w:pPr>
      <w:permStart w:id="1704859811" w:edGrp="everyone"/>
      <w:r>
        <w:rPr>
          <w:rFonts w:ascii="Aptos" w:eastAsia="Aptos" w:hAnsi="Aptos" w:cs="Times New Roman"/>
          <w:color w:val="auto"/>
          <w:kern w:val="2"/>
          <w:sz w:val="24"/>
          <w:szCs w:val="24"/>
          <w:u w:val="single"/>
          <w14:ligatures w14:val="standardContextual"/>
        </w:rPr>
        <w:t>NA</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1B331B7E" w14:textId="2B8D2F8F" w:rsidR="00941BDF" w:rsidRDefault="00B45E5B" w:rsidP="00941BDF">
      <w:permStart w:id="1210917771" w:edGrp="everyone"/>
      <w:r w:rsidRPr="00B45E5B">
        <w:rPr>
          <w:u w:val="single"/>
        </w:rPr>
        <w:lastRenderedPageBreak/>
        <w:t>The Bank agrees with aligning the date of application of the Guidelines with the relevant RTS amendments</w:t>
      </w:r>
    </w:p>
    <w:permEnd w:id="1210917771"/>
    <w:p w14:paraId="12B26A2D" w14:textId="77777777"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24ACDA4B" w14:textId="77777777" w:rsidR="002536D4" w:rsidRPr="002536D4" w:rsidRDefault="002536D4" w:rsidP="002536D4">
      <w:pPr>
        <w:spacing w:after="160" w:line="278" w:lineRule="auto"/>
        <w:rPr>
          <w:rFonts w:ascii="Aptos" w:eastAsia="Aptos" w:hAnsi="Aptos" w:cs="Times New Roman"/>
          <w:color w:val="auto"/>
          <w:kern w:val="2"/>
          <w:sz w:val="24"/>
          <w:szCs w:val="24"/>
          <w:u w:val="single"/>
          <w14:ligatures w14:val="standardContextual"/>
        </w:rPr>
      </w:pPr>
      <w:permStart w:id="453322928" w:edGrp="everyone"/>
      <w:r w:rsidRPr="002536D4">
        <w:rPr>
          <w:rFonts w:ascii="Aptos" w:eastAsia="Aptos" w:hAnsi="Aptos" w:cs="Times New Roman"/>
          <w:color w:val="auto"/>
          <w:kern w:val="2"/>
          <w:sz w:val="24"/>
          <w:szCs w:val="24"/>
          <w:u w:val="single"/>
          <w14:ligatures w14:val="standardContextual"/>
        </w:rPr>
        <w:t>The Bank broadly agrees that the costs and benefits associated with the proposed amendments will largely depend on the final scope and definition of the professional clients to whom the requirements will apply.</w:t>
      </w:r>
    </w:p>
    <w:p w14:paraId="163F2EF0" w14:textId="77777777" w:rsidR="002536D4" w:rsidRPr="002536D4" w:rsidRDefault="002536D4" w:rsidP="002536D4">
      <w:pPr>
        <w:spacing w:after="160" w:line="278" w:lineRule="auto"/>
        <w:rPr>
          <w:rFonts w:ascii="Aptos" w:eastAsia="Aptos" w:hAnsi="Aptos" w:cs="Times New Roman"/>
          <w:color w:val="auto"/>
          <w:kern w:val="2"/>
          <w:sz w:val="24"/>
          <w:szCs w:val="24"/>
          <w:u w:val="single"/>
          <w14:ligatures w14:val="standardContextual"/>
        </w:rPr>
      </w:pPr>
      <w:r w:rsidRPr="002536D4">
        <w:rPr>
          <w:rFonts w:ascii="Aptos" w:eastAsia="Aptos" w:hAnsi="Aptos" w:cs="Times New Roman"/>
          <w:color w:val="auto"/>
          <w:kern w:val="2"/>
          <w:sz w:val="24"/>
          <w:szCs w:val="24"/>
          <w:u w:val="single"/>
          <w14:ligatures w14:val="standardContextual"/>
        </w:rPr>
        <w:t>As stated above, if the requirement to transmit allocations and confirmations through a standardised electronic messaging solution is intended to extend beyond communications between market participants and intermediaries and apply directly between investment firms and their underlying professional clients, this could create significant operational and implementation challenges.</w:t>
      </w:r>
    </w:p>
    <w:p w14:paraId="10F86FCD" w14:textId="77777777" w:rsidR="002536D4" w:rsidRPr="002536D4" w:rsidRDefault="002536D4" w:rsidP="002536D4">
      <w:pPr>
        <w:spacing w:after="160" w:line="278" w:lineRule="auto"/>
        <w:rPr>
          <w:rFonts w:ascii="Aptos" w:eastAsia="Aptos" w:hAnsi="Aptos" w:cs="Times New Roman"/>
          <w:color w:val="auto"/>
          <w:kern w:val="2"/>
          <w:sz w:val="24"/>
          <w:szCs w:val="24"/>
          <w:u w:val="single"/>
          <w14:ligatures w14:val="standardContextual"/>
        </w:rPr>
      </w:pPr>
      <w:r w:rsidRPr="002536D4">
        <w:rPr>
          <w:rFonts w:ascii="Aptos" w:eastAsia="Aptos" w:hAnsi="Aptos" w:cs="Times New Roman"/>
          <w:color w:val="auto"/>
          <w:kern w:val="2"/>
          <w:sz w:val="24"/>
          <w:szCs w:val="24"/>
          <w:u w:val="single"/>
          <w14:ligatures w14:val="standardContextual"/>
        </w:rPr>
        <w:t xml:space="preserve"> </w:t>
      </w:r>
      <w:proofErr w:type="gramStart"/>
      <w:r w:rsidRPr="002536D4">
        <w:rPr>
          <w:rFonts w:ascii="Aptos" w:eastAsia="Aptos" w:hAnsi="Aptos" w:cs="Times New Roman"/>
          <w:color w:val="auto"/>
          <w:kern w:val="2"/>
          <w:sz w:val="24"/>
          <w:szCs w:val="24"/>
          <w:u w:val="single"/>
          <w14:ligatures w14:val="standardContextual"/>
        </w:rPr>
        <w:t>In particular, many</w:t>
      </w:r>
      <w:proofErr w:type="gramEnd"/>
      <w:r w:rsidRPr="002536D4">
        <w:rPr>
          <w:rFonts w:ascii="Aptos" w:eastAsia="Aptos" w:hAnsi="Aptos" w:cs="Times New Roman"/>
          <w:color w:val="auto"/>
          <w:kern w:val="2"/>
          <w:sz w:val="24"/>
          <w:szCs w:val="24"/>
          <w:u w:val="single"/>
          <w14:ligatures w14:val="standardContextual"/>
        </w:rPr>
        <w:t xml:space="preserve"> professional clients, especially elective professional clients under Section II of Annex II to MiFID II and smaller financial institutions, do not have access to SWIFT or similar standardised messaging infrastructure. Requiring such clients to adopt these systems would likely entail additional onboarding, technology and maintenance costs that may be disproportionate to the volume and complexity of their trading activity.</w:t>
      </w:r>
    </w:p>
    <w:permEnd w:id="453322928"/>
    <w:p w14:paraId="5C12B038" w14:textId="77777777"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14E31968" w14:textId="77777777" w:rsidR="00F3301F" w:rsidRPr="00F3301F" w:rsidRDefault="00F3301F" w:rsidP="00F3301F">
      <w:pPr>
        <w:rPr>
          <w:u w:val="single"/>
        </w:rPr>
      </w:pPr>
      <w:permStart w:id="303119340" w:edGrp="everyone"/>
      <w:r w:rsidRPr="00F3301F">
        <w:rPr>
          <w:u w:val="single"/>
        </w:rPr>
        <w:t xml:space="preserve">The Bank therefore believes that any simplification measures should remain technologically neutral and proportionate, allowing firms to use alternative electronic communication channels where these achieve the same regulatory objectives. Email, secure client portals and graphical </w:t>
      </w:r>
      <w:r w:rsidRPr="00F3301F">
        <w:rPr>
          <w:u w:val="single"/>
        </w:rPr>
        <w:lastRenderedPageBreak/>
        <w:t>user interfaces (GUIs) may in many circumstances provide an appropriate and cost-effective means of delivering allocations and confirmations, provided that such solutions ensure timely delivery, data integrity, auditability and the ability for clients to retrieve and retain records. This would preserve operational flexibility while avoiding unnecessary implementation costs for smaller market participants and professional clients with limited technological capabilities.</w:t>
      </w:r>
    </w:p>
    <w:p w14:paraId="485BCCC9" w14:textId="14E218B4" w:rsidR="00941BDF" w:rsidRPr="00F3301F" w:rsidRDefault="00F3301F" w:rsidP="00941BDF">
      <w:pPr>
        <w:rPr>
          <w:u w:val="single"/>
        </w:rPr>
      </w:pPr>
      <w:r w:rsidRPr="00F3301F">
        <w:rPr>
          <w:u w:val="single"/>
        </w:rPr>
        <w:t>Furthermore, ESMA may wish to consider a risk-based or phased approach, under which the most stringent messaging requirements would apply primarily to communications between regulated market participants operating at higher transaction volumes, whilst allowing proportional alternatives for smaller firms and less active professional clients. This would help achieve the intended objectives of operational efficiency and settlement discipline without creating disproportionate burdens for certain categories of market participants.</w:t>
      </w:r>
    </w:p>
    <w:permEnd w:id="303119340"/>
    <w:p w14:paraId="04CC24E6" w14:textId="77777777" w:rsidR="00941BDF" w:rsidRDefault="00941BDF" w:rsidP="00941BDF">
      <w:r>
        <w:t>&lt;ESMA_QUESTION_GLAC_12&gt;</w:t>
      </w:r>
    </w:p>
    <w:sectPr w:rsidR="00941BDF" w:rsidSect="00AD0B10">
      <w:headerReference w:type="default" r:id="rId21"/>
      <w:footerReference w:type="default" r:id="rId22"/>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A8E54" w14:textId="77777777" w:rsidR="002A58A5" w:rsidRDefault="002A58A5" w:rsidP="007E7997">
      <w:pPr>
        <w:spacing w:line="240" w:lineRule="auto"/>
      </w:pPr>
      <w:r>
        <w:separator/>
      </w:r>
    </w:p>
  </w:endnote>
  <w:endnote w:type="continuationSeparator" w:id="0">
    <w:p w14:paraId="6B23EF75" w14:textId="77777777" w:rsidR="002A58A5" w:rsidRDefault="002A58A5" w:rsidP="007E7997">
      <w:pPr>
        <w:spacing w:line="240" w:lineRule="auto"/>
      </w:pPr>
      <w:r>
        <w:continuationSeparator/>
      </w:r>
    </w:p>
  </w:endnote>
  <w:endnote w:type="continuationNotice" w:id="1">
    <w:p w14:paraId="74FF21BD" w14:textId="77777777" w:rsidR="002A58A5" w:rsidRDefault="002A58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D81E" w14:textId="77777777" w:rsidR="006E7DB4" w:rsidRDefault="006E7D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4671" w14:textId="77777777" w:rsidR="006E7DB4" w:rsidRDefault="006E7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74C6" w14:textId="77777777" w:rsidR="006E7DB4" w:rsidRDefault="006E7D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1CEC4" w14:textId="77777777" w:rsidR="002A58A5" w:rsidRDefault="002A58A5" w:rsidP="007E7997">
      <w:pPr>
        <w:spacing w:line="240" w:lineRule="auto"/>
      </w:pPr>
      <w:r>
        <w:separator/>
      </w:r>
    </w:p>
  </w:footnote>
  <w:footnote w:type="continuationSeparator" w:id="0">
    <w:p w14:paraId="260DB0AD" w14:textId="77777777" w:rsidR="002A58A5" w:rsidRDefault="002A58A5" w:rsidP="007E7997">
      <w:pPr>
        <w:spacing w:line="240" w:lineRule="auto"/>
      </w:pPr>
      <w:r>
        <w:continuationSeparator/>
      </w:r>
    </w:p>
  </w:footnote>
  <w:footnote w:type="continuationNotice" w:id="1">
    <w:p w14:paraId="01DAF772" w14:textId="77777777" w:rsidR="002A58A5" w:rsidRDefault="002A58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Header"/>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Header"/>
    </w:pPr>
  </w:p>
  <w:p w14:paraId="76D78551" w14:textId="45227A06" w:rsidR="00AD0B10" w:rsidRDefault="00AD0B10" w:rsidP="00AD0B10">
    <w:pPr>
      <w:pStyle w:val="Header"/>
    </w:pPr>
  </w:p>
  <w:p w14:paraId="56B00CEC" w14:textId="77777777" w:rsidR="00AD0B10" w:rsidRPr="0043139E" w:rsidRDefault="00AD0B10" w:rsidP="00AD0B10">
    <w:pPr>
      <w:pStyle w:val="Header"/>
    </w:pPr>
  </w:p>
  <w:p w14:paraId="68227DE6" w14:textId="77777777" w:rsidR="00AD0B10" w:rsidRPr="0043139E" w:rsidRDefault="00AD0B10" w:rsidP="00AD0B10">
    <w:pPr>
      <w:pStyle w:val="Header"/>
    </w:pPr>
  </w:p>
  <w:p w14:paraId="0E44DBD1" w14:textId="77777777" w:rsidR="00AD0B10" w:rsidRPr="0043139E" w:rsidRDefault="00AD0B10" w:rsidP="00AD0B10">
    <w:pPr>
      <w:pStyle w:val="Header"/>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Header"/>
    </w:pPr>
  </w:p>
  <w:p w14:paraId="706EF268" w14:textId="77777777" w:rsidR="00AD0B10" w:rsidRPr="0043139E" w:rsidRDefault="00AD0B10" w:rsidP="00AD0B10">
    <w:pPr>
      <w:pStyle w:val="Header"/>
    </w:pPr>
  </w:p>
  <w:p w14:paraId="6B568202" w14:textId="77777777" w:rsidR="00AD0B10" w:rsidRPr="0043139E" w:rsidRDefault="00AD0B10" w:rsidP="00AD0B10">
    <w:pPr>
      <w:pStyle w:val="Header"/>
    </w:pPr>
  </w:p>
  <w:p w14:paraId="70C66BCD" w14:textId="77777777" w:rsidR="00AD0B10" w:rsidRPr="0043139E" w:rsidRDefault="00AD0B10" w:rsidP="00AD0B10">
    <w:pPr>
      <w:pStyle w:val="Header"/>
    </w:pPr>
  </w:p>
  <w:p w14:paraId="07229907" w14:textId="77777777" w:rsidR="00AD0B10" w:rsidRPr="0043139E" w:rsidRDefault="00AD0B10" w:rsidP="00AD0B10">
    <w:pPr>
      <w:pStyle w:val="Header"/>
    </w:pPr>
  </w:p>
  <w:p w14:paraId="55555744" w14:textId="77777777" w:rsidR="00AD0B10" w:rsidRPr="0043139E" w:rsidRDefault="00AD0B10" w:rsidP="00AD0B10">
    <w:pPr>
      <w:pStyle w:val="Header"/>
    </w:pPr>
  </w:p>
  <w:p w14:paraId="4601AE9C" w14:textId="77777777" w:rsidR="00AD0B10" w:rsidRDefault="00AD0B10" w:rsidP="00AD0B10">
    <w:pPr>
      <w:pStyle w:val="Header"/>
    </w:pPr>
  </w:p>
  <w:p w14:paraId="49946785" w14:textId="77777777" w:rsidR="00AD0B10" w:rsidRPr="0043139E" w:rsidRDefault="00AD0B10" w:rsidP="00AD0B10">
    <w:pPr>
      <w:pStyle w:val="Header"/>
    </w:pPr>
  </w:p>
  <w:p w14:paraId="72BAD19F" w14:textId="77777777" w:rsidR="008858FE" w:rsidRPr="00AD0B10" w:rsidRDefault="008858FE" w:rsidP="00AD0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Heading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ListParagraph"/>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Heading1"/>
      <w:lvlText w:val="%1"/>
      <w:lvlJc w:val="left"/>
      <w:pPr>
        <w:ind w:left="4686" w:hanging="432"/>
      </w:pPr>
    </w:lvl>
    <w:lvl w:ilvl="1">
      <w:start w:val="1"/>
      <w:numFmt w:val="decimal"/>
      <w:pStyle w:val="Heading2"/>
      <w:lvlText w:val="%1.%2"/>
      <w:lvlJc w:val="left"/>
      <w:pPr>
        <w:ind w:left="823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1"/>
  </w:num>
  <w:num w:numId="2" w16cid:durableId="270287514">
    <w:abstractNumId w:val="4"/>
  </w:num>
  <w:num w:numId="3" w16cid:durableId="1675497260">
    <w:abstractNumId w:val="9"/>
  </w:num>
  <w:num w:numId="4" w16cid:durableId="1146706333">
    <w:abstractNumId w:val="3"/>
  </w:num>
  <w:num w:numId="5" w16cid:durableId="1502348752">
    <w:abstractNumId w:val="0"/>
  </w:num>
  <w:num w:numId="6" w16cid:durableId="1544101585">
    <w:abstractNumId w:val="5"/>
  </w:num>
  <w:num w:numId="7" w16cid:durableId="896626050">
    <w:abstractNumId w:val="12"/>
  </w:num>
  <w:num w:numId="8" w16cid:durableId="806780153">
    <w:abstractNumId w:val="2"/>
  </w:num>
  <w:num w:numId="9" w16cid:durableId="1677002603">
    <w:abstractNumId w:val="10"/>
  </w:num>
  <w:num w:numId="10" w16cid:durableId="22487393">
    <w:abstractNumId w:val="8"/>
  </w:num>
  <w:num w:numId="11" w16cid:durableId="270942799">
    <w:abstractNumId w:val="7"/>
  </w:num>
  <w:num w:numId="12" w16cid:durableId="10230698">
    <w:abstractNumId w:val="7"/>
    <w:lvlOverride w:ilvl="0">
      <w:startOverride w:val="1"/>
    </w:lvlOverride>
  </w:num>
  <w:num w:numId="13" w16cid:durableId="1914856611">
    <w:abstractNumId w:val="1"/>
  </w:num>
  <w:num w:numId="14" w16cid:durableId="2976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652"/>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1A7"/>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5DC"/>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6D4"/>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CBE"/>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58A5"/>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893"/>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88E"/>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6F91"/>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35C"/>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5D3D"/>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CBE"/>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149"/>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CF2"/>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223"/>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E7DB4"/>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29F1"/>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488"/>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3D15"/>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89C"/>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6FDC"/>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42"/>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5E5B"/>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3FD"/>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01F"/>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D7F8D"/>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FD6"/>
    <w:pPr>
      <w:spacing w:after="250" w:line="276" w:lineRule="auto"/>
      <w:jc w:val="both"/>
    </w:pPr>
    <w:rPr>
      <w:color w:val="181818" w:themeColor="background1" w:themeShade="1A"/>
      <w:sz w:val="22"/>
      <w:lang w:val="en-GB"/>
    </w:rPr>
  </w:style>
  <w:style w:type="paragraph" w:styleId="Heading1">
    <w:name w:val="heading 1"/>
    <w:basedOn w:val="Normal"/>
    <w:next w:val="Normal"/>
    <w:link w:val="Heading1Char"/>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Heading2">
    <w:name w:val="heading 2"/>
    <w:basedOn w:val="Normal"/>
    <w:next w:val="Normal"/>
    <w:link w:val="Heading2Char"/>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Heading3">
    <w:name w:val="heading 3"/>
    <w:basedOn w:val="Normal"/>
    <w:next w:val="Normal"/>
    <w:link w:val="Heading3Char"/>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Heading6">
    <w:name w:val="heading 6"/>
    <w:basedOn w:val="Normal"/>
    <w:next w:val="Normal"/>
    <w:link w:val="Heading6Char"/>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Heading7">
    <w:name w:val="heading 7"/>
    <w:basedOn w:val="Normal"/>
    <w:next w:val="Normal"/>
    <w:link w:val="Heading7Char"/>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Heading8">
    <w:name w:val="heading 8"/>
    <w:basedOn w:val="Normal"/>
    <w:next w:val="Normal"/>
    <w:link w:val="Heading8Char"/>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Heading9">
    <w:name w:val="heading 9"/>
    <w:basedOn w:val="Normal"/>
    <w:next w:val="Normal"/>
    <w:link w:val="Heading9Char"/>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B6B12"/>
    <w:pPr>
      <w:spacing w:after="0" w:line="240" w:lineRule="auto"/>
    </w:pPr>
    <w:rPr>
      <w:lang w:val="en-GB"/>
    </w:rPr>
  </w:style>
  <w:style w:type="character" w:customStyle="1" w:styleId="Heading4Char">
    <w:name w:val="Heading 4 Char"/>
    <w:basedOn w:val="DefaultParagraphFont"/>
    <w:link w:val="Heading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Heading3Char">
    <w:name w:val="Heading 3 Char"/>
    <w:basedOn w:val="DefaultParagraphFont"/>
    <w:link w:val="Heading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Heading1Char">
    <w:name w:val="Heading 1 Char"/>
    <w:basedOn w:val="DefaultParagraphFont"/>
    <w:link w:val="Heading1"/>
    <w:uiPriority w:val="9"/>
    <w:rsid w:val="0082744A"/>
    <w:rPr>
      <w:rFonts w:asciiTheme="majorHAnsi" w:eastAsiaTheme="majorEastAsia" w:hAnsiTheme="majorHAnsi" w:cstheme="majorBidi"/>
      <w:b/>
      <w:color w:val="00379F" w:themeColor="text1"/>
      <w:sz w:val="32"/>
      <w:szCs w:val="32"/>
      <w:lang w:val="en-GB"/>
    </w:rPr>
  </w:style>
  <w:style w:type="character" w:customStyle="1" w:styleId="Heading2Char">
    <w:name w:val="Heading 2 Char"/>
    <w:basedOn w:val="DefaultParagraphFont"/>
    <w:link w:val="Heading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Normal"/>
    <w:link w:val="Subtitle1Char"/>
    <w:autoRedefine/>
    <w:rsid w:val="003C4EB5"/>
    <w:pPr>
      <w:tabs>
        <w:tab w:val="left" w:pos="414"/>
      </w:tabs>
    </w:pPr>
    <w:rPr>
      <w:b/>
    </w:rPr>
  </w:style>
  <w:style w:type="character" w:customStyle="1" w:styleId="Subtitle1Char">
    <w:name w:val="Subtitle1 Char"/>
    <w:basedOn w:val="DefaultParagraphFont"/>
    <w:link w:val="Subtitle1"/>
    <w:rsid w:val="003C4EB5"/>
    <w:rPr>
      <w:rFonts w:cs="Times New Roman"/>
      <w:b/>
      <w:sz w:val="20"/>
      <w:szCs w:val="24"/>
      <w:lang w:val="en-GB" w:eastAsia="de-DE"/>
    </w:rPr>
  </w:style>
  <w:style w:type="paragraph" w:customStyle="1" w:styleId="Title1">
    <w:name w:val="Title 1"/>
    <w:basedOn w:val="ListParagraph"/>
    <w:link w:val="Title1Char"/>
    <w:qFormat/>
    <w:rsid w:val="00F205B9"/>
    <w:pPr>
      <w:numPr>
        <w:numId w:val="0"/>
      </w:numPr>
      <w:ind w:left="792" w:hanging="432"/>
    </w:pPr>
    <w:rPr>
      <w:b/>
      <w:color w:val="00379F" w:themeColor="text1"/>
      <w:sz w:val="28"/>
    </w:rPr>
  </w:style>
  <w:style w:type="character" w:customStyle="1" w:styleId="Title1Char">
    <w:name w:val="Title 1 Char"/>
    <w:basedOn w:val="DefaultParagraphFont"/>
    <w:link w:val="Title1"/>
    <w:rsid w:val="00F205B9"/>
    <w:rPr>
      <w:rFonts w:asciiTheme="majorHAnsi" w:hAnsiTheme="majorHAnsi" w:cstheme="majorHAnsi"/>
      <w:b/>
      <w:color w:val="00379F" w:themeColor="text1"/>
      <w:sz w:val="28"/>
      <w:szCs w:val="22"/>
      <w:lang w:val="pt-PT"/>
    </w:rPr>
  </w:style>
  <w:style w:type="paragraph" w:styleId="ListParagraph">
    <w:name w:val="List Paragraph"/>
    <w:aliases w:val="Paragraphe EI,Paragraphe de liste1,EC"/>
    <w:basedOn w:val="Normal"/>
    <w:link w:val="ListParagraphChar"/>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stParagraph"/>
    <w:link w:val="Title3Char"/>
    <w:autoRedefine/>
    <w:rsid w:val="00F205B9"/>
    <w:pPr>
      <w:numPr>
        <w:ilvl w:val="3"/>
        <w:numId w:val="4"/>
      </w:numPr>
    </w:pPr>
  </w:style>
  <w:style w:type="character" w:customStyle="1" w:styleId="Title3Char">
    <w:name w:val="Title 3 Char"/>
    <w:basedOn w:val="DefaultParagraphFont"/>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Normal"/>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DefaultParagraphFont"/>
    <w:link w:val="DocumentTitle"/>
    <w:rsid w:val="00563C1F"/>
    <w:rPr>
      <w:rFonts w:asciiTheme="majorHAnsi" w:hAnsiTheme="majorHAnsi"/>
      <w:b/>
      <w:color w:val="2D4190"/>
      <w:sz w:val="48"/>
      <w:lang w:val="en-GB"/>
    </w:rPr>
  </w:style>
  <w:style w:type="paragraph" w:customStyle="1" w:styleId="DocumentSubtitle">
    <w:name w:val="Document Subtitle"/>
    <w:basedOn w:val="Normal"/>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DefaultParagraphFont"/>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Normal"/>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DefaultParagraphFont"/>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Normal"/>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DefaultParagraphFont"/>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Normal"/>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DefaultParagraphFont"/>
    <w:link w:val="Introductionheading"/>
    <w:rsid w:val="00044C5A"/>
    <w:rPr>
      <w:rFonts w:ascii="Arial" w:eastAsia="Times New Roman" w:hAnsi="Arial" w:cs="Times New Roman"/>
      <w:b/>
      <w:sz w:val="28"/>
      <w:szCs w:val="24"/>
      <w:lang w:val="en-GB" w:eastAsia="de-DE"/>
    </w:rPr>
  </w:style>
  <w:style w:type="character" w:customStyle="1" w:styleId="Heading5Char">
    <w:name w:val="Heading 5 Char"/>
    <w:basedOn w:val="DefaultParagraphFont"/>
    <w:link w:val="Heading5"/>
    <w:uiPriority w:val="9"/>
    <w:rsid w:val="007E7997"/>
    <w:rPr>
      <w:rFonts w:asciiTheme="majorHAnsi" w:eastAsiaTheme="majorEastAsia" w:hAnsiTheme="majorHAnsi" w:cstheme="majorBidi"/>
      <w:color w:val="181818" w:themeColor="background1" w:themeShade="1A"/>
      <w:sz w:val="22"/>
      <w:szCs w:val="22"/>
      <w:lang w:val="en-GB"/>
    </w:rPr>
  </w:style>
  <w:style w:type="paragraph" w:styleId="BodyText">
    <w:name w:val="Body Text"/>
    <w:basedOn w:val="Normal"/>
    <w:link w:val="BodyTextChar"/>
    <w:uiPriority w:val="99"/>
    <w:semiHidden/>
    <w:unhideWhenUsed/>
    <w:rsid w:val="00044C5A"/>
  </w:style>
  <w:style w:type="character" w:customStyle="1" w:styleId="BodyTextChar">
    <w:name w:val="Body Text Char"/>
    <w:basedOn w:val="DefaultParagraphFont"/>
    <w:link w:val="BodyText"/>
    <w:uiPriority w:val="99"/>
    <w:semiHidden/>
    <w:rsid w:val="00044C5A"/>
    <w:rPr>
      <w:rFonts w:ascii="Arial" w:eastAsiaTheme="minorEastAsia" w:hAnsi="Arial"/>
    </w:rPr>
  </w:style>
  <w:style w:type="paragraph" w:styleId="BodyTextFirstIndent">
    <w:name w:val="Body Text First Indent"/>
    <w:basedOn w:val="BodyText"/>
    <w:link w:val="BodyTextFirstIndentChar"/>
    <w:uiPriority w:val="99"/>
    <w:semiHidden/>
    <w:unhideWhenUsed/>
    <w:rsid w:val="00044C5A"/>
    <w:pPr>
      <w:spacing w:after="0"/>
      <w:ind w:firstLine="360"/>
    </w:pPr>
  </w:style>
  <w:style w:type="character" w:customStyle="1" w:styleId="BodyTextFirstIndentChar">
    <w:name w:val="Body Text First Indent Char"/>
    <w:basedOn w:val="BodyTextChar"/>
    <w:link w:val="BodyTextFirstIndent"/>
    <w:uiPriority w:val="99"/>
    <w:semiHidden/>
    <w:rsid w:val="00044C5A"/>
    <w:rPr>
      <w:rFonts w:ascii="Arial" w:eastAsiaTheme="minorEastAsia" w:hAnsi="Arial"/>
    </w:rPr>
  </w:style>
  <w:style w:type="character" w:customStyle="1" w:styleId="Heading6Char">
    <w:name w:val="Heading 6 Char"/>
    <w:basedOn w:val="DefaultParagraphFont"/>
    <w:link w:val="Heading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le">
    <w:name w:val="Title"/>
    <w:basedOn w:val="Normal"/>
    <w:next w:val="Normal"/>
    <w:link w:val="TitleChar"/>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leChar">
    <w:name w:val="Title Char"/>
    <w:basedOn w:val="DefaultParagraphFont"/>
    <w:link w:val="Title"/>
    <w:uiPriority w:val="10"/>
    <w:rsid w:val="00516CBA"/>
    <w:rPr>
      <w:rFonts w:asciiTheme="majorHAnsi" w:eastAsiaTheme="majorEastAsia" w:hAnsiTheme="majorHAnsi" w:cstheme="majorBidi"/>
      <w:b/>
      <w:color w:val="00379F" w:themeColor="text1"/>
      <w:spacing w:val="-10"/>
      <w:sz w:val="56"/>
      <w:szCs w:val="56"/>
      <w:lang w:val="en-GB"/>
    </w:rPr>
  </w:style>
  <w:style w:type="paragraph" w:styleId="Subtitle">
    <w:name w:val="Subtitle"/>
    <w:basedOn w:val="Normal"/>
    <w:next w:val="Normal"/>
    <w:link w:val="SubtitleChar"/>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SubtitleChar">
    <w:name w:val="Subtitle Char"/>
    <w:basedOn w:val="DefaultParagraphFont"/>
    <w:link w:val="Subtitle"/>
    <w:uiPriority w:val="11"/>
    <w:rsid w:val="0082744A"/>
    <w:rPr>
      <w:rFonts w:asciiTheme="majorHAnsi" w:eastAsiaTheme="majorEastAsia" w:hAnsiTheme="majorHAnsi" w:cstheme="majorBidi"/>
      <w:sz w:val="28"/>
      <w:szCs w:val="24"/>
      <w:lang w:val="en-GB"/>
    </w:rPr>
  </w:style>
  <w:style w:type="character" w:customStyle="1" w:styleId="Heading7Char">
    <w:name w:val="Heading 7 Char"/>
    <w:basedOn w:val="DefaultParagraphFont"/>
    <w:link w:val="Heading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Heading8Char">
    <w:name w:val="Heading 8 Char"/>
    <w:basedOn w:val="DefaultParagraphFont"/>
    <w:link w:val="Heading8"/>
    <w:uiPriority w:val="9"/>
    <w:semiHidden/>
    <w:rsid w:val="00AA054E"/>
    <w:rPr>
      <w:rFonts w:asciiTheme="majorHAnsi" w:eastAsiaTheme="majorEastAsia" w:hAnsiTheme="majorHAnsi" w:cstheme="majorBidi"/>
      <w:b/>
      <w:bCs/>
      <w:color w:val="007EFF" w:themeColor="text2"/>
      <w:sz w:val="22"/>
      <w:lang w:val="en-GB"/>
    </w:rPr>
  </w:style>
  <w:style w:type="character" w:customStyle="1" w:styleId="Heading9Char">
    <w:name w:val="Heading 9 Char"/>
    <w:basedOn w:val="DefaultParagraphFont"/>
    <w:link w:val="Heading9"/>
    <w:uiPriority w:val="9"/>
    <w:semiHidden/>
    <w:rsid w:val="00AA054E"/>
    <w:rPr>
      <w:rFonts w:asciiTheme="majorHAnsi" w:eastAsiaTheme="majorEastAsia" w:hAnsiTheme="majorHAnsi" w:cstheme="majorBidi"/>
      <w:b/>
      <w:bCs/>
      <w:i/>
      <w:iCs/>
      <w:color w:val="007EFF" w:themeColor="text2"/>
      <w:sz w:val="22"/>
      <w:lang w:val="en-GB"/>
    </w:rPr>
  </w:style>
  <w:style w:type="paragraph" w:styleId="Caption">
    <w:name w:val="caption"/>
    <w:basedOn w:val="Normal"/>
    <w:next w:val="Normal"/>
    <w:uiPriority w:val="35"/>
    <w:semiHidden/>
    <w:unhideWhenUsed/>
    <w:qFormat/>
    <w:rsid w:val="00AA054E"/>
    <w:pPr>
      <w:spacing w:line="240" w:lineRule="auto"/>
    </w:pPr>
    <w:rPr>
      <w:b/>
      <w:bCs/>
      <w:smallCaps/>
      <w:color w:val="1A69FF" w:themeColor="text1" w:themeTint="A6"/>
      <w:spacing w:val="6"/>
    </w:rPr>
  </w:style>
  <w:style w:type="character" w:styleId="Strong">
    <w:name w:val="Strong"/>
    <w:basedOn w:val="DefaultParagraphFont"/>
    <w:uiPriority w:val="22"/>
    <w:qFormat/>
    <w:rsid w:val="00AA054E"/>
    <w:rPr>
      <w:b/>
      <w:bCs/>
    </w:rPr>
  </w:style>
  <w:style w:type="character" w:styleId="Emphasis">
    <w:name w:val="Emphasis"/>
    <w:basedOn w:val="DefaultParagraphFont"/>
    <w:uiPriority w:val="20"/>
    <w:qFormat/>
    <w:rsid w:val="00AA054E"/>
    <w:rPr>
      <w:i/>
      <w:iCs/>
    </w:rPr>
  </w:style>
  <w:style w:type="paragraph" w:styleId="Quote">
    <w:name w:val="Quote"/>
    <w:basedOn w:val="Normal"/>
    <w:next w:val="Normal"/>
    <w:link w:val="QuoteChar"/>
    <w:uiPriority w:val="29"/>
    <w:qFormat/>
    <w:rsid w:val="00AA054E"/>
    <w:pPr>
      <w:spacing w:before="160"/>
      <w:ind w:left="720" w:right="720"/>
    </w:pPr>
    <w:rPr>
      <w:i/>
      <w:iCs/>
      <w:color w:val="0055F7" w:themeColor="text1" w:themeTint="BF"/>
    </w:rPr>
  </w:style>
  <w:style w:type="character" w:customStyle="1" w:styleId="QuoteChar">
    <w:name w:val="Quote Char"/>
    <w:basedOn w:val="DefaultParagraphFont"/>
    <w:link w:val="Quote"/>
    <w:uiPriority w:val="29"/>
    <w:rsid w:val="00AA054E"/>
    <w:rPr>
      <w:i/>
      <w:iCs/>
      <w:color w:val="0055F7" w:themeColor="text1" w:themeTint="BF"/>
    </w:rPr>
  </w:style>
  <w:style w:type="paragraph" w:styleId="IntenseQuote">
    <w:name w:val="Intense Quote"/>
    <w:basedOn w:val="Normal"/>
    <w:next w:val="Normal"/>
    <w:link w:val="IntenseQuoteChar"/>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IntenseQuoteChar">
    <w:name w:val="Intense Quote Char"/>
    <w:basedOn w:val="DefaultParagraphFont"/>
    <w:link w:val="IntenseQuote"/>
    <w:uiPriority w:val="30"/>
    <w:rsid w:val="00AA054E"/>
    <w:rPr>
      <w:rFonts w:asciiTheme="majorHAnsi" w:eastAsiaTheme="majorEastAsia" w:hAnsiTheme="majorHAnsi" w:cstheme="majorBidi"/>
      <w:color w:val="34009F" w:themeColor="accent1"/>
      <w:sz w:val="28"/>
      <w:szCs w:val="28"/>
    </w:rPr>
  </w:style>
  <w:style w:type="character" w:styleId="SubtleEmphasis">
    <w:name w:val="Subtle Emphasis"/>
    <w:basedOn w:val="DefaultParagraphFont"/>
    <w:uiPriority w:val="19"/>
    <w:qFormat/>
    <w:rsid w:val="00AA054E"/>
    <w:rPr>
      <w:i/>
      <w:iCs/>
      <w:color w:val="0055F7" w:themeColor="text1" w:themeTint="BF"/>
    </w:rPr>
  </w:style>
  <w:style w:type="character" w:styleId="IntenseEmphasis">
    <w:name w:val="Intense Emphasis"/>
    <w:basedOn w:val="DefaultParagraphFont"/>
    <w:uiPriority w:val="21"/>
    <w:qFormat/>
    <w:rsid w:val="00AA054E"/>
    <w:rPr>
      <w:b/>
      <w:bCs/>
      <w:i/>
      <w:iCs/>
    </w:rPr>
  </w:style>
  <w:style w:type="character" w:styleId="SubtleReference">
    <w:name w:val="Subtle Reference"/>
    <w:basedOn w:val="DefaultParagraphFont"/>
    <w:uiPriority w:val="31"/>
    <w:qFormat/>
    <w:rsid w:val="00AA054E"/>
    <w:rPr>
      <w:smallCaps/>
      <w:color w:val="0055F7" w:themeColor="text1" w:themeTint="BF"/>
      <w:u w:val="single" w:color="4E8BFF" w:themeColor="text1" w:themeTint="80"/>
    </w:rPr>
  </w:style>
  <w:style w:type="character" w:styleId="IntenseReference">
    <w:name w:val="Intense Reference"/>
    <w:basedOn w:val="DefaultParagraphFont"/>
    <w:uiPriority w:val="32"/>
    <w:qFormat/>
    <w:rsid w:val="00AA054E"/>
    <w:rPr>
      <w:b/>
      <w:bCs/>
      <w:smallCaps/>
      <w:spacing w:val="5"/>
      <w:u w:val="single"/>
    </w:rPr>
  </w:style>
  <w:style w:type="character" w:styleId="BookTitle">
    <w:name w:val="Book Title"/>
    <w:basedOn w:val="DefaultParagraphFont"/>
    <w:uiPriority w:val="33"/>
    <w:qFormat/>
    <w:rsid w:val="00AA054E"/>
    <w:rPr>
      <w:b/>
      <w:bCs/>
      <w:smallCaps/>
    </w:rPr>
  </w:style>
  <w:style w:type="paragraph" w:styleId="TOCHeading">
    <w:name w:val="TOC Heading"/>
    <w:basedOn w:val="Heading1"/>
    <w:next w:val="Normal"/>
    <w:uiPriority w:val="39"/>
    <w:unhideWhenUsed/>
    <w:qFormat/>
    <w:rsid w:val="00F205B9"/>
    <w:pPr>
      <w:numPr>
        <w:numId w:val="0"/>
      </w:numPr>
      <w:outlineLvl w:val="9"/>
    </w:pPr>
  </w:style>
  <w:style w:type="character" w:customStyle="1" w:styleId="NoSpacingChar">
    <w:name w:val="No Spacing Char"/>
    <w:basedOn w:val="DefaultParagraphFont"/>
    <w:link w:val="NoSpacing"/>
    <w:uiPriority w:val="1"/>
    <w:rsid w:val="005B6B12"/>
    <w:rPr>
      <w:lang w:val="en-GB"/>
    </w:rPr>
  </w:style>
  <w:style w:type="paragraph" w:styleId="Header">
    <w:name w:val="header"/>
    <w:basedOn w:val="Normal"/>
    <w:link w:val="HeaderChar"/>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HeaderChar">
    <w:name w:val="Header Char"/>
    <w:basedOn w:val="DefaultParagraphFont"/>
    <w:link w:val="Header"/>
    <w:rsid w:val="00AF6B1E"/>
    <w:rPr>
      <w:color w:val="001B4F" w:themeColor="text1" w:themeShade="80"/>
      <w:sz w:val="16"/>
      <w:lang w:val="en-GB"/>
    </w:rPr>
  </w:style>
  <w:style w:type="paragraph" w:styleId="Footer">
    <w:name w:val="footer"/>
    <w:basedOn w:val="Normal"/>
    <w:link w:val="FooterChar"/>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FooterChar">
    <w:name w:val="Footer Char"/>
    <w:basedOn w:val="DefaultParagraphFont"/>
    <w:link w:val="Footer"/>
    <w:uiPriority w:val="99"/>
    <w:rsid w:val="004E5FF8"/>
    <w:rPr>
      <w:color w:val="001B4F" w:themeColor="text1" w:themeShade="80"/>
      <w:sz w:val="16"/>
      <w:lang w:val="en-GB"/>
    </w:rPr>
  </w:style>
  <w:style w:type="paragraph" w:customStyle="1" w:styleId="00aPagenumber">
    <w:name w:val="00a_Page number"/>
    <w:basedOn w:val="Normal"/>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Normal"/>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TOC1">
    <w:name w:val="toc 1"/>
    <w:basedOn w:val="Normal"/>
    <w:next w:val="Normal"/>
    <w:uiPriority w:val="39"/>
    <w:unhideWhenUsed/>
    <w:qFormat/>
    <w:rsid w:val="00F205B9"/>
    <w:pPr>
      <w:framePr w:hSpace="180" w:wrap="around" w:vAnchor="text" w:hAnchor="margin" w:y="115"/>
      <w:tabs>
        <w:tab w:val="left" w:pos="440"/>
        <w:tab w:val="right" w:leader="dot" w:pos="9062"/>
      </w:tabs>
      <w:spacing w:after="100"/>
    </w:pPr>
  </w:style>
  <w:style w:type="paragraph" w:styleId="TOC2">
    <w:name w:val="toc 2"/>
    <w:basedOn w:val="TOC1"/>
    <w:next w:val="Normal"/>
    <w:uiPriority w:val="39"/>
    <w:unhideWhenUsed/>
    <w:qFormat/>
    <w:rsid w:val="00F205B9"/>
    <w:pPr>
      <w:framePr w:wrap="around"/>
      <w:tabs>
        <w:tab w:val="right" w:leader="dot" w:pos="440"/>
      </w:tabs>
      <w:ind w:left="220"/>
    </w:pPr>
  </w:style>
  <w:style w:type="paragraph" w:styleId="TOC3">
    <w:name w:val="toc 3"/>
    <w:basedOn w:val="TOC1"/>
    <w:next w:val="Normal"/>
    <w:uiPriority w:val="39"/>
    <w:unhideWhenUsed/>
    <w:qFormat/>
    <w:rsid w:val="00AD0B10"/>
    <w:pPr>
      <w:framePr w:wrap="around"/>
      <w:ind w:left="442"/>
    </w:pPr>
  </w:style>
  <w:style w:type="character" w:styleId="Hyperlink">
    <w:name w:val="Hyperlink"/>
    <w:basedOn w:val="DefaultParagraphFont"/>
    <w:uiPriority w:val="99"/>
    <w:unhideWhenUsed/>
    <w:qFormat/>
    <w:rsid w:val="000C1E78"/>
    <w:rPr>
      <w:color w:val="005EBF" w:themeColor="text2" w:themeShade="BF"/>
      <w:u w:val="single"/>
    </w:rPr>
  </w:style>
  <w:style w:type="paragraph" w:customStyle="1" w:styleId="Questionstyle">
    <w:name w:val="Question style"/>
    <w:basedOn w:val="Normal"/>
    <w:next w:val="Normal"/>
    <w:link w:val="QuestionstyleChar"/>
    <w:autoRedefine/>
    <w:qFormat/>
    <w:rsid w:val="00C5469A"/>
    <w:pPr>
      <w:tabs>
        <w:tab w:val="left" w:pos="567"/>
      </w:tabs>
      <w:ind w:hanging="360"/>
      <w:contextualSpacing/>
    </w:pPr>
    <w:rPr>
      <w:b/>
    </w:rPr>
  </w:style>
  <w:style w:type="character" w:customStyle="1" w:styleId="QuestionstyleChar">
    <w:name w:val="Question style Char"/>
    <w:basedOn w:val="DefaultParagraphFont"/>
    <w:link w:val="Questionstyle"/>
    <w:rsid w:val="00C5469A"/>
    <w:rPr>
      <w:b/>
      <w:color w:val="181818" w:themeColor="background1" w:themeShade="1A"/>
      <w:sz w:val="22"/>
      <w:lang w:val="en-GB"/>
    </w:rPr>
  </w:style>
  <w:style w:type="paragraph" w:customStyle="1" w:styleId="Listing2">
    <w:name w:val="Listing2"/>
    <w:basedOn w:val="Normal"/>
    <w:link w:val="Listing2Char"/>
    <w:autoRedefine/>
    <w:rsid w:val="00DF3785"/>
  </w:style>
  <w:style w:type="character" w:customStyle="1" w:styleId="Listing2Char">
    <w:name w:val="Listing2 Char"/>
    <w:basedOn w:val="DefaultParagraphFont"/>
    <w:link w:val="Listing2"/>
    <w:rsid w:val="00DF3785"/>
    <w:rPr>
      <w:lang w:val="en-GB"/>
    </w:rPr>
  </w:style>
  <w:style w:type="table" w:styleId="TableGrid">
    <w:name w:val="Table Grid"/>
    <w:basedOn w:val="TableNormal"/>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50534"/>
    <w:pPr>
      <w:spacing w:after="0" w:line="240" w:lineRule="auto"/>
    </w:pPr>
  </w:style>
  <w:style w:type="character" w:customStyle="1" w:styleId="EndnoteTextChar">
    <w:name w:val="Endnote Text Char"/>
    <w:basedOn w:val="DefaultParagraphFont"/>
    <w:link w:val="EndnoteText"/>
    <w:uiPriority w:val="99"/>
    <w:semiHidden/>
    <w:rsid w:val="00B50534"/>
    <w:rPr>
      <w:lang w:val="en-GB"/>
    </w:rPr>
  </w:style>
  <w:style w:type="character" w:styleId="EndnoteReference">
    <w:name w:val="endnote reference"/>
    <w:basedOn w:val="DefaultParagraphFont"/>
    <w:uiPriority w:val="99"/>
    <w:semiHidden/>
    <w:unhideWhenUsed/>
    <w:rsid w:val="00B50534"/>
    <w:rPr>
      <w:vertAlign w:val="superscript"/>
    </w:rPr>
  </w:style>
  <w:style w:type="paragraph" w:styleId="FootnoteText">
    <w:name w:val="footnote text"/>
    <w:basedOn w:val="Normal"/>
    <w:link w:val="FootnoteTextChar"/>
    <w:autoRedefine/>
    <w:uiPriority w:val="99"/>
    <w:unhideWhenUsed/>
    <w:qFormat/>
    <w:rsid w:val="007A1A9D"/>
    <w:pPr>
      <w:spacing w:after="0" w:line="240" w:lineRule="auto"/>
    </w:pPr>
    <w:rPr>
      <w:sz w:val="16"/>
    </w:rPr>
  </w:style>
  <w:style w:type="character" w:customStyle="1" w:styleId="FootnoteTextChar">
    <w:name w:val="Footnote Text Char"/>
    <w:basedOn w:val="DefaultParagraphFont"/>
    <w:link w:val="FootnoteText"/>
    <w:uiPriority w:val="99"/>
    <w:rsid w:val="007A1A9D"/>
    <w:rPr>
      <w:color w:val="181818" w:themeColor="background1" w:themeShade="1A"/>
      <w:sz w:val="16"/>
      <w:lang w:val="en-GB"/>
    </w:rPr>
  </w:style>
  <w:style w:type="character" w:styleId="FootnoteReference">
    <w:name w:val="footnote reference"/>
    <w:basedOn w:val="DefaultParagraphFont"/>
    <w:uiPriority w:val="99"/>
    <w:semiHidden/>
    <w:unhideWhenUsed/>
    <w:qFormat/>
    <w:rsid w:val="00A91D91"/>
    <w:rPr>
      <w:rFonts w:asciiTheme="majorHAnsi" w:hAnsiTheme="majorHAnsi"/>
      <w:sz w:val="16"/>
      <w:vertAlign w:val="superscript"/>
    </w:rPr>
  </w:style>
  <w:style w:type="paragraph" w:customStyle="1" w:styleId="Footnote">
    <w:name w:val="Footnote"/>
    <w:basedOn w:val="FootnoteText"/>
    <w:link w:val="FootnoteChar"/>
    <w:qFormat/>
    <w:rsid w:val="00672C04"/>
    <w:pPr>
      <w:ind w:left="454" w:hanging="454"/>
    </w:pPr>
    <w:rPr>
      <w:lang w:val="nl-BE"/>
    </w:rPr>
  </w:style>
  <w:style w:type="character" w:customStyle="1" w:styleId="FootnoteChar">
    <w:name w:val="Footnote Char"/>
    <w:basedOn w:val="FootnoteTextChar"/>
    <w:link w:val="Footnote"/>
    <w:rsid w:val="00672C04"/>
    <w:rPr>
      <w:color w:val="181818" w:themeColor="background1" w:themeShade="1A"/>
      <w:sz w:val="16"/>
      <w:lang w:val="en-GB"/>
    </w:rPr>
  </w:style>
  <w:style w:type="table" w:customStyle="1" w:styleId="GridTable4-Accent11">
    <w:name w:val="Grid Table 4 - Accent 11"/>
    <w:basedOn w:val="TableNormal"/>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BalloonText">
    <w:name w:val="Balloon Text"/>
    <w:basedOn w:val="Normal"/>
    <w:link w:val="BalloonTextChar"/>
    <w:uiPriority w:val="99"/>
    <w:semiHidden/>
    <w:unhideWhenUsed/>
    <w:rsid w:val="00715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1BF"/>
    <w:rPr>
      <w:rFonts w:ascii="Tahoma" w:hAnsi="Tahoma" w:cs="Tahoma"/>
      <w:sz w:val="16"/>
      <w:szCs w:val="16"/>
      <w:lang w:val="en-GB"/>
    </w:rPr>
  </w:style>
  <w:style w:type="paragraph" w:styleId="TOC4">
    <w:name w:val="toc 4"/>
    <w:basedOn w:val="TOC1"/>
    <w:next w:val="Normal"/>
    <w:uiPriority w:val="39"/>
    <w:unhideWhenUsed/>
    <w:qFormat/>
    <w:rsid w:val="00F205B9"/>
    <w:pPr>
      <w:framePr w:wrap="around"/>
      <w:ind w:left="660"/>
    </w:pPr>
  </w:style>
  <w:style w:type="character" w:styleId="CommentReference">
    <w:name w:val="annotation reference"/>
    <w:basedOn w:val="DefaultParagraphFont"/>
    <w:uiPriority w:val="99"/>
    <w:semiHidden/>
    <w:unhideWhenUsed/>
    <w:rsid w:val="00D33C31"/>
    <w:rPr>
      <w:sz w:val="16"/>
      <w:szCs w:val="16"/>
    </w:rPr>
  </w:style>
  <w:style w:type="paragraph" w:styleId="CommentText">
    <w:name w:val="annotation text"/>
    <w:basedOn w:val="Normal"/>
    <w:link w:val="CommentTextChar"/>
    <w:uiPriority w:val="99"/>
    <w:unhideWhenUsed/>
    <w:rsid w:val="00D33C31"/>
    <w:pPr>
      <w:spacing w:line="240" w:lineRule="auto"/>
    </w:pPr>
    <w:rPr>
      <w:sz w:val="20"/>
    </w:rPr>
  </w:style>
  <w:style w:type="character" w:customStyle="1" w:styleId="CommentTextChar">
    <w:name w:val="Comment Text Char"/>
    <w:basedOn w:val="DefaultParagraphFont"/>
    <w:link w:val="CommentText"/>
    <w:uiPriority w:val="99"/>
    <w:rsid w:val="00D33C31"/>
    <w:rPr>
      <w:lang w:val="en-GB"/>
    </w:rPr>
  </w:style>
  <w:style w:type="paragraph" w:styleId="CommentSubject">
    <w:name w:val="annotation subject"/>
    <w:basedOn w:val="CommentText"/>
    <w:next w:val="CommentText"/>
    <w:link w:val="CommentSubjectChar"/>
    <w:uiPriority w:val="99"/>
    <w:semiHidden/>
    <w:unhideWhenUsed/>
    <w:rsid w:val="00D33C31"/>
    <w:rPr>
      <w:b/>
      <w:bCs/>
    </w:rPr>
  </w:style>
  <w:style w:type="character" w:customStyle="1" w:styleId="CommentSubjectChar">
    <w:name w:val="Comment Subject Char"/>
    <w:basedOn w:val="CommentTextChar"/>
    <w:link w:val="CommentSubject"/>
    <w:uiPriority w:val="99"/>
    <w:semiHidden/>
    <w:rsid w:val="00D33C31"/>
    <w:rPr>
      <w:b/>
      <w:bCs/>
      <w:lang w:val="en-GB"/>
    </w:rPr>
  </w:style>
  <w:style w:type="character" w:styleId="UnresolvedMention">
    <w:name w:val="Unresolved Mention"/>
    <w:basedOn w:val="DefaultParagraphFont"/>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Strong"/>
    <w:uiPriority w:val="1"/>
    <w:qFormat/>
    <w:rsid w:val="008858FE"/>
    <w:rPr>
      <w:b w:val="0"/>
      <w:bCs/>
      <w:caps/>
      <w:smallCaps w:val="0"/>
      <w:color w:val="FF0000" w:themeColor="accent6"/>
      <w:sz w:val="22"/>
    </w:rPr>
  </w:style>
  <w:style w:type="paragraph" w:customStyle="1" w:styleId="Disclaimer">
    <w:name w:val="Disclaimer"/>
    <w:basedOn w:val="Normal"/>
    <w:qFormat/>
    <w:rsid w:val="00906D18"/>
    <w:rPr>
      <w:i/>
      <w:iCs/>
      <w:sz w:val="18"/>
      <w:szCs w:val="18"/>
    </w:rPr>
  </w:style>
  <w:style w:type="paragraph" w:customStyle="1" w:styleId="ESMAHeader">
    <w:name w:val="ESMA Header"/>
    <w:basedOn w:val="Header"/>
    <w:qFormat/>
    <w:rsid w:val="00AF6B1E"/>
  </w:style>
  <w:style w:type="paragraph" w:customStyle="1" w:styleId="Pageheader">
    <w:name w:val="Page header"/>
    <w:basedOn w:val="Header"/>
    <w:next w:val="Header"/>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Normal"/>
    <w:qFormat/>
    <w:rsid w:val="00F205B9"/>
    <w:rPr>
      <w:rFonts w:ascii="Arial" w:eastAsia="Times New Roman" w:hAnsi="Arial" w:cs="Arial"/>
      <w:sz w:val="18"/>
      <w:szCs w:val="18"/>
      <w:lang w:eastAsia="de-DE"/>
    </w:rPr>
  </w:style>
  <w:style w:type="paragraph" w:styleId="TOC5">
    <w:name w:val="toc 5"/>
    <w:basedOn w:val="Normal"/>
    <w:next w:val="Normal"/>
    <w:uiPriority w:val="39"/>
    <w:semiHidden/>
    <w:unhideWhenUsed/>
    <w:qFormat/>
    <w:rsid w:val="00F205B9"/>
    <w:pPr>
      <w:spacing w:after="100"/>
      <w:ind w:left="880"/>
    </w:pPr>
  </w:style>
  <w:style w:type="paragraph" w:styleId="TOC6">
    <w:name w:val="toc 6"/>
    <w:basedOn w:val="Normal"/>
    <w:next w:val="Normal"/>
    <w:uiPriority w:val="39"/>
    <w:semiHidden/>
    <w:unhideWhenUsed/>
    <w:qFormat/>
    <w:rsid w:val="00F205B9"/>
    <w:pPr>
      <w:spacing w:after="100"/>
      <w:ind w:left="1100"/>
    </w:pPr>
  </w:style>
  <w:style w:type="paragraph" w:styleId="TOC7">
    <w:name w:val="toc 7"/>
    <w:basedOn w:val="Normal"/>
    <w:next w:val="Normal"/>
    <w:uiPriority w:val="39"/>
    <w:semiHidden/>
    <w:unhideWhenUsed/>
    <w:qFormat/>
    <w:rsid w:val="00F205B9"/>
    <w:pPr>
      <w:spacing w:after="100"/>
      <w:ind w:left="1320"/>
    </w:pPr>
  </w:style>
  <w:style w:type="paragraph" w:styleId="TOC8">
    <w:name w:val="toc 8"/>
    <w:basedOn w:val="Normal"/>
    <w:next w:val="Normal"/>
    <w:uiPriority w:val="39"/>
    <w:semiHidden/>
    <w:unhideWhenUsed/>
    <w:qFormat/>
    <w:rsid w:val="00F205B9"/>
    <w:pPr>
      <w:spacing w:after="100"/>
      <w:ind w:left="1540"/>
    </w:pPr>
  </w:style>
  <w:style w:type="paragraph" w:styleId="TOC9">
    <w:name w:val="toc 9"/>
    <w:basedOn w:val="Normal"/>
    <w:next w:val="Normal"/>
    <w:uiPriority w:val="39"/>
    <w:semiHidden/>
    <w:unhideWhenUsed/>
    <w:qFormat/>
    <w:rsid w:val="00F205B9"/>
    <w:pPr>
      <w:spacing w:after="100"/>
      <w:ind w:left="1760"/>
    </w:pPr>
  </w:style>
  <w:style w:type="character" w:styleId="FollowedHyperlink">
    <w:name w:val="FollowedHyperlink"/>
    <w:basedOn w:val="DefaultParagraphFont"/>
    <w:uiPriority w:val="99"/>
    <w:semiHidden/>
    <w:unhideWhenUsed/>
    <w:rsid w:val="0043139E"/>
    <w:rPr>
      <w:color w:val="0174AF" w:themeColor="followedHyperlink"/>
      <w:u w:val="single"/>
    </w:rPr>
  </w:style>
  <w:style w:type="character" w:customStyle="1" w:styleId="ListParagraphChar">
    <w:name w:val="List Paragraph Char"/>
    <w:aliases w:val="Paragraphe EI Char,Paragraphe de liste1 Char,EC Char"/>
    <w:link w:val="ListParagraph"/>
    <w:uiPriority w:val="34"/>
    <w:locked/>
    <w:rsid w:val="00EC6066"/>
    <w:rPr>
      <w:rFonts w:asciiTheme="majorHAnsi" w:hAnsiTheme="majorHAnsi" w:cstheme="majorHAnsi"/>
      <w:color w:val="181818" w:themeColor="background1" w:themeShade="1A"/>
      <w:sz w:val="22"/>
      <w:szCs w:val="22"/>
      <w:lang w:val="pt-PT"/>
    </w:rPr>
  </w:style>
  <w:style w:type="paragraph" w:styleId="Revision">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Normal"/>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DefaultParagraphFont"/>
    <w:rsid w:val="00061F32"/>
    <w:rPr>
      <w:rFonts w:ascii="Segoe UI" w:hAnsi="Segoe UI" w:cs="Segoe UI" w:hint="default"/>
      <w:sz w:val="18"/>
      <w:szCs w:val="18"/>
    </w:rPr>
  </w:style>
  <w:style w:type="character" w:customStyle="1" w:styleId="cf11">
    <w:name w:val="cf11"/>
    <w:basedOn w:val="DefaultParagraphFont"/>
    <w:rsid w:val="00061F32"/>
    <w:rPr>
      <w:rFonts w:ascii="Segoe UI" w:hAnsi="Segoe UI" w:cs="Segoe UI" w:hint="default"/>
      <w:color w:val="333333"/>
      <w:sz w:val="18"/>
      <w:szCs w:val="18"/>
      <w:shd w:val="clear" w:color="auto" w:fill="FFFFFF"/>
    </w:rPr>
  </w:style>
  <w:style w:type="character" w:styleId="Mention">
    <w:name w:val="Mention"/>
    <w:basedOn w:val="DefaultParagraphFont"/>
    <w:uiPriority w:val="99"/>
    <w:unhideWhenUsed/>
    <w:rsid w:val="00251F26"/>
    <w:rPr>
      <w:color w:val="2B579A"/>
      <w:shd w:val="clear" w:color="auto" w:fill="E1DFDD"/>
    </w:rPr>
  </w:style>
  <w:style w:type="character" w:styleId="PlaceholderText">
    <w:name w:val="Placeholder Text"/>
    <w:basedOn w:val="DefaultParagraphFont"/>
    <w:uiPriority w:val="99"/>
    <w:semiHidden/>
    <w:rsid w:val="00635BCA"/>
    <w:rPr>
      <w:color w:val="808080"/>
    </w:rPr>
  </w:style>
  <w:style w:type="paragraph" w:customStyle="1" w:styleId="para">
    <w:name w:val="para"/>
    <w:basedOn w:val="ListParagraph"/>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DefaultParagraphFont"/>
    <w:link w:val="para"/>
    <w:rsid w:val="00641F03"/>
    <w:rPr>
      <w:bCs/>
      <w:iCs/>
      <w:color w:val="181818" w:themeColor="background1" w:themeShade="1A"/>
      <w:sz w:val="22"/>
      <w:lang w:val="en-GB"/>
    </w:rPr>
  </w:style>
  <w:style w:type="character" w:customStyle="1" w:styleId="normaltextrun">
    <w:name w:val="normaltextrun"/>
    <w:basedOn w:val="DefaultParagraphFont"/>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esma.europa.e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sma.europa.eu/about-esma/data-protec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s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PlaceholderText"/>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PlaceholderText"/>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1652"/>
    <w:rsid w:val="000A6A45"/>
    <w:rsid w:val="000B0BCD"/>
    <w:rsid w:val="000B5175"/>
    <w:rsid w:val="000C0B68"/>
    <w:rsid w:val="000D5520"/>
    <w:rsid w:val="001148FD"/>
    <w:rsid w:val="001251C8"/>
    <w:rsid w:val="001359BA"/>
    <w:rsid w:val="0015768C"/>
    <w:rsid w:val="0019460C"/>
    <w:rsid w:val="001B4710"/>
    <w:rsid w:val="001C56A6"/>
    <w:rsid w:val="001D6E23"/>
    <w:rsid w:val="001E4F81"/>
    <w:rsid w:val="00204B72"/>
    <w:rsid w:val="00204E2C"/>
    <w:rsid w:val="002536E7"/>
    <w:rsid w:val="00254E75"/>
    <w:rsid w:val="002562AB"/>
    <w:rsid w:val="002621FC"/>
    <w:rsid w:val="002B4B7F"/>
    <w:rsid w:val="00302EA4"/>
    <w:rsid w:val="003125A3"/>
    <w:rsid w:val="0034145D"/>
    <w:rsid w:val="00345FD3"/>
    <w:rsid w:val="00367A0B"/>
    <w:rsid w:val="00372212"/>
    <w:rsid w:val="00397A90"/>
    <w:rsid w:val="003F288E"/>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701E25"/>
    <w:rsid w:val="00726758"/>
    <w:rsid w:val="007730CF"/>
    <w:rsid w:val="007B42C9"/>
    <w:rsid w:val="007F21DD"/>
    <w:rsid w:val="00813189"/>
    <w:rsid w:val="008222A0"/>
    <w:rsid w:val="00836D47"/>
    <w:rsid w:val="00872189"/>
    <w:rsid w:val="00893CF1"/>
    <w:rsid w:val="008B15B1"/>
    <w:rsid w:val="00917FDB"/>
    <w:rsid w:val="00931A27"/>
    <w:rsid w:val="009522B0"/>
    <w:rsid w:val="009B4CBD"/>
    <w:rsid w:val="009B6B9C"/>
    <w:rsid w:val="009C006F"/>
    <w:rsid w:val="009E13DA"/>
    <w:rsid w:val="00A349D5"/>
    <w:rsid w:val="00A733B0"/>
    <w:rsid w:val="00AB533C"/>
    <w:rsid w:val="00AD54F9"/>
    <w:rsid w:val="00AF0101"/>
    <w:rsid w:val="00B07345"/>
    <w:rsid w:val="00B1067C"/>
    <w:rsid w:val="00B11B3A"/>
    <w:rsid w:val="00B22006"/>
    <w:rsid w:val="00B46CAE"/>
    <w:rsid w:val="00BD516C"/>
    <w:rsid w:val="00BE51AB"/>
    <w:rsid w:val="00BF7EC8"/>
    <w:rsid w:val="00C0770B"/>
    <w:rsid w:val="00C12FCA"/>
    <w:rsid w:val="00C922CC"/>
    <w:rsid w:val="00CD08BC"/>
    <w:rsid w:val="00D52831"/>
    <w:rsid w:val="00D71127"/>
    <w:rsid w:val="00D90B8E"/>
    <w:rsid w:val="00D96474"/>
    <w:rsid w:val="00DA328D"/>
    <w:rsid w:val="00DC3796"/>
    <w:rsid w:val="00DC4211"/>
    <w:rsid w:val="00DE3908"/>
    <w:rsid w:val="00DE3B5C"/>
    <w:rsid w:val="00DF5BC0"/>
    <w:rsid w:val="00EB1558"/>
    <w:rsid w:val="00EB435C"/>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3.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4.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5.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2151</Words>
  <Characters>12266</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Emaliese Lofaro</cp:lastModifiedBy>
  <cp:revision>2</cp:revision>
  <cp:lastPrinted>2023-09-09T00:53:00Z</cp:lastPrinted>
  <dcterms:created xsi:type="dcterms:W3CDTF">2026-07-07T08:29:00Z</dcterms:created>
  <dcterms:modified xsi:type="dcterms:W3CDTF">2026-07-07T08:29:00Z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docLang">
    <vt:lpwstr>en</vt:lpwstr>
  </property>
  <property fmtid="{D5CDD505-2E9C-101B-9397-08002B2CF9AE}" pid="26" name="MSIP_Label_f1ffc71c-592f-4c47-bfb6-411817993386_Enabled">
    <vt:lpwstr>true</vt:lpwstr>
  </property>
  <property fmtid="{D5CDD505-2E9C-101B-9397-08002B2CF9AE}" pid="27" name="MSIP_Label_f1ffc71c-592f-4c47-bfb6-411817993386_SetDate">
    <vt:lpwstr>2026-07-07T07:18:56Z</vt:lpwstr>
  </property>
  <property fmtid="{D5CDD505-2E9C-101B-9397-08002B2CF9AE}" pid="28" name="MSIP_Label_f1ffc71c-592f-4c47-bfb6-411817993386_Method">
    <vt:lpwstr>Standard</vt:lpwstr>
  </property>
  <property fmtid="{D5CDD505-2E9C-101B-9397-08002B2CF9AE}" pid="29" name="MSIP_Label_f1ffc71c-592f-4c47-bfb6-411817993386_Name">
    <vt:lpwstr>Internal Data</vt:lpwstr>
  </property>
  <property fmtid="{D5CDD505-2E9C-101B-9397-08002B2CF9AE}" pid="30" name="MSIP_Label_f1ffc71c-592f-4c47-bfb6-411817993386_SiteId">
    <vt:lpwstr>090b0a65-4a55-401c-9985-8fedd2a47870</vt:lpwstr>
  </property>
  <property fmtid="{D5CDD505-2E9C-101B-9397-08002B2CF9AE}" pid="31" name="MSIP_Label_f1ffc71c-592f-4c47-bfb6-411817993386_ActionId">
    <vt:lpwstr>acf35f0c-263c-4327-90de-b654011773c8</vt:lpwstr>
  </property>
  <property fmtid="{D5CDD505-2E9C-101B-9397-08002B2CF9AE}" pid="32" name="MSIP_Label_f1ffc71c-592f-4c47-bfb6-411817993386_ContentBits">
    <vt:lpwstr>2</vt:lpwstr>
  </property>
  <property fmtid="{D5CDD505-2E9C-101B-9397-08002B2CF9AE}" pid="33" name="MSIP_Label_f1ffc71c-592f-4c47-bfb6-411817993386_Tag">
    <vt:lpwstr>10, 3, 0, 1</vt:lpwstr>
  </property>
</Properties>
</file>