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FEB4" w14:textId="77777777" w:rsidR="00664364" w:rsidRDefault="00664364" w:rsidP="00664364">
      <w:pPr>
        <w:jc w:val="both"/>
        <w:rPr>
          <w:lang w:val="en-US"/>
        </w:rPr>
      </w:pPr>
      <w:r w:rsidRPr="00664364">
        <w:rPr>
          <w:lang w:val="en-US"/>
        </w:rPr>
        <w:t>Dear ESMA,</w:t>
      </w:r>
    </w:p>
    <w:p w14:paraId="42D65987" w14:textId="77777777" w:rsidR="00664364" w:rsidRPr="00664364" w:rsidRDefault="00664364" w:rsidP="00664364">
      <w:pPr>
        <w:jc w:val="both"/>
        <w:rPr>
          <w:lang w:val="en-US"/>
        </w:rPr>
      </w:pPr>
    </w:p>
    <w:p w14:paraId="2E83FEEE" w14:textId="77777777" w:rsidR="00664364" w:rsidRPr="00664364" w:rsidRDefault="00664364" w:rsidP="00664364">
      <w:pPr>
        <w:jc w:val="both"/>
        <w:rPr>
          <w:lang w:val="en-US"/>
        </w:rPr>
      </w:pPr>
      <w:r w:rsidRPr="00664364">
        <w:rPr>
          <w:lang w:val="en-US"/>
        </w:rPr>
        <w:t xml:space="preserve">We would appreciate clarification regarding the practical application of the proposed amendments to the Guidelines on </w:t>
      </w:r>
      <w:proofErr w:type="spellStart"/>
      <w:r w:rsidRPr="00664364">
        <w:rPr>
          <w:lang w:val="en-US"/>
        </w:rPr>
        <w:t>standardised</w:t>
      </w:r>
      <w:proofErr w:type="spellEnd"/>
      <w:r w:rsidRPr="00664364">
        <w:rPr>
          <w:lang w:val="en-US"/>
        </w:rPr>
        <w:t xml:space="preserve"> procedures and messaging protocols used between investment firms and their professional clients under Article 6(2) of CSDR, as set out in Consultation Paper ESMA74-2119945926-3513.</w:t>
      </w:r>
    </w:p>
    <w:p w14:paraId="18D7CB80" w14:textId="77777777" w:rsidR="00664364" w:rsidRPr="00664364" w:rsidRDefault="00664364" w:rsidP="00664364">
      <w:pPr>
        <w:jc w:val="both"/>
        <w:rPr>
          <w:b/>
          <w:bCs/>
          <w:u w:val="single"/>
          <w:lang w:val="en-US"/>
        </w:rPr>
      </w:pPr>
      <w:r w:rsidRPr="00664364">
        <w:rPr>
          <w:b/>
          <w:bCs/>
          <w:u w:val="single"/>
          <w:lang w:val="en-US"/>
        </w:rPr>
        <w:t>Question 1 – Use of Email as a Communication Channel</w:t>
      </w:r>
    </w:p>
    <w:p w14:paraId="29A6BB94" w14:textId="77777777" w:rsidR="00664364" w:rsidRPr="00664364" w:rsidRDefault="00664364" w:rsidP="00664364">
      <w:pPr>
        <w:jc w:val="both"/>
        <w:rPr>
          <w:lang w:val="en-US"/>
        </w:rPr>
      </w:pPr>
      <w:r w:rsidRPr="00664364">
        <w:rPr>
          <w:lang w:val="en-US"/>
        </w:rPr>
        <w:t xml:space="preserve">The Consultation Paper indicates that allocations and confirmations may be exchanged by email, provided that the content is structured in a machine-readable format that enables software applications to identify, </w:t>
      </w:r>
      <w:proofErr w:type="spellStart"/>
      <w:r w:rsidRPr="00664364">
        <w:rPr>
          <w:lang w:val="en-US"/>
        </w:rPr>
        <w:t>recognise</w:t>
      </w:r>
      <w:proofErr w:type="spellEnd"/>
      <w:r w:rsidRPr="00664364">
        <w:rPr>
          <w:lang w:val="en-US"/>
        </w:rPr>
        <w:t xml:space="preserve"> and extract the relevant data.</w:t>
      </w:r>
    </w:p>
    <w:p w14:paraId="7C76DA94" w14:textId="77777777" w:rsidR="00664364" w:rsidRPr="00664364" w:rsidRDefault="00664364" w:rsidP="00664364">
      <w:pPr>
        <w:jc w:val="both"/>
        <w:rPr>
          <w:lang w:val="en-US"/>
        </w:rPr>
      </w:pPr>
      <w:r w:rsidRPr="00664364">
        <w:rPr>
          <w:lang w:val="en-US"/>
        </w:rPr>
        <w:t>In this regard, we would appreciate clarification on the following:</w:t>
      </w:r>
    </w:p>
    <w:p w14:paraId="76AC5A58" w14:textId="77777777" w:rsidR="00664364" w:rsidRPr="00664364" w:rsidRDefault="00664364" w:rsidP="00664364">
      <w:pPr>
        <w:jc w:val="both"/>
        <w:rPr>
          <w:i/>
          <w:iCs/>
          <w:lang w:val="en-US"/>
        </w:rPr>
      </w:pPr>
      <w:r w:rsidRPr="00664364">
        <w:rPr>
          <w:i/>
          <w:iCs/>
          <w:lang w:val="en-US"/>
        </w:rPr>
        <w:t>Would ESMA consider it compliant with the proposed framework if investment firms and professional clients exchange allocations and confirmations through ordinary business email communications, provided that the attached files are structured in a machine-readable format (e.g. XML, XBRL, CSV or other equivalent formats)?</w:t>
      </w:r>
    </w:p>
    <w:p w14:paraId="4D12E877" w14:textId="77777777" w:rsidR="00664364" w:rsidRPr="00664364" w:rsidRDefault="00664364" w:rsidP="00664364">
      <w:pPr>
        <w:jc w:val="both"/>
        <w:rPr>
          <w:i/>
          <w:iCs/>
          <w:lang w:val="en-US"/>
        </w:rPr>
      </w:pPr>
      <w:r w:rsidRPr="00664364">
        <w:rPr>
          <w:i/>
          <w:iCs/>
          <w:lang w:val="en-US"/>
        </w:rPr>
        <w:t>If the answer is affirmative, could ESMA please clarify whether any specific information security, authentication, integrity, encryption, audit trail or transmission controls are expected in addition to those normally applied to business email communications under existing regulatory requirements (including MiFID II and DORA)?</w:t>
      </w:r>
    </w:p>
    <w:p w14:paraId="696CF8DE" w14:textId="77777777" w:rsidR="00664364" w:rsidRPr="00664364" w:rsidRDefault="00664364" w:rsidP="00664364">
      <w:pPr>
        <w:jc w:val="both"/>
        <w:rPr>
          <w:lang w:val="en-US"/>
        </w:rPr>
      </w:pPr>
      <w:r w:rsidRPr="00664364">
        <w:rPr>
          <w:lang w:val="en-US"/>
        </w:rPr>
        <w:t>In particular, it would be helpful to understand whether ESMA expects any additional safeguards that would distinguish such communications from ordinary business email exchanges between investment firms and professional clients.</w:t>
      </w:r>
    </w:p>
    <w:p w14:paraId="14943C1C" w14:textId="77777777" w:rsidR="00664364" w:rsidRPr="00664364" w:rsidRDefault="00664364" w:rsidP="00664364">
      <w:pPr>
        <w:jc w:val="both"/>
        <w:rPr>
          <w:b/>
          <w:bCs/>
          <w:u w:val="single"/>
          <w:lang w:val="en-US"/>
        </w:rPr>
      </w:pPr>
      <w:r w:rsidRPr="00664364">
        <w:rPr>
          <w:b/>
          <w:bCs/>
          <w:u w:val="single"/>
          <w:lang w:val="en-US"/>
        </w:rPr>
        <w:t>Question 2 – Use of Graphical User Interfaces (GUI)</w:t>
      </w:r>
    </w:p>
    <w:p w14:paraId="15D2C163" w14:textId="77777777" w:rsidR="00664364" w:rsidRPr="00664364" w:rsidRDefault="00664364" w:rsidP="00664364">
      <w:pPr>
        <w:jc w:val="both"/>
        <w:rPr>
          <w:lang w:val="en-US"/>
        </w:rPr>
      </w:pPr>
      <w:r w:rsidRPr="00664364">
        <w:rPr>
          <w:lang w:val="en-US"/>
        </w:rPr>
        <w:t>The Consultation Paper discusses the use of Graphical User Interfaces (GUIs) and distinguishes between manual data entry and the transmission of machine-readable data.</w:t>
      </w:r>
    </w:p>
    <w:p w14:paraId="5151A3D1" w14:textId="77777777" w:rsidR="00664364" w:rsidRPr="00664364" w:rsidRDefault="00664364" w:rsidP="00664364">
      <w:pPr>
        <w:jc w:val="both"/>
        <w:rPr>
          <w:lang w:val="en-US"/>
        </w:rPr>
      </w:pPr>
      <w:r w:rsidRPr="00664364">
        <w:rPr>
          <w:lang w:val="en-US"/>
        </w:rPr>
        <w:t>We would appreciate clarification on the following:</w:t>
      </w:r>
    </w:p>
    <w:p w14:paraId="44067340" w14:textId="77777777" w:rsidR="00664364" w:rsidRPr="00664364" w:rsidRDefault="00664364" w:rsidP="00664364">
      <w:pPr>
        <w:jc w:val="both"/>
        <w:rPr>
          <w:i/>
          <w:iCs/>
          <w:lang w:val="en-US"/>
        </w:rPr>
      </w:pPr>
      <w:r w:rsidRPr="00664364">
        <w:rPr>
          <w:i/>
          <w:iCs/>
          <w:lang w:val="en-US"/>
        </w:rPr>
        <w:t>Would ESMA consider it compliant with the proposed framework for an investment firm to provide a GUI-based client portal that allows professional clients to upload and download machine-readable files containing allocations and confirmations, without the existence of a dedicated API connection?</w:t>
      </w:r>
    </w:p>
    <w:p w14:paraId="46802E6C" w14:textId="77777777" w:rsidR="00664364" w:rsidRPr="00664364" w:rsidRDefault="00664364" w:rsidP="00664364">
      <w:pPr>
        <w:jc w:val="both"/>
        <w:rPr>
          <w:lang w:val="en-US"/>
        </w:rPr>
      </w:pPr>
      <w:r w:rsidRPr="00664364">
        <w:rPr>
          <w:lang w:val="en-US"/>
        </w:rPr>
        <w:t>More specifically, would a portal-based solution be considered compliant where:</w:t>
      </w:r>
    </w:p>
    <w:p w14:paraId="3E81CCB6" w14:textId="77777777" w:rsidR="00664364" w:rsidRPr="00664364" w:rsidRDefault="00664364" w:rsidP="00664364">
      <w:pPr>
        <w:numPr>
          <w:ilvl w:val="0"/>
          <w:numId w:val="1"/>
        </w:numPr>
        <w:jc w:val="both"/>
        <w:rPr>
          <w:lang w:val="en-US"/>
        </w:rPr>
      </w:pPr>
      <w:r w:rsidRPr="00664364">
        <w:rPr>
          <w:lang w:val="en-US"/>
        </w:rPr>
        <w:t>the uploaded and downloaded files are fully machine-readable and structured in accordance with the proposed requirements;</w:t>
      </w:r>
    </w:p>
    <w:p w14:paraId="1497360A" w14:textId="77777777" w:rsidR="00664364" w:rsidRPr="00664364" w:rsidRDefault="00664364" w:rsidP="00664364">
      <w:pPr>
        <w:numPr>
          <w:ilvl w:val="0"/>
          <w:numId w:val="1"/>
        </w:numPr>
        <w:jc w:val="both"/>
        <w:rPr>
          <w:lang w:val="en-US"/>
        </w:rPr>
      </w:pPr>
      <w:r w:rsidRPr="00664364">
        <w:rPr>
          <w:lang w:val="en-US"/>
        </w:rPr>
        <w:t>the data can be automatically processed by software applications;</w:t>
      </w:r>
    </w:p>
    <w:p w14:paraId="0800E1E5" w14:textId="77777777" w:rsidR="00664364" w:rsidRPr="00664364" w:rsidRDefault="00664364" w:rsidP="00664364">
      <w:pPr>
        <w:numPr>
          <w:ilvl w:val="0"/>
          <w:numId w:val="1"/>
        </w:numPr>
        <w:jc w:val="both"/>
        <w:rPr>
          <w:lang w:val="en-US"/>
        </w:rPr>
      </w:pPr>
      <w:r w:rsidRPr="00664364">
        <w:rPr>
          <w:lang w:val="en-US"/>
        </w:rPr>
        <w:t>the GUI serves solely as a secure transport mechanism for the exchange of machine-readable files;</w:t>
      </w:r>
    </w:p>
    <w:p w14:paraId="24E6D3E0" w14:textId="77777777" w:rsidR="00664364" w:rsidRPr="00664364" w:rsidRDefault="00664364" w:rsidP="00664364">
      <w:pPr>
        <w:jc w:val="both"/>
        <w:rPr>
          <w:lang w:val="en-US"/>
        </w:rPr>
      </w:pPr>
      <w:r w:rsidRPr="00664364">
        <w:rPr>
          <w:lang w:val="en-US"/>
        </w:rPr>
        <w:lastRenderedPageBreak/>
        <w:t>or does ESMA intend that GUI-based solutions should only be considered compliant where they support direct system-to-system communication through APIs or equivalent automated interfaces?</w:t>
      </w:r>
    </w:p>
    <w:p w14:paraId="465B0F5E" w14:textId="77777777" w:rsidR="00664364" w:rsidRPr="00664364" w:rsidRDefault="00664364" w:rsidP="00664364">
      <w:pPr>
        <w:jc w:val="both"/>
        <w:rPr>
          <w:lang w:val="en-US"/>
        </w:rPr>
      </w:pPr>
      <w:r w:rsidRPr="00664364">
        <w:rPr>
          <w:lang w:val="en-US"/>
        </w:rPr>
        <w:t>We would appreciate any further guidance ESMA may provide regarding the practical distinction between acceptable and non-acceptable GUI implementations under the proposed Guidelines.</w:t>
      </w:r>
    </w:p>
    <w:p w14:paraId="2E695E91" w14:textId="77777777" w:rsidR="00664364" w:rsidRPr="00664364" w:rsidRDefault="00664364" w:rsidP="00664364">
      <w:pPr>
        <w:jc w:val="both"/>
        <w:rPr>
          <w:b/>
          <w:bCs/>
          <w:u w:val="single"/>
          <w:lang w:val="en-US"/>
        </w:rPr>
      </w:pPr>
      <w:r w:rsidRPr="00664364">
        <w:rPr>
          <w:b/>
          <w:bCs/>
          <w:u w:val="single"/>
          <w:lang w:val="en-US"/>
        </w:rPr>
        <w:t>Question 3 – Scope of Machine-Readable Formats</w:t>
      </w:r>
    </w:p>
    <w:p w14:paraId="1B5DBD37" w14:textId="77777777" w:rsidR="00664364" w:rsidRPr="00664364" w:rsidRDefault="00664364" w:rsidP="00664364">
      <w:pPr>
        <w:jc w:val="both"/>
        <w:rPr>
          <w:lang w:val="en-US"/>
        </w:rPr>
      </w:pPr>
      <w:r w:rsidRPr="00664364">
        <w:rPr>
          <w:lang w:val="en-US"/>
        </w:rPr>
        <w:t>The Consultation Paper refers to machine-readable formats and provides examples such as XML and XBRL. However, market participants currently use a variety of structured formats for the exchange of settlement-related information.</w:t>
      </w:r>
    </w:p>
    <w:p w14:paraId="7630A6F7" w14:textId="77777777" w:rsidR="00664364" w:rsidRPr="00664364" w:rsidRDefault="00664364" w:rsidP="00664364">
      <w:pPr>
        <w:jc w:val="both"/>
        <w:rPr>
          <w:lang w:val="en-US"/>
        </w:rPr>
      </w:pPr>
      <w:r w:rsidRPr="00664364">
        <w:rPr>
          <w:lang w:val="en-US"/>
        </w:rPr>
        <w:t xml:space="preserve">We would appreciate clarification as to whether ESMA intends the concept of a "machine-readable format" to be technology-neutral, provided that the format enables software applications to identify, </w:t>
      </w:r>
      <w:proofErr w:type="spellStart"/>
      <w:r w:rsidRPr="00664364">
        <w:rPr>
          <w:lang w:val="en-US"/>
        </w:rPr>
        <w:t>recognise</w:t>
      </w:r>
      <w:proofErr w:type="spellEnd"/>
      <w:r w:rsidRPr="00664364">
        <w:rPr>
          <w:lang w:val="en-US"/>
        </w:rPr>
        <w:t xml:space="preserve"> and extract the relevant data automatically.</w:t>
      </w:r>
    </w:p>
    <w:p w14:paraId="43825694" w14:textId="77777777" w:rsidR="00664364" w:rsidRPr="00664364" w:rsidRDefault="00664364" w:rsidP="00664364">
      <w:pPr>
        <w:jc w:val="both"/>
        <w:rPr>
          <w:lang w:val="en-US"/>
        </w:rPr>
      </w:pPr>
      <w:r w:rsidRPr="00664364">
        <w:rPr>
          <w:lang w:val="en-US"/>
        </w:rPr>
        <w:t>In particular, would ESMA consider the following formats compliant with the proposed requirements, assuming that they are exchanged electronically and can be processed automatically without manual intervention:</w:t>
      </w:r>
    </w:p>
    <w:p w14:paraId="7A40478D" w14:textId="77777777" w:rsidR="00664364" w:rsidRPr="00664364" w:rsidRDefault="00664364" w:rsidP="00664364">
      <w:pPr>
        <w:numPr>
          <w:ilvl w:val="0"/>
          <w:numId w:val="2"/>
        </w:numPr>
        <w:jc w:val="both"/>
        <w:rPr>
          <w:lang w:val="en-US"/>
        </w:rPr>
      </w:pPr>
      <w:r w:rsidRPr="00664364">
        <w:rPr>
          <w:lang w:val="en-US"/>
        </w:rPr>
        <w:t>CSV (Comma-Separated Values) files;</w:t>
      </w:r>
    </w:p>
    <w:p w14:paraId="0F05D99F" w14:textId="77777777" w:rsidR="00664364" w:rsidRPr="00664364" w:rsidRDefault="00664364" w:rsidP="00664364">
      <w:pPr>
        <w:numPr>
          <w:ilvl w:val="0"/>
          <w:numId w:val="2"/>
        </w:numPr>
        <w:jc w:val="both"/>
        <w:rPr>
          <w:lang w:val="en-US"/>
        </w:rPr>
      </w:pPr>
      <w:r w:rsidRPr="00664364">
        <w:rPr>
          <w:lang w:val="en-US"/>
        </w:rPr>
        <w:t>SWIFT MT54x messages exchanged in FIN text format;</w:t>
      </w:r>
    </w:p>
    <w:p w14:paraId="6E7A63BA" w14:textId="77777777" w:rsidR="00664364" w:rsidRPr="00664364" w:rsidRDefault="00664364" w:rsidP="00664364">
      <w:pPr>
        <w:numPr>
          <w:ilvl w:val="0"/>
          <w:numId w:val="2"/>
        </w:numPr>
        <w:jc w:val="both"/>
        <w:rPr>
          <w:lang w:val="en-US"/>
        </w:rPr>
      </w:pPr>
      <w:r w:rsidRPr="00664364">
        <w:rPr>
          <w:lang w:val="en-US"/>
        </w:rPr>
        <w:t>other structured industry-standard formats capable of supporting automated processing.</w:t>
      </w:r>
    </w:p>
    <w:p w14:paraId="6850D4E6" w14:textId="77777777" w:rsidR="00664364" w:rsidRPr="00664364" w:rsidRDefault="00664364" w:rsidP="00664364">
      <w:pPr>
        <w:jc w:val="both"/>
        <w:rPr>
          <w:lang w:val="en-US"/>
        </w:rPr>
      </w:pPr>
      <w:r w:rsidRPr="00664364">
        <w:rPr>
          <w:lang w:val="en-US"/>
        </w:rPr>
        <w:t>Alternatively, does ESMA expect market participants to use only formats comparable to XML, XBRL or ISO 20022-based structures for the purposes of allocations and confirmations under Article 2 of the RTS on Settlement Discipline?</w:t>
      </w:r>
    </w:p>
    <w:p w14:paraId="00045EFD" w14:textId="77777777" w:rsidR="00664364" w:rsidRPr="00664364" w:rsidRDefault="00664364" w:rsidP="00664364">
      <w:pPr>
        <w:jc w:val="both"/>
        <w:rPr>
          <w:lang w:val="en-US"/>
        </w:rPr>
      </w:pPr>
      <w:r w:rsidRPr="00664364">
        <w:rPr>
          <w:lang w:val="en-US"/>
        </w:rPr>
        <w:t>Given the potentially significant implementation costs associated with replacing existing communication channels and formats, additional clarification on the acceptable scope of machine-readable formats would be highly appreciated.</w:t>
      </w:r>
    </w:p>
    <w:p w14:paraId="182EBEAE" w14:textId="522D12C7" w:rsidR="00664364" w:rsidRDefault="00664364" w:rsidP="00664364">
      <w:pPr>
        <w:jc w:val="both"/>
        <w:rPr>
          <w:lang w:val="en-US"/>
        </w:rPr>
      </w:pPr>
    </w:p>
    <w:p w14:paraId="079115FF" w14:textId="48226E99" w:rsidR="00664364" w:rsidRDefault="00664364" w:rsidP="00664364">
      <w:pPr>
        <w:jc w:val="both"/>
        <w:rPr>
          <w:lang w:val="en-US"/>
        </w:rPr>
      </w:pPr>
      <w:r>
        <w:rPr>
          <w:lang w:val="en-US"/>
        </w:rPr>
        <w:t>Best Regards</w:t>
      </w:r>
    </w:p>
    <w:p w14:paraId="015BF8DB" w14:textId="691A9113" w:rsidR="00664364" w:rsidRDefault="00470ECF" w:rsidP="00664364">
      <w:pPr>
        <w:jc w:val="both"/>
        <w:rPr>
          <w:lang w:val="en-US"/>
        </w:rPr>
      </w:pPr>
      <w:r>
        <w:rPr>
          <w:lang w:val="en-US"/>
        </w:rPr>
        <w:t>Concorde Securities Ltd</w:t>
      </w:r>
    </w:p>
    <w:p w14:paraId="176DFF79" w14:textId="6E58F47A" w:rsidR="00470ECF" w:rsidRDefault="00470ECF" w:rsidP="00664364">
      <w:pPr>
        <w:jc w:val="both"/>
        <w:rPr>
          <w:lang w:val="en-US"/>
        </w:rPr>
      </w:pPr>
      <w:r>
        <w:rPr>
          <w:lang w:val="en-US"/>
        </w:rPr>
        <w:t>Andras Meresz</w:t>
      </w:r>
    </w:p>
    <w:p w14:paraId="758E6968" w14:textId="20BDFC7F" w:rsidR="00470ECF" w:rsidRPr="00664364" w:rsidRDefault="00470ECF" w:rsidP="00664364">
      <w:pPr>
        <w:jc w:val="both"/>
        <w:rPr>
          <w:lang w:val="en-US"/>
        </w:rPr>
      </w:pPr>
      <w:r>
        <w:rPr>
          <w:lang w:val="en-US"/>
        </w:rPr>
        <w:t xml:space="preserve">Project manager </w:t>
      </w:r>
    </w:p>
    <w:sectPr w:rsidR="00470ECF" w:rsidRPr="006643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2A8B"/>
    <w:multiLevelType w:val="multilevel"/>
    <w:tmpl w:val="8CC49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8C186D"/>
    <w:multiLevelType w:val="multilevel"/>
    <w:tmpl w:val="810AF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2602913">
    <w:abstractNumId w:val="1"/>
  </w:num>
  <w:num w:numId="2" w16cid:durableId="97807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64"/>
    <w:rsid w:val="00393895"/>
    <w:rsid w:val="00470ECF"/>
    <w:rsid w:val="00664364"/>
    <w:rsid w:val="008E5B70"/>
    <w:rsid w:val="00D15926"/>
    <w:rsid w:val="00D5071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B956"/>
  <w15:chartTrackingRefBased/>
  <w15:docId w15:val="{17C17D11-5633-4846-84E2-159D0DD7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664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664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66436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66436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66436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66436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66436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66436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66436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6436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66436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66436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66436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66436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66436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66436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66436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664364"/>
    <w:rPr>
      <w:rFonts w:eastAsiaTheme="majorEastAsia" w:cstheme="majorBidi"/>
      <w:color w:val="272727" w:themeColor="text1" w:themeTint="D8"/>
    </w:rPr>
  </w:style>
  <w:style w:type="paragraph" w:styleId="Cm">
    <w:name w:val="Title"/>
    <w:basedOn w:val="Norml"/>
    <w:next w:val="Norml"/>
    <w:link w:val="CmChar"/>
    <w:uiPriority w:val="10"/>
    <w:qFormat/>
    <w:rsid w:val="00664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6436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66436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66436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664364"/>
    <w:pPr>
      <w:spacing w:before="160"/>
      <w:jc w:val="center"/>
    </w:pPr>
    <w:rPr>
      <w:i/>
      <w:iCs/>
      <w:color w:val="404040" w:themeColor="text1" w:themeTint="BF"/>
    </w:rPr>
  </w:style>
  <w:style w:type="character" w:customStyle="1" w:styleId="IdzetChar">
    <w:name w:val="Idézet Char"/>
    <w:basedOn w:val="Bekezdsalapbettpusa"/>
    <w:link w:val="Idzet"/>
    <w:uiPriority w:val="29"/>
    <w:rsid w:val="00664364"/>
    <w:rPr>
      <w:i/>
      <w:iCs/>
      <w:color w:val="404040" w:themeColor="text1" w:themeTint="BF"/>
    </w:rPr>
  </w:style>
  <w:style w:type="paragraph" w:styleId="Listaszerbekezds">
    <w:name w:val="List Paragraph"/>
    <w:basedOn w:val="Norml"/>
    <w:uiPriority w:val="34"/>
    <w:qFormat/>
    <w:rsid w:val="00664364"/>
    <w:pPr>
      <w:ind w:left="720"/>
      <w:contextualSpacing/>
    </w:pPr>
  </w:style>
  <w:style w:type="character" w:styleId="Erskiemels">
    <w:name w:val="Intense Emphasis"/>
    <w:basedOn w:val="Bekezdsalapbettpusa"/>
    <w:uiPriority w:val="21"/>
    <w:qFormat/>
    <w:rsid w:val="00664364"/>
    <w:rPr>
      <w:i/>
      <w:iCs/>
      <w:color w:val="0F4761" w:themeColor="accent1" w:themeShade="BF"/>
    </w:rPr>
  </w:style>
  <w:style w:type="paragraph" w:styleId="Kiemeltidzet">
    <w:name w:val="Intense Quote"/>
    <w:basedOn w:val="Norml"/>
    <w:next w:val="Norml"/>
    <w:link w:val="KiemeltidzetChar"/>
    <w:uiPriority w:val="30"/>
    <w:qFormat/>
    <w:rsid w:val="00664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664364"/>
    <w:rPr>
      <w:i/>
      <w:iCs/>
      <w:color w:val="0F4761" w:themeColor="accent1" w:themeShade="BF"/>
    </w:rPr>
  </w:style>
  <w:style w:type="character" w:styleId="Ershivatkozs">
    <w:name w:val="Intense Reference"/>
    <w:basedOn w:val="Bekezdsalapbettpusa"/>
    <w:uiPriority w:val="32"/>
    <w:qFormat/>
    <w:rsid w:val="006643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3746</Characters>
  <Application>Microsoft Office Word</Application>
  <DocSecurity>4</DocSecurity>
  <Lines>66</Lines>
  <Paragraphs>31</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Mérész András</dc:creator>
  <cp:keywords/>
  <dc:description/>
  <cp:lastModifiedBy>Mérész András</cp:lastModifiedBy>
  <cp:revision>2</cp:revision>
  <dcterms:created xsi:type="dcterms:W3CDTF">2026-06-26T07:53:00Z</dcterms:created>
  <dcterms:modified xsi:type="dcterms:W3CDTF">2026-06-26T07:53:00Z</dcterms:modified>
</cp:coreProperties>
</file>