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ab"/>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ab"/>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ab"/>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ab"/>
          </w:pPr>
          <w:r>
            <w:t xml:space="preserve">Reply </w:t>
          </w:r>
          <w:r w:rsidR="00DD03DC">
            <w:t>F</w:t>
          </w:r>
          <w:r>
            <w:t>orm</w:t>
          </w:r>
        </w:p>
        <w:p w14:paraId="031F2108" w14:textId="6EBE2158" w:rsidR="007E7997" w:rsidRPr="00C01571" w:rsidRDefault="00941BDF" w:rsidP="00D77369">
          <w:pPr>
            <w:pStyle w:val="ad"/>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ad"/>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a"/>
            <w:rPr>
              <w:lang w:val="en-GB"/>
            </w:rPr>
          </w:pPr>
          <w:r w:rsidRPr="00DB2FD6">
            <w:rPr>
              <w:lang w:val="en-GB"/>
            </w:rPr>
            <w:t>respond to the question stated;</w:t>
          </w:r>
        </w:p>
        <w:p w14:paraId="72FD40F6" w14:textId="77777777" w:rsidR="002533FC" w:rsidRPr="00DB2FD6" w:rsidRDefault="002533FC" w:rsidP="00EC6066">
          <w:pPr>
            <w:pStyle w:val="a"/>
            <w:rPr>
              <w:lang w:val="en-GB"/>
            </w:rPr>
          </w:pPr>
          <w:r w:rsidRPr="00DB2FD6">
            <w:rPr>
              <w:lang w:val="en-GB"/>
            </w:rPr>
            <w:t>indicate the specific question to which the comment relates;</w:t>
          </w:r>
        </w:p>
        <w:p w14:paraId="78B206B7" w14:textId="77777777" w:rsidR="002533FC" w:rsidRPr="00E13D25" w:rsidRDefault="002533FC" w:rsidP="00EC6066">
          <w:pPr>
            <w:pStyle w:val="a"/>
          </w:pPr>
          <w:r w:rsidRPr="00E13D25">
            <w:t>contain a clear rationale; and</w:t>
          </w:r>
        </w:p>
        <w:p w14:paraId="60B8834E" w14:textId="77777777" w:rsidR="002533FC" w:rsidRPr="00DB2FD6" w:rsidRDefault="002533FC" w:rsidP="00EC6066">
          <w:pPr>
            <w:pStyle w:val="a"/>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afe"/>
              </w:rPr>
              <w:t>www.esma.europa.eu</w:t>
            </w:r>
          </w:hyperlink>
          <w:r w:rsidRPr="005B6B12">
            <w:t xml:space="preserve"> under the heading ‘Your input - Consultations’. </w:t>
          </w:r>
        </w:p>
        <w:p w14:paraId="5E44C845" w14:textId="77777777" w:rsidR="00EC6066" w:rsidRPr="0026459D" w:rsidRDefault="00EC6066" w:rsidP="00EC6066">
          <w:pPr>
            <w:pStyle w:val="ad"/>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afe"/>
              </w:rPr>
              <w:t>www.esma.europa.eu</w:t>
            </w:r>
          </w:hyperlink>
          <w:r w:rsidRPr="005B6B12">
            <w:t xml:space="preserve"> under the heading </w:t>
          </w:r>
          <w:r w:rsidRPr="00025A7F">
            <w:rPr>
              <w:rStyle w:val="afe"/>
            </w:rPr>
            <w:t>‘</w:t>
          </w:r>
          <w:hyperlink r:id="rId17" w:history="1">
            <w:r>
              <w:rPr>
                <w:rStyle w:val="afe"/>
              </w:rPr>
              <w:t>Data protection</w:t>
            </w:r>
          </w:hyperlink>
          <w:r>
            <w:rPr>
              <w:rStyle w:val="afe"/>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1"/>
        <w:rPr>
          <w:lang w:val="fr-BE"/>
        </w:rPr>
      </w:pPr>
      <w:r>
        <w:rPr>
          <w:lang w:val="fr-BE"/>
        </w:rPr>
        <w:lastRenderedPageBreak/>
        <w:t xml:space="preserve">General information about </w:t>
      </w:r>
      <w:r w:rsidRPr="00501EF4">
        <w:t>respondent</w:t>
      </w:r>
    </w:p>
    <w:tbl>
      <w:tblPr>
        <w:tblStyle w:val="aff"/>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Content>
            <w:tc>
              <w:tcPr>
                <w:tcW w:w="4531" w:type="dxa"/>
              </w:tcPr>
              <w:p w14:paraId="5C8A6928" w14:textId="45059CB9" w:rsidR="00E40D2C" w:rsidRPr="00557BD2" w:rsidRDefault="004F6275" w:rsidP="00410FFE">
                <w:r>
                  <w:t>ARGA Observatory</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Content>
            <w:tc>
              <w:tcPr>
                <w:tcW w:w="4531" w:type="dxa"/>
              </w:tcPr>
              <w:p w14:paraId="22ECE1B6" w14:textId="5291D593" w:rsidR="00E40D2C" w:rsidRDefault="004F6275"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Content>
            <w:permStart w:id="996560612" w:edGrp="everyone" w:displacedByCustomXml="prev"/>
            <w:tc>
              <w:tcPr>
                <w:tcW w:w="4531" w:type="dxa"/>
              </w:tcPr>
              <w:p w14:paraId="7AB9C082" w14:textId="0CA724AF" w:rsidR="00E40D2C" w:rsidRDefault="004F6275"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permStart w:id="1922924511" w:edGrp="everyone" w:displacedByCustomXml="prev"/>
            <w:tc>
              <w:tcPr>
                <w:tcW w:w="4531" w:type="dxa"/>
              </w:tcPr>
              <w:p w14:paraId="5BB12D35" w14:textId="704CE019" w:rsidR="00E40D2C" w:rsidRPr="00557BD2" w:rsidRDefault="004F6275" w:rsidP="00410FFE">
                <w:r>
                  <w:t>France</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64214E8C" w14:textId="1F2AD0C2" w:rsidR="00241C75" w:rsidRPr="00241C75" w:rsidRDefault="00241C75" w:rsidP="00241C75">
      <w:pPr>
        <w:pStyle w:val="p1"/>
        <w:rPr>
          <w:lang w:val="fr-FR"/>
        </w:rPr>
      </w:pPr>
      <w:permStart w:id="1643068749" w:edGrp="everyone"/>
      <w:r w:rsidRPr="00241C75">
        <w:rPr>
          <w:lang w:val="fr-FR"/>
        </w:rPr>
        <w:t>ARGA Observatory agrees with the proposed amendment.</w:t>
      </w:r>
    </w:p>
    <w:p w14:paraId="6360BE4B" w14:textId="31C2F481" w:rsidR="00241C75" w:rsidRPr="00241C75" w:rsidRDefault="00241C75" w:rsidP="00241C75">
      <w:pPr>
        <w:pStyle w:val="p1"/>
        <w:rPr>
          <w:lang w:val="fr-FR"/>
        </w:rPr>
      </w:pPr>
      <w:r w:rsidRPr="00241C75">
        <w:rPr>
          <w:lang w:val="fr-FR"/>
        </w:rPr>
        <w:t>Allowing arrangements between investment firms and professional clients to be documented in any legally binding form is a proportionate and practical approach. It preserves legal certainty while reducing unnecessary administrative burden. This is particularly important in the context of the transition to T+1, where firms will already need to adapt operational processes, systems and documentation.</w:t>
      </w:r>
    </w:p>
    <w:p w14:paraId="11711D63" w14:textId="77777777" w:rsidR="00241C75" w:rsidRPr="00241C75" w:rsidRDefault="00241C75" w:rsidP="00241C75">
      <w:pPr>
        <w:pStyle w:val="p1"/>
        <w:rPr>
          <w:lang w:val="fr-FR"/>
        </w:rPr>
      </w:pPr>
      <w:r w:rsidRPr="00241C75">
        <w:rPr>
          <w:lang w:val="fr-FR"/>
        </w:rPr>
        <w:t>The key requirement should be that the arrangements are clear, enforceable and accessible for supervisory purposes, rather than that they appear in a specific contractual format.</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578B5234" w14:textId="39D87B71" w:rsidR="00241C75" w:rsidRPr="00241C75" w:rsidRDefault="00241C75" w:rsidP="00241C75">
      <w:pPr>
        <w:pStyle w:val="p1"/>
        <w:rPr>
          <w:lang w:val="fr-FR"/>
        </w:rPr>
      </w:pPr>
      <w:permStart w:id="1918919098" w:edGrp="everyone"/>
      <w:r w:rsidRPr="00241C75">
        <w:rPr>
          <w:lang w:val="fr-FR"/>
        </w:rPr>
        <w:t>Additional burden reduction could be achieved through standardised clauses, model templates and industry-wide documentation protocols for allocations and confirmation</w:t>
      </w:r>
    </w:p>
    <w:p w14:paraId="16DD8882" w14:textId="77777777" w:rsidR="00241C75" w:rsidRPr="00241C75" w:rsidRDefault="00241C75" w:rsidP="00241C75">
      <w:pPr>
        <w:pStyle w:val="p1"/>
        <w:rPr>
          <w:lang w:val="fr-FR"/>
        </w:rPr>
      </w:pPr>
      <w:r w:rsidRPr="00241C75">
        <w:rPr>
          <w:lang w:val="fr-FR"/>
        </w:rPr>
        <w:lastRenderedPageBreak/>
        <w:t>ESMA could also encourage the use of modular documentation, allowing firms to update technical communication arrangements without renegotiating entire framework agreements. Another useful measure would be guidance clarifying that legally binding electronic acknowledgements, platform terms, or standard operating procedures may be sufficient where they clearly record the agreement between the parties.</w:t>
      </w:r>
    </w:p>
    <w:permEnd w:id="1918919098"/>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7FA58C35" w14:textId="3A8CCEB3" w:rsidR="00241C75" w:rsidRPr="00241C75" w:rsidRDefault="00241C75" w:rsidP="00241C75">
      <w:pPr>
        <w:pStyle w:val="p1"/>
        <w:rPr>
          <w:lang w:val="fr-FR"/>
        </w:rPr>
      </w:pPr>
      <w:permStart w:id="1132867138" w:edGrp="everyone"/>
      <w:r w:rsidRPr="00241C75">
        <w:rPr>
          <w:lang w:val="fr-FR"/>
        </w:rPr>
        <w:t>ARGA Observatory agrees with the proposed amendment.</w:t>
      </w:r>
    </w:p>
    <w:p w14:paraId="6F8F7903" w14:textId="12AAB920" w:rsidR="00241C75" w:rsidRPr="00241C75" w:rsidRDefault="00241C75" w:rsidP="00241C75">
      <w:pPr>
        <w:pStyle w:val="p1"/>
        <w:rPr>
          <w:lang w:val="fr-FR"/>
        </w:rPr>
      </w:pPr>
      <w:r w:rsidRPr="00241C75">
        <w:rPr>
          <w:lang w:val="fr-FR"/>
        </w:rPr>
        <w:t>The requirement to use electronic standardised communication methods and international open communication procedures is consistent with the objective of improving settlement efficiency and supporting the transition to T+1. Straight-through processing and machine-readable communication should reduce operational risk, manual errors and delays in post-trade processing.</w:t>
      </w:r>
    </w:p>
    <w:p w14:paraId="6E225688" w14:textId="77777777" w:rsidR="00241C75" w:rsidRPr="00241C75" w:rsidRDefault="00241C75" w:rsidP="00241C75">
      <w:pPr>
        <w:pStyle w:val="p1"/>
        <w:rPr>
          <w:lang w:val="fr-FR"/>
        </w:rPr>
      </w:pPr>
      <w:r w:rsidRPr="00241C75">
        <w:rPr>
          <w:lang w:val="fr-FR"/>
        </w:rPr>
        <w:t>However, ESMA should preserve sufficient flexibility for proportionate implementation, especially for smaller firms and lower-volume relationships, provided the communication remains machine-readable and operationally reliable.</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445159BD" w14:textId="5AC097E2" w:rsidR="00241C75" w:rsidRPr="00241C75" w:rsidRDefault="00241C75" w:rsidP="00241C75">
      <w:pPr>
        <w:pStyle w:val="p1"/>
        <w:rPr>
          <w:lang w:val="fr-FR"/>
        </w:rPr>
      </w:pPr>
      <w:permStart w:id="299643757" w:edGrp="everyone"/>
      <w:r w:rsidRPr="00241C75">
        <w:rPr>
          <w:lang w:val="fr-FR"/>
        </w:rPr>
        <w:t>Interfaces designed for human interaction, such as GUIs, should be considered appropriate only under limited conditions.</w:t>
      </w:r>
    </w:p>
    <w:p w14:paraId="2D005664" w14:textId="18C1B81B" w:rsidR="00241C75" w:rsidRPr="00241C75" w:rsidRDefault="00241C75" w:rsidP="00241C75">
      <w:pPr>
        <w:pStyle w:val="p1"/>
        <w:rPr>
          <w:lang w:val="fr-FR"/>
        </w:rPr>
      </w:pPr>
      <w:r w:rsidRPr="00241C75">
        <w:rPr>
          <w:lang w:val="fr-FR"/>
        </w:rPr>
        <w:t>A GUI should be acceptable where it is used to transmit or validate data that is already structured in a machine-readable format and where software applications can identify, recognise and extract the relevant data. In such cases, the GUI functions as an interface to a structured data process.</w:t>
      </w:r>
    </w:p>
    <w:p w14:paraId="00FF11C6" w14:textId="77777777" w:rsidR="00241C75" w:rsidRPr="00241C75" w:rsidRDefault="00241C75" w:rsidP="00241C75">
      <w:pPr>
        <w:pStyle w:val="p1"/>
        <w:rPr>
          <w:lang w:val="fr-FR"/>
        </w:rPr>
      </w:pPr>
      <w:r w:rsidRPr="00241C75">
        <w:rPr>
          <w:lang w:val="fr-FR"/>
        </w:rPr>
        <w:lastRenderedPageBreak/>
        <w:t>However, manual entry into a GUI should not become the regular method for allocations and confirmations in high-volume or time-sensitive activity. Manual input increases operational risk and is less consistent with the objective of automation under T+1. It may remain acceptable for low-volume or exceptional cases, subject to controls, audit trails and validation procedures.</w:t>
      </w:r>
    </w:p>
    <w:p w14:paraId="000FBCC4" w14:textId="4C5BC881" w:rsidR="00941BDF" w:rsidRDefault="00941BDF" w:rsidP="00941BDF"/>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1365EDD0" w14:textId="7A53CB61" w:rsidR="00241C75" w:rsidRPr="00241C75" w:rsidRDefault="00241C75" w:rsidP="00241C75">
      <w:pPr>
        <w:pStyle w:val="p1"/>
        <w:rPr>
          <w:lang w:val="fr-FR"/>
        </w:rPr>
      </w:pPr>
      <w:permStart w:id="1075073537" w:edGrp="everyone"/>
      <w:r w:rsidRPr="00241C75">
        <w:rPr>
          <w:lang w:val="fr-FR"/>
        </w:rPr>
        <w:t>ARGA Observatory agrees with the proposed amendment.</w:t>
      </w:r>
    </w:p>
    <w:p w14:paraId="4B1B492D" w14:textId="7BAE3974" w:rsidR="00241C75" w:rsidRPr="00241C75" w:rsidRDefault="00241C75" w:rsidP="00241C75">
      <w:pPr>
        <w:pStyle w:val="p1"/>
        <w:rPr>
          <w:lang w:val="fr-FR"/>
        </w:rPr>
      </w:pPr>
      <w:r w:rsidRPr="00241C75">
        <w:rPr>
          <w:lang w:val="fr-FR"/>
        </w:rPr>
        <w:t>Removing the possibility of oral communication as a regular method is consistent with the new framework requiring written, electronic and machine-readable communication. Oral communication is not suitable as a standard process under T+1 because it increases the risk of delay, misunderstanding and manual error.</w:t>
      </w:r>
    </w:p>
    <w:p w14:paraId="70D3189D" w14:textId="77777777" w:rsidR="00241C75" w:rsidRPr="00241C75" w:rsidRDefault="00241C75" w:rsidP="00241C75">
      <w:pPr>
        <w:pStyle w:val="p1"/>
        <w:rPr>
          <w:lang w:val="fr-FR"/>
        </w:rPr>
      </w:pPr>
      <w:r w:rsidRPr="00241C75">
        <w:rPr>
          <w:lang w:val="fr-FR"/>
        </w:rPr>
        <w:t>At the same time, oral communication may remain appropriate only in exceptional disruption scenarios, provided calls are recorded and followed by appropriate written or electronic records.</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078A9F7F" w14:textId="240C802A" w:rsidR="00241C75" w:rsidRPr="00241C75" w:rsidRDefault="00241C75" w:rsidP="00241C75">
      <w:pPr>
        <w:pStyle w:val="p1"/>
        <w:rPr>
          <w:lang w:val="fr-FR"/>
        </w:rPr>
      </w:pPr>
      <w:permStart w:id="1673032747" w:edGrp="everyone"/>
      <w:r w:rsidRPr="00241C75">
        <w:rPr>
          <w:lang w:val="fr-FR"/>
        </w:rPr>
        <w:t>ARGA Observatory agrees with the proposed amendment.</w:t>
      </w:r>
    </w:p>
    <w:p w14:paraId="6C156D3A" w14:textId="77777777" w:rsidR="00241C75" w:rsidRPr="00241C75" w:rsidRDefault="00241C75" w:rsidP="00241C75">
      <w:pPr>
        <w:pStyle w:val="p1"/>
        <w:rPr>
          <w:lang w:val="fr-FR"/>
        </w:rPr>
      </w:pPr>
      <w:r w:rsidRPr="00241C75">
        <w:rPr>
          <w:lang w:val="fr-FR"/>
        </w:rPr>
        <w:t>Deleting the reference to a “contractual” agreement is consistent with the broader approach of allowing arrangements to be documented in any legally binding form. The consequences of late or failed communication should remain capable of being addressed between the investment firm and the professional client, provided such arrangements are clear, enforceable and consistent with CSDR and the RTS on Settlement Discipline.</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6CC4962B" w14:textId="70A861C1" w:rsidR="00241C75" w:rsidRPr="00241C75" w:rsidRDefault="00241C75" w:rsidP="00241C75">
      <w:pPr>
        <w:pStyle w:val="p1"/>
        <w:rPr>
          <w:lang w:val="fr-FR"/>
        </w:rPr>
      </w:pPr>
      <w:permStart w:id="1349406036" w:edGrp="everyone"/>
      <w:r w:rsidRPr="00241C75">
        <w:rPr>
          <w:lang w:val="fr-FR"/>
        </w:rPr>
        <w:t>ARGA Observatory agrees with the proposed amendment.</w:t>
      </w:r>
    </w:p>
    <w:p w14:paraId="432390FA" w14:textId="06BB1324" w:rsidR="00241C75" w:rsidRPr="00241C75" w:rsidRDefault="00241C75" w:rsidP="00241C75">
      <w:pPr>
        <w:pStyle w:val="p1"/>
        <w:rPr>
          <w:lang w:val="fr-FR"/>
        </w:rPr>
      </w:pPr>
      <w:r w:rsidRPr="00241C75">
        <w:rPr>
          <w:lang w:val="fr-FR"/>
        </w:rPr>
        <w:t>Non-electronic means should be available only in exceptional and temporary circumstances, such as technical unavailability or service disruption. This is necessary for operational resilience and business continuity. However, such use should be documented, resolved without undue delay, and not become a routine alternative to electronic machine-readable communication.</w:t>
      </w:r>
    </w:p>
    <w:p w14:paraId="467D9D23" w14:textId="77777777" w:rsidR="00241C75" w:rsidRPr="00241C75" w:rsidRDefault="00241C75" w:rsidP="00241C75">
      <w:pPr>
        <w:pStyle w:val="p1"/>
        <w:rPr>
          <w:lang w:val="fr-FR"/>
        </w:rPr>
      </w:pPr>
      <w:r w:rsidRPr="00241C75">
        <w:rPr>
          <w:lang w:val="fr-FR"/>
        </w:rPr>
        <w:t>Recorded phone calls may be acceptable in disruption scenarios, provided that they are properly recorded, retained and capable of being reconciled with subsequent settlement instructions.</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583B6B11" w14:textId="145A6431" w:rsidR="00241C75" w:rsidRPr="00241C75" w:rsidRDefault="00241C75" w:rsidP="00241C75">
      <w:pPr>
        <w:pStyle w:val="p1"/>
        <w:rPr>
          <w:lang w:val="fr-FR"/>
        </w:rPr>
      </w:pPr>
      <w:permStart w:id="1120359020" w:edGrp="everyone"/>
      <w:r w:rsidRPr="00241C75">
        <w:rPr>
          <w:lang w:val="fr-FR"/>
        </w:rPr>
        <w:t>ARGA Observatory agrees with the proposed amendment.</w:t>
      </w:r>
    </w:p>
    <w:p w14:paraId="32587D29" w14:textId="6AC27467" w:rsidR="00241C75" w:rsidRPr="00241C75" w:rsidRDefault="00241C75" w:rsidP="00241C75">
      <w:pPr>
        <w:pStyle w:val="p1"/>
        <w:rPr>
          <w:lang w:val="fr-FR"/>
        </w:rPr>
      </w:pPr>
      <w:r w:rsidRPr="00241C75">
        <w:rPr>
          <w:lang w:val="fr-FR"/>
        </w:rPr>
        <w:t>The mandatory use of international open communication procedures and standards is appropriate in light of the transition to T+1. It supports automation, reduces operational fragmentation, and improves the timeliness and reliability of allocations and confirmations.</w:t>
      </w:r>
    </w:p>
    <w:p w14:paraId="07C661E5" w14:textId="77777777" w:rsidR="00241C75" w:rsidRPr="00241C75" w:rsidRDefault="00241C75" w:rsidP="00241C75">
      <w:pPr>
        <w:pStyle w:val="p1"/>
        <w:rPr>
          <w:lang w:val="fr-FR"/>
        </w:rPr>
      </w:pPr>
      <w:r w:rsidRPr="00241C75">
        <w:rPr>
          <w:lang w:val="fr-FR"/>
        </w:rPr>
        <w:t>However, implementation should be accompanied by clear guidance on what qualifies as an international open standard and how smaller firms can comply proportionately. ESMA should also monitor whether access to relevant standards is genuinely fair, open and non-discriminatory.</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10C15875" w14:textId="45AA5984" w:rsidR="00241C75" w:rsidRPr="00241C75" w:rsidRDefault="00241C75" w:rsidP="00241C75">
      <w:pPr>
        <w:pStyle w:val="p1"/>
        <w:rPr>
          <w:lang w:val="fr-FR"/>
        </w:rPr>
      </w:pPr>
      <w:permStart w:id="1704859811" w:edGrp="everyone"/>
      <w:r w:rsidRPr="00241C75">
        <w:rPr>
          <w:lang w:val="fr-FR"/>
        </w:rPr>
        <w:lastRenderedPageBreak/>
        <w:t>ARGA Observatory agrees with the proposed deletion.</w:t>
      </w:r>
    </w:p>
    <w:p w14:paraId="002330F2" w14:textId="3339027B" w:rsidR="00241C75" w:rsidRPr="00241C75" w:rsidRDefault="00241C75" w:rsidP="00241C75">
      <w:pPr>
        <w:pStyle w:val="p1"/>
        <w:rPr>
          <w:lang w:val="fr-FR"/>
        </w:rPr>
      </w:pPr>
      <w:r w:rsidRPr="00241C75">
        <w:rPr>
          <w:lang w:val="fr-FR"/>
        </w:rPr>
        <w:t>The continued optional use of internal or domestic messaging standards would be inconsistent with the new regulatory objective of standardisation and automation. Allowing parallel domestic or internal standards as a routine option could preserve fragmentation and undermine settlement efficiency.</w:t>
      </w:r>
    </w:p>
    <w:p w14:paraId="611963CB" w14:textId="77777777" w:rsidR="00241C75" w:rsidRPr="00241C75" w:rsidRDefault="00241C75" w:rsidP="00241C75">
      <w:pPr>
        <w:pStyle w:val="p1"/>
        <w:rPr>
          <w:lang w:val="fr-FR"/>
        </w:rPr>
      </w:pPr>
      <w:r w:rsidRPr="00241C75">
        <w:rPr>
          <w:lang w:val="fr-FR"/>
        </w:rPr>
        <w:t>Nevertheless, firms should be allowed to maintain internal systems where these systems map reliably into the required international open standards and produce machine-readable outputs.</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23C56D30" w14:textId="402C3B47" w:rsidR="00241C75" w:rsidRPr="00241C75" w:rsidRDefault="00241C75" w:rsidP="00241C75">
      <w:pPr>
        <w:pStyle w:val="p1"/>
        <w:rPr>
          <w:lang w:val="fr-FR"/>
        </w:rPr>
      </w:pPr>
      <w:permStart w:id="1210917771" w:edGrp="everyone"/>
      <w:r>
        <w:t>ARGA Observatory agrees with the proposed date of application.</w:t>
      </w:r>
    </w:p>
    <w:p w14:paraId="10E83E3C" w14:textId="7BEAE523" w:rsidR="00241C75" w:rsidRPr="00241C75" w:rsidRDefault="00241C75" w:rsidP="00241C75">
      <w:pPr>
        <w:pStyle w:val="p1"/>
        <w:rPr>
          <w:lang w:val="fr-FR"/>
        </w:rPr>
      </w:pPr>
      <w:r>
        <w:t>Aligning the application of the Guidelines with the relevant amendments to the RTS on Settlement Discipline is appropriate and should reduce uncertainty. A different application date could create confusion regarding the operational standards applicable during the transition to T+1.</w:t>
      </w:r>
    </w:p>
    <w:p w14:paraId="38A8303B" w14:textId="77777777" w:rsidR="00241C75" w:rsidRDefault="00241C75" w:rsidP="00241C75">
      <w:pPr>
        <w:pStyle w:val="p1"/>
      </w:pPr>
      <w:r>
        <w:t>Market participants should nevertheless be encouraged to adopt the revised practices earlier where operationally feasible, especially in relation to electronic standardised communication and machine-readable formats.</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0FA90ED7" w14:textId="2D41A8E8" w:rsidR="00241C75" w:rsidRPr="00241C75" w:rsidRDefault="00241C75" w:rsidP="00241C75">
      <w:pPr>
        <w:pStyle w:val="p1"/>
        <w:rPr>
          <w:lang w:val="fr-FR"/>
        </w:rPr>
      </w:pPr>
      <w:permStart w:id="453322928" w:edGrp="everyone"/>
      <w:r w:rsidRPr="00241C75">
        <w:rPr>
          <w:lang w:val="fr-FR"/>
        </w:rPr>
        <w:t>ARGA Observatory broadly agrees with the costs and benefits identified by ESMA.</w:t>
      </w:r>
    </w:p>
    <w:p w14:paraId="321DC62A" w14:textId="6727BA0D" w:rsidR="00241C75" w:rsidRPr="00241C75" w:rsidRDefault="00241C75" w:rsidP="00241C75">
      <w:pPr>
        <w:pStyle w:val="p1"/>
        <w:rPr>
          <w:lang w:val="fr-FR"/>
        </w:rPr>
      </w:pPr>
      <w:r w:rsidRPr="00241C75">
        <w:rPr>
          <w:lang w:val="fr-FR"/>
        </w:rPr>
        <w:t xml:space="preserve">The main benefits are likely to include reduced settlement fails, faster post-trade processing, improved straight-through processing, better operational resilience and smoother preparation </w:t>
      </w:r>
      <w:r w:rsidRPr="00241C75">
        <w:rPr>
          <w:lang w:val="fr-FR"/>
        </w:rPr>
        <w:lastRenderedPageBreak/>
        <w:t xml:space="preserve">for T+1. </w:t>
      </w:r>
      <w:r>
        <w:t>The main costs will relate to system adaptation, documentation updates, staff training, connectivity, testing and possible changes to client onboarding processes.</w:t>
      </w:r>
    </w:p>
    <w:p w14:paraId="3B480AB5" w14:textId="77777777" w:rsidR="00241C75" w:rsidRDefault="00241C75" w:rsidP="00241C75">
      <w:pPr>
        <w:pStyle w:val="p1"/>
      </w:pPr>
      <w:r>
        <w:t>Additional costs may be more significant for smaller firms or firms relying on manual or semi-manual post-trade workflows. ESMA should therefore support implementation through clear guidance, practical examples and proportionate supervisory expectations.</w:t>
      </w:r>
    </w:p>
    <w:permEnd w:id="453322928"/>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33B4257C" w14:textId="77777777" w:rsidR="00241C75" w:rsidRPr="00241C75" w:rsidRDefault="00241C75" w:rsidP="00241C75">
      <w:p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permStart w:id="303119340" w:edGrp="everyone"/>
      <w:r w:rsidRPr="00241C75">
        <w:rPr>
          <w:rFonts w:ascii="Times New Roman" w:eastAsia="Times New Roman" w:hAnsi="Times New Roman" w:cs="Times New Roman"/>
          <w:color w:val="auto"/>
          <w:sz w:val="24"/>
          <w:szCs w:val="24"/>
          <w:lang w:val="ru-RU" w:eastAsia="zh-CN"/>
        </w:rPr>
        <w:t>Additional simplification could be achieved through:</w:t>
      </w:r>
    </w:p>
    <w:p w14:paraId="210ED878"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standardised model clauses for arrangements between investment firms and professional clients;</w:t>
      </w:r>
    </w:p>
    <w:p w14:paraId="519345F0"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common implementation examples for email, GUI and machine-to-machine communication;</w:t>
      </w:r>
    </w:p>
    <w:p w14:paraId="19EEF9EE"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clarification of acceptable machine-readable formats;</w:t>
      </w:r>
    </w:p>
    <w:p w14:paraId="7FF6EEF5"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supervisory guidance on exceptional use of non-electronic methods;</w:t>
      </w:r>
    </w:p>
    <w:p w14:paraId="3F3A227E"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industry testing periods and common implementation milestones;</w:t>
      </w:r>
    </w:p>
    <w:p w14:paraId="344A0E6C"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harmonised interpretation by national competent authorities;</w:t>
      </w:r>
    </w:p>
    <w:p w14:paraId="18180620" w14:textId="77777777" w:rsidR="00241C75" w:rsidRPr="00241C75" w:rsidRDefault="00241C75" w:rsidP="00241C75">
      <w:pPr>
        <w:numPr>
          <w:ilvl w:val="0"/>
          <w:numId w:val="17"/>
        </w:num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encouragement of interoperable systems and open standards.</w:t>
      </w:r>
    </w:p>
    <w:p w14:paraId="6CAFB8A3" w14:textId="77777777" w:rsidR="00241C75" w:rsidRPr="00241C75" w:rsidRDefault="00241C75" w:rsidP="00241C75">
      <w:pPr>
        <w:spacing w:before="100" w:beforeAutospacing="1" w:after="100" w:afterAutospacing="1" w:line="240" w:lineRule="auto"/>
        <w:jc w:val="left"/>
        <w:rPr>
          <w:rFonts w:ascii="Times New Roman" w:eastAsia="Times New Roman" w:hAnsi="Times New Roman" w:cs="Times New Roman"/>
          <w:color w:val="auto"/>
          <w:sz w:val="24"/>
          <w:szCs w:val="24"/>
          <w:lang w:val="ru-RU" w:eastAsia="zh-CN"/>
        </w:rPr>
      </w:pPr>
      <w:r w:rsidRPr="00241C75">
        <w:rPr>
          <w:rFonts w:ascii="Times New Roman" w:eastAsia="Times New Roman" w:hAnsi="Times New Roman" w:cs="Times New Roman"/>
          <w:color w:val="auto"/>
          <w:sz w:val="24"/>
          <w:szCs w:val="24"/>
          <w:lang w:val="ru-RU" w:eastAsia="zh-CN"/>
        </w:rPr>
        <w:t>The objective should be to reduce manual processes and documentation complexity while preserving legal certainty, auditability and settlement efficiency.</w:t>
      </w:r>
    </w:p>
    <w:permEnd w:id="303119340"/>
    <w:p w14:paraId="04CC24E6" w14:textId="77777777"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BA86" w14:textId="77777777" w:rsidR="009B1180" w:rsidRDefault="009B1180" w:rsidP="007E7997">
      <w:pPr>
        <w:spacing w:line="240" w:lineRule="auto"/>
      </w:pPr>
      <w:r>
        <w:separator/>
      </w:r>
    </w:p>
  </w:endnote>
  <w:endnote w:type="continuationSeparator" w:id="0">
    <w:p w14:paraId="3449ADD4" w14:textId="77777777" w:rsidR="009B1180" w:rsidRDefault="009B1180" w:rsidP="007E7997">
      <w:pPr>
        <w:spacing w:line="240" w:lineRule="auto"/>
      </w:pPr>
      <w:r>
        <w:continuationSeparator/>
      </w:r>
    </w:p>
  </w:endnote>
  <w:endnote w:type="continuationNotice" w:id="1">
    <w:p w14:paraId="1C6F2081" w14:textId="77777777" w:rsidR="009B1180" w:rsidRDefault="009B11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afc"/>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54F85" w14:textId="77777777" w:rsidR="009B1180" w:rsidRDefault="009B1180" w:rsidP="007E7997">
      <w:pPr>
        <w:spacing w:line="240" w:lineRule="auto"/>
      </w:pPr>
      <w:r>
        <w:separator/>
      </w:r>
    </w:p>
  </w:footnote>
  <w:footnote w:type="continuationSeparator" w:id="0">
    <w:p w14:paraId="1F1CE7C2" w14:textId="77777777" w:rsidR="009B1180" w:rsidRDefault="009B1180" w:rsidP="007E7997">
      <w:pPr>
        <w:spacing w:line="240" w:lineRule="auto"/>
      </w:pPr>
      <w:r>
        <w:continuationSeparator/>
      </w:r>
    </w:p>
  </w:footnote>
  <w:footnote w:type="continuationNotice" w:id="1">
    <w:p w14:paraId="4B4B21A1" w14:textId="77777777" w:rsidR="009B1180" w:rsidRDefault="009B11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afa"/>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afa"/>
    </w:pPr>
  </w:p>
  <w:p w14:paraId="76D78551" w14:textId="45227A06" w:rsidR="00AD0B10" w:rsidRDefault="00AD0B10" w:rsidP="00AD0B10">
    <w:pPr>
      <w:pStyle w:val="afa"/>
    </w:pPr>
  </w:p>
  <w:p w14:paraId="56B00CEC" w14:textId="77777777" w:rsidR="00AD0B10" w:rsidRPr="0043139E" w:rsidRDefault="00AD0B10" w:rsidP="00AD0B10">
    <w:pPr>
      <w:pStyle w:val="afa"/>
    </w:pPr>
  </w:p>
  <w:p w14:paraId="68227DE6" w14:textId="77777777" w:rsidR="00AD0B10" w:rsidRPr="0043139E" w:rsidRDefault="00AD0B10" w:rsidP="00AD0B10">
    <w:pPr>
      <w:pStyle w:val="afa"/>
    </w:pPr>
  </w:p>
  <w:p w14:paraId="0E44DBD1" w14:textId="77777777" w:rsidR="00AD0B10" w:rsidRPr="0043139E" w:rsidRDefault="00AD0B10" w:rsidP="00AD0B10">
    <w:pPr>
      <w:pStyle w:val="afa"/>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afa"/>
    </w:pPr>
  </w:p>
  <w:p w14:paraId="706EF268" w14:textId="77777777" w:rsidR="00AD0B10" w:rsidRPr="0043139E" w:rsidRDefault="00AD0B10" w:rsidP="00AD0B10">
    <w:pPr>
      <w:pStyle w:val="afa"/>
    </w:pPr>
  </w:p>
  <w:p w14:paraId="6B568202" w14:textId="77777777" w:rsidR="00AD0B10" w:rsidRPr="0043139E" w:rsidRDefault="00AD0B10" w:rsidP="00AD0B10">
    <w:pPr>
      <w:pStyle w:val="afa"/>
    </w:pPr>
  </w:p>
  <w:p w14:paraId="70C66BCD" w14:textId="77777777" w:rsidR="00AD0B10" w:rsidRPr="0043139E" w:rsidRDefault="00AD0B10" w:rsidP="00AD0B10">
    <w:pPr>
      <w:pStyle w:val="afa"/>
    </w:pPr>
  </w:p>
  <w:p w14:paraId="07229907" w14:textId="77777777" w:rsidR="00AD0B10" w:rsidRPr="0043139E" w:rsidRDefault="00AD0B10" w:rsidP="00AD0B10">
    <w:pPr>
      <w:pStyle w:val="afa"/>
    </w:pPr>
  </w:p>
  <w:p w14:paraId="55555744" w14:textId="77777777" w:rsidR="00AD0B10" w:rsidRPr="0043139E" w:rsidRDefault="00AD0B10" w:rsidP="00AD0B10">
    <w:pPr>
      <w:pStyle w:val="afa"/>
    </w:pPr>
  </w:p>
  <w:p w14:paraId="4601AE9C" w14:textId="77777777" w:rsidR="00AD0B10" w:rsidRDefault="00AD0B10" w:rsidP="00AD0B10">
    <w:pPr>
      <w:pStyle w:val="afa"/>
    </w:pPr>
  </w:p>
  <w:p w14:paraId="49946785" w14:textId="77777777" w:rsidR="00AD0B10" w:rsidRPr="0043139E" w:rsidRDefault="00AD0B10" w:rsidP="00AD0B10">
    <w:pPr>
      <w:pStyle w:val="afa"/>
    </w:pPr>
  </w:p>
  <w:p w14:paraId="72BAD19F" w14:textId="77777777" w:rsidR="008858FE" w:rsidRPr="00AD0B10" w:rsidRDefault="008858FE" w:rsidP="00AD0B10">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a"/>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1"/>
      <w:lvlText w:val="%1"/>
      <w:lvlJc w:val="left"/>
      <w:pPr>
        <w:ind w:left="4686" w:hanging="432"/>
      </w:pPr>
    </w:lvl>
    <w:lvl w:ilvl="1">
      <w:start w:val="1"/>
      <w:numFmt w:val="decimal"/>
      <w:pStyle w:val="2"/>
      <w:lvlText w:val="%1.%2"/>
      <w:lvlJc w:val="left"/>
      <w:pPr>
        <w:ind w:left="8230"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57463A"/>
    <w:multiLevelType w:val="multilevel"/>
    <w:tmpl w:val="AD44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 w:numId="17" w16cid:durableId="165047815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3A4"/>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C75"/>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275"/>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180"/>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0B"/>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B2FD6"/>
    <w:pPr>
      <w:spacing w:after="250" w:line="276" w:lineRule="auto"/>
      <w:jc w:val="both"/>
    </w:pPr>
    <w:rPr>
      <w:color w:val="181818" w:themeColor="background1" w:themeShade="1A"/>
      <w:sz w:val="22"/>
      <w:lang w:val="en-GB"/>
    </w:rPr>
  </w:style>
  <w:style w:type="paragraph" w:styleId="1">
    <w:name w:val="heading 1"/>
    <w:basedOn w:val="a0"/>
    <w:next w:val="a0"/>
    <w:link w:val="10"/>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2">
    <w:name w:val="heading 2"/>
    <w:basedOn w:val="a0"/>
    <w:next w:val="a0"/>
    <w:link w:val="20"/>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3">
    <w:name w:val="heading 3"/>
    <w:basedOn w:val="a0"/>
    <w:next w:val="a0"/>
    <w:link w:val="30"/>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4">
    <w:name w:val="heading 4"/>
    <w:basedOn w:val="a0"/>
    <w:next w:val="a0"/>
    <w:link w:val="40"/>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5">
    <w:name w:val="heading 5"/>
    <w:basedOn w:val="a0"/>
    <w:next w:val="a0"/>
    <w:link w:val="50"/>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6">
    <w:name w:val="heading 6"/>
    <w:basedOn w:val="a0"/>
    <w:next w:val="a0"/>
    <w:link w:val="60"/>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7">
    <w:name w:val="heading 7"/>
    <w:basedOn w:val="a0"/>
    <w:next w:val="a0"/>
    <w:link w:val="70"/>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8">
    <w:name w:val="heading 8"/>
    <w:basedOn w:val="a0"/>
    <w:next w:val="a0"/>
    <w:link w:val="80"/>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9">
    <w:name w:val="heading 9"/>
    <w:basedOn w:val="a0"/>
    <w:next w:val="a0"/>
    <w:link w:val="90"/>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5B6B12"/>
    <w:pPr>
      <w:spacing w:after="0" w:line="240" w:lineRule="auto"/>
    </w:pPr>
    <w:rPr>
      <w:lang w:val="en-GB"/>
    </w:rPr>
  </w:style>
  <w:style w:type="character" w:customStyle="1" w:styleId="40">
    <w:name w:val="Заголовок 4 Знак"/>
    <w:basedOn w:val="a1"/>
    <w:link w:val="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30">
    <w:name w:val="Заголовок 3 Знак"/>
    <w:basedOn w:val="a1"/>
    <w:link w:val="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10">
    <w:name w:val="Заголовок 1 Знак"/>
    <w:basedOn w:val="a1"/>
    <w:link w:val="1"/>
    <w:uiPriority w:val="9"/>
    <w:rsid w:val="0082744A"/>
    <w:rPr>
      <w:rFonts w:asciiTheme="majorHAnsi" w:eastAsiaTheme="majorEastAsia" w:hAnsiTheme="majorHAnsi" w:cstheme="majorBidi"/>
      <w:b/>
      <w:color w:val="00379F" w:themeColor="text1"/>
      <w:sz w:val="32"/>
      <w:szCs w:val="32"/>
      <w:lang w:val="en-GB"/>
    </w:rPr>
  </w:style>
  <w:style w:type="character" w:customStyle="1" w:styleId="20">
    <w:name w:val="Заголовок 2 Знак"/>
    <w:basedOn w:val="a1"/>
    <w:link w:val="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a0"/>
    <w:link w:val="Subtitle1Char"/>
    <w:autoRedefine/>
    <w:rsid w:val="003C4EB5"/>
    <w:pPr>
      <w:tabs>
        <w:tab w:val="left" w:pos="414"/>
      </w:tabs>
    </w:pPr>
    <w:rPr>
      <w:b/>
    </w:rPr>
  </w:style>
  <w:style w:type="character" w:customStyle="1" w:styleId="Subtitle1Char">
    <w:name w:val="Subtitle1 Char"/>
    <w:basedOn w:val="a1"/>
    <w:link w:val="Subtitle1"/>
    <w:rsid w:val="003C4EB5"/>
    <w:rPr>
      <w:rFonts w:cs="Times New Roman"/>
      <w:b/>
      <w:sz w:val="20"/>
      <w:szCs w:val="24"/>
      <w:lang w:val="en-GB" w:eastAsia="de-DE"/>
    </w:rPr>
  </w:style>
  <w:style w:type="paragraph" w:customStyle="1" w:styleId="Title1">
    <w:name w:val="Title 1"/>
    <w:basedOn w:val="a"/>
    <w:link w:val="Title1Char"/>
    <w:qFormat/>
    <w:rsid w:val="00F205B9"/>
    <w:pPr>
      <w:numPr>
        <w:numId w:val="0"/>
      </w:numPr>
      <w:ind w:left="792" w:hanging="432"/>
    </w:pPr>
    <w:rPr>
      <w:b/>
      <w:color w:val="00379F" w:themeColor="text1"/>
      <w:sz w:val="28"/>
    </w:rPr>
  </w:style>
  <w:style w:type="character" w:customStyle="1" w:styleId="Title1Char">
    <w:name w:val="Title 1 Char"/>
    <w:basedOn w:val="a1"/>
    <w:link w:val="Title1"/>
    <w:rsid w:val="00F205B9"/>
    <w:rPr>
      <w:rFonts w:asciiTheme="majorHAnsi" w:hAnsiTheme="majorHAnsi" w:cstheme="majorHAnsi"/>
      <w:b/>
      <w:color w:val="00379F" w:themeColor="text1"/>
      <w:sz w:val="28"/>
      <w:szCs w:val="22"/>
      <w:lang w:val="pt-PT"/>
    </w:rPr>
  </w:style>
  <w:style w:type="paragraph" w:styleId="a">
    <w:name w:val="List Paragraph"/>
    <w:aliases w:val="Paragraphe EI,Paragraphe de liste1,EC"/>
    <w:basedOn w:val="a0"/>
    <w:link w:val="a6"/>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a"/>
    <w:link w:val="Title3Char"/>
    <w:autoRedefine/>
    <w:rsid w:val="00F205B9"/>
    <w:pPr>
      <w:numPr>
        <w:ilvl w:val="3"/>
        <w:numId w:val="4"/>
      </w:numPr>
    </w:pPr>
  </w:style>
  <w:style w:type="character" w:customStyle="1" w:styleId="Title3Char">
    <w:name w:val="Title 3 Char"/>
    <w:basedOn w:val="a1"/>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a0"/>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a1"/>
    <w:link w:val="DocumentTitle"/>
    <w:rsid w:val="00563C1F"/>
    <w:rPr>
      <w:rFonts w:asciiTheme="majorHAnsi" w:hAnsiTheme="majorHAnsi"/>
      <w:b/>
      <w:color w:val="2D4190"/>
      <w:sz w:val="48"/>
      <w:lang w:val="en-GB"/>
    </w:rPr>
  </w:style>
  <w:style w:type="paragraph" w:customStyle="1" w:styleId="DocumentSubtitle">
    <w:name w:val="Document Subtitle"/>
    <w:basedOn w:val="a0"/>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a1"/>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a0"/>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a1"/>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a0"/>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a1"/>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a0"/>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a1"/>
    <w:link w:val="Introductionheading"/>
    <w:rsid w:val="00044C5A"/>
    <w:rPr>
      <w:rFonts w:ascii="Arial" w:eastAsia="Times New Roman" w:hAnsi="Arial" w:cs="Times New Roman"/>
      <w:b/>
      <w:sz w:val="28"/>
      <w:szCs w:val="24"/>
      <w:lang w:val="en-GB" w:eastAsia="de-DE"/>
    </w:rPr>
  </w:style>
  <w:style w:type="character" w:customStyle="1" w:styleId="50">
    <w:name w:val="Заголовок 5 Знак"/>
    <w:basedOn w:val="a1"/>
    <w:link w:val="5"/>
    <w:uiPriority w:val="9"/>
    <w:rsid w:val="007E7997"/>
    <w:rPr>
      <w:rFonts w:asciiTheme="majorHAnsi" w:eastAsiaTheme="majorEastAsia" w:hAnsiTheme="majorHAnsi" w:cstheme="majorBidi"/>
      <w:color w:val="181818" w:themeColor="background1" w:themeShade="1A"/>
      <w:sz w:val="22"/>
      <w:szCs w:val="22"/>
      <w:lang w:val="en-GB"/>
    </w:rPr>
  </w:style>
  <w:style w:type="paragraph" w:styleId="a7">
    <w:name w:val="Body Text"/>
    <w:basedOn w:val="a0"/>
    <w:link w:val="a8"/>
    <w:uiPriority w:val="99"/>
    <w:semiHidden/>
    <w:unhideWhenUsed/>
    <w:rsid w:val="00044C5A"/>
  </w:style>
  <w:style w:type="character" w:customStyle="1" w:styleId="a8">
    <w:name w:val="Основной текст Знак"/>
    <w:basedOn w:val="a1"/>
    <w:link w:val="a7"/>
    <w:uiPriority w:val="99"/>
    <w:semiHidden/>
    <w:rsid w:val="00044C5A"/>
    <w:rPr>
      <w:rFonts w:ascii="Arial" w:eastAsiaTheme="minorEastAsia" w:hAnsi="Arial"/>
    </w:rPr>
  </w:style>
  <w:style w:type="paragraph" w:styleId="a9">
    <w:name w:val="Body Text First Indent"/>
    <w:basedOn w:val="a7"/>
    <w:link w:val="aa"/>
    <w:uiPriority w:val="99"/>
    <w:semiHidden/>
    <w:unhideWhenUsed/>
    <w:rsid w:val="00044C5A"/>
    <w:pPr>
      <w:spacing w:after="0"/>
      <w:ind w:firstLine="360"/>
    </w:pPr>
  </w:style>
  <w:style w:type="character" w:customStyle="1" w:styleId="aa">
    <w:name w:val="Красная строка Знак"/>
    <w:basedOn w:val="a8"/>
    <w:link w:val="a9"/>
    <w:uiPriority w:val="99"/>
    <w:semiHidden/>
    <w:rsid w:val="00044C5A"/>
    <w:rPr>
      <w:rFonts w:ascii="Arial" w:eastAsiaTheme="minorEastAsia" w:hAnsi="Arial"/>
    </w:rPr>
  </w:style>
  <w:style w:type="character" w:customStyle="1" w:styleId="60">
    <w:name w:val="Заголовок 6 Знак"/>
    <w:basedOn w:val="a1"/>
    <w:link w:val="6"/>
    <w:uiPriority w:val="9"/>
    <w:semiHidden/>
    <w:rsid w:val="00AA054E"/>
    <w:rPr>
      <w:rFonts w:asciiTheme="majorHAnsi" w:eastAsiaTheme="majorEastAsia" w:hAnsiTheme="majorHAnsi" w:cstheme="majorBidi"/>
      <w:i/>
      <w:iCs/>
      <w:color w:val="007EFF" w:themeColor="text2"/>
      <w:sz w:val="21"/>
      <w:szCs w:val="21"/>
      <w:lang w:val="en-GB"/>
    </w:rPr>
  </w:style>
  <w:style w:type="paragraph" w:styleId="ab">
    <w:name w:val="Title"/>
    <w:basedOn w:val="a0"/>
    <w:next w:val="a0"/>
    <w:link w:val="ac"/>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ac">
    <w:name w:val="Заголовок Знак"/>
    <w:basedOn w:val="a1"/>
    <w:link w:val="ab"/>
    <w:uiPriority w:val="10"/>
    <w:rsid w:val="00516CBA"/>
    <w:rPr>
      <w:rFonts w:asciiTheme="majorHAnsi" w:eastAsiaTheme="majorEastAsia" w:hAnsiTheme="majorHAnsi" w:cstheme="majorBidi"/>
      <w:b/>
      <w:color w:val="00379F" w:themeColor="text1"/>
      <w:spacing w:val="-10"/>
      <w:sz w:val="56"/>
      <w:szCs w:val="56"/>
      <w:lang w:val="en-GB"/>
    </w:rPr>
  </w:style>
  <w:style w:type="paragraph" w:styleId="ad">
    <w:name w:val="Subtitle"/>
    <w:basedOn w:val="a0"/>
    <w:next w:val="a0"/>
    <w:link w:val="ae"/>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ae">
    <w:name w:val="Подзаголовок Знак"/>
    <w:basedOn w:val="a1"/>
    <w:link w:val="ad"/>
    <w:uiPriority w:val="11"/>
    <w:rsid w:val="0082744A"/>
    <w:rPr>
      <w:rFonts w:asciiTheme="majorHAnsi" w:eastAsiaTheme="majorEastAsia" w:hAnsiTheme="majorHAnsi" w:cstheme="majorBidi"/>
      <w:sz w:val="28"/>
      <w:szCs w:val="24"/>
      <w:lang w:val="en-GB"/>
    </w:rPr>
  </w:style>
  <w:style w:type="character" w:customStyle="1" w:styleId="70">
    <w:name w:val="Заголовок 7 Знак"/>
    <w:basedOn w:val="a1"/>
    <w:link w:val="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80">
    <w:name w:val="Заголовок 8 Знак"/>
    <w:basedOn w:val="a1"/>
    <w:link w:val="8"/>
    <w:uiPriority w:val="9"/>
    <w:semiHidden/>
    <w:rsid w:val="00AA054E"/>
    <w:rPr>
      <w:rFonts w:asciiTheme="majorHAnsi" w:eastAsiaTheme="majorEastAsia" w:hAnsiTheme="majorHAnsi" w:cstheme="majorBidi"/>
      <w:b/>
      <w:bCs/>
      <w:color w:val="007EFF" w:themeColor="text2"/>
      <w:sz w:val="22"/>
      <w:lang w:val="en-GB"/>
    </w:rPr>
  </w:style>
  <w:style w:type="character" w:customStyle="1" w:styleId="90">
    <w:name w:val="Заголовок 9 Знак"/>
    <w:basedOn w:val="a1"/>
    <w:link w:val="9"/>
    <w:uiPriority w:val="9"/>
    <w:semiHidden/>
    <w:rsid w:val="00AA054E"/>
    <w:rPr>
      <w:rFonts w:asciiTheme="majorHAnsi" w:eastAsiaTheme="majorEastAsia" w:hAnsiTheme="majorHAnsi" w:cstheme="majorBidi"/>
      <w:b/>
      <w:bCs/>
      <w:i/>
      <w:iCs/>
      <w:color w:val="007EFF" w:themeColor="text2"/>
      <w:sz w:val="22"/>
      <w:lang w:val="en-GB"/>
    </w:rPr>
  </w:style>
  <w:style w:type="paragraph" w:styleId="af">
    <w:name w:val="caption"/>
    <w:basedOn w:val="a0"/>
    <w:next w:val="a0"/>
    <w:uiPriority w:val="35"/>
    <w:semiHidden/>
    <w:unhideWhenUsed/>
    <w:qFormat/>
    <w:rsid w:val="00AA054E"/>
    <w:pPr>
      <w:spacing w:line="240" w:lineRule="auto"/>
    </w:pPr>
    <w:rPr>
      <w:b/>
      <w:bCs/>
      <w:smallCaps/>
      <w:color w:val="1A69FF" w:themeColor="text1" w:themeTint="A6"/>
      <w:spacing w:val="6"/>
    </w:rPr>
  </w:style>
  <w:style w:type="character" w:styleId="af0">
    <w:name w:val="Strong"/>
    <w:basedOn w:val="a1"/>
    <w:uiPriority w:val="22"/>
    <w:qFormat/>
    <w:rsid w:val="00AA054E"/>
    <w:rPr>
      <w:b/>
      <w:bCs/>
    </w:rPr>
  </w:style>
  <w:style w:type="character" w:styleId="af1">
    <w:name w:val="Emphasis"/>
    <w:basedOn w:val="a1"/>
    <w:uiPriority w:val="20"/>
    <w:qFormat/>
    <w:rsid w:val="00AA054E"/>
    <w:rPr>
      <w:i/>
      <w:iCs/>
    </w:rPr>
  </w:style>
  <w:style w:type="paragraph" w:styleId="21">
    <w:name w:val="Quote"/>
    <w:basedOn w:val="a0"/>
    <w:next w:val="a0"/>
    <w:link w:val="22"/>
    <w:uiPriority w:val="29"/>
    <w:qFormat/>
    <w:rsid w:val="00AA054E"/>
    <w:pPr>
      <w:spacing w:before="160"/>
      <w:ind w:left="720" w:right="720"/>
    </w:pPr>
    <w:rPr>
      <w:i/>
      <w:iCs/>
      <w:color w:val="0055F7" w:themeColor="text1" w:themeTint="BF"/>
    </w:rPr>
  </w:style>
  <w:style w:type="character" w:customStyle="1" w:styleId="22">
    <w:name w:val="Цитата 2 Знак"/>
    <w:basedOn w:val="a1"/>
    <w:link w:val="21"/>
    <w:uiPriority w:val="29"/>
    <w:rsid w:val="00AA054E"/>
    <w:rPr>
      <w:i/>
      <w:iCs/>
      <w:color w:val="0055F7" w:themeColor="text1" w:themeTint="BF"/>
    </w:rPr>
  </w:style>
  <w:style w:type="paragraph" w:styleId="af2">
    <w:name w:val="Intense Quote"/>
    <w:basedOn w:val="a0"/>
    <w:next w:val="a0"/>
    <w:link w:val="af3"/>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af3">
    <w:name w:val="Выделенная цитата Знак"/>
    <w:basedOn w:val="a1"/>
    <w:link w:val="af2"/>
    <w:uiPriority w:val="30"/>
    <w:rsid w:val="00AA054E"/>
    <w:rPr>
      <w:rFonts w:asciiTheme="majorHAnsi" w:eastAsiaTheme="majorEastAsia" w:hAnsiTheme="majorHAnsi" w:cstheme="majorBidi"/>
      <w:color w:val="34009F" w:themeColor="accent1"/>
      <w:sz w:val="28"/>
      <w:szCs w:val="28"/>
    </w:rPr>
  </w:style>
  <w:style w:type="character" w:styleId="af4">
    <w:name w:val="Subtle Emphasis"/>
    <w:basedOn w:val="a1"/>
    <w:uiPriority w:val="19"/>
    <w:qFormat/>
    <w:rsid w:val="00AA054E"/>
    <w:rPr>
      <w:i/>
      <w:iCs/>
      <w:color w:val="0055F7" w:themeColor="text1" w:themeTint="BF"/>
    </w:rPr>
  </w:style>
  <w:style w:type="character" w:styleId="af5">
    <w:name w:val="Intense Emphasis"/>
    <w:basedOn w:val="a1"/>
    <w:uiPriority w:val="21"/>
    <w:qFormat/>
    <w:rsid w:val="00AA054E"/>
    <w:rPr>
      <w:b/>
      <w:bCs/>
      <w:i/>
      <w:iCs/>
    </w:rPr>
  </w:style>
  <w:style w:type="character" w:styleId="af6">
    <w:name w:val="Subtle Reference"/>
    <w:basedOn w:val="a1"/>
    <w:uiPriority w:val="31"/>
    <w:qFormat/>
    <w:rsid w:val="00AA054E"/>
    <w:rPr>
      <w:smallCaps/>
      <w:color w:val="0055F7" w:themeColor="text1" w:themeTint="BF"/>
      <w:u w:val="single" w:color="4E8BFF" w:themeColor="text1" w:themeTint="80"/>
    </w:rPr>
  </w:style>
  <w:style w:type="character" w:styleId="af7">
    <w:name w:val="Intense Reference"/>
    <w:basedOn w:val="a1"/>
    <w:uiPriority w:val="32"/>
    <w:qFormat/>
    <w:rsid w:val="00AA054E"/>
    <w:rPr>
      <w:b/>
      <w:bCs/>
      <w:smallCaps/>
      <w:spacing w:val="5"/>
      <w:u w:val="single"/>
    </w:rPr>
  </w:style>
  <w:style w:type="character" w:styleId="af8">
    <w:name w:val="Book Title"/>
    <w:basedOn w:val="a1"/>
    <w:uiPriority w:val="33"/>
    <w:qFormat/>
    <w:rsid w:val="00AA054E"/>
    <w:rPr>
      <w:b/>
      <w:bCs/>
      <w:smallCaps/>
    </w:rPr>
  </w:style>
  <w:style w:type="paragraph" w:styleId="af9">
    <w:name w:val="TOC Heading"/>
    <w:basedOn w:val="1"/>
    <w:next w:val="a0"/>
    <w:uiPriority w:val="39"/>
    <w:unhideWhenUsed/>
    <w:qFormat/>
    <w:rsid w:val="00F205B9"/>
    <w:pPr>
      <w:numPr>
        <w:numId w:val="0"/>
      </w:numPr>
      <w:outlineLvl w:val="9"/>
    </w:pPr>
  </w:style>
  <w:style w:type="character" w:customStyle="1" w:styleId="a5">
    <w:name w:val="Без интервала Знак"/>
    <w:basedOn w:val="a1"/>
    <w:link w:val="a4"/>
    <w:uiPriority w:val="1"/>
    <w:rsid w:val="005B6B12"/>
    <w:rPr>
      <w:lang w:val="en-GB"/>
    </w:rPr>
  </w:style>
  <w:style w:type="paragraph" w:styleId="afa">
    <w:name w:val="header"/>
    <w:basedOn w:val="a0"/>
    <w:link w:val="afb"/>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afb">
    <w:name w:val="Верхний колонтитул Знак"/>
    <w:basedOn w:val="a1"/>
    <w:link w:val="afa"/>
    <w:rsid w:val="00AF6B1E"/>
    <w:rPr>
      <w:color w:val="001B4F" w:themeColor="text1" w:themeShade="80"/>
      <w:sz w:val="16"/>
      <w:lang w:val="en-GB"/>
    </w:rPr>
  </w:style>
  <w:style w:type="paragraph" w:styleId="afc">
    <w:name w:val="footer"/>
    <w:basedOn w:val="a0"/>
    <w:link w:val="afd"/>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afd">
    <w:name w:val="Нижний колонтитул Знак"/>
    <w:basedOn w:val="a1"/>
    <w:link w:val="afc"/>
    <w:uiPriority w:val="99"/>
    <w:rsid w:val="004E5FF8"/>
    <w:rPr>
      <w:color w:val="001B4F" w:themeColor="text1" w:themeShade="80"/>
      <w:sz w:val="16"/>
      <w:lang w:val="en-GB"/>
    </w:rPr>
  </w:style>
  <w:style w:type="paragraph" w:customStyle="1" w:styleId="00aPagenumber">
    <w:name w:val="00a_Page number"/>
    <w:basedOn w:val="a0"/>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a0"/>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11">
    <w:name w:val="toc 1"/>
    <w:basedOn w:val="a0"/>
    <w:next w:val="a0"/>
    <w:uiPriority w:val="39"/>
    <w:unhideWhenUsed/>
    <w:qFormat/>
    <w:rsid w:val="00F205B9"/>
    <w:pPr>
      <w:framePr w:hSpace="180" w:wrap="around" w:vAnchor="text" w:hAnchor="margin" w:y="115"/>
      <w:tabs>
        <w:tab w:val="left" w:pos="440"/>
        <w:tab w:val="right" w:leader="dot" w:pos="9062"/>
      </w:tabs>
      <w:spacing w:after="100"/>
    </w:pPr>
  </w:style>
  <w:style w:type="paragraph" w:styleId="23">
    <w:name w:val="toc 2"/>
    <w:basedOn w:val="11"/>
    <w:next w:val="a0"/>
    <w:uiPriority w:val="39"/>
    <w:unhideWhenUsed/>
    <w:qFormat/>
    <w:rsid w:val="00F205B9"/>
    <w:pPr>
      <w:framePr w:wrap="around"/>
      <w:tabs>
        <w:tab w:val="right" w:leader="dot" w:pos="440"/>
      </w:tabs>
      <w:ind w:left="220"/>
    </w:pPr>
  </w:style>
  <w:style w:type="paragraph" w:styleId="31">
    <w:name w:val="toc 3"/>
    <w:basedOn w:val="11"/>
    <w:next w:val="a0"/>
    <w:uiPriority w:val="39"/>
    <w:unhideWhenUsed/>
    <w:qFormat/>
    <w:rsid w:val="00AD0B10"/>
    <w:pPr>
      <w:framePr w:wrap="around"/>
      <w:ind w:left="442"/>
    </w:pPr>
  </w:style>
  <w:style w:type="character" w:styleId="afe">
    <w:name w:val="Hyperlink"/>
    <w:basedOn w:val="a1"/>
    <w:uiPriority w:val="99"/>
    <w:unhideWhenUsed/>
    <w:qFormat/>
    <w:rsid w:val="000C1E78"/>
    <w:rPr>
      <w:color w:val="005EBF" w:themeColor="text2" w:themeShade="BF"/>
      <w:u w:val="single"/>
    </w:rPr>
  </w:style>
  <w:style w:type="paragraph" w:customStyle="1" w:styleId="Questionstyle">
    <w:name w:val="Question style"/>
    <w:basedOn w:val="a0"/>
    <w:next w:val="a0"/>
    <w:link w:val="QuestionstyleChar"/>
    <w:autoRedefine/>
    <w:qFormat/>
    <w:rsid w:val="00C5469A"/>
    <w:pPr>
      <w:tabs>
        <w:tab w:val="left" w:pos="567"/>
      </w:tabs>
      <w:ind w:hanging="360"/>
      <w:contextualSpacing/>
    </w:pPr>
    <w:rPr>
      <w:b/>
    </w:rPr>
  </w:style>
  <w:style w:type="character" w:customStyle="1" w:styleId="QuestionstyleChar">
    <w:name w:val="Question style Char"/>
    <w:basedOn w:val="a1"/>
    <w:link w:val="Questionstyle"/>
    <w:rsid w:val="00C5469A"/>
    <w:rPr>
      <w:b/>
      <w:color w:val="181818" w:themeColor="background1" w:themeShade="1A"/>
      <w:sz w:val="22"/>
      <w:lang w:val="en-GB"/>
    </w:rPr>
  </w:style>
  <w:style w:type="paragraph" w:customStyle="1" w:styleId="Listing2">
    <w:name w:val="Listing2"/>
    <w:basedOn w:val="a0"/>
    <w:link w:val="Listing2Char"/>
    <w:autoRedefine/>
    <w:rsid w:val="00DF3785"/>
  </w:style>
  <w:style w:type="character" w:customStyle="1" w:styleId="Listing2Char">
    <w:name w:val="Listing2 Char"/>
    <w:basedOn w:val="a1"/>
    <w:link w:val="Listing2"/>
    <w:rsid w:val="00DF3785"/>
    <w:rPr>
      <w:lang w:val="en-GB"/>
    </w:rPr>
  </w:style>
  <w:style w:type="table" w:styleId="aff">
    <w:name w:val="Table Grid"/>
    <w:basedOn w:val="a2"/>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endnote text"/>
    <w:basedOn w:val="a0"/>
    <w:link w:val="aff1"/>
    <w:uiPriority w:val="99"/>
    <w:semiHidden/>
    <w:unhideWhenUsed/>
    <w:rsid w:val="00B50534"/>
    <w:pPr>
      <w:spacing w:after="0" w:line="240" w:lineRule="auto"/>
    </w:pPr>
  </w:style>
  <w:style w:type="character" w:customStyle="1" w:styleId="aff1">
    <w:name w:val="Текст концевой сноски Знак"/>
    <w:basedOn w:val="a1"/>
    <w:link w:val="aff0"/>
    <w:uiPriority w:val="99"/>
    <w:semiHidden/>
    <w:rsid w:val="00B50534"/>
    <w:rPr>
      <w:lang w:val="en-GB"/>
    </w:rPr>
  </w:style>
  <w:style w:type="character" w:styleId="aff2">
    <w:name w:val="endnote reference"/>
    <w:basedOn w:val="a1"/>
    <w:uiPriority w:val="99"/>
    <w:semiHidden/>
    <w:unhideWhenUsed/>
    <w:rsid w:val="00B50534"/>
    <w:rPr>
      <w:vertAlign w:val="superscript"/>
    </w:rPr>
  </w:style>
  <w:style w:type="paragraph" w:styleId="aff3">
    <w:name w:val="footnote text"/>
    <w:basedOn w:val="a0"/>
    <w:link w:val="aff4"/>
    <w:autoRedefine/>
    <w:uiPriority w:val="99"/>
    <w:unhideWhenUsed/>
    <w:qFormat/>
    <w:rsid w:val="007A1A9D"/>
    <w:pPr>
      <w:spacing w:after="0" w:line="240" w:lineRule="auto"/>
    </w:pPr>
    <w:rPr>
      <w:sz w:val="16"/>
    </w:rPr>
  </w:style>
  <w:style w:type="character" w:customStyle="1" w:styleId="aff4">
    <w:name w:val="Текст сноски Знак"/>
    <w:basedOn w:val="a1"/>
    <w:link w:val="aff3"/>
    <w:uiPriority w:val="99"/>
    <w:rsid w:val="007A1A9D"/>
    <w:rPr>
      <w:color w:val="181818" w:themeColor="background1" w:themeShade="1A"/>
      <w:sz w:val="16"/>
      <w:lang w:val="en-GB"/>
    </w:rPr>
  </w:style>
  <w:style w:type="character" w:styleId="aff5">
    <w:name w:val="footnote reference"/>
    <w:basedOn w:val="a1"/>
    <w:uiPriority w:val="99"/>
    <w:semiHidden/>
    <w:unhideWhenUsed/>
    <w:qFormat/>
    <w:rsid w:val="00A91D91"/>
    <w:rPr>
      <w:rFonts w:asciiTheme="majorHAnsi" w:hAnsiTheme="majorHAnsi"/>
      <w:sz w:val="16"/>
      <w:vertAlign w:val="superscript"/>
    </w:rPr>
  </w:style>
  <w:style w:type="paragraph" w:customStyle="1" w:styleId="Footnote">
    <w:name w:val="Footnote"/>
    <w:basedOn w:val="aff3"/>
    <w:link w:val="FootnoteChar"/>
    <w:qFormat/>
    <w:rsid w:val="00672C04"/>
    <w:pPr>
      <w:ind w:left="454" w:hanging="454"/>
    </w:pPr>
    <w:rPr>
      <w:lang w:val="nl-BE"/>
    </w:rPr>
  </w:style>
  <w:style w:type="character" w:customStyle="1" w:styleId="FootnoteChar">
    <w:name w:val="Footnote Char"/>
    <w:basedOn w:val="aff4"/>
    <w:link w:val="Footnote"/>
    <w:rsid w:val="00672C04"/>
    <w:rPr>
      <w:color w:val="181818" w:themeColor="background1" w:themeShade="1A"/>
      <w:sz w:val="16"/>
      <w:lang w:val="en-GB"/>
    </w:rPr>
  </w:style>
  <w:style w:type="table" w:customStyle="1" w:styleId="GridTable4-Accent11">
    <w:name w:val="Grid Table 4 - Accent 11"/>
    <w:basedOn w:val="a2"/>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aff6">
    <w:name w:val="Balloon Text"/>
    <w:basedOn w:val="a0"/>
    <w:link w:val="aff7"/>
    <w:uiPriority w:val="99"/>
    <w:semiHidden/>
    <w:unhideWhenUsed/>
    <w:rsid w:val="007151BF"/>
    <w:pPr>
      <w:spacing w:after="0" w:line="240" w:lineRule="auto"/>
    </w:pPr>
    <w:rPr>
      <w:rFonts w:ascii="Tahoma" w:hAnsi="Tahoma" w:cs="Tahoma"/>
      <w:sz w:val="16"/>
      <w:szCs w:val="16"/>
    </w:rPr>
  </w:style>
  <w:style w:type="character" w:customStyle="1" w:styleId="aff7">
    <w:name w:val="Текст выноски Знак"/>
    <w:basedOn w:val="a1"/>
    <w:link w:val="aff6"/>
    <w:uiPriority w:val="99"/>
    <w:semiHidden/>
    <w:rsid w:val="007151BF"/>
    <w:rPr>
      <w:rFonts w:ascii="Tahoma" w:hAnsi="Tahoma" w:cs="Tahoma"/>
      <w:sz w:val="16"/>
      <w:szCs w:val="16"/>
      <w:lang w:val="en-GB"/>
    </w:rPr>
  </w:style>
  <w:style w:type="paragraph" w:styleId="41">
    <w:name w:val="toc 4"/>
    <w:basedOn w:val="11"/>
    <w:next w:val="a0"/>
    <w:uiPriority w:val="39"/>
    <w:unhideWhenUsed/>
    <w:qFormat/>
    <w:rsid w:val="00F205B9"/>
    <w:pPr>
      <w:framePr w:wrap="around"/>
      <w:ind w:left="660"/>
    </w:pPr>
  </w:style>
  <w:style w:type="character" w:styleId="aff8">
    <w:name w:val="annotation reference"/>
    <w:basedOn w:val="a1"/>
    <w:uiPriority w:val="99"/>
    <w:semiHidden/>
    <w:unhideWhenUsed/>
    <w:rsid w:val="00D33C31"/>
    <w:rPr>
      <w:sz w:val="16"/>
      <w:szCs w:val="16"/>
    </w:rPr>
  </w:style>
  <w:style w:type="paragraph" w:styleId="aff9">
    <w:name w:val="annotation text"/>
    <w:basedOn w:val="a0"/>
    <w:link w:val="affa"/>
    <w:uiPriority w:val="99"/>
    <w:unhideWhenUsed/>
    <w:rsid w:val="00D33C31"/>
    <w:pPr>
      <w:spacing w:line="240" w:lineRule="auto"/>
    </w:pPr>
    <w:rPr>
      <w:sz w:val="20"/>
    </w:rPr>
  </w:style>
  <w:style w:type="character" w:customStyle="1" w:styleId="affa">
    <w:name w:val="Текст примечания Знак"/>
    <w:basedOn w:val="a1"/>
    <w:link w:val="aff9"/>
    <w:uiPriority w:val="99"/>
    <w:rsid w:val="00D33C31"/>
    <w:rPr>
      <w:lang w:val="en-GB"/>
    </w:rPr>
  </w:style>
  <w:style w:type="paragraph" w:styleId="affb">
    <w:name w:val="annotation subject"/>
    <w:basedOn w:val="aff9"/>
    <w:next w:val="aff9"/>
    <w:link w:val="affc"/>
    <w:uiPriority w:val="99"/>
    <w:semiHidden/>
    <w:unhideWhenUsed/>
    <w:rsid w:val="00D33C31"/>
    <w:rPr>
      <w:b/>
      <w:bCs/>
    </w:rPr>
  </w:style>
  <w:style w:type="character" w:customStyle="1" w:styleId="affc">
    <w:name w:val="Тема примечания Знак"/>
    <w:basedOn w:val="affa"/>
    <w:link w:val="affb"/>
    <w:uiPriority w:val="99"/>
    <w:semiHidden/>
    <w:rsid w:val="00D33C31"/>
    <w:rPr>
      <w:b/>
      <w:bCs/>
      <w:lang w:val="en-GB"/>
    </w:rPr>
  </w:style>
  <w:style w:type="character" w:styleId="affd">
    <w:name w:val="Unresolved Mention"/>
    <w:basedOn w:val="a1"/>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af0"/>
    <w:uiPriority w:val="1"/>
    <w:qFormat/>
    <w:rsid w:val="008858FE"/>
    <w:rPr>
      <w:b w:val="0"/>
      <w:bCs/>
      <w:caps/>
      <w:smallCaps w:val="0"/>
      <w:color w:val="FF0000" w:themeColor="accent6"/>
      <w:sz w:val="22"/>
    </w:rPr>
  </w:style>
  <w:style w:type="paragraph" w:customStyle="1" w:styleId="Disclaimer">
    <w:name w:val="Disclaimer"/>
    <w:basedOn w:val="a0"/>
    <w:qFormat/>
    <w:rsid w:val="00906D18"/>
    <w:rPr>
      <w:i/>
      <w:iCs/>
      <w:sz w:val="18"/>
      <w:szCs w:val="18"/>
    </w:rPr>
  </w:style>
  <w:style w:type="paragraph" w:customStyle="1" w:styleId="ESMAHeader">
    <w:name w:val="ESMA Header"/>
    <w:basedOn w:val="afa"/>
    <w:qFormat/>
    <w:rsid w:val="00AF6B1E"/>
  </w:style>
  <w:style w:type="paragraph" w:customStyle="1" w:styleId="Pageheader">
    <w:name w:val="Page header"/>
    <w:basedOn w:val="afa"/>
    <w:next w:val="afa"/>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a0"/>
    <w:qFormat/>
    <w:rsid w:val="00F205B9"/>
    <w:rPr>
      <w:rFonts w:ascii="Arial" w:eastAsia="Times New Roman" w:hAnsi="Arial" w:cs="Arial"/>
      <w:sz w:val="18"/>
      <w:szCs w:val="18"/>
      <w:lang w:eastAsia="de-DE"/>
    </w:rPr>
  </w:style>
  <w:style w:type="paragraph" w:styleId="51">
    <w:name w:val="toc 5"/>
    <w:basedOn w:val="a0"/>
    <w:next w:val="a0"/>
    <w:uiPriority w:val="39"/>
    <w:semiHidden/>
    <w:unhideWhenUsed/>
    <w:qFormat/>
    <w:rsid w:val="00F205B9"/>
    <w:pPr>
      <w:spacing w:after="100"/>
      <w:ind w:left="880"/>
    </w:pPr>
  </w:style>
  <w:style w:type="paragraph" w:styleId="61">
    <w:name w:val="toc 6"/>
    <w:basedOn w:val="a0"/>
    <w:next w:val="a0"/>
    <w:uiPriority w:val="39"/>
    <w:semiHidden/>
    <w:unhideWhenUsed/>
    <w:qFormat/>
    <w:rsid w:val="00F205B9"/>
    <w:pPr>
      <w:spacing w:after="100"/>
      <w:ind w:left="1100"/>
    </w:pPr>
  </w:style>
  <w:style w:type="paragraph" w:styleId="71">
    <w:name w:val="toc 7"/>
    <w:basedOn w:val="a0"/>
    <w:next w:val="a0"/>
    <w:uiPriority w:val="39"/>
    <w:semiHidden/>
    <w:unhideWhenUsed/>
    <w:qFormat/>
    <w:rsid w:val="00F205B9"/>
    <w:pPr>
      <w:spacing w:after="100"/>
      <w:ind w:left="1320"/>
    </w:pPr>
  </w:style>
  <w:style w:type="paragraph" w:styleId="81">
    <w:name w:val="toc 8"/>
    <w:basedOn w:val="a0"/>
    <w:next w:val="a0"/>
    <w:uiPriority w:val="39"/>
    <w:semiHidden/>
    <w:unhideWhenUsed/>
    <w:qFormat/>
    <w:rsid w:val="00F205B9"/>
    <w:pPr>
      <w:spacing w:after="100"/>
      <w:ind w:left="1540"/>
    </w:pPr>
  </w:style>
  <w:style w:type="paragraph" w:styleId="91">
    <w:name w:val="toc 9"/>
    <w:basedOn w:val="a0"/>
    <w:next w:val="a0"/>
    <w:uiPriority w:val="39"/>
    <w:semiHidden/>
    <w:unhideWhenUsed/>
    <w:qFormat/>
    <w:rsid w:val="00F205B9"/>
    <w:pPr>
      <w:spacing w:after="100"/>
      <w:ind w:left="1760"/>
    </w:pPr>
  </w:style>
  <w:style w:type="character" w:styleId="affe">
    <w:name w:val="FollowedHyperlink"/>
    <w:basedOn w:val="a1"/>
    <w:uiPriority w:val="99"/>
    <w:semiHidden/>
    <w:unhideWhenUsed/>
    <w:rsid w:val="0043139E"/>
    <w:rPr>
      <w:color w:val="0174AF" w:themeColor="followedHyperlink"/>
      <w:u w:val="single"/>
    </w:rPr>
  </w:style>
  <w:style w:type="character" w:customStyle="1" w:styleId="a6">
    <w:name w:val="Абзац списка Знак"/>
    <w:aliases w:val="Paragraphe EI Знак,Paragraphe de liste1 Знак,EC Знак"/>
    <w:link w:val="a"/>
    <w:uiPriority w:val="34"/>
    <w:locked/>
    <w:rsid w:val="00EC6066"/>
    <w:rPr>
      <w:rFonts w:asciiTheme="majorHAnsi" w:hAnsiTheme="majorHAnsi" w:cstheme="majorHAnsi"/>
      <w:color w:val="181818" w:themeColor="background1" w:themeShade="1A"/>
      <w:sz w:val="22"/>
      <w:szCs w:val="22"/>
      <w:lang w:val="pt-PT"/>
    </w:rPr>
  </w:style>
  <w:style w:type="paragraph" w:styleId="afff">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a0"/>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a1"/>
    <w:rsid w:val="00061F32"/>
    <w:rPr>
      <w:rFonts w:ascii="Segoe UI" w:hAnsi="Segoe UI" w:cs="Segoe UI" w:hint="default"/>
      <w:sz w:val="18"/>
      <w:szCs w:val="18"/>
    </w:rPr>
  </w:style>
  <w:style w:type="character" w:customStyle="1" w:styleId="cf11">
    <w:name w:val="cf11"/>
    <w:basedOn w:val="a1"/>
    <w:rsid w:val="00061F32"/>
    <w:rPr>
      <w:rFonts w:ascii="Segoe UI" w:hAnsi="Segoe UI" w:cs="Segoe UI" w:hint="default"/>
      <w:color w:val="333333"/>
      <w:sz w:val="18"/>
      <w:szCs w:val="18"/>
      <w:shd w:val="clear" w:color="auto" w:fill="FFFFFF"/>
    </w:rPr>
  </w:style>
  <w:style w:type="character" w:styleId="afff0">
    <w:name w:val="Mention"/>
    <w:basedOn w:val="a1"/>
    <w:uiPriority w:val="99"/>
    <w:unhideWhenUsed/>
    <w:rsid w:val="00251F26"/>
    <w:rPr>
      <w:color w:val="2B579A"/>
      <w:shd w:val="clear" w:color="auto" w:fill="E1DFDD"/>
    </w:rPr>
  </w:style>
  <w:style w:type="character" w:styleId="afff1">
    <w:name w:val="Placeholder Text"/>
    <w:basedOn w:val="a1"/>
    <w:uiPriority w:val="99"/>
    <w:semiHidden/>
    <w:rsid w:val="00635BCA"/>
    <w:rPr>
      <w:color w:val="808080"/>
    </w:rPr>
  </w:style>
  <w:style w:type="paragraph" w:customStyle="1" w:styleId="para">
    <w:name w:val="para"/>
    <w:basedOn w:val="a"/>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a1"/>
    <w:link w:val="para"/>
    <w:rsid w:val="00641F03"/>
    <w:rPr>
      <w:bCs/>
      <w:iCs/>
      <w:color w:val="181818" w:themeColor="background1" w:themeShade="1A"/>
      <w:sz w:val="22"/>
      <w:lang w:val="en-GB"/>
    </w:rPr>
  </w:style>
  <w:style w:type="character" w:customStyle="1" w:styleId="normaltextrun">
    <w:name w:val="normaltextrun"/>
    <w:basedOn w:val="a1"/>
    <w:rsid w:val="00F60040"/>
  </w:style>
  <w:style w:type="paragraph" w:customStyle="1" w:styleId="p1">
    <w:name w:val="p1"/>
    <w:basedOn w:val="a0"/>
    <w:rsid w:val="00241C75"/>
    <w:pPr>
      <w:spacing w:before="100" w:beforeAutospacing="1" w:after="100" w:afterAutospacing="1" w:line="240" w:lineRule="auto"/>
      <w:jc w:val="left"/>
    </w:pPr>
    <w:rPr>
      <w:rFonts w:ascii="Times New Roman" w:eastAsia="Times New Roman" w:hAnsi="Times New Roman" w:cs="Times New Roman"/>
      <w:color w:val="auto"/>
      <w:sz w:val="24"/>
      <w:szCs w:val="24"/>
      <w:lang w:val="ru-RU" w:eastAsia="zh-CN"/>
    </w:rPr>
  </w:style>
  <w:style w:type="paragraph" w:customStyle="1" w:styleId="p3">
    <w:name w:val="p3"/>
    <w:basedOn w:val="a0"/>
    <w:rsid w:val="00241C75"/>
    <w:pPr>
      <w:spacing w:before="100" w:beforeAutospacing="1" w:after="100" w:afterAutospacing="1" w:line="240" w:lineRule="auto"/>
      <w:jc w:val="left"/>
    </w:pPr>
    <w:rPr>
      <w:rFonts w:ascii="Times New Roman" w:eastAsia="Times New Roman" w:hAnsi="Times New Roman" w:cs="Times New Roman"/>
      <w:color w:val="auto"/>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a3"/>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a3"/>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62C43"/>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5730B"/>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2.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3.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4.xml><?xml version="1.0" encoding="utf-8"?>
<ds:datastoreItem xmlns:ds="http://schemas.openxmlformats.org/officeDocument/2006/customXml" ds:itemID="{725CE82A-6C3D-41FC-996B-4F7F2BD193E6}">
  <ds:schemaRefs>
    <ds:schemaRef ds:uri="http://schemas.microsoft.com/sharepoint/events"/>
  </ds:schemaRefs>
</ds:datastoreItem>
</file>

<file path=customXml/itemProps5.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1851</Words>
  <Characters>10556</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Ксения Мымченко</cp:lastModifiedBy>
  <cp:revision>4</cp:revision>
  <cp:lastPrinted>2023-09-09T00:53:00Z</cp:lastPrinted>
  <dcterms:created xsi:type="dcterms:W3CDTF">2026-06-11T17:11:00Z</dcterms:created>
  <dcterms:modified xsi:type="dcterms:W3CDTF">2026-06-11T17:14:00Z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