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426CCC26" w:rsidR="00E40D2C" w:rsidRPr="00557BD2" w:rsidRDefault="00CD1011">
                <w:r>
                  <w:t>EVIA</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6160E4F4" w:rsidR="00E40D2C" w:rsidRDefault="00CD1011">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70040F00" w:rsidR="002262FA" w:rsidRDefault="00CD1011"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270DBEB4" w:rsidR="00E40D2C" w:rsidRPr="00557BD2" w:rsidRDefault="00CD1011">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72981CB0" w14:textId="77777777" w:rsidR="0057114E" w:rsidRDefault="0057114E" w:rsidP="0057114E">
      <w:pPr>
        <w:spacing w:before="100" w:beforeAutospacing="1" w:after="100" w:afterAutospacing="1" w:line="240" w:lineRule="auto"/>
        <w:rPr>
          <w:rFonts w:ascii="Roboto Light" w:hAnsi="Roboto Light"/>
          <w:bCs/>
          <w:lang w:val="en-US"/>
        </w:rPr>
      </w:pPr>
      <w:permStart w:id="1150511936" w:edGrp="everyone"/>
      <w:r>
        <w:rPr>
          <w:rFonts w:ascii="Roboto Light" w:hAnsi="Roboto Light"/>
          <w:bCs/>
          <w:lang w:val="en-US"/>
        </w:rPr>
        <w:t xml:space="preserve">We broadly agree with the characterization </w:t>
      </w:r>
      <w:r w:rsidRPr="00457B9A">
        <w:rPr>
          <w:rFonts w:ascii="Roboto Light" w:hAnsi="Roboto Light"/>
          <w:bCs/>
          <w:lang w:val="en-US"/>
        </w:rPr>
        <w:t>of the market structure summarised in Figure 1</w:t>
      </w:r>
      <w:r>
        <w:rPr>
          <w:rFonts w:ascii="Roboto Light" w:hAnsi="Roboto Light"/>
          <w:bCs/>
          <w:lang w:val="en-US"/>
        </w:rPr>
        <w:t>. In particular the mapping of a large part of &lt;Off-book-on-exchange&gt; [OBOE] across to “Addressable Liquidity”. It’s just as likely here that NT2 should be grouped with NT1 when trade arrangement methods other than the order-book are considered. We also agree that those segments characterised as “Dark” are indeed “Addressable Liquidity”</w:t>
      </w:r>
      <w:r>
        <w:rPr>
          <w:rStyle w:val="FootnoteReference"/>
          <w:rFonts w:ascii="Roboto Light" w:hAnsi="Roboto Light"/>
          <w:bCs/>
          <w:lang w:val="en-US"/>
        </w:rPr>
        <w:footnoteReference w:id="2"/>
      </w:r>
      <w:r>
        <w:rPr>
          <w:rFonts w:ascii="Roboto Light" w:hAnsi="Roboto Light"/>
          <w:bCs/>
          <w:lang w:val="en-US"/>
        </w:rPr>
        <w:t>.</w:t>
      </w:r>
    </w:p>
    <w:p w14:paraId="50916E65"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lastRenderedPageBreak/>
        <w:t>One aspect of figure we would note would be the aggregation of &lt;</w:t>
      </w:r>
      <w:r w:rsidRPr="00E4067C">
        <w:rPr>
          <w:rFonts w:ascii="Roboto Light" w:hAnsi="Roboto Light"/>
          <w:bCs/>
          <w:i/>
          <w:iCs/>
        </w:rPr>
        <w:t>Closing Auction</w:t>
      </w:r>
      <w:r w:rsidRPr="00FE4BF2">
        <w:rPr>
          <w:rFonts w:ascii="Roboto Light" w:hAnsi="Roboto Light"/>
          <w:bCs/>
        </w:rPr>
        <w:t>&gt; and &lt;</w:t>
      </w:r>
      <w:r w:rsidRPr="00E4067C">
        <w:rPr>
          <w:rFonts w:ascii="Roboto Light" w:hAnsi="Roboto Light"/>
          <w:bCs/>
          <w:i/>
          <w:iCs/>
        </w:rPr>
        <w:t>Trading at Close</w:t>
      </w:r>
      <w:r w:rsidRPr="00FE4BF2">
        <w:rPr>
          <w:rFonts w:ascii="Roboto Light" w:hAnsi="Roboto Light"/>
          <w:bCs/>
        </w:rPr>
        <w:t>&gt; which in fact are both substantially different mechanisms and more importantly involve a contrasting set of market participants and motivations, more-so as “passive investing” grows in both absolute and relative terms</w:t>
      </w:r>
      <w:r w:rsidRPr="00FE4BF2">
        <w:rPr>
          <w:rStyle w:val="EndnoteReference"/>
          <w:rFonts w:ascii="Roboto Light" w:hAnsi="Roboto Light"/>
          <w:bCs/>
        </w:rPr>
        <w:endnoteReference w:id="2"/>
      </w:r>
      <w:r>
        <w:rPr>
          <w:rFonts w:ascii="Roboto Light" w:hAnsi="Roboto Light"/>
          <w:bCs/>
        </w:rPr>
        <w:t>.</w:t>
      </w:r>
      <w:r w:rsidRPr="00FE4BF2">
        <w:rPr>
          <w:rFonts w:ascii="Roboto Light" w:hAnsi="Roboto Light"/>
          <w:bCs/>
        </w:rPr>
        <w:t xml:space="preserve"> </w:t>
      </w:r>
    </w:p>
    <w:p w14:paraId="7644E63D" w14:textId="77777777" w:rsidR="0057114E" w:rsidRPr="00FE4BF2" w:rsidRDefault="0057114E" w:rsidP="0057114E">
      <w:pPr>
        <w:pStyle w:val="ListParagraph"/>
        <w:numPr>
          <w:ilvl w:val="0"/>
          <w:numId w:val="33"/>
        </w:numPr>
        <w:spacing w:before="100" w:beforeAutospacing="1" w:after="100" w:afterAutospacing="1" w:line="240" w:lineRule="auto"/>
        <w:contextualSpacing/>
        <w:jc w:val="left"/>
        <w:rPr>
          <w:rFonts w:ascii="Roboto Light" w:hAnsi="Roboto Light"/>
          <w:bCs/>
          <w:lang w:val="en-GB"/>
        </w:rPr>
      </w:pPr>
      <w:r w:rsidRPr="00FE4BF2">
        <w:rPr>
          <w:rFonts w:ascii="Roboto Light" w:hAnsi="Roboto Light"/>
          <w:bCs/>
          <w:lang w:val="en-GB"/>
        </w:rPr>
        <w:t>In absolute terms, passive investing has grown from a niche segment to &gt;$20 trillion AUM, with trillions in cumulative inflows; and in relative terms, Market share has risen from ~25% (early 2010s) to ~40–45% globally today, and &gt;50% in the US.</w:t>
      </w:r>
    </w:p>
    <w:p w14:paraId="4C41B24A" w14:textId="77777777" w:rsidR="0057114E" w:rsidRPr="00FE4BF2" w:rsidRDefault="0057114E" w:rsidP="0057114E">
      <w:pPr>
        <w:pStyle w:val="ListParagraph"/>
        <w:numPr>
          <w:ilvl w:val="0"/>
          <w:numId w:val="33"/>
        </w:numPr>
        <w:spacing w:before="100" w:beforeAutospacing="1" w:after="100" w:afterAutospacing="1" w:line="240" w:lineRule="auto"/>
        <w:contextualSpacing/>
        <w:jc w:val="left"/>
        <w:rPr>
          <w:rFonts w:ascii="Roboto Light" w:hAnsi="Roboto Light"/>
          <w:bCs/>
          <w:lang w:val="en-GB"/>
        </w:rPr>
      </w:pPr>
      <w:r w:rsidRPr="00FE4BF2">
        <w:rPr>
          <w:rFonts w:ascii="Roboto Light" w:hAnsi="Roboto Light"/>
          <w:bCs/>
          <w:lang w:val="en-GB"/>
        </w:rPr>
        <w:t xml:space="preserve">Passive investing has become one of the dominant structural forces in global equity markets, transitioning from a minority allocation strategy to a near-parity (or majority) position, and continuing to gain share through persistent inflows and cost-driven substitution away from active management. </w:t>
      </w:r>
      <w:r w:rsidRPr="00FE4BF2">
        <w:rPr>
          <w:rStyle w:val="EndnoteReference"/>
          <w:rFonts w:ascii="Roboto Light" w:hAnsi="Roboto Light"/>
          <w:bCs/>
          <w:lang w:val="en-GB"/>
        </w:rPr>
        <w:endnoteReference w:id="3"/>
      </w:r>
    </w:p>
    <w:p w14:paraId="0F618BBD"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 xml:space="preserve">Considering concise comments, we concur with the FIX Org comments in respect of trade flags and liquidity indicators, and the industry agreed revised </w:t>
      </w:r>
      <w:r w:rsidRPr="00E4067C">
        <w:rPr>
          <w:rFonts w:ascii="Roboto Light" w:hAnsi="Roboto Light"/>
          <w:bCs/>
          <w:i/>
          <w:iCs/>
          <w:u w:val="single"/>
        </w:rPr>
        <w:t xml:space="preserve">Figure 1 </w:t>
      </w:r>
      <w:r w:rsidRPr="00FE4BF2">
        <w:rPr>
          <w:rFonts w:ascii="Roboto Light" w:hAnsi="Roboto Light"/>
          <w:bCs/>
        </w:rPr>
        <w:t xml:space="preserve">as below which adds in an organization of the liquidity depending on the trading phase in addition to the regulatory classifications, and also aligns with the FIX addressable liquidity document </w:t>
      </w:r>
      <w:hyperlink r:id="rId18" w:history="1">
        <w:r w:rsidRPr="00FE4BF2">
          <w:rPr>
            <w:rStyle w:val="Hyperlink"/>
            <w:rFonts w:ascii="Roboto Light" w:hAnsi="Roboto Light"/>
            <w:bCs/>
          </w:rPr>
          <w:t>FixOrg; Addressable Liquidity v3; 05Dec2025.pdf</w:t>
        </w:r>
      </w:hyperlink>
      <w:r w:rsidRPr="00FE4BF2">
        <w:rPr>
          <w:rFonts w:ascii="Roboto Light" w:hAnsi="Roboto Light"/>
          <w:bCs/>
        </w:rPr>
        <w:t xml:space="preserve">. Liquidity operated by broker Investment Firms, including MTFs, block arranging and OTC markets are distinguished by not holding out these prescribed trading phases. Indeed, markets operated by EVIA members may currently be categorized as long-since </w:t>
      </w:r>
      <w:r w:rsidRPr="00FE4BF2">
        <w:rPr>
          <w:rFonts w:ascii="Roboto Light" w:hAnsi="Roboto Light"/>
          <w:bCs/>
        </w:rPr>
        <w:lastRenderedPageBreak/>
        <w:t>offering 24/5.5 trading hours, when considering the ongoing debate in the US and elsewhere about extending the on-exchange retail access windows.</w:t>
      </w:r>
    </w:p>
    <w:p w14:paraId="2C3A96BF"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Arial" w:hAnsi="Arial" w:cs="Arial"/>
          <w:color w:val="7030A0"/>
        </w:rPr>
        <w:drawing>
          <wp:inline distT="0" distB="0" distL="0" distR="0" wp14:anchorId="18645543" wp14:editId="5C279FA3">
            <wp:extent cx="2607276" cy="4467853"/>
            <wp:effectExtent l="0" t="0" r="3175" b="0"/>
            <wp:docPr id="9623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4578" cy="4497502"/>
                    </a:xfrm>
                    <a:prstGeom prst="rect">
                      <a:avLst/>
                    </a:prstGeom>
                    <a:noFill/>
                  </pic:spPr>
                </pic:pic>
              </a:graphicData>
            </a:graphic>
          </wp:inline>
        </w:drawing>
      </w:r>
    </w:p>
    <w:p w14:paraId="5EB5E2FE"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Not all liquidity is addressable to all, regardless if the liquidity is on or off exchange. For instance, some books or exchange will be dedicated to a certain type of market participants (market makers, retail, buy side only, etc…). The level of liquidity accessibility is a function of who can access the pool and how orders are being managed. Not all trading venues and/or off venue liquidity provision are fit for all market participants.</w:t>
      </w:r>
    </w:p>
    <w:p w14:paraId="02D220AA"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 xml:space="preserve">The operative questions here are: whether the pre-existing trading flags are suitable, appropriate and sufficient to characterize the actuality; and whether the availability and application of trading flags between RTS1 and RTS22 should be homogenized. </w:t>
      </w:r>
    </w:p>
    <w:p w14:paraId="523BCCEF"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 xml:space="preserve">In this was we would urge ESMA to qualify the nature of the execution mechanisms instead of applying a broad, bland and inappropriate “Dark Pool” language for on-venue trading methodologies that are operating under the available waivers. To reiterate prior points, this is </w:t>
      </w:r>
      <w:r w:rsidRPr="00FE4BF2">
        <w:rPr>
          <w:rFonts w:ascii="Roboto Light" w:hAnsi="Roboto Light"/>
          <w:bCs/>
        </w:rPr>
        <w:lastRenderedPageBreak/>
        <w:t>because these truly multilateral activities which require the LIS waiver should be distinguished from those utilising the RPW/NTW waivers.</w:t>
      </w:r>
    </w:p>
    <w:p w14:paraId="5B31C8FD"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This segment operates in contrast to those trades under the OBOE segment for which rulebook are not directly applicable and much less transparency is available. These would benefit from the better and more appropriate delineation of properly technical trades from those seeking to benefit from the transparency evasion even though the vast majority of the OBOE NPFT trades on EEA shares are reported in the UK. Clearly properly non-price forming trades such as duplicate and solely technical trades should be granted exemptions from post trade transparency per the Fig 1 and its amended version.</w:t>
      </w:r>
    </w:p>
    <w:p w14:paraId="1FF86C6D" w14:textId="77777777" w:rsidR="0057114E" w:rsidRPr="00FE4BF2" w:rsidRDefault="0057114E" w:rsidP="0057114E">
      <w:pPr>
        <w:spacing w:before="100" w:beforeAutospacing="1" w:after="100" w:afterAutospacing="1" w:line="240" w:lineRule="auto"/>
        <w:rPr>
          <w:rFonts w:ascii="Roboto Light" w:hAnsi="Roboto Light"/>
          <w:bCs/>
        </w:rPr>
      </w:pPr>
      <w:r w:rsidRPr="00FE4BF2">
        <w:rPr>
          <w:rFonts w:ascii="Roboto Light" w:hAnsi="Roboto Light"/>
          <w:bCs/>
        </w:rPr>
        <w:t>As introduced in the UK, and as a direct consequence of the role of passive investing described in the endnotes herewith, it appears logical to us that a closing flag [“CLSE”] is necessary as both an RTS 1 and an RTS 22 reporting flag. This may be more relevant to transparency under the scenario of longer exchange opening hours. We further concur with the further comments in the FIX Org response concerning the role and understanding of TNCP, SI_OTC, and NT3 flags.</w:t>
      </w:r>
    </w:p>
    <w:p w14:paraId="74845BAD" w14:textId="77777777" w:rsidR="003A33E5" w:rsidRDefault="003A33E5" w:rsidP="003A33E5">
      <w:r>
        <w:t>TYPE YOUR TEXT HERE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DA2BEB5" w14:textId="77777777" w:rsidR="00D967F9" w:rsidRPr="00BB5EED" w:rsidRDefault="00D967F9" w:rsidP="00D967F9">
      <w:pPr>
        <w:spacing w:before="100" w:beforeAutospacing="1" w:after="100" w:afterAutospacing="1" w:line="240" w:lineRule="auto"/>
        <w:rPr>
          <w:rFonts w:ascii="Roboto Light" w:hAnsi="Roboto Light"/>
        </w:rPr>
      </w:pPr>
      <w:permStart w:id="1720911874" w:edGrp="everyone"/>
      <w:r w:rsidRPr="00FE4BF2">
        <w:rPr>
          <w:rFonts w:ascii="Roboto Light" w:hAnsi="Roboto Light"/>
        </w:rPr>
        <w:t>Given that EVIA member firms do not operate S</w:t>
      </w:r>
      <w:r>
        <w:rPr>
          <w:rFonts w:ascii="Roboto Light" w:hAnsi="Roboto Light"/>
        </w:rPr>
        <w:t>I</w:t>
      </w:r>
      <w:r w:rsidRPr="00FE4BF2">
        <w:rPr>
          <w:rFonts w:ascii="Roboto Light" w:hAnsi="Roboto Light"/>
        </w:rPr>
        <w:t xml:space="preserve">s, were defer here to comments by AFME and FIX Org. In particular we would flag the unnecessary duplication of trade reports for cross-border transactions, especially where branches are involved. This could and should be dealt with in a straightforward manner under both the UK-EU MOU and the adoption of standardised reporting protocols. </w:t>
      </w:r>
      <w:r>
        <w:rPr>
          <w:rFonts w:ascii="Roboto Light" w:hAnsi="Roboto Light"/>
        </w:rPr>
        <w:t xml:space="preserve">To this end, where </w:t>
      </w:r>
      <w:r w:rsidRPr="00BB5EED">
        <w:rPr>
          <w:rFonts w:ascii="Roboto Light" w:hAnsi="Roboto Light"/>
        </w:rPr>
        <w:t>EU and UK authorities each consider on-venue transaction transparency equivalent</w:t>
      </w:r>
      <w:r>
        <w:rPr>
          <w:rFonts w:ascii="Roboto Light" w:hAnsi="Roboto Light"/>
        </w:rPr>
        <w:t xml:space="preserve">; so the relevant </w:t>
      </w:r>
      <w:r w:rsidRPr="00BB5EED">
        <w:rPr>
          <w:rFonts w:ascii="Roboto Light" w:hAnsi="Roboto Light"/>
        </w:rPr>
        <w:t xml:space="preserve">EU and UK authorities </w:t>
      </w:r>
      <w:r>
        <w:rPr>
          <w:rFonts w:ascii="Roboto Light" w:hAnsi="Roboto Light"/>
        </w:rPr>
        <w:t xml:space="preserve">should </w:t>
      </w:r>
      <w:r w:rsidRPr="00BB5EED">
        <w:rPr>
          <w:rFonts w:ascii="Roboto Light" w:hAnsi="Roboto Light"/>
        </w:rPr>
        <w:t>work together to ensure there is no double reporting of transactions</w:t>
      </w:r>
      <w:r>
        <w:rPr>
          <w:rFonts w:ascii="Roboto Light" w:hAnsi="Roboto Light"/>
        </w:rPr>
        <w:t xml:space="preserve">, </w:t>
      </w:r>
      <w:r w:rsidRPr="00BB5EED">
        <w:rPr>
          <w:rFonts w:ascii="Roboto Light" w:hAnsi="Roboto Light"/>
        </w:rPr>
        <w:t xml:space="preserve">which undermines </w:t>
      </w:r>
      <w:r>
        <w:rPr>
          <w:rFonts w:ascii="Roboto Light" w:hAnsi="Roboto Light"/>
        </w:rPr>
        <w:t xml:space="preserve">both the absolute market size and </w:t>
      </w:r>
      <w:r w:rsidRPr="00BB5EED">
        <w:rPr>
          <w:rFonts w:ascii="Roboto Light" w:hAnsi="Roboto Light"/>
        </w:rPr>
        <w:t xml:space="preserve">confidence in liquidity figures. </w:t>
      </w:r>
    </w:p>
    <w:p w14:paraId="4821BF5B" w14:textId="77777777" w:rsidR="00D967F9" w:rsidRDefault="00D967F9" w:rsidP="003A33E5"/>
    <w:p w14:paraId="754BE1A4" w14:textId="68094ED2" w:rsidR="003A33E5" w:rsidRDefault="003A33E5" w:rsidP="003A33E5">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lastRenderedPageBreak/>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017792BB" w14:textId="77777777" w:rsidR="00E91CCF" w:rsidRPr="00FE4BF2" w:rsidRDefault="00E91CCF" w:rsidP="00E91CCF">
      <w:pPr>
        <w:spacing w:before="100" w:beforeAutospacing="1" w:after="100" w:afterAutospacing="1" w:line="240" w:lineRule="auto"/>
        <w:rPr>
          <w:rFonts w:ascii="Roboto Light" w:hAnsi="Roboto Light"/>
        </w:rPr>
      </w:pPr>
      <w:permStart w:id="1070029581" w:edGrp="everyone"/>
      <w:r>
        <w:rPr>
          <w:rFonts w:ascii="Roboto Light" w:hAnsi="Roboto Light"/>
        </w:rPr>
        <w:t xml:space="preserve">EVIA </w:t>
      </w:r>
      <w:r w:rsidRPr="00485336">
        <w:rPr>
          <w:rFonts w:ascii="Roboto Light" w:hAnsi="Roboto Light"/>
        </w:rPr>
        <w:t xml:space="preserve">agrees with the general trends identified, which </w:t>
      </w:r>
      <w:r>
        <w:rPr>
          <w:rFonts w:ascii="Roboto Light" w:hAnsi="Roboto Light"/>
        </w:rPr>
        <w:t xml:space="preserve">amply demonstrate the health of </w:t>
      </w:r>
      <w:r w:rsidRPr="00485336">
        <w:rPr>
          <w:rFonts w:ascii="Roboto Light" w:hAnsi="Roboto Light"/>
        </w:rPr>
        <w:t>EU equity markets</w:t>
      </w:r>
      <w:r>
        <w:rPr>
          <w:rFonts w:ascii="Roboto Light" w:hAnsi="Roboto Light"/>
        </w:rPr>
        <w:t xml:space="preserve"> with the </w:t>
      </w:r>
      <w:r w:rsidRPr="00602886">
        <w:rPr>
          <w:rFonts w:ascii="Roboto Light" w:hAnsi="Roboto Light"/>
        </w:rPr>
        <w:t>increased use of different execution venues</w:t>
      </w:r>
      <w:r>
        <w:rPr>
          <w:rFonts w:ascii="Roboto Light" w:hAnsi="Roboto Light"/>
        </w:rPr>
        <w:t>, phases, protocols</w:t>
      </w:r>
      <w:r w:rsidRPr="00602886">
        <w:rPr>
          <w:rFonts w:ascii="Roboto Light" w:hAnsi="Roboto Light"/>
        </w:rPr>
        <w:t xml:space="preserve"> and mechanisms </w:t>
      </w:r>
      <w:r>
        <w:rPr>
          <w:rFonts w:ascii="Roboto Light" w:hAnsi="Roboto Light"/>
        </w:rPr>
        <w:t>evidencing the</w:t>
      </w:r>
      <w:r w:rsidRPr="00602886">
        <w:rPr>
          <w:rFonts w:ascii="Roboto Light" w:hAnsi="Roboto Light"/>
        </w:rPr>
        <w:t xml:space="preserve"> diversity of liquidity provision</w:t>
      </w:r>
      <w:r w:rsidRPr="00485336">
        <w:rPr>
          <w:rFonts w:ascii="Roboto Light" w:hAnsi="Roboto Light"/>
        </w:rPr>
        <w:t xml:space="preserve">. </w:t>
      </w:r>
      <w:r w:rsidRPr="00FE4BF2">
        <w:rPr>
          <w:rFonts w:ascii="Roboto Light" w:hAnsi="Roboto Light"/>
        </w:rPr>
        <w:t xml:space="preserve">Whilst the trends identified are directly consequent to the data set presented, by excluding not the UK data, which is as a minimum at least equally relevant the European market structure, ESMA has cemented data flaws at the most fundamental level in its analysis and rendered the outcomes of the study to offer minimal relevance to market participants. </w:t>
      </w:r>
    </w:p>
    <w:p w14:paraId="6344B88B" w14:textId="77777777" w:rsidR="00E91CCF" w:rsidRPr="00FE4BF2" w:rsidRDefault="00E91CCF" w:rsidP="00E91CCF">
      <w:pPr>
        <w:spacing w:before="100" w:beforeAutospacing="1" w:after="100" w:afterAutospacing="1" w:line="240" w:lineRule="auto"/>
        <w:rPr>
          <w:rFonts w:ascii="Roboto Light" w:hAnsi="Roboto Light"/>
        </w:rPr>
      </w:pPr>
      <w:r w:rsidRPr="00FE4BF2">
        <w:rPr>
          <w:rFonts w:ascii="Roboto Light" w:hAnsi="Roboto Light"/>
        </w:rPr>
        <w:t>The particular aspect of concern that we would flag is the increase in in negotiated bilateral flow into the trading model wherein market-makers will be conducting ‘SI activity,’ but where classified and reporting in a recast manner as either “Off-book but On-Exchange” [</w:t>
      </w:r>
      <w:r w:rsidRPr="00FE4BF2">
        <w:rPr>
          <w:rFonts w:ascii="Roboto Light" w:hAnsi="Roboto Light"/>
          <w:i/>
          <w:iCs/>
        </w:rPr>
        <w:t>xBoEx</w:t>
      </w:r>
      <w:r w:rsidRPr="00FE4BF2">
        <w:rPr>
          <w:rFonts w:ascii="Roboto Light" w:hAnsi="Roboto Light"/>
        </w:rPr>
        <w:t xml:space="preserve">/ ”OBOE”]; or even to a small degree as OTC </w:t>
      </w:r>
      <w:r w:rsidRPr="00FE4BF2">
        <w:rPr>
          <w:rFonts w:ascii="Roboto Light" w:hAnsi="Roboto Light"/>
          <w:i/>
          <w:iCs/>
        </w:rPr>
        <w:t>Benchmark Crossing</w:t>
      </w:r>
      <w:r w:rsidRPr="00FE4BF2">
        <w:rPr>
          <w:rFonts w:ascii="Roboto Light" w:hAnsi="Roboto Light"/>
        </w:rPr>
        <w:t xml:space="preserve"> or </w:t>
      </w:r>
      <w:r w:rsidRPr="00FE4BF2">
        <w:rPr>
          <w:rFonts w:ascii="Roboto Light" w:hAnsi="Roboto Light"/>
          <w:i/>
          <w:iCs/>
        </w:rPr>
        <w:t>Broker Preferencing</w:t>
      </w:r>
      <w:r w:rsidRPr="00FE4BF2">
        <w:rPr>
          <w:rFonts w:ascii="Roboto Light" w:hAnsi="Roboto Light"/>
        </w:rPr>
        <w:t xml:space="preserve"> in periodic auctions. This confers both trading mechanism flexibility and reporting obligation advantages over formalised “</w:t>
      </w:r>
      <w:r w:rsidRPr="00FE4BF2">
        <w:rPr>
          <w:rFonts w:ascii="Roboto Light" w:hAnsi="Roboto Light"/>
          <w:i/>
          <w:iCs/>
        </w:rPr>
        <w:t>dark order books</w:t>
      </w:r>
      <w:r w:rsidRPr="00FE4BF2">
        <w:rPr>
          <w:rFonts w:ascii="Roboto Light" w:hAnsi="Roboto Light"/>
        </w:rPr>
        <w:t xml:space="preserve">” which still face significant constraints under the Large in Scale Waiver [“LIS”] or to a much lesser extent, the Reference Price Waiver [“RPW”]. </w:t>
      </w:r>
    </w:p>
    <w:p w14:paraId="5E689791" w14:textId="77777777" w:rsidR="00E91CCF" w:rsidRPr="00FE4BF2" w:rsidRDefault="00E91CCF" w:rsidP="00E91CCF">
      <w:pPr>
        <w:spacing w:before="100" w:beforeAutospacing="1" w:after="100" w:afterAutospacing="1" w:line="240" w:lineRule="auto"/>
        <w:rPr>
          <w:rFonts w:ascii="Roboto Light" w:hAnsi="Roboto Light"/>
        </w:rPr>
      </w:pPr>
      <w:r w:rsidRPr="00FE4BF2">
        <w:rPr>
          <w:rFonts w:ascii="Roboto Light" w:hAnsi="Roboto Light"/>
        </w:rPr>
        <w:t>We would strongly urge ESMA not to use the terms “dark” and “lit” since these do not convey the compliant use of available waivers and the obligations for both transparency and transaction reporting. Indeed, xBoEx/OBOE trades on “lit” exchanges are less transparent and arranged with greater flexibility than “dark” trades made under MTF rulebooks. In this regard we note that the gap between “</w:t>
      </w:r>
      <w:r w:rsidRPr="00FE4BF2">
        <w:rPr>
          <w:rFonts w:ascii="Roboto Light" w:hAnsi="Roboto Light"/>
          <w:i/>
          <w:iCs/>
        </w:rPr>
        <w:t>what is dark” and “what is regulated as dark</w:t>
      </w:r>
      <w:r w:rsidRPr="00FE4BF2">
        <w:rPr>
          <w:rFonts w:ascii="Roboto Light" w:hAnsi="Roboto Light"/>
        </w:rPr>
        <w:t>” has widened</w:t>
      </w:r>
      <w:r w:rsidRPr="00FE4BF2">
        <w:rPr>
          <w:rStyle w:val="FootnoteReference"/>
          <w:rFonts w:ascii="Roboto Light" w:hAnsi="Roboto Light"/>
        </w:rPr>
        <w:footnoteReference w:id="3"/>
      </w:r>
      <w:r w:rsidRPr="00FE4BF2">
        <w:rPr>
          <w:rFonts w:ascii="Roboto Light" w:hAnsi="Roboto Light"/>
        </w:rPr>
        <w:t>.</w:t>
      </w:r>
    </w:p>
    <w:p w14:paraId="6D8B90A1" w14:textId="77777777" w:rsidR="00E91CCF" w:rsidRPr="00FE4BF2" w:rsidRDefault="00E91CCF" w:rsidP="00E91CCF">
      <w:pPr>
        <w:spacing w:before="100" w:beforeAutospacing="1" w:after="100" w:afterAutospacing="1" w:line="240" w:lineRule="auto"/>
        <w:rPr>
          <w:rFonts w:ascii="Roboto Light" w:hAnsi="Roboto Light"/>
        </w:rPr>
      </w:pPr>
      <w:r w:rsidRPr="00FE4BF2">
        <w:rPr>
          <w:rFonts w:ascii="Roboto Light" w:hAnsi="Roboto Light"/>
        </w:rPr>
        <w:lastRenderedPageBreak/>
        <w:t>In seeking to endorse the “</w:t>
      </w:r>
      <w:r w:rsidRPr="00FE4BF2">
        <w:rPr>
          <w:rFonts w:ascii="Roboto Light" w:hAnsi="Roboto Light"/>
          <w:i/>
          <w:iCs/>
        </w:rPr>
        <w:t>Same Activity, Same Regulation</w:t>
      </w:r>
      <w:r w:rsidRPr="00FE4BF2">
        <w:rPr>
          <w:rFonts w:ascii="Roboto Light" w:hAnsi="Roboto Light"/>
        </w:rPr>
        <w:t xml:space="preserve">” outcomes, we note that the costs of operating a trading venue such as an MTF are very high relative to those pertaining either to SIs or to any entirely unregulated system holding out as a technology provider, to an EMS, or to those OMS systems acting as collated order management or reception facilities. Our essential advocacy therefore is to level the playing field within the multilateral perimeter to foster diversity, competition and innovation; whilst effectively setting-out the recast practices without. This should require an analysis of the on-venue restrictions under LIS and RPW as compared to the requirements for </w:t>
      </w:r>
      <w:r w:rsidRPr="00FE4BF2">
        <w:rPr>
          <w:rFonts w:ascii="Roboto Light" w:hAnsi="Roboto Light"/>
          <w:i/>
          <w:iCs/>
        </w:rPr>
        <w:t>xBoEx</w:t>
      </w:r>
      <w:r w:rsidRPr="00FE4BF2">
        <w:rPr>
          <w:rFonts w:ascii="Roboto Light" w:hAnsi="Roboto Light"/>
        </w:rPr>
        <w:t>/OBOE trade flows. It should also mean that MIC codes and waiver thresholds are also applicable to SIs such that the RTS1 landscape within the multilateral perimeter across RM - MTF.- SI are the same. The better application of trade flags can then appropriately inform around these multilateral activities which should all be considered as “price forming.”</w:t>
      </w:r>
    </w:p>
    <w:p w14:paraId="1E387377" w14:textId="77777777" w:rsidR="00E91CCF" w:rsidRPr="00FE4BF2" w:rsidRDefault="00E91CCF" w:rsidP="00E91CCF">
      <w:pPr>
        <w:spacing w:before="100" w:beforeAutospacing="1" w:after="100" w:afterAutospacing="1" w:line="240" w:lineRule="auto"/>
        <w:rPr>
          <w:rFonts w:ascii="Roboto Light" w:hAnsi="Roboto Light"/>
        </w:rPr>
      </w:pPr>
      <w:r w:rsidRPr="00FE4BF2">
        <w:rPr>
          <w:rFonts w:ascii="Roboto Light" w:hAnsi="Roboto Light"/>
        </w:rPr>
        <w:t>Furthermore, we would urge ESMA to consider reframing the equity market structure discussion around “</w:t>
      </w:r>
      <w:r w:rsidRPr="00FE4BF2">
        <w:rPr>
          <w:rFonts w:ascii="Roboto Light" w:hAnsi="Roboto Light"/>
          <w:i/>
          <w:iCs/>
        </w:rPr>
        <w:t>Bilateral versus Multilateral</w:t>
      </w:r>
      <w:r w:rsidRPr="00FE4BF2">
        <w:rPr>
          <w:rFonts w:ascii="Roboto Light" w:hAnsi="Roboto Light"/>
        </w:rPr>
        <w:t>” facilities, systems and protocols, so away from “</w:t>
      </w:r>
      <w:r w:rsidRPr="00FE4BF2">
        <w:rPr>
          <w:rFonts w:ascii="Roboto Light" w:hAnsi="Roboto Light"/>
          <w:i/>
          <w:iCs/>
        </w:rPr>
        <w:t>Dark versus Lit</w:t>
      </w:r>
      <w:r w:rsidRPr="00FE4BF2">
        <w:rPr>
          <w:rFonts w:ascii="Roboto Light" w:hAnsi="Roboto Light"/>
        </w:rPr>
        <w:t xml:space="preserve">” categorisation. Notably as for non-equities markets the role for pre-arranged trades to be subsequently registered onto trading venues has been extensive and largely supplanted the Systematic Internaliser activity by dint of outsourcing regulatory and reporting compliance. </w:t>
      </w:r>
    </w:p>
    <w:p w14:paraId="76B2632F" w14:textId="77777777" w:rsidR="00E91CCF" w:rsidRPr="00FE4BF2" w:rsidRDefault="00E91CCF" w:rsidP="00E91CCF">
      <w:pPr>
        <w:spacing w:before="100" w:beforeAutospacing="1" w:after="100" w:afterAutospacing="1" w:line="240" w:lineRule="auto"/>
        <w:rPr>
          <w:rFonts w:ascii="Roboto Light" w:hAnsi="Roboto Light"/>
        </w:rPr>
      </w:pPr>
      <w:r w:rsidRPr="00FE4BF2">
        <w:rPr>
          <w:rFonts w:ascii="Roboto Light" w:hAnsi="Roboto Light"/>
        </w:rPr>
        <w:t xml:space="preserve">Looking ahead, it’s evident that emerging developments such as tokenisation — including any implications this may have for the scope of the MiFID perimeter — and the growing use of artificial intelligence, self-learning algorithms and autonomous agents across trading and </w:t>
      </w:r>
      <w:r w:rsidRPr="00FE4BF2">
        <w:rPr>
          <w:rFonts w:ascii="Roboto Light" w:hAnsi="Roboto Light"/>
        </w:rPr>
        <w:lastRenderedPageBreak/>
        <w:t>execution are rapidly becoming the issues of today. As a minimum, ESMA should seek to properly differentiate and separately address those matters involving AI and algorithms from those concerned with latency and co-location in a manner that MiFID II / MiFIR and RTS 6 has failed to do so far.</w:t>
      </w:r>
    </w:p>
    <w:p w14:paraId="349402CD" w14:textId="77777777" w:rsidR="00E91CCF" w:rsidRPr="00FE4BF2" w:rsidRDefault="00E91CCF" w:rsidP="00E91CCF">
      <w:pPr>
        <w:spacing w:before="100" w:beforeAutospacing="1" w:after="100" w:afterAutospacing="1" w:line="240" w:lineRule="auto"/>
        <w:rPr>
          <w:rFonts w:ascii="Roboto Light" w:hAnsi="Roboto Light"/>
        </w:rPr>
      </w:pPr>
    </w:p>
    <w:p w14:paraId="47C8C198" w14:textId="77777777" w:rsidR="003A33E5" w:rsidRDefault="003A33E5" w:rsidP="003A33E5">
      <w:r>
        <w:t>TYPE YOUR TEXT HERE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2FE5E07" w14:textId="77777777" w:rsidR="00A46839" w:rsidRDefault="00A46839" w:rsidP="00A46839">
      <w:pPr>
        <w:spacing w:before="100" w:beforeAutospacing="1" w:after="100" w:afterAutospacing="1" w:line="240" w:lineRule="auto"/>
        <w:rPr>
          <w:rFonts w:ascii="Roboto Light" w:hAnsi="Roboto Light"/>
        </w:rPr>
      </w:pPr>
      <w:permStart w:id="856752782" w:edGrp="everyone"/>
      <w:r w:rsidRPr="00FE4BF2">
        <w:rPr>
          <w:rFonts w:ascii="Roboto Light" w:hAnsi="Roboto Light"/>
        </w:rPr>
        <w:t xml:space="preserve">No, we have zero concerns concerning the migration of wholesale equity markets to a multi-model and a heterogeneous trading methodology approach. Whilst this outcome is clearly </w:t>
      </w:r>
      <w:r>
        <w:rPr>
          <w:rFonts w:ascii="Roboto Light" w:hAnsi="Roboto Light"/>
        </w:rPr>
        <w:t xml:space="preserve">observable </w:t>
      </w:r>
      <w:r w:rsidRPr="00FE4BF2">
        <w:rPr>
          <w:rFonts w:ascii="Roboto Light" w:hAnsi="Roboto Light"/>
        </w:rPr>
        <w:t xml:space="preserve">across all global equity markets, the contributing factors </w:t>
      </w:r>
      <w:r>
        <w:rPr>
          <w:rFonts w:ascii="Roboto Light" w:hAnsi="Roboto Light"/>
        </w:rPr>
        <w:t xml:space="preserve">wide and complex and </w:t>
      </w:r>
      <w:r w:rsidRPr="00FE4BF2">
        <w:rPr>
          <w:rFonts w:ascii="Roboto Light" w:hAnsi="Roboto Light"/>
        </w:rPr>
        <w:t xml:space="preserve">can only be as </w:t>
      </w:r>
      <w:r>
        <w:rPr>
          <w:rFonts w:ascii="Roboto Light" w:hAnsi="Roboto Light"/>
        </w:rPr>
        <w:t xml:space="preserve">described as </w:t>
      </w:r>
      <w:r w:rsidRPr="00FE4BF2">
        <w:rPr>
          <w:rFonts w:ascii="Roboto Light" w:hAnsi="Roboto Light"/>
        </w:rPr>
        <w:t>multi</w:t>
      </w:r>
      <w:r>
        <w:rPr>
          <w:rFonts w:ascii="Roboto Light" w:hAnsi="Roboto Light"/>
        </w:rPr>
        <w:t xml:space="preserve">-factor </w:t>
      </w:r>
      <w:r w:rsidRPr="00FE4BF2">
        <w:rPr>
          <w:rFonts w:ascii="Roboto Light" w:hAnsi="Roboto Light"/>
        </w:rPr>
        <w:t xml:space="preserve">and inter-related with </w:t>
      </w:r>
      <w:r>
        <w:rPr>
          <w:rFonts w:ascii="Roboto Light" w:hAnsi="Roboto Light"/>
        </w:rPr>
        <w:t xml:space="preserve">new or currently still </w:t>
      </w:r>
      <w:r w:rsidRPr="00FE4BF2">
        <w:rPr>
          <w:rFonts w:ascii="Roboto Light" w:hAnsi="Roboto Light"/>
        </w:rPr>
        <w:t xml:space="preserve">emerging technologies. </w:t>
      </w:r>
    </w:p>
    <w:p w14:paraId="1369F8E7" w14:textId="77777777" w:rsidR="00A46839" w:rsidRDefault="00A46839" w:rsidP="00A46839">
      <w:pPr>
        <w:spacing w:before="100" w:beforeAutospacing="1" w:after="100" w:afterAutospacing="1" w:line="240" w:lineRule="auto"/>
        <w:rPr>
          <w:rFonts w:ascii="Roboto Light" w:hAnsi="Roboto Light"/>
        </w:rPr>
      </w:pPr>
      <w:r>
        <w:rPr>
          <w:rFonts w:ascii="Roboto Light" w:hAnsi="Roboto Light"/>
        </w:rPr>
        <w:t xml:space="preserve">Whilst it’s clear that many of the periodic auctions and other methodologies draw on a requirement either for reference prices or opening prices, and therefore draw some reliance on the CLOBs for this supply, the emergence of a pan European CT can act as a fallback or enhancement to that requirement. Furthermore, the segregation of fast and reactive trading in smaller sizes onto lit markets, versus the accommodation of slower and block trading into auctions and waivered markets appears both appropriate and symbiotic. Indeed the FCA have published research to the effect that such segmentation avoids the front running of insitutional liquidity. </w:t>
      </w:r>
    </w:p>
    <w:p w14:paraId="637E7EE5" w14:textId="77777777" w:rsidR="00A46839" w:rsidRPr="00FE4BF2" w:rsidRDefault="00A46839" w:rsidP="00A46839">
      <w:pPr>
        <w:spacing w:before="100" w:beforeAutospacing="1" w:after="100" w:afterAutospacing="1" w:line="240" w:lineRule="auto"/>
        <w:rPr>
          <w:rFonts w:ascii="Roboto Light" w:hAnsi="Roboto Light"/>
        </w:rPr>
      </w:pPr>
      <w:r>
        <w:rPr>
          <w:rFonts w:ascii="Roboto Light" w:hAnsi="Roboto Light"/>
        </w:rPr>
        <w:t xml:space="preserve">Overall, </w:t>
      </w:r>
      <w:r w:rsidRPr="00B26A7D">
        <w:rPr>
          <w:rFonts w:ascii="Roboto Light" w:hAnsi="Roboto Light"/>
        </w:rPr>
        <w:t>increasing the amount of trading on lit market doesn't necessarily lead to better price formation.</w:t>
      </w:r>
      <w:r>
        <w:rPr>
          <w:rFonts w:ascii="Roboto Light" w:hAnsi="Roboto Light"/>
        </w:rPr>
        <w:t xml:space="preserve"> Where institutional </w:t>
      </w:r>
      <w:r w:rsidRPr="00B26A7D">
        <w:rPr>
          <w:rFonts w:ascii="Roboto Light" w:hAnsi="Roboto Light"/>
        </w:rPr>
        <w:t xml:space="preserve">markets are referencing prices on </w:t>
      </w:r>
      <w:r>
        <w:rPr>
          <w:rFonts w:ascii="Roboto Light" w:hAnsi="Roboto Light"/>
        </w:rPr>
        <w:t xml:space="preserve">a CT or a </w:t>
      </w:r>
      <w:r w:rsidRPr="00B26A7D">
        <w:rPr>
          <w:rFonts w:ascii="Roboto Light" w:hAnsi="Roboto Light"/>
        </w:rPr>
        <w:t xml:space="preserve">lit venue, </w:t>
      </w:r>
      <w:r>
        <w:rPr>
          <w:rFonts w:ascii="Roboto Light" w:hAnsi="Roboto Light"/>
        </w:rPr>
        <w:t xml:space="preserve">this likely </w:t>
      </w:r>
      <w:r w:rsidRPr="00B26A7D">
        <w:rPr>
          <w:rFonts w:ascii="Roboto Light" w:hAnsi="Roboto Light"/>
        </w:rPr>
        <w:t>reinforces the validity of prices from lit venues</w:t>
      </w:r>
      <w:r>
        <w:rPr>
          <w:rFonts w:ascii="Roboto Light" w:hAnsi="Roboto Light"/>
        </w:rPr>
        <w:t xml:space="preserve"> whilst decreasing the noise on these from block trades</w:t>
      </w:r>
      <w:r w:rsidRPr="00B26A7D">
        <w:rPr>
          <w:rFonts w:ascii="Roboto Light" w:hAnsi="Roboto Light"/>
        </w:rPr>
        <w:t xml:space="preserve">. </w:t>
      </w:r>
    </w:p>
    <w:p w14:paraId="06D71440" w14:textId="77777777" w:rsidR="00A46839" w:rsidRPr="00FE4BF2" w:rsidRDefault="00A46839" w:rsidP="00A46839">
      <w:pPr>
        <w:spacing w:before="100" w:beforeAutospacing="1" w:after="100" w:afterAutospacing="1" w:line="240" w:lineRule="auto"/>
        <w:rPr>
          <w:rFonts w:ascii="Roboto Light" w:hAnsi="Roboto Light"/>
        </w:rPr>
      </w:pPr>
      <w:r w:rsidRPr="00FE4BF2">
        <w:rPr>
          <w:rFonts w:ascii="Roboto Light" w:hAnsi="Roboto Light"/>
        </w:rPr>
        <w:lastRenderedPageBreak/>
        <w:t xml:space="preserve">That said, </w:t>
      </w:r>
      <w:r>
        <w:rPr>
          <w:rFonts w:ascii="Roboto Light" w:hAnsi="Roboto Light"/>
        </w:rPr>
        <w:t>one</w:t>
      </w:r>
      <w:r w:rsidRPr="00FE4BF2">
        <w:rPr>
          <w:rFonts w:ascii="Roboto Light" w:hAnsi="Roboto Light"/>
        </w:rPr>
        <w:t xml:space="preserve"> </w:t>
      </w:r>
      <w:r>
        <w:rPr>
          <w:rFonts w:ascii="Roboto Light" w:hAnsi="Roboto Light"/>
        </w:rPr>
        <w:t xml:space="preserve">fundament </w:t>
      </w:r>
      <w:r w:rsidRPr="00FE4BF2">
        <w:rPr>
          <w:rFonts w:ascii="Roboto Light" w:hAnsi="Roboto Light"/>
        </w:rPr>
        <w:t>remains th</w:t>
      </w:r>
      <w:r>
        <w:rPr>
          <w:rFonts w:ascii="Roboto Light" w:hAnsi="Roboto Light"/>
        </w:rPr>
        <w:t xml:space="preserve">e case </w:t>
      </w:r>
      <w:r w:rsidRPr="00FE4BF2">
        <w:rPr>
          <w:rFonts w:ascii="Roboto Light" w:hAnsi="Roboto Light"/>
        </w:rPr>
        <w:t>set out in Micheal Lewis’ “Flash Boys</w:t>
      </w:r>
      <w:r w:rsidRPr="00FE4BF2">
        <w:rPr>
          <w:rStyle w:val="FootnoteReference"/>
          <w:rFonts w:ascii="Roboto Light" w:hAnsi="Roboto Light"/>
        </w:rPr>
        <w:footnoteReference w:id="4"/>
      </w:r>
      <w:r w:rsidRPr="00FE4BF2">
        <w:rPr>
          <w:rFonts w:ascii="Roboto Light" w:hAnsi="Roboto Light"/>
        </w:rPr>
        <w:t>” back in 2014</w:t>
      </w:r>
      <w:r>
        <w:rPr>
          <w:rFonts w:ascii="Roboto Light" w:hAnsi="Roboto Light"/>
        </w:rPr>
        <w:t xml:space="preserve">. This supposes that </w:t>
      </w:r>
      <w:r w:rsidRPr="00FE4BF2">
        <w:rPr>
          <w:rFonts w:ascii="Roboto Light" w:hAnsi="Roboto Light"/>
        </w:rPr>
        <w:t xml:space="preserve">monopoly CLOBs </w:t>
      </w:r>
      <w:r>
        <w:rPr>
          <w:rFonts w:ascii="Roboto Light" w:hAnsi="Roboto Light"/>
        </w:rPr>
        <w:t>had evolved</w:t>
      </w:r>
      <w:r w:rsidRPr="00FE4BF2">
        <w:rPr>
          <w:rFonts w:ascii="Roboto Light" w:hAnsi="Roboto Light"/>
        </w:rPr>
        <w:t xml:space="preserve"> to extract the maximum economic value from the market participants </w:t>
      </w:r>
      <w:r>
        <w:rPr>
          <w:rFonts w:ascii="Roboto Light" w:hAnsi="Roboto Light"/>
        </w:rPr>
        <w:t>for</w:t>
      </w:r>
      <w:r w:rsidRPr="00FE4BF2">
        <w:rPr>
          <w:rFonts w:ascii="Roboto Light" w:hAnsi="Roboto Light"/>
        </w:rPr>
        <w:t xml:space="preserve"> the </w:t>
      </w:r>
      <w:r>
        <w:rPr>
          <w:rFonts w:ascii="Roboto Light" w:hAnsi="Roboto Light"/>
        </w:rPr>
        <w:t xml:space="preserve">low latency intermediates and so to the </w:t>
      </w:r>
      <w:r w:rsidRPr="00FE4BF2">
        <w:rPr>
          <w:rFonts w:ascii="Roboto Light" w:hAnsi="Roboto Light"/>
        </w:rPr>
        <w:t xml:space="preserve">operators of the market-place. </w:t>
      </w:r>
      <w:r>
        <w:rPr>
          <w:rFonts w:ascii="Roboto Light" w:hAnsi="Roboto Light"/>
        </w:rPr>
        <w:t xml:space="preserve">Under such an analysis, choice and competition between </w:t>
      </w:r>
      <w:r w:rsidRPr="00FE4BF2">
        <w:rPr>
          <w:rFonts w:ascii="Roboto Light" w:hAnsi="Roboto Light"/>
        </w:rPr>
        <w:t xml:space="preserve">multiple CLOBs, different trading phases and most importantly different market places with evolving trading methodologies </w:t>
      </w:r>
      <w:r>
        <w:rPr>
          <w:rFonts w:ascii="Roboto Light" w:hAnsi="Roboto Light"/>
        </w:rPr>
        <w:t xml:space="preserve">as an anecdote </w:t>
      </w:r>
      <w:r w:rsidRPr="00FE4BF2">
        <w:rPr>
          <w:rFonts w:ascii="Roboto Light" w:hAnsi="Roboto Light"/>
        </w:rPr>
        <w:t xml:space="preserve">is precisely the optimal and sought-after outcome. It remains apparent that the super-normal returns </w:t>
      </w:r>
      <w:r>
        <w:rPr>
          <w:rFonts w:ascii="Roboto Light" w:hAnsi="Roboto Light"/>
        </w:rPr>
        <w:t xml:space="preserve">and/or share prices </w:t>
      </w:r>
      <w:r w:rsidRPr="00FE4BF2">
        <w:rPr>
          <w:rFonts w:ascii="Roboto Light" w:hAnsi="Roboto Light"/>
        </w:rPr>
        <w:t xml:space="preserve">accruing to </w:t>
      </w:r>
      <w:r>
        <w:rPr>
          <w:rFonts w:ascii="Roboto Light" w:hAnsi="Roboto Light"/>
        </w:rPr>
        <w:t xml:space="preserve">both agents of </w:t>
      </w:r>
      <w:r w:rsidRPr="00FE4BF2">
        <w:rPr>
          <w:rFonts w:ascii="Roboto Light" w:hAnsi="Roboto Light"/>
        </w:rPr>
        <w:t xml:space="preserve">low-latency arbitrage and </w:t>
      </w:r>
      <w:r>
        <w:rPr>
          <w:rFonts w:ascii="Roboto Light" w:hAnsi="Roboto Light"/>
        </w:rPr>
        <w:t xml:space="preserve">to the exchange operators </w:t>
      </w:r>
      <w:r w:rsidRPr="00FE4BF2">
        <w:rPr>
          <w:rFonts w:ascii="Roboto Light" w:hAnsi="Roboto Light"/>
        </w:rPr>
        <w:t xml:space="preserve">is a likely flag that this process remains immature even 12 years </w:t>
      </w:r>
      <w:r>
        <w:rPr>
          <w:rFonts w:ascii="Roboto Light" w:hAnsi="Roboto Light"/>
        </w:rPr>
        <w:t>after the book was published</w:t>
      </w:r>
      <w:r w:rsidRPr="00FE4BF2">
        <w:rPr>
          <w:rFonts w:ascii="Roboto Light" w:hAnsi="Roboto Light"/>
        </w:rPr>
        <w:t xml:space="preserve">. </w:t>
      </w:r>
    </w:p>
    <w:p w14:paraId="043094CD" w14:textId="77777777" w:rsidR="00A46839" w:rsidRPr="00FE4BF2" w:rsidRDefault="00A46839" w:rsidP="00A46839">
      <w:pPr>
        <w:spacing w:before="100" w:beforeAutospacing="1" w:after="100" w:afterAutospacing="1" w:line="240" w:lineRule="auto"/>
        <w:rPr>
          <w:rFonts w:ascii="Roboto Light" w:hAnsi="Roboto Light"/>
        </w:rPr>
      </w:pPr>
      <w:r w:rsidRPr="00FE4BF2">
        <w:rPr>
          <w:rFonts w:ascii="Roboto Light" w:hAnsi="Roboto Light"/>
        </w:rPr>
        <w:t xml:space="preserve">Nevertheless, this does not mean that European equity markets are currently inefficient nor failing in their market structure in comparison to those in the US. Indeed, were </w:t>
      </w:r>
      <w:r>
        <w:rPr>
          <w:rFonts w:ascii="Roboto Light" w:hAnsi="Roboto Light"/>
        </w:rPr>
        <w:t xml:space="preserve">wider and thus </w:t>
      </w:r>
      <w:r w:rsidRPr="00FE4BF2">
        <w:rPr>
          <w:rFonts w:ascii="Roboto Light" w:hAnsi="Roboto Light"/>
        </w:rPr>
        <w:t xml:space="preserve">better data-sets to have been </w:t>
      </w:r>
      <w:r>
        <w:rPr>
          <w:rFonts w:ascii="Roboto Light" w:hAnsi="Roboto Light"/>
        </w:rPr>
        <w:t>added to the call for evidence by</w:t>
      </w:r>
      <w:r w:rsidRPr="00FE4BF2">
        <w:rPr>
          <w:rFonts w:ascii="Roboto Light" w:hAnsi="Roboto Light"/>
        </w:rPr>
        <w:t xml:space="preserve"> ESMA, not only the inclusion of UK and Swiss markets, but the wider trading of shares as set out by recent AFME papers, then the entire pre-text of Question 4 would </w:t>
      </w:r>
      <w:r>
        <w:rPr>
          <w:rFonts w:ascii="Roboto Light" w:hAnsi="Roboto Light"/>
        </w:rPr>
        <w:t>be called into question</w:t>
      </w:r>
      <w:r w:rsidRPr="00FE4BF2">
        <w:rPr>
          <w:rFonts w:ascii="Roboto Light" w:hAnsi="Roboto Light"/>
        </w:rPr>
        <w:t xml:space="preserve">. AFME’s argument </w:t>
      </w:r>
      <w:r>
        <w:rPr>
          <w:rFonts w:ascii="Roboto Light" w:hAnsi="Roboto Light"/>
        </w:rPr>
        <w:t xml:space="preserve">here </w:t>
      </w:r>
      <w:r w:rsidRPr="00FE4BF2">
        <w:rPr>
          <w:rFonts w:ascii="Roboto Light" w:hAnsi="Roboto Light"/>
        </w:rPr>
        <w:t>is that EU equity markets are “</w:t>
      </w:r>
      <w:r w:rsidRPr="00971DB8">
        <w:rPr>
          <w:rFonts w:ascii="Roboto Light" w:hAnsi="Roboto Light"/>
          <w:i/>
          <w:iCs/>
        </w:rPr>
        <w:t>hiddenly deep but poorly observed</w:t>
      </w:r>
      <w:r w:rsidRPr="00FE4BF2">
        <w:rPr>
          <w:rFonts w:ascii="Roboto Light" w:hAnsi="Roboto Light"/>
        </w:rPr>
        <w:t>” — with fragmentation and data opacity masking a much larger and more functional liquidity pool than headline metrics suggest. To recap this set of points, EU markets are deeper than they appear because:</w:t>
      </w:r>
      <w:r w:rsidRPr="00FE4BF2">
        <w:rPr>
          <w:rStyle w:val="FootnoteReference"/>
          <w:rFonts w:ascii="Roboto Light" w:hAnsi="Roboto Light"/>
        </w:rPr>
        <w:footnoteReference w:id="5"/>
      </w:r>
    </w:p>
    <w:p w14:paraId="56C91CC4" w14:textId="77777777" w:rsidR="00A46839" w:rsidRPr="00FE4BF2" w:rsidRDefault="00A46839" w:rsidP="00A46839">
      <w:pPr>
        <w:pStyle w:val="ListParagraph"/>
        <w:numPr>
          <w:ilvl w:val="0"/>
          <w:numId w:val="35"/>
        </w:numPr>
        <w:spacing w:before="100" w:beforeAutospacing="1" w:after="100" w:afterAutospacing="1" w:line="240" w:lineRule="auto"/>
        <w:contextualSpacing/>
        <w:jc w:val="left"/>
        <w:rPr>
          <w:rFonts w:ascii="Roboto Light" w:hAnsi="Roboto Light"/>
          <w:lang w:val="en-GB"/>
        </w:rPr>
      </w:pPr>
      <w:r w:rsidRPr="00FE4BF2">
        <w:rPr>
          <w:rFonts w:ascii="Roboto Light" w:hAnsi="Roboto Light"/>
          <w:lang w:val="en-GB"/>
        </w:rPr>
        <w:t>Liquidity is fragmented across many venues (not centrally visible)</w:t>
      </w:r>
    </w:p>
    <w:p w14:paraId="7C61700E" w14:textId="77777777" w:rsidR="00A46839" w:rsidRPr="00FE4BF2" w:rsidRDefault="00A46839" w:rsidP="00A46839">
      <w:pPr>
        <w:pStyle w:val="ListParagraph"/>
        <w:numPr>
          <w:ilvl w:val="0"/>
          <w:numId w:val="35"/>
        </w:numPr>
        <w:spacing w:before="100" w:beforeAutospacing="1" w:after="100" w:afterAutospacing="1" w:line="240" w:lineRule="auto"/>
        <w:contextualSpacing/>
        <w:jc w:val="left"/>
        <w:rPr>
          <w:rFonts w:ascii="Roboto Light" w:hAnsi="Roboto Light"/>
          <w:lang w:val="en-GB"/>
        </w:rPr>
      </w:pPr>
      <w:r w:rsidRPr="00FE4BF2">
        <w:rPr>
          <w:rFonts w:ascii="Roboto Light" w:hAnsi="Roboto Light"/>
          <w:lang w:val="en-GB"/>
        </w:rPr>
        <w:t>Off‑exchange trading is substantial and economically meaningful</w:t>
      </w:r>
    </w:p>
    <w:p w14:paraId="4114B5A8" w14:textId="77777777" w:rsidR="00A46839" w:rsidRPr="00FE4BF2" w:rsidRDefault="00A46839" w:rsidP="00A46839">
      <w:pPr>
        <w:pStyle w:val="ListParagraph"/>
        <w:numPr>
          <w:ilvl w:val="0"/>
          <w:numId w:val="35"/>
        </w:numPr>
        <w:spacing w:before="100" w:beforeAutospacing="1" w:after="100" w:afterAutospacing="1" w:line="240" w:lineRule="auto"/>
        <w:contextualSpacing/>
        <w:jc w:val="left"/>
        <w:rPr>
          <w:rFonts w:ascii="Roboto Light" w:hAnsi="Roboto Light"/>
          <w:lang w:val="en-GB"/>
        </w:rPr>
      </w:pPr>
      <w:r w:rsidRPr="00FE4BF2">
        <w:rPr>
          <w:rFonts w:ascii="Roboto Light" w:hAnsi="Roboto Light"/>
          <w:lang w:val="en-GB"/>
        </w:rPr>
        <w:t>Raw data can misrepresent real liquidity (technical trades vs addressable liquidity)</w:t>
      </w:r>
    </w:p>
    <w:p w14:paraId="5289CF83" w14:textId="77777777" w:rsidR="00A46839" w:rsidRPr="00FE4BF2" w:rsidRDefault="00A46839" w:rsidP="00A46839">
      <w:pPr>
        <w:pStyle w:val="ListParagraph"/>
        <w:numPr>
          <w:ilvl w:val="0"/>
          <w:numId w:val="35"/>
        </w:numPr>
        <w:spacing w:before="100" w:beforeAutospacing="1" w:after="100" w:afterAutospacing="1" w:line="240" w:lineRule="auto"/>
        <w:contextualSpacing/>
        <w:jc w:val="left"/>
        <w:rPr>
          <w:rFonts w:ascii="Roboto Light" w:hAnsi="Roboto Light"/>
          <w:lang w:val="en-GB"/>
        </w:rPr>
      </w:pPr>
      <w:r w:rsidRPr="00FE4BF2">
        <w:rPr>
          <w:rFonts w:ascii="Roboto Light" w:hAnsi="Roboto Light"/>
          <w:lang w:val="en-GB"/>
        </w:rPr>
        <w:t>US comparisons are skewed by mega-cap concentration</w:t>
      </w:r>
    </w:p>
    <w:p w14:paraId="0BEABA7F" w14:textId="77777777" w:rsidR="00A46839" w:rsidRPr="00FE4BF2" w:rsidRDefault="00A46839" w:rsidP="00A46839">
      <w:pPr>
        <w:pStyle w:val="ListParagraph"/>
        <w:numPr>
          <w:ilvl w:val="0"/>
          <w:numId w:val="35"/>
        </w:numPr>
        <w:spacing w:before="100" w:beforeAutospacing="1" w:after="100" w:afterAutospacing="1" w:line="240" w:lineRule="auto"/>
        <w:contextualSpacing/>
        <w:jc w:val="left"/>
        <w:rPr>
          <w:rFonts w:ascii="Roboto Light" w:hAnsi="Roboto Light"/>
          <w:lang w:val="en-GB"/>
        </w:rPr>
      </w:pPr>
      <w:r w:rsidRPr="00FE4BF2">
        <w:rPr>
          <w:rFonts w:ascii="Roboto Light" w:hAnsi="Roboto Light"/>
          <w:lang w:val="en-GB"/>
        </w:rPr>
        <w:t>Lack of a consolidated tape obscures the full picture</w:t>
      </w:r>
    </w:p>
    <w:p w14:paraId="47014ED0" w14:textId="77777777" w:rsidR="00A46839" w:rsidRPr="00FE4BF2" w:rsidRDefault="00A46839" w:rsidP="00A46839">
      <w:pPr>
        <w:spacing w:before="100" w:beforeAutospacing="1" w:after="100" w:afterAutospacing="1" w:line="240" w:lineRule="auto"/>
        <w:rPr>
          <w:rFonts w:ascii="Roboto Light" w:hAnsi="Roboto Light"/>
        </w:rPr>
      </w:pPr>
      <w:r w:rsidRPr="00FE4BF2">
        <w:rPr>
          <w:rFonts w:ascii="Roboto Light" w:hAnsi="Roboto Light"/>
        </w:rPr>
        <w:t xml:space="preserve">In this context, it would be helpful to observe the ESMA production of an equivalent chart focused specifically on addressable </w:t>
      </w:r>
      <w:r>
        <w:rPr>
          <w:rFonts w:ascii="Roboto Light" w:hAnsi="Roboto Light"/>
        </w:rPr>
        <w:t xml:space="preserve">and/or accessible </w:t>
      </w:r>
      <w:r w:rsidRPr="00FE4BF2">
        <w:rPr>
          <w:rFonts w:ascii="Roboto Light" w:hAnsi="Roboto Light"/>
        </w:rPr>
        <w:t>liquidity across all of Europe beyond the EU.</w:t>
      </w:r>
    </w:p>
    <w:p w14:paraId="18394FA4" w14:textId="77777777" w:rsidR="00A46839" w:rsidRDefault="00A46839" w:rsidP="00A46839">
      <w:pPr>
        <w:spacing w:before="100" w:beforeAutospacing="1" w:after="100" w:afterAutospacing="1" w:line="240" w:lineRule="auto"/>
        <w:rPr>
          <w:rFonts w:ascii="Roboto Light" w:hAnsi="Roboto Light"/>
        </w:rPr>
      </w:pPr>
      <w:r>
        <w:rPr>
          <w:rFonts w:ascii="Roboto Light" w:hAnsi="Roboto Light"/>
        </w:rPr>
        <w:t xml:space="preserve">To this end, </w:t>
      </w:r>
      <w:r w:rsidRPr="00007E06">
        <w:rPr>
          <w:rFonts w:ascii="Roboto Light" w:hAnsi="Roboto Light"/>
        </w:rPr>
        <w:t xml:space="preserve">the delivery of a comprehensive consolidated tape (CT) </w:t>
      </w:r>
      <w:r>
        <w:rPr>
          <w:rFonts w:ascii="Roboto Light" w:hAnsi="Roboto Light"/>
        </w:rPr>
        <w:t xml:space="preserve">shall likely </w:t>
      </w:r>
      <w:r w:rsidRPr="00007E06">
        <w:rPr>
          <w:rFonts w:ascii="Roboto Light" w:hAnsi="Roboto Light"/>
        </w:rPr>
        <w:t xml:space="preserve">provide </w:t>
      </w:r>
      <w:r>
        <w:rPr>
          <w:rFonts w:ascii="Roboto Light" w:hAnsi="Roboto Light"/>
        </w:rPr>
        <w:t xml:space="preserve">just such </w:t>
      </w:r>
      <w:r w:rsidRPr="00007E06">
        <w:rPr>
          <w:rFonts w:ascii="Roboto Light" w:hAnsi="Roboto Light"/>
        </w:rPr>
        <w:t>a</w:t>
      </w:r>
      <w:r>
        <w:rPr>
          <w:rFonts w:ascii="Roboto Light" w:hAnsi="Roboto Light"/>
        </w:rPr>
        <w:t xml:space="preserve"> </w:t>
      </w:r>
      <w:r w:rsidRPr="00007E06">
        <w:rPr>
          <w:rFonts w:ascii="Roboto Light" w:hAnsi="Roboto Light"/>
        </w:rPr>
        <w:t xml:space="preserve">comprehensive view of the </w:t>
      </w:r>
      <w:r w:rsidRPr="00FE4BF2">
        <w:rPr>
          <w:rFonts w:ascii="Roboto Light" w:hAnsi="Roboto Light"/>
        </w:rPr>
        <w:t xml:space="preserve">addressable </w:t>
      </w:r>
      <w:r>
        <w:rPr>
          <w:rFonts w:ascii="Roboto Light" w:hAnsi="Roboto Light"/>
        </w:rPr>
        <w:t xml:space="preserve">and/or accessible </w:t>
      </w:r>
      <w:r w:rsidRPr="00007E06">
        <w:rPr>
          <w:rFonts w:ascii="Roboto Light" w:hAnsi="Roboto Light"/>
        </w:rPr>
        <w:t>liquidity across different execution methods</w:t>
      </w:r>
      <w:r>
        <w:rPr>
          <w:rFonts w:ascii="Roboto Light" w:hAnsi="Roboto Light"/>
        </w:rPr>
        <w:t xml:space="preserve">. </w:t>
      </w:r>
      <w:r w:rsidRPr="00007E06">
        <w:rPr>
          <w:rFonts w:ascii="Roboto Light" w:hAnsi="Roboto Light"/>
        </w:rPr>
        <w:t>In this respect, it is important that an</w:t>
      </w:r>
      <w:r>
        <w:rPr>
          <w:rFonts w:ascii="Roboto Light" w:hAnsi="Roboto Light"/>
        </w:rPr>
        <w:t>y</w:t>
      </w:r>
      <w:r w:rsidRPr="00007E06">
        <w:rPr>
          <w:rFonts w:ascii="Roboto Light" w:hAnsi="Roboto Light"/>
        </w:rPr>
        <w:t xml:space="preserve"> </w:t>
      </w:r>
      <w:r>
        <w:rPr>
          <w:rFonts w:ascii="Roboto Light" w:hAnsi="Roboto Light"/>
        </w:rPr>
        <w:t xml:space="preserve">ongoing </w:t>
      </w:r>
      <w:r w:rsidRPr="00007E06">
        <w:rPr>
          <w:rFonts w:ascii="Roboto Light" w:hAnsi="Roboto Light"/>
        </w:rPr>
        <w:t>assessment</w:t>
      </w:r>
      <w:r>
        <w:rPr>
          <w:rFonts w:ascii="Roboto Light" w:hAnsi="Roboto Light"/>
        </w:rPr>
        <w:t>s</w:t>
      </w:r>
      <w:r w:rsidRPr="00007E06">
        <w:rPr>
          <w:rFonts w:ascii="Roboto Light" w:hAnsi="Roboto Light"/>
        </w:rPr>
        <w:t xml:space="preserve"> draw on the CT actual data. </w:t>
      </w:r>
    </w:p>
    <w:p w14:paraId="69B10464" w14:textId="77777777" w:rsidR="00A46839" w:rsidRPr="00FE4BF2" w:rsidRDefault="00A46839" w:rsidP="00A46839">
      <w:pPr>
        <w:spacing w:before="100" w:beforeAutospacing="1" w:after="100" w:afterAutospacing="1" w:line="240" w:lineRule="auto"/>
        <w:rPr>
          <w:rFonts w:ascii="Roboto Light" w:hAnsi="Roboto Light"/>
        </w:rPr>
      </w:pPr>
      <w:r w:rsidRPr="00007E06">
        <w:rPr>
          <w:rFonts w:ascii="Roboto Light" w:hAnsi="Roboto Light"/>
        </w:rPr>
        <w:t xml:space="preserve">  </w:t>
      </w:r>
    </w:p>
    <w:p w14:paraId="37E368FA" w14:textId="77777777" w:rsidR="003A33E5" w:rsidRDefault="003A33E5" w:rsidP="003A33E5">
      <w:r>
        <w:t>TYPE YOUR TEXT HERE</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325E9A2A" w14:textId="77777777" w:rsidR="002E3CD0" w:rsidRPr="00FE4BF2" w:rsidRDefault="002E3CD0" w:rsidP="002E3CD0">
      <w:pPr>
        <w:spacing w:before="100" w:beforeAutospacing="1" w:after="100" w:afterAutospacing="1" w:line="240" w:lineRule="auto"/>
        <w:rPr>
          <w:rFonts w:ascii="Roboto Light" w:hAnsi="Roboto Light"/>
        </w:rPr>
      </w:pPr>
      <w:permStart w:id="617826185" w:edGrp="everyone"/>
      <w:r w:rsidRPr="00FE4BF2">
        <w:rPr>
          <w:rFonts w:ascii="Roboto Light" w:hAnsi="Roboto Light"/>
        </w:rPr>
        <w:t xml:space="preserve">The underlying drivers concerning the choice of which execution venue and with which execution method to arrange and conclude trades have not fundamentally changed since the MiFID 2 framework, although evidently the technological tools and connectivity have evolved in the intervening decade. </w:t>
      </w:r>
    </w:p>
    <w:p w14:paraId="724D1525" w14:textId="77777777" w:rsidR="002E3CD0" w:rsidRPr="00FE4BF2" w:rsidRDefault="002E3CD0" w:rsidP="002E3CD0">
      <w:pPr>
        <w:spacing w:line="240" w:lineRule="auto"/>
        <w:rPr>
          <w:rFonts w:ascii="Roboto Light" w:hAnsi="Roboto Light"/>
        </w:rPr>
      </w:pPr>
      <w:r w:rsidRPr="00FE4BF2">
        <w:rPr>
          <w:rFonts w:ascii="Roboto Light" w:hAnsi="Roboto Light"/>
        </w:rPr>
        <w:t>For the avoidance of doubt these remain as the following factors:</w:t>
      </w:r>
    </w:p>
    <w:p w14:paraId="12312F1F"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Price</w:t>
      </w:r>
    </w:p>
    <w:p w14:paraId="03E96359"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The price at which the financial instrument is executed.</w:t>
      </w:r>
    </w:p>
    <w:p w14:paraId="2B9511D1"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Typically the most important factor for retail clients.</w:t>
      </w:r>
    </w:p>
    <w:p w14:paraId="10D95984"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Costs</w:t>
      </w:r>
    </w:p>
    <w:p w14:paraId="7D4BE794"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 xml:space="preserve">Includes all expenses directly related to execution: </w:t>
      </w:r>
    </w:p>
    <w:p w14:paraId="640015AB" w14:textId="77777777" w:rsidR="002E3CD0" w:rsidRPr="00FE4BF2" w:rsidRDefault="002E3CD0" w:rsidP="002E3CD0">
      <w:pPr>
        <w:numPr>
          <w:ilvl w:val="2"/>
          <w:numId w:val="36"/>
        </w:numPr>
        <w:spacing w:before="100" w:beforeAutospacing="1" w:after="100" w:afterAutospacing="1" w:line="240" w:lineRule="auto"/>
        <w:jc w:val="left"/>
        <w:rPr>
          <w:rFonts w:ascii="Roboto Light" w:hAnsi="Roboto Light"/>
        </w:rPr>
      </w:pPr>
      <w:r w:rsidRPr="00FE4BF2">
        <w:rPr>
          <w:rFonts w:ascii="Roboto Light" w:hAnsi="Roboto Light"/>
        </w:rPr>
        <w:t>Execution venue fees</w:t>
      </w:r>
    </w:p>
    <w:p w14:paraId="724C3987" w14:textId="77777777" w:rsidR="002E3CD0" w:rsidRPr="00FE4BF2" w:rsidRDefault="002E3CD0" w:rsidP="002E3CD0">
      <w:pPr>
        <w:numPr>
          <w:ilvl w:val="2"/>
          <w:numId w:val="36"/>
        </w:numPr>
        <w:spacing w:before="100" w:beforeAutospacing="1" w:after="100" w:afterAutospacing="1" w:line="240" w:lineRule="auto"/>
        <w:jc w:val="left"/>
        <w:rPr>
          <w:rFonts w:ascii="Roboto Light" w:hAnsi="Roboto Light"/>
        </w:rPr>
      </w:pPr>
      <w:r w:rsidRPr="00FE4BF2">
        <w:rPr>
          <w:rFonts w:ascii="Roboto Light" w:hAnsi="Roboto Light"/>
        </w:rPr>
        <w:t>Clearing and settlement costs</w:t>
      </w:r>
    </w:p>
    <w:p w14:paraId="7147EC45" w14:textId="77777777" w:rsidR="002E3CD0" w:rsidRPr="00FE4BF2" w:rsidRDefault="002E3CD0" w:rsidP="002E3CD0">
      <w:pPr>
        <w:numPr>
          <w:ilvl w:val="2"/>
          <w:numId w:val="36"/>
        </w:numPr>
        <w:spacing w:before="100" w:beforeAutospacing="1" w:after="100" w:afterAutospacing="1" w:line="240" w:lineRule="auto"/>
        <w:jc w:val="left"/>
        <w:rPr>
          <w:rFonts w:ascii="Roboto Light" w:hAnsi="Roboto Light"/>
        </w:rPr>
      </w:pPr>
      <w:r w:rsidRPr="00FE4BF2">
        <w:rPr>
          <w:rFonts w:ascii="Roboto Light" w:hAnsi="Roboto Light"/>
        </w:rPr>
        <w:t>Taxes</w:t>
      </w:r>
    </w:p>
    <w:p w14:paraId="6F40198F" w14:textId="77777777" w:rsidR="002E3CD0" w:rsidRPr="00FE4BF2" w:rsidRDefault="002E3CD0" w:rsidP="002E3CD0">
      <w:pPr>
        <w:numPr>
          <w:ilvl w:val="2"/>
          <w:numId w:val="36"/>
        </w:numPr>
        <w:spacing w:before="100" w:beforeAutospacing="1" w:after="100" w:afterAutospacing="1" w:line="240" w:lineRule="auto"/>
        <w:jc w:val="left"/>
        <w:rPr>
          <w:rFonts w:ascii="Roboto Light" w:hAnsi="Roboto Light"/>
        </w:rPr>
      </w:pPr>
      <w:r w:rsidRPr="00FE4BF2">
        <w:rPr>
          <w:rFonts w:ascii="Roboto Light" w:hAnsi="Roboto Light"/>
        </w:rPr>
        <w:t>Broker commissions</w:t>
      </w:r>
    </w:p>
    <w:p w14:paraId="092184F4"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Speed</w:t>
      </w:r>
    </w:p>
    <w:p w14:paraId="65F63DCF"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How quickly the order can be executed.</w:t>
      </w:r>
    </w:p>
    <w:p w14:paraId="32AE1EBE"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Particularly relevant in volatile or fast-moving markets.</w:t>
      </w:r>
    </w:p>
    <w:p w14:paraId="5CDE321E"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Likelihood of Execution</w:t>
      </w:r>
    </w:p>
    <w:p w14:paraId="53359398"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The probability that the order will actually be filled.</w:t>
      </w:r>
    </w:p>
    <w:p w14:paraId="496C213C"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Important for illiquid instruments or large orders.</w:t>
      </w:r>
    </w:p>
    <w:p w14:paraId="5443CDAB"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Likelihood of Settlement</w:t>
      </w:r>
    </w:p>
    <w:p w14:paraId="4835EEEA"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The probability that the transaction will successfully settle after execution.</w:t>
      </w:r>
    </w:p>
    <w:p w14:paraId="581B6005" w14:textId="77777777" w:rsidR="002E3CD0" w:rsidRPr="00FE4BF2" w:rsidRDefault="002E3CD0" w:rsidP="002E3CD0">
      <w:pPr>
        <w:numPr>
          <w:ilvl w:val="0"/>
          <w:numId w:val="36"/>
        </w:numPr>
        <w:spacing w:before="100" w:beforeAutospacing="1" w:after="100" w:afterAutospacing="1" w:line="240" w:lineRule="auto"/>
        <w:jc w:val="left"/>
        <w:rPr>
          <w:rFonts w:ascii="Roboto Light" w:hAnsi="Roboto Light"/>
        </w:rPr>
      </w:pPr>
      <w:r w:rsidRPr="00FE4BF2">
        <w:rPr>
          <w:rFonts w:ascii="Roboto Light" w:hAnsi="Roboto Light"/>
          <w:b/>
          <w:bCs/>
        </w:rPr>
        <w:t>Size</w:t>
      </w:r>
    </w:p>
    <w:p w14:paraId="2D3F97EE"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The volume of the order.</w:t>
      </w:r>
    </w:p>
    <w:p w14:paraId="7BB43F74" w14:textId="77777777" w:rsidR="002E3CD0" w:rsidRPr="00FE4BF2" w:rsidRDefault="002E3CD0" w:rsidP="002E3CD0">
      <w:pPr>
        <w:numPr>
          <w:ilvl w:val="1"/>
          <w:numId w:val="36"/>
        </w:numPr>
        <w:spacing w:before="100" w:beforeAutospacing="1" w:after="100" w:afterAutospacing="1" w:line="240" w:lineRule="auto"/>
        <w:jc w:val="left"/>
        <w:rPr>
          <w:rFonts w:ascii="Roboto Light" w:hAnsi="Roboto Light"/>
        </w:rPr>
      </w:pPr>
      <w:r w:rsidRPr="00FE4BF2">
        <w:rPr>
          <w:rFonts w:ascii="Roboto Light" w:hAnsi="Roboto Light"/>
        </w:rPr>
        <w:t>Large orders may impact market price or execution strategy.</w:t>
      </w:r>
    </w:p>
    <w:p w14:paraId="4CF3359C" w14:textId="77777777" w:rsidR="002E3CD0" w:rsidRPr="00FE4BF2" w:rsidRDefault="002E3CD0" w:rsidP="002E3CD0">
      <w:pPr>
        <w:spacing w:before="100" w:beforeAutospacing="1" w:after="100" w:afterAutospacing="1" w:line="240" w:lineRule="auto"/>
        <w:rPr>
          <w:rFonts w:ascii="Roboto Light" w:hAnsi="Roboto Light"/>
        </w:rPr>
      </w:pPr>
      <w:r w:rsidRPr="00FE4BF2">
        <w:rPr>
          <w:rFonts w:ascii="Roboto Light" w:hAnsi="Roboto Light"/>
        </w:rPr>
        <w:t xml:space="preserve">Evidently changes in both technology, the relative costs and in the market dynamics have led these same factors to elicit different outcomes. Principally, as made clear in the evidence paper,  the provision of choice has enabled a levelling up, or a plurality of the various execution venues and methods in order to suit the needs of the market participants. Clearly at the heart of this move is the growth of wholesale trade arrangements in a manner that avoids latency and semantic arbitrage or front-running by high frequency and algorithmic speculative accounts in a manner that often amounts to an execution friction or cost. </w:t>
      </w:r>
    </w:p>
    <w:p w14:paraId="295C6DE0" w14:textId="77777777" w:rsidR="002E3CD0" w:rsidRPr="00FE4BF2" w:rsidRDefault="002E3CD0" w:rsidP="002E3CD0">
      <w:pPr>
        <w:spacing w:before="100" w:beforeAutospacing="1" w:after="100" w:afterAutospacing="1" w:line="240" w:lineRule="auto"/>
        <w:rPr>
          <w:rFonts w:ascii="Roboto Light" w:hAnsi="Roboto Light"/>
        </w:rPr>
      </w:pPr>
    </w:p>
    <w:p w14:paraId="001B0622" w14:textId="77777777" w:rsidR="003A33E5" w:rsidRDefault="003A33E5" w:rsidP="003A33E5">
      <w:r>
        <w:t>TYPE YOUR TEXT HERE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11423756" w14:textId="77777777" w:rsidR="00833E5F" w:rsidRPr="00FE4BF2" w:rsidRDefault="00833E5F" w:rsidP="00833E5F">
      <w:pPr>
        <w:spacing w:before="100" w:beforeAutospacing="1" w:after="100" w:afterAutospacing="1" w:line="240" w:lineRule="auto"/>
        <w:rPr>
          <w:rFonts w:ascii="Roboto Light" w:hAnsi="Roboto Light"/>
        </w:rPr>
      </w:pPr>
      <w:permStart w:id="1898151376" w:edGrp="everyone"/>
      <w:r w:rsidRPr="00FE4BF2">
        <w:rPr>
          <w:rFonts w:ascii="Roboto Light" w:hAnsi="Roboto Light"/>
        </w:rPr>
        <w:t xml:space="preserve">As operators of trading venues and wholesale intermediaries we note that there are no material technical barriers for institutional customers to access liquidity, but clearly there are a number of commercial and regulatory barriers to member firms acting as arrangers. </w:t>
      </w:r>
    </w:p>
    <w:p w14:paraId="3451A74C" w14:textId="77777777" w:rsidR="00833E5F" w:rsidRPr="00FE4BF2" w:rsidRDefault="00833E5F" w:rsidP="00833E5F">
      <w:pPr>
        <w:spacing w:before="100" w:beforeAutospacing="1" w:after="100" w:afterAutospacing="1" w:line="240" w:lineRule="auto"/>
        <w:rPr>
          <w:rFonts w:ascii="Roboto Light" w:hAnsi="Roboto Light"/>
        </w:rPr>
      </w:pPr>
      <w:r w:rsidRPr="00FE4BF2">
        <w:rPr>
          <w:rFonts w:ascii="Roboto Light" w:hAnsi="Roboto Light"/>
        </w:rPr>
        <w:t xml:space="preserve">First and foremost is the MiFIR exclusion for OTFs to admit equities on a rationale spuriously based on “Broker Crossing Networks” that existed in a different part of the industry some two decades ago. </w:t>
      </w:r>
    </w:p>
    <w:p w14:paraId="3B8BEC45" w14:textId="77777777" w:rsidR="00833E5F" w:rsidRPr="00FE4BF2" w:rsidRDefault="00833E5F" w:rsidP="00833E5F">
      <w:pPr>
        <w:spacing w:before="100" w:beforeAutospacing="1" w:after="100" w:afterAutospacing="1" w:line="240" w:lineRule="auto"/>
        <w:rPr>
          <w:rFonts w:ascii="Roboto Light" w:hAnsi="Roboto Light"/>
        </w:rPr>
      </w:pPr>
      <w:r w:rsidRPr="00FE4BF2">
        <w:rPr>
          <w:rFonts w:ascii="Roboto Light" w:hAnsi="Roboto Light"/>
        </w:rPr>
        <w:t xml:space="preserve">Second are the related MiFID2 rules which prohibit direct venue-to-venue interaction, which results in the required interposition of Investment Firms in a such a way increases complexity and costs and decreases choice. </w:t>
      </w:r>
    </w:p>
    <w:p w14:paraId="01F3EEDC" w14:textId="77777777" w:rsidR="00833E5F" w:rsidRPr="00FE4BF2" w:rsidRDefault="00833E5F" w:rsidP="00833E5F">
      <w:pPr>
        <w:spacing w:before="100" w:beforeAutospacing="1" w:after="100" w:afterAutospacing="1" w:line="240" w:lineRule="auto"/>
        <w:rPr>
          <w:rFonts w:ascii="Roboto Light" w:hAnsi="Roboto Light"/>
        </w:rPr>
      </w:pPr>
      <w:r w:rsidRPr="00FE4BF2">
        <w:rPr>
          <w:rFonts w:ascii="Roboto Light" w:hAnsi="Roboto Light"/>
        </w:rPr>
        <w:t xml:space="preserve">The third notable barrier is access to post-trade infrastructures within exchange vertical siloes, this is most evident in relation to equity derivatives where both fee and technology barriers have been progressively overlaid and increased at the tier-one venues for the arrangers of block-trades and packages. </w:t>
      </w:r>
      <w:r>
        <w:rPr>
          <w:rFonts w:ascii="Roboto Light" w:hAnsi="Roboto Light"/>
        </w:rPr>
        <w:t>So for t</w:t>
      </w:r>
      <w:r w:rsidRPr="003B5D95">
        <w:rPr>
          <w:rFonts w:ascii="Roboto Light" w:hAnsi="Roboto Light"/>
        </w:rPr>
        <w:t>he structural factors which do remain</w:t>
      </w:r>
      <w:r>
        <w:rPr>
          <w:rFonts w:ascii="Roboto Light" w:hAnsi="Roboto Light"/>
        </w:rPr>
        <w:t xml:space="preserve">, </w:t>
      </w:r>
      <w:r w:rsidRPr="003B5D95">
        <w:rPr>
          <w:rFonts w:ascii="Roboto Light" w:hAnsi="Roboto Light"/>
        </w:rPr>
        <w:t xml:space="preserve">these are </w:t>
      </w:r>
      <w:r>
        <w:rPr>
          <w:rFonts w:ascii="Roboto Light" w:hAnsi="Roboto Light"/>
        </w:rPr>
        <w:t>centred on exchange soloes, open access</w:t>
      </w:r>
      <w:r w:rsidRPr="003B5D95">
        <w:rPr>
          <w:rFonts w:ascii="Roboto Light" w:hAnsi="Roboto Light"/>
        </w:rPr>
        <w:t xml:space="preserve"> </w:t>
      </w:r>
      <w:r>
        <w:rPr>
          <w:rFonts w:ascii="Roboto Light" w:hAnsi="Roboto Light"/>
        </w:rPr>
        <w:t xml:space="preserve">and </w:t>
      </w:r>
      <w:r w:rsidRPr="003B5D95">
        <w:rPr>
          <w:rFonts w:ascii="Roboto Light" w:hAnsi="Roboto Light"/>
        </w:rPr>
        <w:t>to clearing house interoperability.</w:t>
      </w:r>
    </w:p>
    <w:p w14:paraId="061F0E98" w14:textId="77777777" w:rsidR="00833E5F" w:rsidRPr="00FE4BF2" w:rsidRDefault="00833E5F" w:rsidP="00833E5F">
      <w:pPr>
        <w:spacing w:before="100" w:beforeAutospacing="1" w:after="100" w:afterAutospacing="1" w:line="240" w:lineRule="auto"/>
        <w:rPr>
          <w:rFonts w:ascii="Roboto Light" w:hAnsi="Roboto Light"/>
        </w:rPr>
      </w:pPr>
      <w:r w:rsidRPr="00FE4BF2">
        <w:rPr>
          <w:rFonts w:ascii="Roboto Light" w:hAnsi="Roboto Light"/>
        </w:rPr>
        <w:t xml:space="preserve">Recent moves related to both the MiFIR Review and the policies towards strategic autonomy have hindered access to third country venues for EU market participants. We note this recent letter to ESMA on the topic: </w:t>
      </w:r>
      <w:hyperlink r:id="rId20" w:history="1">
        <w:r w:rsidRPr="00FE4BF2">
          <w:rPr>
            <w:rStyle w:val="Hyperlink"/>
            <w:rFonts w:ascii="Roboto Light" w:hAnsi="Roboto Light"/>
          </w:rPr>
          <w:t>EVIA Letter to ESMA; Concerns and Unintended Consequences from the ESMA rewrite of the Guidance around the Multilateral Perimeter; 25June2026.pdf</w:t>
        </w:r>
      </w:hyperlink>
    </w:p>
    <w:p w14:paraId="707F9830" w14:textId="77777777" w:rsidR="00833E5F" w:rsidRPr="00FE4BF2" w:rsidRDefault="00833E5F" w:rsidP="00833E5F">
      <w:pPr>
        <w:spacing w:before="100" w:beforeAutospacing="1" w:after="100" w:afterAutospacing="1" w:line="240" w:lineRule="auto"/>
        <w:rPr>
          <w:rFonts w:ascii="Roboto Light" w:hAnsi="Roboto Light"/>
        </w:rPr>
      </w:pPr>
      <w:r w:rsidRPr="00FE4BF2">
        <w:rPr>
          <w:rFonts w:ascii="Roboto Light" w:hAnsi="Roboto Light"/>
        </w:rPr>
        <w:t>Clearly both equity derivatives and ETFs have been pillars of growth over the past decade of MiFID 2. Therefore we also flag the absence of any capability or capacity for either the posting of cleared open-interest in equity derivatives, nor any moves towards interoperability beyond that small amount offered for cash equities back at the outset of MiFID 2 in 2017.</w:t>
      </w:r>
    </w:p>
    <w:p w14:paraId="69FE5865" w14:textId="77777777" w:rsidR="00833E5F" w:rsidRPr="00FE4BF2" w:rsidRDefault="00833E5F" w:rsidP="00833E5F">
      <w:pPr>
        <w:spacing w:before="100" w:beforeAutospacing="1" w:after="100" w:afterAutospacing="1" w:line="240" w:lineRule="auto"/>
        <w:rPr>
          <w:rFonts w:ascii="Roboto Light" w:hAnsi="Roboto Light"/>
        </w:rPr>
      </w:pPr>
    </w:p>
    <w:p w14:paraId="539AAB43" w14:textId="77777777" w:rsidR="003A33E5" w:rsidRDefault="003A33E5" w:rsidP="003A33E5">
      <w:r>
        <w:t>TYPE YOUR TEXT HERE</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lastRenderedPageBreak/>
        <w:t>If you are an issuer, how do you see these market developments? Do you consider this an attractive environment for listing? If not, why?</w:t>
      </w:r>
    </w:p>
    <w:p w14:paraId="3DA0F11E" w14:textId="32ACDC18" w:rsidR="1DD76949" w:rsidRDefault="1DD76949">
      <w:r>
        <w:t>&lt;ESMA_QUESTION_MSEM_7&gt;</w:t>
      </w:r>
    </w:p>
    <w:p w14:paraId="26CF482F" w14:textId="77777777" w:rsidR="00513417" w:rsidRPr="00FE4BF2" w:rsidRDefault="00513417" w:rsidP="00513417">
      <w:pPr>
        <w:spacing w:before="100" w:beforeAutospacing="1" w:after="100" w:afterAutospacing="1" w:line="240" w:lineRule="auto"/>
        <w:rPr>
          <w:rFonts w:ascii="Roboto Light" w:hAnsi="Roboto Light"/>
        </w:rPr>
      </w:pPr>
      <w:permStart w:id="1102657477" w:edGrp="everyone"/>
      <w:r w:rsidRPr="00FE4BF2">
        <w:rPr>
          <w:rFonts w:ascii="Roboto Light" w:hAnsi="Roboto Light"/>
        </w:rPr>
        <w:t>We are not issuers.</w:t>
      </w:r>
    </w:p>
    <w:p w14:paraId="7A75D0EE" w14:textId="3C3C88AF" w:rsidR="005439CE" w:rsidRDefault="005439CE" w:rsidP="005439CE">
      <w:r>
        <w:t>TYPE 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2F6AD8C3" w14:textId="77777777" w:rsidR="00C56DEF" w:rsidRPr="00FE4BF2" w:rsidRDefault="00C56DEF" w:rsidP="00C56DEF">
      <w:pPr>
        <w:spacing w:before="100" w:beforeAutospacing="1" w:after="100" w:afterAutospacing="1" w:line="240" w:lineRule="auto"/>
        <w:rPr>
          <w:rFonts w:ascii="Roboto Light" w:hAnsi="Roboto Light"/>
        </w:rPr>
      </w:pPr>
      <w:permStart w:id="1746406015" w:edGrp="everyone"/>
      <w:r w:rsidRPr="00FE4BF2">
        <w:rPr>
          <w:rFonts w:ascii="Roboto Light" w:hAnsi="Roboto Light"/>
        </w:rPr>
        <w:t>We draw very few conclusions from the distribution of liquidity across EEA ISINs as set out in chapter 3.3 because the reporting has likely been developed differently between larger trading regimes and the others in a manner that reflects particular national issues and casts doubt on the efficacy of the data quality.  For instance the prevalence of fund administrators in Luxembourg and Ireland is a clear facet behind the higher share of OTC trading and the likely widespread duplication of reporting along the horizontal trading chain.</w:t>
      </w:r>
    </w:p>
    <w:p w14:paraId="1A77713C" w14:textId="77777777" w:rsidR="003A33E5" w:rsidRDefault="003A33E5" w:rsidP="003A33E5">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CF1518" w14:textId="77777777" w:rsidR="00672D1E" w:rsidRDefault="00672D1E" w:rsidP="00672D1E">
      <w:pPr>
        <w:spacing w:before="100" w:beforeAutospacing="1" w:after="100" w:afterAutospacing="1" w:line="240" w:lineRule="auto"/>
        <w:rPr>
          <w:rFonts w:ascii="Roboto Light" w:hAnsi="Roboto Light"/>
        </w:rPr>
      </w:pPr>
      <w:permStart w:id="648821160" w:edGrp="everyone"/>
      <w:r w:rsidRPr="00FE4BF2">
        <w:rPr>
          <w:rFonts w:ascii="Roboto Light" w:hAnsi="Roboto Light"/>
        </w:rPr>
        <w:t xml:space="preserve">We understand “dark trading” to be on-venue executions made predominantly under the LIS waiver deferrals and otherwise regulatory compliant and transparent. This is the common mode for member firms to arrange and execute wholesale business, whether on their own MTFs or through third-party exchange block trading facilities. </w:t>
      </w:r>
    </w:p>
    <w:p w14:paraId="5F6930EE" w14:textId="77777777" w:rsidR="00672D1E" w:rsidRDefault="00672D1E" w:rsidP="00672D1E">
      <w:pPr>
        <w:spacing w:before="100" w:beforeAutospacing="1" w:after="100" w:afterAutospacing="1" w:line="240" w:lineRule="auto"/>
        <w:rPr>
          <w:rFonts w:ascii="Roboto Light" w:hAnsi="Roboto Light"/>
        </w:rPr>
      </w:pPr>
      <w:r>
        <w:rPr>
          <w:rFonts w:ascii="Roboto Light" w:hAnsi="Roboto Light"/>
        </w:rPr>
        <w:t>D</w:t>
      </w:r>
      <w:r w:rsidRPr="00E51D7A">
        <w:rPr>
          <w:rFonts w:ascii="Roboto Light" w:hAnsi="Roboto Light"/>
        </w:rPr>
        <w:t>ark trading is a limited share of overall market volume and the total footprint remains small compared to other execution venues and methods.</w:t>
      </w:r>
      <w:r>
        <w:rPr>
          <w:rFonts w:ascii="Roboto Light" w:hAnsi="Roboto Light"/>
        </w:rPr>
        <w:t xml:space="preserve"> I</w:t>
      </w:r>
      <w:r w:rsidRPr="004C132F">
        <w:rPr>
          <w:rFonts w:ascii="Roboto Light" w:hAnsi="Roboto Light"/>
        </w:rPr>
        <w:t>t offers regulate</w:t>
      </w:r>
      <w:r>
        <w:rPr>
          <w:rFonts w:ascii="Roboto Light" w:hAnsi="Roboto Light"/>
        </w:rPr>
        <w:t>d</w:t>
      </w:r>
      <w:r w:rsidRPr="004C132F">
        <w:rPr>
          <w:rFonts w:ascii="Roboto Light" w:hAnsi="Roboto Light"/>
        </w:rPr>
        <w:t xml:space="preserve"> competition to </w:t>
      </w:r>
      <w:r>
        <w:rPr>
          <w:rFonts w:ascii="Roboto Light" w:hAnsi="Roboto Light"/>
        </w:rPr>
        <w:t>exchange</w:t>
      </w:r>
      <w:r w:rsidRPr="004C132F">
        <w:rPr>
          <w:rFonts w:ascii="Roboto Light" w:hAnsi="Roboto Light"/>
        </w:rPr>
        <w:t xml:space="preserve"> markets, reducing the cost of trading</w:t>
      </w:r>
      <w:r>
        <w:rPr>
          <w:rFonts w:ascii="Roboto Light" w:hAnsi="Roboto Light"/>
        </w:rPr>
        <w:t xml:space="preserve">, </w:t>
      </w:r>
      <w:r w:rsidRPr="004C132F">
        <w:rPr>
          <w:rFonts w:ascii="Roboto Light" w:hAnsi="Roboto Light"/>
        </w:rPr>
        <w:t xml:space="preserve"> </w:t>
      </w:r>
      <w:r w:rsidRPr="00E07A9B">
        <w:rPr>
          <w:rFonts w:ascii="Roboto Light" w:hAnsi="Roboto Light"/>
        </w:rPr>
        <w:t xml:space="preserve">minimizing market impacts from large orders or in </w:t>
      </w:r>
      <w:r>
        <w:rPr>
          <w:rFonts w:ascii="Roboto Light" w:hAnsi="Roboto Light"/>
        </w:rPr>
        <w:t>il</w:t>
      </w:r>
      <w:r w:rsidRPr="00E07A9B">
        <w:rPr>
          <w:rFonts w:ascii="Roboto Light" w:hAnsi="Roboto Light"/>
        </w:rPr>
        <w:t xml:space="preserve">liquid instruments, </w:t>
      </w:r>
      <w:r w:rsidRPr="004C132F">
        <w:rPr>
          <w:rFonts w:ascii="Roboto Light" w:hAnsi="Roboto Light"/>
        </w:rPr>
        <w:t>and offering substantial innovation which better tailors execution of the market participants requirements.</w:t>
      </w:r>
      <w:r>
        <w:rPr>
          <w:rFonts w:ascii="Roboto Light" w:hAnsi="Roboto Light"/>
        </w:rPr>
        <w:t xml:space="preserve"> The </w:t>
      </w:r>
      <w:r w:rsidRPr="00570B1C">
        <w:rPr>
          <w:rFonts w:ascii="Roboto Light" w:hAnsi="Roboto Light"/>
        </w:rPr>
        <w:t>si</w:t>
      </w:r>
      <w:r>
        <w:rPr>
          <w:rFonts w:ascii="Roboto Light" w:hAnsi="Roboto Light"/>
        </w:rPr>
        <w:t>n</w:t>
      </w:r>
      <w:r w:rsidRPr="00570B1C">
        <w:rPr>
          <w:rFonts w:ascii="Roboto Light" w:hAnsi="Roboto Light"/>
        </w:rPr>
        <w:t>g</w:t>
      </w:r>
      <w:r>
        <w:rPr>
          <w:rFonts w:ascii="Roboto Light" w:hAnsi="Roboto Light"/>
        </w:rPr>
        <w:t xml:space="preserve">le </w:t>
      </w:r>
      <w:r w:rsidRPr="00570B1C">
        <w:rPr>
          <w:rFonts w:ascii="Roboto Light" w:hAnsi="Roboto Light"/>
        </w:rPr>
        <w:t xml:space="preserve">volume cap constrains the amount of dark trading </w:t>
      </w:r>
      <w:r>
        <w:rPr>
          <w:rFonts w:ascii="Roboto Light" w:hAnsi="Roboto Light"/>
        </w:rPr>
        <w:t>feasible</w:t>
      </w:r>
      <w:r w:rsidRPr="00570B1C">
        <w:rPr>
          <w:rFonts w:ascii="Roboto Light" w:hAnsi="Roboto Light"/>
        </w:rPr>
        <w:t xml:space="preserve"> </w:t>
      </w:r>
      <w:r>
        <w:rPr>
          <w:rFonts w:ascii="Roboto Light" w:hAnsi="Roboto Light"/>
        </w:rPr>
        <w:t>across</w:t>
      </w:r>
      <w:r w:rsidRPr="00570B1C">
        <w:rPr>
          <w:rFonts w:ascii="Roboto Light" w:hAnsi="Roboto Light"/>
        </w:rPr>
        <w:t xml:space="preserve"> the EU equity markets.</w:t>
      </w:r>
      <w:r>
        <w:rPr>
          <w:rFonts w:ascii="Roboto Light" w:hAnsi="Roboto Light"/>
        </w:rPr>
        <w:t xml:space="preserve"> Any further regulatory move to </w:t>
      </w:r>
      <w:r w:rsidRPr="00AD7960">
        <w:rPr>
          <w:rFonts w:ascii="Roboto Light" w:hAnsi="Roboto Light"/>
        </w:rPr>
        <w:t>forc</w:t>
      </w:r>
      <w:r>
        <w:rPr>
          <w:rFonts w:ascii="Roboto Light" w:hAnsi="Roboto Light"/>
        </w:rPr>
        <w:t xml:space="preserve">e </w:t>
      </w:r>
      <w:r w:rsidRPr="00AD7960">
        <w:rPr>
          <w:rFonts w:ascii="Roboto Light" w:hAnsi="Roboto Light"/>
        </w:rPr>
        <w:t xml:space="preserve">more dark trading onto </w:t>
      </w:r>
      <w:r>
        <w:rPr>
          <w:rFonts w:ascii="Roboto Light" w:hAnsi="Roboto Light"/>
        </w:rPr>
        <w:t>CLOBs</w:t>
      </w:r>
      <w:r w:rsidRPr="00AD7960">
        <w:rPr>
          <w:rFonts w:ascii="Roboto Light" w:hAnsi="Roboto Light"/>
        </w:rPr>
        <w:t xml:space="preserve"> </w:t>
      </w:r>
      <w:r>
        <w:rPr>
          <w:rFonts w:ascii="Roboto Light" w:hAnsi="Roboto Light"/>
        </w:rPr>
        <w:t xml:space="preserve">would </w:t>
      </w:r>
      <w:r w:rsidRPr="00AD7960">
        <w:rPr>
          <w:rFonts w:ascii="Roboto Light" w:hAnsi="Roboto Light"/>
        </w:rPr>
        <w:t>harm outcomes for market participants</w:t>
      </w:r>
      <w:r>
        <w:rPr>
          <w:rFonts w:ascii="Roboto Light" w:hAnsi="Roboto Light"/>
        </w:rPr>
        <w:t>, rather coerce into FBAs, encourage trading to migrate to third countries</w:t>
      </w:r>
      <w:r w:rsidRPr="00AD7960">
        <w:rPr>
          <w:rFonts w:ascii="Roboto Light" w:hAnsi="Roboto Light"/>
        </w:rPr>
        <w:t xml:space="preserve"> and </w:t>
      </w:r>
      <w:r>
        <w:rPr>
          <w:rFonts w:ascii="Roboto Light" w:hAnsi="Roboto Light"/>
        </w:rPr>
        <w:t xml:space="preserve">lower </w:t>
      </w:r>
      <w:r w:rsidRPr="00AD7960">
        <w:rPr>
          <w:rFonts w:ascii="Roboto Light" w:hAnsi="Roboto Light"/>
        </w:rPr>
        <w:t>overall levels of liquidity.</w:t>
      </w:r>
    </w:p>
    <w:p w14:paraId="6186F400" w14:textId="77777777" w:rsidR="00672D1E" w:rsidRPr="00FE4BF2" w:rsidRDefault="00672D1E" w:rsidP="00672D1E">
      <w:pPr>
        <w:spacing w:before="100" w:beforeAutospacing="1" w:after="100" w:afterAutospacing="1" w:line="240" w:lineRule="auto"/>
        <w:rPr>
          <w:rFonts w:ascii="Roboto Light" w:hAnsi="Roboto Light"/>
        </w:rPr>
      </w:pPr>
      <w:r w:rsidRPr="00FE4BF2">
        <w:rPr>
          <w:rFonts w:ascii="Roboto Light" w:hAnsi="Roboto Light"/>
        </w:rPr>
        <w:t xml:space="preserve">Whilst we have witness few structural shifts across this particular execution method over the last decade, clearly the cost and availability of execution tools have been welcomed by institutional firms. </w:t>
      </w:r>
    </w:p>
    <w:p w14:paraId="114B802A" w14:textId="77777777" w:rsidR="00672D1E" w:rsidRPr="00FE4BF2" w:rsidRDefault="00672D1E" w:rsidP="00672D1E">
      <w:pPr>
        <w:spacing w:before="100" w:beforeAutospacing="1" w:after="100" w:afterAutospacing="1" w:line="240" w:lineRule="auto"/>
        <w:rPr>
          <w:rFonts w:ascii="Roboto Light" w:hAnsi="Roboto Light"/>
        </w:rPr>
      </w:pPr>
      <w:r w:rsidRPr="00FE4BF2">
        <w:rPr>
          <w:rFonts w:ascii="Roboto Light" w:hAnsi="Roboto Light"/>
        </w:rPr>
        <w:t>Rather, as set out earlier the three predominant structural shifts over this period, other than Brexit, have been: the increase in the use of FBAs; the increase in OBoEx executions; and the increase in the role, size and scale of ETFs together with equity derivatives.</w:t>
      </w:r>
    </w:p>
    <w:p w14:paraId="18808EC5" w14:textId="77777777" w:rsidR="00672D1E" w:rsidRPr="00FE4BF2" w:rsidRDefault="00672D1E" w:rsidP="00672D1E">
      <w:pPr>
        <w:spacing w:before="100" w:beforeAutospacing="1" w:after="100" w:afterAutospacing="1" w:line="240" w:lineRule="auto"/>
        <w:rPr>
          <w:rFonts w:ascii="Roboto Light" w:hAnsi="Roboto Light"/>
        </w:rPr>
      </w:pPr>
      <w:r w:rsidRPr="00FE4BF2">
        <w:rPr>
          <w:rFonts w:ascii="Roboto Light" w:hAnsi="Roboto Light"/>
        </w:rPr>
        <w:t>Negotiated Transactions under Article 4(1)(b) MiFIR enable the mid-price matching of block-trades. We note that “NT3” can be used together with LIS, but LIS alone already gives a waiver, so NT3 may still combined and used because it governs how the trade is executed (i.e. negotiated off-book), not just whether it is transparent. For LIS trades, NT3 relaxes price constraints from current quotes in a manner that enables spreads, packages and blocks to be outside current quotes.</w:t>
      </w:r>
    </w:p>
    <w:p w14:paraId="6CAB21E8" w14:textId="77777777" w:rsidR="003A33E5" w:rsidRDefault="003A33E5" w:rsidP="003A33E5">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 xml:space="preserve">What concerns/issues do you highlight at this stage? Do you see a need for specific regulatory interventions also in consideration of evidence available </w:t>
      </w:r>
      <w:r>
        <w:lastRenderedPageBreak/>
        <w:t>regarding practices related to dark trading functionalities (please provide details)?</w:t>
      </w:r>
    </w:p>
    <w:p w14:paraId="59C07D79" w14:textId="017F9137" w:rsidR="003A33E5" w:rsidRDefault="003A33E5" w:rsidP="003A33E5">
      <w:r>
        <w:t>&lt;ESMA_QUESTION_MSEM_</w:t>
      </w:r>
      <w:r w:rsidR="5B9AD059">
        <w:t>10</w:t>
      </w:r>
      <w:r>
        <w:t>&gt;</w:t>
      </w:r>
    </w:p>
    <w:p w14:paraId="4893EDED" w14:textId="77777777" w:rsidR="007E57B8" w:rsidRPr="00FE4BF2" w:rsidRDefault="007E57B8" w:rsidP="007E57B8">
      <w:pPr>
        <w:spacing w:before="100" w:beforeAutospacing="1" w:after="100" w:afterAutospacing="1" w:line="240" w:lineRule="auto"/>
        <w:rPr>
          <w:rFonts w:ascii="Roboto Light" w:hAnsi="Roboto Light"/>
        </w:rPr>
      </w:pPr>
      <w:permStart w:id="733371525" w:edGrp="everyone"/>
      <w:r w:rsidRPr="00FE4BF2">
        <w:rPr>
          <w:rFonts w:ascii="Roboto Light" w:hAnsi="Roboto Light"/>
        </w:rPr>
        <w:t xml:space="preserve">Clearly no need to add further regulatory interventions regarding practices related to dark trading functionalities because these trades have to comply with all the trading venue rule-book requirements including transparency deferrals. However we do again add that the same trades executed as </w:t>
      </w:r>
      <w:r w:rsidRPr="00FE4BF2">
        <w:rPr>
          <w:rFonts w:ascii="Roboto Light" w:hAnsi="Roboto Light"/>
          <w:i/>
          <w:iCs/>
        </w:rPr>
        <w:t>xBoEx</w:t>
      </w:r>
      <w:r w:rsidRPr="00FE4BF2">
        <w:rPr>
          <w:rFonts w:ascii="Roboto Light" w:hAnsi="Roboto Light"/>
        </w:rPr>
        <w:t xml:space="preserve">/ ”OBOE” do not require the same, nor a near equivalent treatment.  </w:t>
      </w:r>
    </w:p>
    <w:p w14:paraId="6E1B8279" w14:textId="77777777" w:rsidR="007E57B8" w:rsidRPr="00FE4BF2" w:rsidRDefault="007E57B8" w:rsidP="007E57B8">
      <w:pPr>
        <w:spacing w:before="100" w:beforeAutospacing="1" w:after="100" w:afterAutospacing="1" w:line="240" w:lineRule="auto"/>
        <w:rPr>
          <w:rFonts w:ascii="Roboto Light" w:hAnsi="Roboto Light"/>
        </w:rPr>
      </w:pPr>
      <w:r w:rsidRPr="00FE4BF2">
        <w:rPr>
          <w:rFonts w:ascii="Roboto Light" w:hAnsi="Roboto Light"/>
        </w:rPr>
        <w:t>OBOE negotiated trades (NT3) that are LIS are not constrained by current market price bounds, whereas on‑venue LIS trades (e.g. dark or order-book executions) remain constrained by venue pricing mechanisms (e.g. reference price / midpoint rules). Rather, institutions tend to negotiate: Risk transfer prices; Inventory costs; Hedging complexity.</w:t>
      </w:r>
    </w:p>
    <w:p w14:paraId="306952F2" w14:textId="77777777" w:rsidR="007E57B8" w:rsidRPr="00FE4BF2" w:rsidRDefault="007E57B8" w:rsidP="007E57B8">
      <w:pPr>
        <w:spacing w:before="100" w:beforeAutospacing="1" w:after="100" w:afterAutospacing="1" w:line="240" w:lineRule="auto"/>
        <w:rPr>
          <w:rFonts w:ascii="Roboto Light" w:hAnsi="Roboto Light"/>
        </w:rPr>
      </w:pPr>
    </w:p>
    <w:p w14:paraId="489A7F2C" w14:textId="77777777" w:rsidR="003A33E5" w:rsidRDefault="003A33E5" w:rsidP="003A33E5">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6C6D4B8B" w14:textId="77777777" w:rsidR="00312D71" w:rsidRPr="00FE4BF2" w:rsidRDefault="00312D71" w:rsidP="00312D71">
      <w:pPr>
        <w:spacing w:before="100" w:beforeAutospacing="1" w:after="100" w:afterAutospacing="1" w:line="240" w:lineRule="auto"/>
        <w:rPr>
          <w:rFonts w:ascii="Roboto Light" w:hAnsi="Roboto Light"/>
        </w:rPr>
      </w:pPr>
      <w:permStart w:id="14425139" w:edGrp="everyone"/>
      <w:r w:rsidRPr="00FE4BF2">
        <w:rPr>
          <w:rFonts w:ascii="Roboto Light" w:hAnsi="Roboto Light"/>
        </w:rPr>
        <w:t xml:space="preserve">Given the increasing prevalence of passive trading strategies and instruments over the last decade we remain surprised that the disclosed volumes in closing auctions have remained so constant at slightly under 20% [see </w:t>
      </w:r>
      <w:hyperlink r:id="rId21" w:history="1">
        <w:r w:rsidRPr="00FE4BF2">
          <w:rPr>
            <w:rStyle w:val="Hyperlink"/>
            <w:rFonts w:ascii="Roboto Light" w:hAnsi="Roboto Light"/>
          </w:rPr>
          <w:t>Vanguard | Acquired</w:t>
        </w:r>
      </w:hyperlink>
      <w:r w:rsidRPr="00FE4BF2">
        <w:rPr>
          <w:rFonts w:ascii="Roboto Light" w:hAnsi="Roboto Light"/>
        </w:rPr>
        <w:t xml:space="preserve"> for a very detailed case study looking into Blackrock and Vanguard &amp; </w:t>
      </w:r>
      <w:hyperlink r:id="rId22" w:tgtFrame="_blank" w:history="1">
        <w:r w:rsidRPr="00FE4BF2">
          <w:rPr>
            <w:rStyle w:val="Hyperlink"/>
            <w:rFonts w:ascii="Roboto Light" w:hAnsi="Roboto Light"/>
            <w:i/>
            <w:iCs/>
          </w:rPr>
          <w:t>Stay the Course: The Story of Vanguard and the Index Revolution</w:t>
        </w:r>
        <w:r w:rsidRPr="00FE4BF2">
          <w:rPr>
            <w:rStyle w:val="Hyperlink"/>
            <w:rFonts w:ascii="Roboto Light" w:hAnsi="Roboto Light"/>
          </w:rPr>
          <w:t> by John C. Bogle</w:t>
        </w:r>
      </w:hyperlink>
      <w:r w:rsidRPr="00FE4BF2">
        <w:rPr>
          <w:rFonts w:ascii="Roboto Light" w:hAnsi="Roboto Light"/>
        </w:rPr>
        <w:t xml:space="preserve">]. </w:t>
      </w:r>
    </w:p>
    <w:p w14:paraId="37F7FC8C" w14:textId="77777777" w:rsidR="00312D71" w:rsidRDefault="00312D71" w:rsidP="00312D71">
      <w:pPr>
        <w:spacing w:before="100" w:beforeAutospacing="1" w:after="100" w:afterAutospacing="1" w:line="240" w:lineRule="auto"/>
        <w:rPr>
          <w:rFonts w:ascii="Roboto Light" w:hAnsi="Roboto Light"/>
        </w:rPr>
      </w:pPr>
      <w:r w:rsidRPr="00FE4BF2">
        <w:rPr>
          <w:rFonts w:ascii="Roboto Light" w:hAnsi="Roboto Light"/>
        </w:rPr>
        <w:t xml:space="preserve">In this respect we fail to understand the context or logic behind this ESMA question in seeking to explain the growth rather than its very absence as explicitly set out on paragraph 63 and Figure 17. </w:t>
      </w:r>
    </w:p>
    <w:p w14:paraId="3FA053D0" w14:textId="77777777" w:rsidR="00312D71" w:rsidRPr="00FE4BF2" w:rsidRDefault="00312D71" w:rsidP="00312D71">
      <w:pPr>
        <w:spacing w:before="100" w:beforeAutospacing="1" w:after="100" w:afterAutospacing="1" w:line="240" w:lineRule="auto"/>
        <w:rPr>
          <w:rFonts w:ascii="Roboto Light" w:hAnsi="Roboto Light"/>
        </w:rPr>
      </w:pPr>
      <w:r>
        <w:rPr>
          <w:rFonts w:ascii="Roboto Light" w:hAnsi="Roboto Light"/>
        </w:rPr>
        <w:t>T</w:t>
      </w:r>
      <w:r w:rsidRPr="004D45E2">
        <w:rPr>
          <w:rFonts w:ascii="Roboto Light" w:hAnsi="Roboto Light"/>
        </w:rPr>
        <w:t>h</w:t>
      </w:r>
      <w:r>
        <w:rPr>
          <w:rFonts w:ascii="Roboto Light" w:hAnsi="Roboto Light"/>
        </w:rPr>
        <w:t xml:space="preserve"> ESMA </w:t>
      </w:r>
      <w:r w:rsidRPr="004D45E2">
        <w:rPr>
          <w:rFonts w:ascii="Roboto Light" w:hAnsi="Roboto Light"/>
        </w:rPr>
        <w:t xml:space="preserve">analysis most likely underestimates the total amount of trading on closing auctions because </w:t>
      </w:r>
      <w:r>
        <w:rPr>
          <w:rFonts w:ascii="Roboto Light" w:hAnsi="Roboto Light"/>
        </w:rPr>
        <w:t>b</w:t>
      </w:r>
      <w:r w:rsidRPr="004D45E2">
        <w:rPr>
          <w:rFonts w:ascii="Roboto Light" w:hAnsi="Roboto Light"/>
        </w:rPr>
        <w:t>rok</w:t>
      </w:r>
      <w:r>
        <w:rPr>
          <w:rFonts w:ascii="Roboto Light" w:hAnsi="Roboto Light"/>
        </w:rPr>
        <w:t>er-d</w:t>
      </w:r>
      <w:r w:rsidRPr="004D45E2">
        <w:rPr>
          <w:rFonts w:ascii="Roboto Light" w:hAnsi="Roboto Light"/>
        </w:rPr>
        <w:t xml:space="preserve">ealers </w:t>
      </w:r>
      <w:r>
        <w:rPr>
          <w:rFonts w:ascii="Roboto Light" w:hAnsi="Roboto Light"/>
        </w:rPr>
        <w:t xml:space="preserve">usually </w:t>
      </w:r>
      <w:r w:rsidRPr="004D45E2">
        <w:rPr>
          <w:rFonts w:ascii="Roboto Light" w:hAnsi="Roboto Light"/>
        </w:rPr>
        <w:t>internali</w:t>
      </w:r>
      <w:r>
        <w:rPr>
          <w:rFonts w:ascii="Roboto Light" w:hAnsi="Roboto Light"/>
        </w:rPr>
        <w:t>s</w:t>
      </w:r>
      <w:r w:rsidRPr="004D45E2">
        <w:rPr>
          <w:rFonts w:ascii="Roboto Light" w:hAnsi="Roboto Light"/>
        </w:rPr>
        <w:t xml:space="preserve">e </w:t>
      </w:r>
      <w:r>
        <w:rPr>
          <w:rFonts w:ascii="Roboto Light" w:hAnsi="Roboto Light"/>
        </w:rPr>
        <w:t xml:space="preserve">and net out </w:t>
      </w:r>
      <w:r w:rsidRPr="004D45E2">
        <w:rPr>
          <w:rFonts w:ascii="Roboto Light" w:hAnsi="Roboto Light"/>
        </w:rPr>
        <w:t>the</w:t>
      </w:r>
      <w:r>
        <w:rPr>
          <w:rFonts w:ascii="Roboto Light" w:hAnsi="Roboto Light"/>
        </w:rPr>
        <w:t>ir</w:t>
      </w:r>
      <w:r w:rsidRPr="004D45E2">
        <w:rPr>
          <w:rFonts w:ascii="Roboto Light" w:hAnsi="Roboto Light"/>
        </w:rPr>
        <w:t xml:space="preserve"> order flow ahead of the auction </w:t>
      </w:r>
      <w:r>
        <w:rPr>
          <w:rFonts w:ascii="Roboto Light" w:hAnsi="Roboto Light"/>
        </w:rPr>
        <w:t xml:space="preserve">subject to </w:t>
      </w:r>
      <w:r w:rsidRPr="004D45E2">
        <w:rPr>
          <w:rFonts w:ascii="Roboto Light" w:hAnsi="Roboto Light"/>
        </w:rPr>
        <w:t xml:space="preserve">the outcome execution reference price </w:t>
      </w:r>
      <w:r>
        <w:rPr>
          <w:rFonts w:ascii="Roboto Light" w:hAnsi="Roboto Light"/>
        </w:rPr>
        <w:t xml:space="preserve">in </w:t>
      </w:r>
      <w:r w:rsidRPr="004D45E2">
        <w:rPr>
          <w:rFonts w:ascii="Roboto Light" w:hAnsi="Roboto Light"/>
        </w:rPr>
        <w:t>th</w:t>
      </w:r>
      <w:r>
        <w:rPr>
          <w:rFonts w:ascii="Roboto Light" w:hAnsi="Roboto Light"/>
        </w:rPr>
        <w:t>at</w:t>
      </w:r>
      <w:r w:rsidRPr="004D45E2">
        <w:rPr>
          <w:rFonts w:ascii="Roboto Light" w:hAnsi="Roboto Light"/>
        </w:rPr>
        <w:t xml:space="preserve"> closing auction. So </w:t>
      </w:r>
      <w:r>
        <w:rPr>
          <w:rFonts w:ascii="Roboto Light" w:hAnsi="Roboto Light"/>
        </w:rPr>
        <w:t xml:space="preserve">a very </w:t>
      </w:r>
      <w:r w:rsidRPr="004D45E2">
        <w:rPr>
          <w:rFonts w:ascii="Roboto Light" w:hAnsi="Roboto Light"/>
        </w:rPr>
        <w:t xml:space="preserve">meaningful proportion of activity </w:t>
      </w:r>
      <w:r>
        <w:rPr>
          <w:rFonts w:ascii="Roboto Light" w:hAnsi="Roboto Light"/>
        </w:rPr>
        <w:t xml:space="preserve">which is </w:t>
      </w:r>
      <w:r w:rsidRPr="004D45E2">
        <w:rPr>
          <w:rFonts w:ascii="Roboto Light" w:hAnsi="Roboto Light"/>
        </w:rPr>
        <w:t xml:space="preserve">linked to the closing price is not directly reflected in auction prints </w:t>
      </w:r>
      <w:r>
        <w:rPr>
          <w:rFonts w:ascii="Roboto Light" w:hAnsi="Roboto Light"/>
        </w:rPr>
        <w:t>on the tape</w:t>
      </w:r>
      <w:r w:rsidRPr="004D45E2">
        <w:rPr>
          <w:rFonts w:ascii="Roboto Light" w:hAnsi="Roboto Light"/>
        </w:rPr>
        <w:t>.</w:t>
      </w:r>
    </w:p>
    <w:p w14:paraId="04BC1AF2" w14:textId="77777777" w:rsidR="00312D71" w:rsidRPr="00FE4BF2" w:rsidRDefault="00312D71" w:rsidP="00312D71">
      <w:pPr>
        <w:rPr>
          <w:rFonts w:ascii="Roboto Light" w:hAnsi="Roboto Light"/>
        </w:rPr>
      </w:pPr>
      <w:r w:rsidRPr="00FE4BF2">
        <w:rPr>
          <w:rFonts w:ascii="Roboto Light" w:hAnsi="Roboto Light"/>
        </w:rPr>
        <w:lastRenderedPageBreak/>
        <w:t>Clearly in almost all cases, the closing auction sets the exchange closing price, even where subsequent evening or 24-hour trading then re-opens under different settlement conditions. Consistent with the revised market structure proposed in our response to Question 1, we emphasize the timing dimension in understanding the role of the closing session. To accurately evaluate the impact of these mechanisms, it is essential to move beyond broad "periodic auction" buckets and distinguish between three distinct categories of activity:</w:t>
      </w:r>
    </w:p>
    <w:p w14:paraId="3F627B39" w14:textId="77777777" w:rsidR="00312D71" w:rsidRPr="00FE4BF2" w:rsidRDefault="00312D71" w:rsidP="00312D71">
      <w:pPr>
        <w:numPr>
          <w:ilvl w:val="0"/>
          <w:numId w:val="37"/>
        </w:numPr>
        <w:spacing w:before="100" w:beforeAutospacing="1" w:after="100" w:afterAutospacing="1" w:line="240" w:lineRule="auto"/>
        <w:jc w:val="left"/>
        <w:rPr>
          <w:rFonts w:ascii="Roboto Light" w:hAnsi="Roboto Light"/>
        </w:rPr>
      </w:pPr>
      <w:r w:rsidRPr="00FE4BF2">
        <w:rPr>
          <w:rFonts w:ascii="Roboto Light" w:hAnsi="Roboto Light"/>
          <w:b/>
          <w:bCs/>
        </w:rPr>
        <w:t>Price-Forming Auction Participation:</w:t>
      </w:r>
      <w:r w:rsidRPr="00FE4BF2">
        <w:rPr>
          <w:rFonts w:ascii="Roboto Light" w:hAnsi="Roboto Light"/>
        </w:rPr>
        <w:t xml:space="preserve"> Orders that interact directly within the primary closing auction and contribute to the determination of the final reference price,.</w:t>
      </w:r>
    </w:p>
    <w:p w14:paraId="401E1439" w14:textId="77777777" w:rsidR="00312D71" w:rsidRPr="00FE4BF2" w:rsidRDefault="00312D71" w:rsidP="00312D71">
      <w:pPr>
        <w:numPr>
          <w:ilvl w:val="0"/>
          <w:numId w:val="37"/>
        </w:numPr>
        <w:spacing w:before="100" w:beforeAutospacing="1" w:after="100" w:afterAutospacing="1" w:line="240" w:lineRule="auto"/>
        <w:jc w:val="left"/>
        <w:rPr>
          <w:rFonts w:ascii="Roboto Light" w:hAnsi="Roboto Light"/>
        </w:rPr>
      </w:pPr>
      <w:r w:rsidRPr="00FE4BF2">
        <w:rPr>
          <w:rFonts w:ascii="Roboto Light" w:hAnsi="Roboto Light"/>
          <w:b/>
          <w:bCs/>
        </w:rPr>
        <w:t>Concurrent Non-Price-Forming Activity:</w:t>
      </w:r>
      <w:r w:rsidRPr="00FE4BF2">
        <w:rPr>
          <w:rFonts w:ascii="Roboto Light" w:hAnsi="Roboto Light"/>
        </w:rPr>
        <w:t xml:space="preserve"> Transactions that occur during the closing auction phase but execute at the established price without contributing to price discovery (e.g., specific "trading at close" segments),.</w:t>
      </w:r>
    </w:p>
    <w:p w14:paraId="5CFA925E" w14:textId="77777777" w:rsidR="00312D71" w:rsidRPr="00FE4BF2" w:rsidRDefault="00312D71" w:rsidP="00312D71">
      <w:pPr>
        <w:numPr>
          <w:ilvl w:val="0"/>
          <w:numId w:val="37"/>
        </w:numPr>
        <w:spacing w:before="100" w:beforeAutospacing="1" w:after="100" w:afterAutospacing="1" w:line="240" w:lineRule="auto"/>
        <w:jc w:val="left"/>
        <w:rPr>
          <w:rFonts w:ascii="Roboto Light" w:hAnsi="Roboto Light"/>
        </w:rPr>
      </w:pPr>
      <w:r w:rsidRPr="00FE4BF2">
        <w:rPr>
          <w:rFonts w:ascii="Roboto Light" w:hAnsi="Roboto Light"/>
          <w:b/>
          <w:bCs/>
        </w:rPr>
        <w:t>Post-Auction Reference Price Usage:</w:t>
      </w:r>
      <w:r w:rsidRPr="00FE4BF2">
        <w:rPr>
          <w:rFonts w:ascii="Roboto Light" w:hAnsi="Roboto Light"/>
        </w:rPr>
        <w:t xml:space="preserve"> Activity that utilizes the primary market's closing price for execution but takes place after the auction has officially uncrossed,.</w:t>
      </w:r>
    </w:p>
    <w:p w14:paraId="13CDFAD1" w14:textId="77777777" w:rsidR="00312D71" w:rsidRPr="00FE4BF2" w:rsidRDefault="00312D71" w:rsidP="00312D71">
      <w:pPr>
        <w:spacing w:before="100" w:beforeAutospacing="1" w:after="100" w:afterAutospacing="1" w:line="240" w:lineRule="auto"/>
        <w:rPr>
          <w:rFonts w:ascii="Roboto Light" w:hAnsi="Roboto Light"/>
        </w:rPr>
      </w:pPr>
      <w:r w:rsidRPr="00FE4BF2">
        <w:rPr>
          <w:rFonts w:ascii="Roboto Light" w:hAnsi="Roboto Light"/>
        </w:rPr>
        <w:t>Consequently, a dedicated [“CLSE”] Closing Price flag for off-venue and alternative closing activity, aligning with the standard already established in the UK. Current reporting frameworks often require regulators to rely on execution timestamps to infer closing-price usage, which is an imprecise methodology that fails to provide a definitive view of addressable volume. A standardised identifier for all executions referencing the closing price—regardless of whether they occur on-venue, and formalised as such or through OTC and SI mechanisms is necessary to achieve the data granularity required to fully understand market depth and liquidity concentration at the end of the trading day.</w:t>
      </w:r>
    </w:p>
    <w:p w14:paraId="601BCF28" w14:textId="77777777" w:rsidR="00312D71" w:rsidRPr="00FE4BF2" w:rsidRDefault="00312D71" w:rsidP="00312D71">
      <w:pPr>
        <w:spacing w:before="100" w:beforeAutospacing="1" w:after="100" w:afterAutospacing="1" w:line="240" w:lineRule="auto"/>
        <w:rPr>
          <w:rFonts w:ascii="Roboto Light" w:hAnsi="Roboto Light"/>
        </w:rPr>
      </w:pPr>
    </w:p>
    <w:p w14:paraId="519514EE" w14:textId="77777777" w:rsidR="003A33E5" w:rsidRDefault="003A33E5" w:rsidP="003A33E5">
      <w:r>
        <w:t>TYPE YOUR TEXT HERE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6AF0979D" w14:textId="77777777" w:rsidR="008841DE" w:rsidRDefault="008841DE" w:rsidP="008841DE">
      <w:pPr>
        <w:spacing w:before="100" w:beforeAutospacing="1" w:after="100" w:afterAutospacing="1" w:line="240" w:lineRule="auto"/>
        <w:rPr>
          <w:rFonts w:ascii="Roboto Light" w:hAnsi="Roboto Light"/>
        </w:rPr>
      </w:pPr>
      <w:permStart w:id="230633778" w:edGrp="everyone"/>
      <w:r>
        <w:rPr>
          <w:rFonts w:ascii="Roboto Light" w:hAnsi="Roboto Light"/>
        </w:rPr>
        <w:t>A</w:t>
      </w:r>
      <w:r w:rsidRPr="00E8703F">
        <w:rPr>
          <w:rFonts w:ascii="Roboto Light" w:hAnsi="Roboto Light"/>
        </w:rPr>
        <w:t>lternative closing mechanisms don't exert meaningful competitive pressure on primary exchanges.</w:t>
      </w:r>
      <w:r>
        <w:rPr>
          <w:rFonts w:ascii="Roboto Light" w:hAnsi="Roboto Light"/>
        </w:rPr>
        <w:t xml:space="preserve"> </w:t>
      </w:r>
      <w:r w:rsidRPr="00E1069A">
        <w:rPr>
          <w:rFonts w:ascii="Roboto Light" w:hAnsi="Roboto Light"/>
        </w:rPr>
        <w:t xml:space="preserve">Market participants </w:t>
      </w:r>
      <w:r>
        <w:rPr>
          <w:rFonts w:ascii="Roboto Light" w:hAnsi="Roboto Light"/>
        </w:rPr>
        <w:t xml:space="preserve">demonstrably </w:t>
      </w:r>
      <w:r w:rsidRPr="00E1069A">
        <w:rPr>
          <w:rFonts w:ascii="Roboto Light" w:hAnsi="Roboto Light"/>
        </w:rPr>
        <w:t xml:space="preserve">concentrate </w:t>
      </w:r>
      <w:r>
        <w:rPr>
          <w:rFonts w:ascii="Roboto Light" w:hAnsi="Roboto Light"/>
        </w:rPr>
        <w:t xml:space="preserve">their </w:t>
      </w:r>
      <w:r w:rsidRPr="00E1069A">
        <w:rPr>
          <w:rFonts w:ascii="Roboto Light" w:hAnsi="Roboto Light"/>
        </w:rPr>
        <w:t>activity in primary closing auctions for several reasons, including the concentration of liquidity in primary auctions</w:t>
      </w:r>
      <w:r>
        <w:rPr>
          <w:rFonts w:ascii="Roboto Light" w:hAnsi="Roboto Light"/>
        </w:rPr>
        <w:t xml:space="preserve"> </w:t>
      </w:r>
      <w:r w:rsidRPr="00193CC7">
        <w:rPr>
          <w:rFonts w:ascii="Roboto Light" w:hAnsi="Roboto Light"/>
        </w:rPr>
        <w:t xml:space="preserve">won't influence the </w:t>
      </w:r>
      <w:r>
        <w:rPr>
          <w:rFonts w:ascii="Roboto Light" w:hAnsi="Roboto Light"/>
        </w:rPr>
        <w:t xml:space="preserve">primary auction </w:t>
      </w:r>
      <w:r w:rsidRPr="00193CC7">
        <w:rPr>
          <w:rFonts w:ascii="Roboto Light" w:hAnsi="Roboto Light"/>
        </w:rPr>
        <w:t>price</w:t>
      </w:r>
      <w:r>
        <w:rPr>
          <w:rFonts w:ascii="Roboto Light" w:hAnsi="Roboto Light"/>
        </w:rPr>
        <w:t xml:space="preserve"> and constrains t</w:t>
      </w:r>
      <w:r w:rsidRPr="00E1069A">
        <w:rPr>
          <w:rFonts w:ascii="Roboto Light" w:hAnsi="Roboto Light"/>
        </w:rPr>
        <w:t>heir role in price formation</w:t>
      </w:r>
      <w:r>
        <w:rPr>
          <w:rFonts w:ascii="Roboto Light" w:hAnsi="Roboto Light"/>
        </w:rPr>
        <w:t xml:space="preserve"> absent an expanded role for a consolidated tape to create any such</w:t>
      </w:r>
      <w:r w:rsidRPr="00E1069A">
        <w:rPr>
          <w:rFonts w:ascii="Roboto Light" w:hAnsi="Roboto Light"/>
        </w:rPr>
        <w:t>.</w:t>
      </w:r>
      <w:r>
        <w:rPr>
          <w:rFonts w:ascii="Roboto Light" w:hAnsi="Roboto Light"/>
        </w:rPr>
        <w:t xml:space="preserve"> </w:t>
      </w:r>
      <w:r w:rsidRPr="00FE4BF2">
        <w:rPr>
          <w:rFonts w:ascii="Roboto Light" w:hAnsi="Roboto Light"/>
        </w:rPr>
        <w:t xml:space="preserve">Any </w:t>
      </w:r>
      <w:r>
        <w:rPr>
          <w:rFonts w:ascii="Roboto Light" w:hAnsi="Roboto Light"/>
        </w:rPr>
        <w:t xml:space="preserve">such </w:t>
      </w:r>
      <w:r w:rsidRPr="00FE4BF2">
        <w:rPr>
          <w:rFonts w:ascii="Roboto Light" w:hAnsi="Roboto Light"/>
        </w:rPr>
        <w:t xml:space="preserve">alternative closing mechanisms offered by MTFs and SIs </w:t>
      </w:r>
      <w:r>
        <w:rPr>
          <w:rFonts w:ascii="Roboto Light" w:hAnsi="Roboto Light"/>
        </w:rPr>
        <w:t xml:space="preserve">need to provide some explicit mitigation for </w:t>
      </w:r>
      <w:r w:rsidRPr="00346A14">
        <w:rPr>
          <w:rFonts w:ascii="Roboto Light" w:hAnsi="Roboto Light"/>
        </w:rPr>
        <w:t xml:space="preserve">best execution </w:t>
      </w:r>
      <w:r>
        <w:rPr>
          <w:rFonts w:ascii="Roboto Light" w:hAnsi="Roboto Light"/>
        </w:rPr>
        <w:t xml:space="preserve">requirements, but their continued operation does </w:t>
      </w:r>
      <w:r w:rsidRPr="00FE4BF2">
        <w:rPr>
          <w:rFonts w:ascii="Roboto Light" w:hAnsi="Roboto Light"/>
        </w:rPr>
        <w:t xml:space="preserve">reflect the overwhelming importance of passive investing vehicles as previously set out. </w:t>
      </w:r>
    </w:p>
    <w:p w14:paraId="2AF540F9" w14:textId="77777777" w:rsidR="008841DE" w:rsidRPr="00FE4BF2" w:rsidRDefault="008841DE" w:rsidP="008841DE">
      <w:pPr>
        <w:spacing w:before="100" w:beforeAutospacing="1" w:after="100" w:afterAutospacing="1" w:line="240" w:lineRule="auto"/>
        <w:rPr>
          <w:rFonts w:ascii="Roboto Light" w:hAnsi="Roboto Light"/>
        </w:rPr>
      </w:pPr>
      <w:r w:rsidRPr="00FE4BF2">
        <w:rPr>
          <w:rFonts w:ascii="Roboto Light" w:hAnsi="Roboto Light"/>
        </w:rPr>
        <w:t>In this respect we would urge ESMA to draft implementation regulations to more explicitly grant open access to settlement and clearing mechanisms operated by the primary exchanges for all such alternative closing mechanisms in order to avoid fragmentation.</w:t>
      </w:r>
    </w:p>
    <w:p w14:paraId="1DCA4954" w14:textId="77777777" w:rsidR="008841DE" w:rsidRPr="00FE4BF2" w:rsidRDefault="008841DE" w:rsidP="008841DE">
      <w:pPr>
        <w:spacing w:before="100" w:beforeAutospacing="1" w:after="100" w:afterAutospacing="1" w:line="240" w:lineRule="auto"/>
        <w:rPr>
          <w:rFonts w:ascii="Roboto Light" w:hAnsi="Roboto Light"/>
        </w:rPr>
      </w:pPr>
      <w:r w:rsidRPr="00FE4BF2">
        <w:rPr>
          <w:rFonts w:ascii="Roboto Light" w:hAnsi="Roboto Light"/>
        </w:rPr>
        <w:t>The combination of MIC code and a CLSE flag will provide for the necessary clear identification of such trades.</w:t>
      </w:r>
    </w:p>
    <w:p w14:paraId="746BF02F" w14:textId="77777777" w:rsidR="008841DE" w:rsidRPr="00FE4BF2" w:rsidRDefault="008841DE" w:rsidP="008841DE">
      <w:pPr>
        <w:spacing w:before="100" w:beforeAutospacing="1" w:after="100" w:afterAutospacing="1" w:line="240" w:lineRule="auto"/>
        <w:rPr>
          <w:rFonts w:ascii="Roboto Light" w:hAnsi="Roboto Light"/>
        </w:rPr>
      </w:pPr>
    </w:p>
    <w:p w14:paraId="455EA8AC" w14:textId="77777777" w:rsidR="003A33E5" w:rsidRDefault="003A33E5" w:rsidP="003A33E5">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6CA64615" w14:textId="77777777" w:rsidR="00BF5BD4" w:rsidRPr="00FE4BF2" w:rsidRDefault="00BF5BD4" w:rsidP="00BF5BD4">
      <w:pPr>
        <w:spacing w:before="100" w:beforeAutospacing="1" w:after="100" w:afterAutospacing="1" w:line="240" w:lineRule="auto"/>
        <w:rPr>
          <w:rFonts w:ascii="Roboto Light" w:hAnsi="Roboto Light"/>
        </w:rPr>
      </w:pPr>
      <w:permStart w:id="834536465" w:edGrp="everyone"/>
      <w:r w:rsidRPr="00FE4BF2">
        <w:rPr>
          <w:rFonts w:ascii="Roboto Light" w:hAnsi="Roboto Light"/>
        </w:rPr>
        <w:t xml:space="preserve">Given that the trading facilities and mechanisms offered by MTFs and SIs have long since offered continuous trading outside exchange hours without any identifiable effect on closing auctions, it is hard to suppose any major impact from longer exchange hours. Rather, subsequent to the closing auction, sessions will likely undertake different settlement instructions under the forthcoming T+1 deadlines. We would suggest that ESMA consider both the harmonisation of pre-trade flags with post-trading ones to provide tools for this delineation. This could be achieved with the more formal requirements to deploy the existing  the FIX MMT delineation. </w:t>
      </w:r>
    </w:p>
    <w:p w14:paraId="41DB8AB1" w14:textId="77777777" w:rsidR="00BF5BD4" w:rsidRPr="00FE4BF2" w:rsidRDefault="00BF5BD4" w:rsidP="00BF5BD4">
      <w:pPr>
        <w:spacing w:before="100" w:beforeAutospacing="1" w:after="100" w:afterAutospacing="1" w:line="240" w:lineRule="auto"/>
        <w:rPr>
          <w:rFonts w:ascii="Roboto Light" w:hAnsi="Roboto Light"/>
          <w:b/>
          <w:bCs/>
          <w:i/>
          <w:iCs/>
        </w:rPr>
      </w:pPr>
    </w:p>
    <w:p w14:paraId="4D4F73F8" w14:textId="77777777" w:rsidR="003A33E5" w:rsidRDefault="003A33E5" w:rsidP="003A33E5">
      <w:r>
        <w:lastRenderedPageBreak/>
        <w:t>TYPE YOUR TEXT HERE</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280A6C7D" w14:textId="77777777" w:rsidR="00EA3846" w:rsidRPr="00FE4BF2" w:rsidRDefault="00EA3846" w:rsidP="00EA3846">
      <w:pPr>
        <w:spacing w:before="100" w:beforeAutospacing="1" w:after="100" w:afterAutospacing="1" w:line="240" w:lineRule="auto"/>
        <w:rPr>
          <w:rFonts w:ascii="Roboto Light" w:hAnsi="Roboto Light"/>
        </w:rPr>
      </w:pPr>
      <w:permStart w:id="54361316" w:edGrp="everyone"/>
      <w:r w:rsidRPr="00FE4BF2">
        <w:rPr>
          <w:rFonts w:ascii="Roboto Light" w:hAnsi="Roboto Light"/>
        </w:rPr>
        <w:t>We agree with the comments in paragraph 62 noting the concentration of volumes and concomitant reliance on the closing auction as the primary mechanism for executing trades at the official closing price, and the growing importance of this market structure in the EU equity markets. This is also reflected in the BMLL insight piece “</w:t>
      </w:r>
      <w:hyperlink r:id="rId23" w:history="1">
        <w:r w:rsidRPr="00FE4BF2">
          <w:rPr>
            <w:rStyle w:val="Hyperlink"/>
            <w:rFonts w:ascii="Roboto Light" w:hAnsi="Roboto Light"/>
          </w:rPr>
          <w:t>Sounding the bell: understanding the closing auction</w:t>
        </w:r>
      </w:hyperlink>
      <w:r w:rsidRPr="00FE4BF2">
        <w:rPr>
          <w:rStyle w:val="FootnoteReference"/>
          <w:rFonts w:ascii="Roboto Light" w:hAnsi="Roboto Light"/>
        </w:rPr>
        <w:footnoteReference w:id="6"/>
      </w:r>
      <w:r w:rsidRPr="00FE4BF2">
        <w:rPr>
          <w:rFonts w:ascii="Roboto Light" w:hAnsi="Roboto Light"/>
        </w:rPr>
        <w:t>” back in November 2023 which concluded that losing auctions are now the single largest liquidity event in a trading day with the share of volume as c. 15–20% of daily volume in Europe and Japan. BMLL followed this up with, “</w:t>
      </w:r>
      <w:hyperlink r:id="rId24" w:history="1">
        <w:r w:rsidRPr="00FE4BF2">
          <w:rPr>
            <w:rStyle w:val="Hyperlink"/>
            <w:rFonts w:ascii="Roboto Light" w:hAnsi="Roboto Light"/>
          </w:rPr>
          <w:t>Plotting at the Triple Witching Hour: how the Closing Auction has changed</w:t>
        </w:r>
      </w:hyperlink>
      <w:r w:rsidRPr="00FE4BF2">
        <w:rPr>
          <w:rStyle w:val="FootnoteReference"/>
          <w:rFonts w:ascii="Roboto Light" w:hAnsi="Roboto Light"/>
        </w:rPr>
        <w:footnoteReference w:id="7"/>
      </w:r>
      <w:r w:rsidRPr="00FE4BF2">
        <w:rPr>
          <w:rFonts w:ascii="Roboto Light" w:hAnsi="Roboto Light"/>
        </w:rPr>
        <w:t xml:space="preserve">” which evidenced the continued growth in auction share across US and Europe. </w:t>
      </w:r>
      <w:hyperlink r:id="rId25" w:history="1">
        <w:r w:rsidRPr="00FE4BF2">
          <w:rPr>
            <w:rStyle w:val="Hyperlink"/>
            <w:rFonts w:ascii="Roboto Light" w:hAnsi="Roboto Light"/>
          </w:rPr>
          <w:t>Euronext has a similar body of quantitative evidence</w:t>
        </w:r>
      </w:hyperlink>
      <w:r w:rsidRPr="00FE4BF2">
        <w:rPr>
          <w:rStyle w:val="FootnoteReference"/>
          <w:rFonts w:ascii="Roboto Light" w:hAnsi="Roboto Light"/>
        </w:rPr>
        <w:footnoteReference w:id="8"/>
      </w:r>
      <w:r w:rsidRPr="00FE4BF2">
        <w:rPr>
          <w:rFonts w:ascii="Roboto Light" w:hAnsi="Roboto Light"/>
        </w:rPr>
        <w:t xml:space="preserve">. </w:t>
      </w:r>
    </w:p>
    <w:p w14:paraId="32F0B1EE" w14:textId="77777777" w:rsidR="00EA3846" w:rsidRPr="00FE4BF2" w:rsidRDefault="00EA3846" w:rsidP="00EA3846">
      <w:pPr>
        <w:spacing w:before="100" w:beforeAutospacing="1" w:after="100" w:afterAutospacing="1" w:line="240" w:lineRule="auto"/>
        <w:rPr>
          <w:rFonts w:ascii="Roboto Light" w:hAnsi="Roboto Light"/>
        </w:rPr>
      </w:pPr>
      <w:r w:rsidRPr="00FE4BF2">
        <w:rPr>
          <w:rFonts w:ascii="Roboto Light" w:hAnsi="Roboto Light"/>
        </w:rPr>
        <w:t>Academic literature has also increasingly focused on this shift with the same results, noting the Plato Partnership / academic collaboration in 2023 and the paper, “</w:t>
      </w:r>
      <w:hyperlink r:id="rId26" w:history="1">
        <w:r w:rsidRPr="00FE4BF2">
          <w:rPr>
            <w:rStyle w:val="Hyperlink"/>
            <w:rFonts w:ascii="Roboto Light" w:hAnsi="Roboto Light"/>
          </w:rPr>
          <w:t>Shifting Volumes to the Close: Consequences for Price Discovery and Market Quality</w:t>
        </w:r>
      </w:hyperlink>
      <w:r w:rsidRPr="00FE4BF2">
        <w:rPr>
          <w:rStyle w:val="FootnoteReference"/>
          <w:rFonts w:ascii="Roboto Light" w:hAnsi="Roboto Light"/>
        </w:rPr>
        <w:footnoteReference w:id="9"/>
      </w:r>
      <w:r w:rsidRPr="00FE4BF2">
        <w:rPr>
          <w:rFonts w:ascii="Roboto Light" w:hAnsi="Roboto Light"/>
        </w:rPr>
        <w:t>” by Bender, Clapham, and Schwemmlein.</w:t>
      </w:r>
    </w:p>
    <w:p w14:paraId="56E6CBFB" w14:textId="77777777" w:rsidR="00EA3846" w:rsidRDefault="00EA3846" w:rsidP="00EA3846">
      <w:pPr>
        <w:spacing w:before="100" w:beforeAutospacing="1" w:after="100" w:afterAutospacing="1" w:line="240" w:lineRule="auto"/>
        <w:rPr>
          <w:rFonts w:ascii="Roboto Light" w:hAnsi="Roboto Light"/>
        </w:rPr>
      </w:pPr>
      <w:r w:rsidRPr="00FE4BF2">
        <w:rPr>
          <w:rFonts w:ascii="Roboto Light" w:hAnsi="Roboto Light"/>
        </w:rPr>
        <w:t>Clearly these papers and the facts they record and collate are immutable and explainable. A market structure that could not evolve with the needs of its users would be concerning, but this is not that case. We therefore emphasise that these do not prompt concerns/issues at this stage and they do not prompt a need for specific regulatory interventions beyond the doubling down of open-access provisions and creation of a flagging set as discussed above.</w:t>
      </w:r>
    </w:p>
    <w:p w14:paraId="6F2C31D3" w14:textId="77777777" w:rsidR="00EA3846" w:rsidRPr="00FE4BF2" w:rsidRDefault="00EA3846" w:rsidP="00EA3846">
      <w:pPr>
        <w:spacing w:before="100" w:beforeAutospacing="1" w:after="100" w:afterAutospacing="1" w:line="240" w:lineRule="auto"/>
        <w:rPr>
          <w:rFonts w:ascii="Roboto Light" w:hAnsi="Roboto Light"/>
        </w:rPr>
      </w:pPr>
      <w:r>
        <w:rPr>
          <w:rFonts w:ascii="Roboto Light" w:hAnsi="Roboto Light"/>
        </w:rPr>
        <w:t xml:space="preserve">On account of the </w:t>
      </w:r>
      <w:r w:rsidRPr="00BF3C8E">
        <w:rPr>
          <w:rFonts w:ascii="Roboto Light" w:hAnsi="Roboto Light"/>
        </w:rPr>
        <w:t>market power</w:t>
      </w:r>
      <w:r>
        <w:rPr>
          <w:rFonts w:ascii="Roboto Light" w:hAnsi="Roboto Light"/>
        </w:rPr>
        <w:t xml:space="preserve"> available to </w:t>
      </w:r>
      <w:r w:rsidRPr="00BF3C8E">
        <w:rPr>
          <w:rFonts w:ascii="Roboto Light" w:hAnsi="Roboto Light"/>
        </w:rPr>
        <w:t xml:space="preserve">primary exchanges, </w:t>
      </w:r>
      <w:r>
        <w:rPr>
          <w:rFonts w:ascii="Roboto Light" w:hAnsi="Roboto Light"/>
        </w:rPr>
        <w:t xml:space="preserve">they tend to be </w:t>
      </w:r>
      <w:r w:rsidRPr="00BF3C8E">
        <w:rPr>
          <w:rFonts w:ascii="Roboto Light" w:hAnsi="Roboto Light"/>
        </w:rPr>
        <w:t>able to implement fee structures which this incentivi</w:t>
      </w:r>
      <w:r>
        <w:rPr>
          <w:rFonts w:ascii="Roboto Light" w:hAnsi="Roboto Light"/>
        </w:rPr>
        <w:t>s</w:t>
      </w:r>
      <w:r w:rsidRPr="00BF3C8E">
        <w:rPr>
          <w:rFonts w:ascii="Roboto Light" w:hAnsi="Roboto Light"/>
        </w:rPr>
        <w:t xml:space="preserve">es </w:t>
      </w:r>
      <w:r>
        <w:rPr>
          <w:rFonts w:ascii="Roboto Light" w:hAnsi="Roboto Light"/>
        </w:rPr>
        <w:t xml:space="preserve">liquidity </w:t>
      </w:r>
      <w:r w:rsidRPr="00BF3C8E">
        <w:rPr>
          <w:rFonts w:ascii="Roboto Light" w:hAnsi="Roboto Light"/>
        </w:rPr>
        <w:t xml:space="preserve">moving or splitting their trading activity </w:t>
      </w:r>
      <w:r>
        <w:rPr>
          <w:rFonts w:ascii="Roboto Light" w:hAnsi="Roboto Light"/>
        </w:rPr>
        <w:t>away from</w:t>
      </w:r>
      <w:r w:rsidRPr="00BF3C8E">
        <w:rPr>
          <w:rFonts w:ascii="Roboto Light" w:hAnsi="Roboto Light"/>
        </w:rPr>
        <w:t xml:space="preserve"> alternative closing auctions</w:t>
      </w:r>
      <w:r>
        <w:rPr>
          <w:rFonts w:ascii="Roboto Light" w:hAnsi="Roboto Light"/>
        </w:rPr>
        <w:t xml:space="preserve">. Should ESMA deem it desirable </w:t>
      </w:r>
      <w:r w:rsidRPr="00BF3C8E">
        <w:rPr>
          <w:rFonts w:ascii="Roboto Light" w:hAnsi="Roboto Light"/>
        </w:rPr>
        <w:t xml:space="preserve">to foster competition, the equity consolidated </w:t>
      </w:r>
      <w:r>
        <w:rPr>
          <w:rFonts w:ascii="Roboto Light" w:hAnsi="Roboto Light"/>
        </w:rPr>
        <w:t>tape</w:t>
      </w:r>
      <w:r w:rsidRPr="00BF3C8E">
        <w:rPr>
          <w:rFonts w:ascii="Roboto Light" w:hAnsi="Roboto Light"/>
        </w:rPr>
        <w:t xml:space="preserve"> can </w:t>
      </w:r>
      <w:r>
        <w:rPr>
          <w:rFonts w:ascii="Roboto Light" w:hAnsi="Roboto Light"/>
        </w:rPr>
        <w:t xml:space="preserve">be a key tool to </w:t>
      </w:r>
      <w:r w:rsidRPr="00BF3C8E">
        <w:rPr>
          <w:rFonts w:ascii="Roboto Light" w:hAnsi="Roboto Light"/>
        </w:rPr>
        <w:t>support this</w:t>
      </w:r>
      <w:r>
        <w:rPr>
          <w:rFonts w:ascii="Roboto Light" w:hAnsi="Roboto Light"/>
        </w:rPr>
        <w:t xml:space="preserve"> by establishing a stable and </w:t>
      </w:r>
      <w:r>
        <w:rPr>
          <w:rFonts w:ascii="Roboto Light" w:hAnsi="Roboto Light"/>
        </w:rPr>
        <w:lastRenderedPageBreak/>
        <w:t xml:space="preserve">universal </w:t>
      </w:r>
      <w:r w:rsidRPr="00E81A21">
        <w:rPr>
          <w:rFonts w:ascii="Roboto Light" w:hAnsi="Roboto Light"/>
        </w:rPr>
        <w:t>crossing pric</w:t>
      </w:r>
      <w:r>
        <w:rPr>
          <w:rFonts w:ascii="Roboto Light" w:hAnsi="Roboto Light"/>
        </w:rPr>
        <w:t>e</w:t>
      </w:r>
      <w:r w:rsidRPr="00BF3C8E">
        <w:rPr>
          <w:rFonts w:ascii="Roboto Light" w:hAnsi="Roboto Light"/>
        </w:rPr>
        <w:t xml:space="preserve">. </w:t>
      </w:r>
      <w:r>
        <w:rPr>
          <w:rFonts w:ascii="Roboto Light" w:hAnsi="Roboto Light"/>
        </w:rPr>
        <w:t>I</w:t>
      </w:r>
      <w:r w:rsidRPr="00BF3C8E">
        <w:rPr>
          <w:rFonts w:ascii="Roboto Light" w:hAnsi="Roboto Light"/>
        </w:rPr>
        <w:t xml:space="preserve">nstead of the primary auction collecting bids and offers over a predefined window, the </w:t>
      </w:r>
      <w:r>
        <w:rPr>
          <w:rFonts w:ascii="Roboto Light" w:hAnsi="Roboto Light"/>
        </w:rPr>
        <w:t>CT</w:t>
      </w:r>
      <w:r w:rsidRPr="00BF3C8E">
        <w:rPr>
          <w:rFonts w:ascii="Roboto Light" w:hAnsi="Roboto Light"/>
        </w:rPr>
        <w:t xml:space="preserve"> </w:t>
      </w:r>
      <w:r>
        <w:rPr>
          <w:rFonts w:ascii="Roboto Light" w:hAnsi="Roboto Light"/>
        </w:rPr>
        <w:t>could, by</w:t>
      </w:r>
      <w:r w:rsidRPr="00BF3C8E">
        <w:rPr>
          <w:rFonts w:ascii="Roboto Light" w:hAnsi="Roboto Light"/>
        </w:rPr>
        <w:t xml:space="preserve"> consum</w:t>
      </w:r>
      <w:r>
        <w:rPr>
          <w:rFonts w:ascii="Roboto Light" w:hAnsi="Roboto Light"/>
        </w:rPr>
        <w:t xml:space="preserve">ing </w:t>
      </w:r>
      <w:r w:rsidRPr="00BF3C8E">
        <w:rPr>
          <w:rFonts w:ascii="Roboto Light" w:hAnsi="Roboto Light"/>
        </w:rPr>
        <w:t>all the market</w:t>
      </w:r>
      <w:r>
        <w:rPr>
          <w:rFonts w:ascii="Roboto Light" w:hAnsi="Roboto Light"/>
        </w:rPr>
        <w:t>-</w:t>
      </w:r>
      <w:r w:rsidRPr="00BF3C8E">
        <w:rPr>
          <w:rFonts w:ascii="Roboto Light" w:hAnsi="Roboto Light"/>
        </w:rPr>
        <w:t>on</w:t>
      </w:r>
      <w:r>
        <w:rPr>
          <w:rFonts w:ascii="Roboto Light" w:hAnsi="Roboto Light"/>
        </w:rPr>
        <w:t>-</w:t>
      </w:r>
      <w:r w:rsidRPr="00BF3C8E">
        <w:rPr>
          <w:rFonts w:ascii="Roboto Light" w:hAnsi="Roboto Light"/>
        </w:rPr>
        <w:t>close and the limit</w:t>
      </w:r>
      <w:r>
        <w:rPr>
          <w:rFonts w:ascii="Roboto Light" w:hAnsi="Roboto Light"/>
        </w:rPr>
        <w:t>-</w:t>
      </w:r>
      <w:r w:rsidRPr="00BF3C8E">
        <w:rPr>
          <w:rFonts w:ascii="Roboto Light" w:hAnsi="Roboto Light"/>
        </w:rPr>
        <w:t>on</w:t>
      </w:r>
      <w:r>
        <w:rPr>
          <w:rFonts w:ascii="Roboto Light" w:hAnsi="Roboto Light"/>
        </w:rPr>
        <w:t>-</w:t>
      </w:r>
      <w:r w:rsidRPr="00BF3C8E">
        <w:rPr>
          <w:rFonts w:ascii="Roboto Light" w:hAnsi="Roboto Light"/>
        </w:rPr>
        <w:t xml:space="preserve">close orders submitted </w:t>
      </w:r>
      <w:r>
        <w:rPr>
          <w:rFonts w:ascii="Roboto Light" w:hAnsi="Roboto Light"/>
        </w:rPr>
        <w:t xml:space="preserve">across the trading venue ecosystem, </w:t>
      </w:r>
      <w:r w:rsidRPr="00BF3C8E">
        <w:rPr>
          <w:rFonts w:ascii="Roboto Light" w:hAnsi="Roboto Light"/>
        </w:rPr>
        <w:t xml:space="preserve">then determine the </w:t>
      </w:r>
      <w:r>
        <w:rPr>
          <w:rFonts w:ascii="Roboto Light" w:hAnsi="Roboto Light"/>
        </w:rPr>
        <w:t>“</w:t>
      </w:r>
      <w:r w:rsidRPr="00CE464C">
        <w:rPr>
          <w:rFonts w:ascii="Roboto Light" w:hAnsi="Roboto Light"/>
          <w:i/>
          <w:iCs/>
        </w:rPr>
        <w:t>Un-crossing price</w:t>
      </w:r>
      <w:r>
        <w:rPr>
          <w:rFonts w:ascii="Roboto Light" w:hAnsi="Roboto Light"/>
        </w:rPr>
        <w:t>”</w:t>
      </w:r>
      <w:r w:rsidRPr="00BF3C8E">
        <w:rPr>
          <w:rFonts w:ascii="Roboto Light" w:hAnsi="Roboto Light"/>
        </w:rPr>
        <w:t xml:space="preserve">. And this is all data which is included in the pre-trade data, </w:t>
      </w:r>
      <w:r>
        <w:rPr>
          <w:rFonts w:ascii="Roboto Light" w:hAnsi="Roboto Light"/>
        </w:rPr>
        <w:t xml:space="preserve">and </w:t>
      </w:r>
      <w:r w:rsidRPr="00BF3C8E">
        <w:rPr>
          <w:rFonts w:ascii="Roboto Light" w:hAnsi="Roboto Light"/>
        </w:rPr>
        <w:t xml:space="preserve">transmitted to the </w:t>
      </w:r>
      <w:r>
        <w:rPr>
          <w:rFonts w:ascii="Roboto Light" w:hAnsi="Roboto Light"/>
        </w:rPr>
        <w:t>CT</w:t>
      </w:r>
      <w:r w:rsidRPr="00BF3C8E">
        <w:rPr>
          <w:rFonts w:ascii="Roboto Light" w:hAnsi="Roboto Light"/>
        </w:rPr>
        <w:t xml:space="preserve"> </w:t>
      </w:r>
      <w:r>
        <w:rPr>
          <w:rFonts w:ascii="Roboto Light" w:hAnsi="Roboto Light"/>
        </w:rPr>
        <w:t xml:space="preserve">including baskets of </w:t>
      </w:r>
      <w:r w:rsidRPr="00BF3C8E">
        <w:rPr>
          <w:rFonts w:ascii="Roboto Light" w:hAnsi="Roboto Light"/>
        </w:rPr>
        <w:t xml:space="preserve">shares </w:t>
      </w:r>
      <w:r>
        <w:rPr>
          <w:rFonts w:ascii="Roboto Light" w:hAnsi="Roboto Light"/>
        </w:rPr>
        <w:t xml:space="preserve">and </w:t>
      </w:r>
      <w:r w:rsidRPr="00BF3C8E">
        <w:rPr>
          <w:rFonts w:ascii="Roboto Light" w:hAnsi="Roboto Light"/>
        </w:rPr>
        <w:t>ETFs.</w:t>
      </w:r>
    </w:p>
    <w:p w14:paraId="0D407B43" w14:textId="1A8CD66A" w:rsidR="003A33E5" w:rsidRDefault="003A33E5" w:rsidP="003A33E5">
      <w:r>
        <w:t>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19E4F82" w14:textId="77777777" w:rsidR="00843B05" w:rsidRPr="00FE4BF2" w:rsidRDefault="00843B05" w:rsidP="00843B05">
      <w:pPr>
        <w:spacing w:before="100" w:beforeAutospacing="1" w:after="100" w:afterAutospacing="1" w:line="240" w:lineRule="auto"/>
        <w:rPr>
          <w:rFonts w:ascii="Roboto Light" w:hAnsi="Roboto Light"/>
        </w:rPr>
      </w:pPr>
      <w:permStart w:id="1032677898" w:edGrp="everyone"/>
      <w:r w:rsidRPr="000C0302">
        <w:rPr>
          <w:rFonts w:ascii="Roboto Light" w:hAnsi="Roboto Light"/>
        </w:rPr>
        <w:t>Frequent Batch Auctions (FBAs) are periodic</w:t>
      </w:r>
      <w:r w:rsidRPr="00FE4BF2">
        <w:rPr>
          <w:rFonts w:ascii="Roboto Light" w:hAnsi="Roboto Light"/>
        </w:rPr>
        <w:t xml:space="preserve"> auction systems that match orders throughout the day, distinguishing themselves from conventional scheduled auctions by their millisecond duration and their "on-demand" nature, triggered by order submission or a potential match. </w:t>
      </w:r>
      <w:r w:rsidRPr="00857655">
        <w:rPr>
          <w:rFonts w:ascii="Roboto Light" w:hAnsi="Roboto Light"/>
        </w:rPr>
        <w:t>FBAs offer the benefits of dark trading and off-bug trading without being subjected to the same rules which apply to</w:t>
      </w:r>
      <w:r>
        <w:rPr>
          <w:rFonts w:ascii="Roboto Light" w:hAnsi="Roboto Light"/>
        </w:rPr>
        <w:t xml:space="preserve"> MTFs. Rather, </w:t>
      </w:r>
      <w:r w:rsidRPr="00081430">
        <w:rPr>
          <w:rFonts w:ascii="Roboto Light" w:hAnsi="Roboto Light"/>
        </w:rPr>
        <w:t>they don't operate under any waiver regime</w:t>
      </w:r>
      <w:r>
        <w:rPr>
          <w:rFonts w:ascii="Roboto Light" w:hAnsi="Roboto Light"/>
        </w:rPr>
        <w:t xml:space="preserve">, nor under </w:t>
      </w:r>
      <w:r w:rsidRPr="00081430">
        <w:rPr>
          <w:rFonts w:ascii="Roboto Light" w:hAnsi="Roboto Light"/>
        </w:rPr>
        <w:t xml:space="preserve">the </w:t>
      </w:r>
      <w:r>
        <w:rPr>
          <w:rFonts w:ascii="Roboto Light" w:hAnsi="Roboto Light"/>
        </w:rPr>
        <w:t>SVC, whilst m</w:t>
      </w:r>
      <w:r w:rsidRPr="00081430">
        <w:rPr>
          <w:rFonts w:ascii="Roboto Light" w:hAnsi="Roboto Light"/>
        </w:rPr>
        <w:t xml:space="preserve">arket participants can execute trades often and away from the </w:t>
      </w:r>
      <w:r>
        <w:rPr>
          <w:rFonts w:ascii="Roboto Light" w:hAnsi="Roboto Light"/>
        </w:rPr>
        <w:t>mid-</w:t>
      </w:r>
      <w:r w:rsidRPr="00081430">
        <w:rPr>
          <w:rFonts w:ascii="Roboto Light" w:hAnsi="Roboto Light"/>
        </w:rPr>
        <w:t>price</w:t>
      </w:r>
      <w:r>
        <w:rPr>
          <w:rFonts w:ascii="Roboto Light" w:hAnsi="Roboto Light"/>
        </w:rPr>
        <w:t xml:space="preserve"> constraints, off-tick and subject to other flexibilities</w:t>
      </w:r>
      <w:r w:rsidRPr="00081430">
        <w:rPr>
          <w:rFonts w:ascii="Roboto Light" w:hAnsi="Roboto Light"/>
        </w:rPr>
        <w:t>.</w:t>
      </w:r>
    </w:p>
    <w:p w14:paraId="015CF530" w14:textId="77777777" w:rsidR="00843B05" w:rsidRPr="00FE4BF2" w:rsidRDefault="00843B05" w:rsidP="00843B05">
      <w:pPr>
        <w:spacing w:before="100" w:beforeAutospacing="1" w:after="100" w:afterAutospacing="1" w:line="240" w:lineRule="auto"/>
        <w:rPr>
          <w:rFonts w:ascii="Roboto Light" w:hAnsi="Roboto Light"/>
        </w:rPr>
      </w:pPr>
      <w:r w:rsidRPr="00FE4BF2">
        <w:rPr>
          <w:rFonts w:ascii="Roboto Light" w:hAnsi="Roboto Light"/>
        </w:rPr>
        <w:t>We agree with the evidence set out in the call for evidence illustration the growth and evolution of Frequent Batch Auctions, notably in the period since the June 2019 ESMA first report. In particular we note the BMLL report of 16</w:t>
      </w:r>
      <w:r w:rsidRPr="00FE4BF2">
        <w:rPr>
          <w:rFonts w:ascii="Roboto Light" w:hAnsi="Roboto Light"/>
          <w:vertAlign w:val="superscript"/>
        </w:rPr>
        <w:t>th</w:t>
      </w:r>
      <w:r w:rsidRPr="00FE4BF2">
        <w:rPr>
          <w:rFonts w:ascii="Roboto Light" w:hAnsi="Roboto Light"/>
        </w:rPr>
        <w:t xml:space="preserve"> June 2026 entitled, “ </w:t>
      </w:r>
      <w:hyperlink r:id="rId27" w:history="1">
        <w:r w:rsidRPr="00FE4BF2">
          <w:rPr>
            <w:rStyle w:val="Hyperlink"/>
            <w:rFonts w:ascii="Roboto Light" w:hAnsi="Roboto Light"/>
          </w:rPr>
          <w:t>Only four in every ten euros of European equity trading representing real economic interest happens on a displayed central limit order book</w:t>
        </w:r>
      </w:hyperlink>
      <w:r w:rsidRPr="00FE4BF2">
        <w:rPr>
          <w:rStyle w:val="FootnoteReference"/>
          <w:rFonts w:ascii="Roboto Light" w:hAnsi="Roboto Light"/>
        </w:rPr>
        <w:footnoteReference w:id="10"/>
      </w:r>
      <w:r w:rsidRPr="00FE4BF2">
        <w:rPr>
          <w:rFonts w:ascii="Roboto Light" w:hAnsi="Roboto Light"/>
        </w:rPr>
        <w:t>”. This illustrates FBAs inside multilateral liquidity to account for about 5% of the total market. Other reporting, without the “Addressable Liquidity” filters have supposed the doubling their relative share of trading volume from 3.1% in 2022 to 6.2% in 2025 across EU equity markets as a whole.</w:t>
      </w:r>
    </w:p>
    <w:p w14:paraId="6636E670" w14:textId="77777777" w:rsidR="00843B05" w:rsidRPr="00FE4BF2" w:rsidRDefault="00843B05" w:rsidP="00843B05">
      <w:pPr>
        <w:spacing w:before="100" w:beforeAutospacing="1" w:after="100" w:afterAutospacing="1" w:line="240" w:lineRule="auto"/>
      </w:pPr>
      <w:r w:rsidRPr="00FE4BF2">
        <w:rPr>
          <w:rFonts w:ascii="Roboto Light" w:hAnsi="Roboto Light"/>
        </w:rPr>
        <w:drawing>
          <wp:inline distT="0" distB="0" distL="0" distR="0" wp14:anchorId="376D76FA" wp14:editId="7D7A17E1">
            <wp:extent cx="2690633" cy="1747748"/>
            <wp:effectExtent l="0" t="0" r="0" b="5080"/>
            <wp:docPr id="7560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1225" name=""/>
                    <pic:cNvPicPr/>
                  </pic:nvPicPr>
                  <pic:blipFill>
                    <a:blip r:embed="rId28"/>
                    <a:stretch>
                      <a:fillRect/>
                    </a:stretch>
                  </pic:blipFill>
                  <pic:spPr>
                    <a:xfrm>
                      <a:off x="0" y="0"/>
                      <a:ext cx="2701505" cy="1754810"/>
                    </a:xfrm>
                    <a:prstGeom prst="rect">
                      <a:avLst/>
                    </a:prstGeom>
                  </pic:spPr>
                </pic:pic>
              </a:graphicData>
            </a:graphic>
          </wp:inline>
        </w:drawing>
      </w:r>
      <w:r w:rsidRPr="00FE4BF2">
        <w:t xml:space="preserve"> </w:t>
      </w:r>
      <w:r w:rsidRPr="00FE4BF2">
        <w:rPr>
          <w:rFonts w:ascii="Roboto Light" w:hAnsi="Roboto Light"/>
        </w:rPr>
        <w:drawing>
          <wp:inline distT="0" distB="0" distL="0" distR="0" wp14:anchorId="4FF30261" wp14:editId="38AF35F4">
            <wp:extent cx="2588441" cy="1695993"/>
            <wp:effectExtent l="0" t="0" r="2540" b="0"/>
            <wp:docPr id="51223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38896" name=""/>
                    <pic:cNvPicPr/>
                  </pic:nvPicPr>
                  <pic:blipFill>
                    <a:blip r:embed="rId29"/>
                    <a:stretch>
                      <a:fillRect/>
                    </a:stretch>
                  </pic:blipFill>
                  <pic:spPr>
                    <a:xfrm>
                      <a:off x="0" y="0"/>
                      <a:ext cx="2602797" cy="1705399"/>
                    </a:xfrm>
                    <a:prstGeom prst="rect">
                      <a:avLst/>
                    </a:prstGeom>
                  </pic:spPr>
                </pic:pic>
              </a:graphicData>
            </a:graphic>
          </wp:inline>
        </w:drawing>
      </w:r>
    </w:p>
    <w:p w14:paraId="633332C6" w14:textId="77777777" w:rsidR="00843B05" w:rsidRPr="00FE4BF2" w:rsidRDefault="00843B05" w:rsidP="00843B05">
      <w:pPr>
        <w:spacing w:before="100" w:beforeAutospacing="1" w:after="100" w:afterAutospacing="1" w:line="240" w:lineRule="auto"/>
        <w:rPr>
          <w:rFonts w:ascii="Roboto Light" w:hAnsi="Roboto Light"/>
          <w:b/>
          <w:bCs/>
        </w:rPr>
      </w:pPr>
      <w:r w:rsidRPr="00FE4BF2">
        <w:rPr>
          <w:rFonts w:ascii="Roboto Light" w:hAnsi="Roboto Light"/>
          <w:b/>
          <w:bCs/>
        </w:rPr>
        <w:t>Benefits of FBAs</w:t>
      </w:r>
    </w:p>
    <w:p w14:paraId="3E2FC44D" w14:textId="77777777" w:rsidR="00843B05" w:rsidRPr="00FE4BF2" w:rsidRDefault="00843B05" w:rsidP="00843B05">
      <w:pPr>
        <w:numPr>
          <w:ilvl w:val="0"/>
          <w:numId w:val="38"/>
        </w:numPr>
        <w:spacing w:before="100" w:beforeAutospacing="1" w:after="100" w:afterAutospacing="1" w:line="240" w:lineRule="auto"/>
        <w:jc w:val="left"/>
        <w:rPr>
          <w:rFonts w:ascii="Roboto Light" w:hAnsi="Roboto Light"/>
        </w:rPr>
      </w:pPr>
      <w:r w:rsidRPr="00FE4BF2">
        <w:rPr>
          <w:rFonts w:ascii="Roboto Light" w:hAnsi="Roboto Light"/>
          <w:b/>
          <w:bCs/>
        </w:rPr>
        <w:t>Reduced Latency Race:</w:t>
      </w:r>
      <w:r w:rsidRPr="00FE4BF2">
        <w:rPr>
          <w:rFonts w:ascii="Roboto Light" w:hAnsi="Roboto Light"/>
        </w:rPr>
        <w:t xml:space="preserve"> FBAs benefit market participants by de-emphasising speed, thereby reducing the "latency race" prevalent in continuous lit trading.</w:t>
      </w:r>
    </w:p>
    <w:p w14:paraId="498A86CD" w14:textId="77777777" w:rsidR="00843B05" w:rsidRPr="00FE4BF2" w:rsidRDefault="00843B05" w:rsidP="00843B05">
      <w:pPr>
        <w:numPr>
          <w:ilvl w:val="0"/>
          <w:numId w:val="38"/>
        </w:numPr>
        <w:spacing w:before="100" w:beforeAutospacing="1" w:after="100" w:afterAutospacing="1" w:line="240" w:lineRule="auto"/>
        <w:jc w:val="left"/>
        <w:rPr>
          <w:rFonts w:ascii="Roboto Light" w:hAnsi="Roboto Light"/>
        </w:rPr>
      </w:pPr>
      <w:r w:rsidRPr="00FE4BF2">
        <w:rPr>
          <w:rFonts w:ascii="Roboto Light" w:hAnsi="Roboto Light"/>
          <w:b/>
          <w:bCs/>
        </w:rPr>
        <w:t>Lower Price Slippage:</w:t>
      </w:r>
      <w:r w:rsidRPr="00FE4BF2">
        <w:rPr>
          <w:rFonts w:ascii="Roboto Light" w:hAnsi="Roboto Light"/>
        </w:rPr>
        <w:t xml:space="preserve"> They are viewed as an effective alternative to Central Limit Order Books (CLOBs) for executing larger orders while limiting the risk of price slippage.</w:t>
      </w:r>
    </w:p>
    <w:p w14:paraId="62625597" w14:textId="77777777" w:rsidR="00843B05" w:rsidRPr="00FE4BF2" w:rsidRDefault="00843B05" w:rsidP="00843B05">
      <w:pPr>
        <w:numPr>
          <w:ilvl w:val="0"/>
          <w:numId w:val="38"/>
        </w:numPr>
        <w:spacing w:before="100" w:beforeAutospacing="1" w:after="100" w:afterAutospacing="1" w:line="240" w:lineRule="auto"/>
        <w:jc w:val="left"/>
        <w:rPr>
          <w:rFonts w:ascii="Roboto Light" w:hAnsi="Roboto Light"/>
        </w:rPr>
      </w:pPr>
      <w:r w:rsidRPr="00FE4BF2">
        <w:rPr>
          <w:rFonts w:ascii="Roboto Light" w:hAnsi="Roboto Light"/>
          <w:b/>
          <w:bCs/>
        </w:rPr>
        <w:lastRenderedPageBreak/>
        <w:t>Larger Execution Sizes:</w:t>
      </w:r>
      <w:r w:rsidRPr="00FE4BF2">
        <w:rPr>
          <w:rFonts w:ascii="Roboto Light" w:hAnsi="Roboto Light"/>
        </w:rPr>
        <w:t xml:space="preserve"> Data shows that the average trade size for FBAs is higher than in lit continuous trading; for example, most FBA trades fall in the EUR 5,000 – 10,000 bucket, whereas lit trading is dominated by the EUR 0 – 5,000 bucket.</w:t>
      </w:r>
    </w:p>
    <w:p w14:paraId="717A6A01" w14:textId="77777777" w:rsidR="00843B05" w:rsidRPr="00FE4BF2" w:rsidRDefault="00843B05" w:rsidP="00843B05">
      <w:pPr>
        <w:numPr>
          <w:ilvl w:val="0"/>
          <w:numId w:val="38"/>
        </w:numPr>
        <w:spacing w:before="100" w:beforeAutospacing="1" w:after="100" w:afterAutospacing="1" w:line="240" w:lineRule="auto"/>
        <w:jc w:val="left"/>
        <w:rPr>
          <w:rFonts w:ascii="Roboto Light" w:hAnsi="Roboto Light"/>
        </w:rPr>
      </w:pPr>
      <w:r w:rsidRPr="00FE4BF2">
        <w:rPr>
          <w:rFonts w:ascii="Roboto Light" w:hAnsi="Roboto Light"/>
          <w:b/>
          <w:bCs/>
        </w:rPr>
        <w:t>Off-Tick Execution:</w:t>
      </w:r>
      <w:r w:rsidRPr="00FE4BF2">
        <w:rPr>
          <w:rFonts w:ascii="Roboto Light" w:hAnsi="Roboto Light"/>
        </w:rPr>
        <w:t xml:space="preserve"> FBAs are noted for their success in executing orders off-tick (e.g., at midpoint), with data indicating that all FBAs execute at least 40% of their transactions off-tick.</w:t>
      </w:r>
    </w:p>
    <w:p w14:paraId="004194A4" w14:textId="77777777" w:rsidR="00843B05" w:rsidRPr="00FE4BF2" w:rsidRDefault="00843B05" w:rsidP="00843B05">
      <w:pPr>
        <w:numPr>
          <w:ilvl w:val="0"/>
          <w:numId w:val="38"/>
        </w:numPr>
        <w:spacing w:before="100" w:beforeAutospacing="1" w:after="100" w:afterAutospacing="1" w:line="240" w:lineRule="auto"/>
        <w:jc w:val="left"/>
        <w:rPr>
          <w:rFonts w:ascii="Roboto Light" w:hAnsi="Roboto Light"/>
        </w:rPr>
      </w:pPr>
      <w:r w:rsidRPr="00FE4BF2">
        <w:rPr>
          <w:rFonts w:ascii="Roboto Light" w:hAnsi="Roboto Light"/>
          <w:b/>
          <w:bCs/>
        </w:rPr>
        <w:t>Alternative to Dark Trading:</w:t>
      </w:r>
      <w:r w:rsidRPr="00FE4BF2">
        <w:rPr>
          <w:rFonts w:ascii="Roboto Light" w:hAnsi="Roboto Light"/>
        </w:rPr>
        <w:t xml:space="preserve"> Following the implementation of the Single Volume Cap (SVC), there are indications that some dark order flow may be relocating to FBAs, particularly on venues like Cboe Europe - DXE Periodic (BEUP).</w:t>
      </w:r>
    </w:p>
    <w:p w14:paraId="6EEFF6D2" w14:textId="77777777" w:rsidR="00843B05" w:rsidRPr="00FE4BF2" w:rsidRDefault="00843B05" w:rsidP="00843B05">
      <w:pPr>
        <w:spacing w:before="100" w:beforeAutospacing="1" w:after="100" w:afterAutospacing="1" w:line="240" w:lineRule="auto"/>
        <w:rPr>
          <w:rFonts w:ascii="Roboto Light" w:hAnsi="Roboto Light"/>
          <w:b/>
          <w:bCs/>
        </w:rPr>
      </w:pPr>
      <w:r w:rsidRPr="00FE4BF2">
        <w:rPr>
          <w:rFonts w:ascii="Roboto Light" w:hAnsi="Roboto Light"/>
          <w:b/>
          <w:bCs/>
        </w:rPr>
        <w:t>Shortcomings and Challenges</w:t>
      </w:r>
    </w:p>
    <w:p w14:paraId="06DCCCAE" w14:textId="77777777" w:rsidR="00843B05" w:rsidRPr="00FE4BF2" w:rsidRDefault="00843B05" w:rsidP="00843B05">
      <w:pPr>
        <w:numPr>
          <w:ilvl w:val="0"/>
          <w:numId w:val="39"/>
        </w:numPr>
        <w:spacing w:before="100" w:beforeAutospacing="1" w:after="100" w:afterAutospacing="1" w:line="240" w:lineRule="auto"/>
        <w:jc w:val="left"/>
        <w:rPr>
          <w:rFonts w:ascii="Roboto Light" w:hAnsi="Roboto Light"/>
        </w:rPr>
      </w:pPr>
      <w:r w:rsidRPr="00FE4BF2">
        <w:rPr>
          <w:rFonts w:ascii="Roboto Light" w:hAnsi="Roboto Light"/>
          <w:b/>
          <w:bCs/>
        </w:rPr>
        <w:t>Limited Transparency:</w:t>
      </w:r>
      <w:r w:rsidRPr="00FE4BF2">
        <w:rPr>
          <w:rFonts w:ascii="Roboto Light" w:hAnsi="Roboto Light"/>
        </w:rPr>
        <w:t xml:space="preserve"> Some stakeholders argue that FBA mechanisms entail limited pre-trade transparency compared to continuous lit order books.</w:t>
      </w:r>
    </w:p>
    <w:p w14:paraId="5FA4F0C6" w14:textId="77777777" w:rsidR="00843B05" w:rsidRPr="00FE4BF2" w:rsidRDefault="00843B05" w:rsidP="00843B05">
      <w:pPr>
        <w:numPr>
          <w:ilvl w:val="0"/>
          <w:numId w:val="39"/>
        </w:numPr>
        <w:spacing w:before="100" w:beforeAutospacing="1" w:after="100" w:afterAutospacing="1" w:line="240" w:lineRule="auto"/>
        <w:jc w:val="left"/>
        <w:rPr>
          <w:rFonts w:ascii="Roboto Light" w:hAnsi="Roboto Light"/>
        </w:rPr>
      </w:pPr>
      <w:r w:rsidRPr="00FE4BF2">
        <w:rPr>
          <w:rFonts w:ascii="Roboto Light" w:hAnsi="Roboto Light"/>
          <w:b/>
          <w:bCs/>
        </w:rPr>
        <w:t>Contribution to Price Formation:</w:t>
      </w:r>
      <w:r w:rsidRPr="00FE4BF2">
        <w:rPr>
          <w:rFonts w:ascii="Roboto Light" w:hAnsi="Roboto Light"/>
        </w:rPr>
        <w:t xml:space="preserve"> There is ongoing industry debate regarding whether these auctions genuinely contribute to price formation, as they often rely on reference prices (pegged to EBBO or PBBO) rather than independent price discovery.</w:t>
      </w:r>
    </w:p>
    <w:p w14:paraId="55B5B34C" w14:textId="77777777" w:rsidR="00843B05" w:rsidRPr="00FE4BF2" w:rsidRDefault="00843B05" w:rsidP="00843B05">
      <w:pPr>
        <w:numPr>
          <w:ilvl w:val="0"/>
          <w:numId w:val="39"/>
        </w:numPr>
        <w:spacing w:before="100" w:beforeAutospacing="1" w:after="100" w:afterAutospacing="1" w:line="240" w:lineRule="auto"/>
        <w:jc w:val="left"/>
        <w:rPr>
          <w:rFonts w:ascii="Roboto Light" w:hAnsi="Roboto Light"/>
        </w:rPr>
      </w:pPr>
      <w:r w:rsidRPr="00FE4BF2">
        <w:rPr>
          <w:rFonts w:ascii="Roboto Light" w:hAnsi="Roboto Light"/>
          <w:b/>
          <w:bCs/>
        </w:rPr>
        <w:t>Small Transaction Sizes relative to Closing Auctions:</w:t>
      </w:r>
      <w:r w:rsidRPr="00FE4BF2">
        <w:rPr>
          <w:rFonts w:ascii="Roboto Light" w:hAnsi="Roboto Light"/>
        </w:rPr>
        <w:t xml:space="preserve"> While larger than lit trading, FBA transaction sizes are roughly six times smaller than those executed in closing auctions.</w:t>
      </w:r>
    </w:p>
    <w:p w14:paraId="36AC3C82" w14:textId="77777777" w:rsidR="00843B05" w:rsidRPr="00FE4BF2" w:rsidRDefault="00843B05" w:rsidP="00843B05">
      <w:pPr>
        <w:numPr>
          <w:ilvl w:val="0"/>
          <w:numId w:val="39"/>
        </w:numPr>
        <w:spacing w:before="100" w:beforeAutospacing="1" w:after="100" w:afterAutospacing="1" w:line="240" w:lineRule="auto"/>
        <w:jc w:val="left"/>
        <w:rPr>
          <w:rFonts w:ascii="Roboto Light" w:hAnsi="Roboto Light"/>
        </w:rPr>
      </w:pPr>
      <w:r w:rsidRPr="00FE4BF2">
        <w:rPr>
          <w:rFonts w:ascii="Roboto Light" w:hAnsi="Roboto Light"/>
          <w:b/>
          <w:bCs/>
        </w:rPr>
        <w:t>Lack of Standardization:</w:t>
      </w:r>
      <w:r w:rsidRPr="00FE4BF2">
        <w:rPr>
          <w:rFonts w:ascii="Roboto Light" w:hAnsi="Roboto Light"/>
        </w:rPr>
        <w:t xml:space="preserve"> Some persistent and inconsistent flagging of FBAs across different venues. Not all venues clearly flag the start and finish of an FBA, making it difficult to normalize the data.</w:t>
      </w:r>
    </w:p>
    <w:p w14:paraId="089A0F29" w14:textId="77777777" w:rsidR="00843B05" w:rsidRPr="00FE4BF2" w:rsidRDefault="00843B05" w:rsidP="00843B05">
      <w:pPr>
        <w:numPr>
          <w:ilvl w:val="0"/>
          <w:numId w:val="39"/>
        </w:numPr>
        <w:spacing w:before="100" w:beforeAutospacing="1" w:after="100" w:afterAutospacing="1" w:line="240" w:lineRule="auto"/>
        <w:jc w:val="left"/>
        <w:rPr>
          <w:rFonts w:ascii="Roboto Light" w:hAnsi="Roboto Light"/>
        </w:rPr>
      </w:pPr>
      <w:r w:rsidRPr="00FE4BF2">
        <w:rPr>
          <w:rFonts w:ascii="Roboto Light" w:hAnsi="Roboto Light"/>
          <w:b/>
          <w:bCs/>
        </w:rPr>
        <w:t>"Bucket" Classification Problem:</w:t>
      </w:r>
      <w:r w:rsidRPr="00FE4BF2">
        <w:rPr>
          <w:rFonts w:ascii="Roboto Light" w:hAnsi="Roboto Light"/>
        </w:rPr>
        <w:t xml:space="preserve"> We concur that ongoing regulatory or supervisory tendencies to group FBAs into the same "periodic auction" bucket as opening and closing auctions creates poor data. We agree with the widespread views that these mechanisms occur at different times and serve entirely different economic purposes.</w:t>
      </w:r>
    </w:p>
    <w:p w14:paraId="194459C2" w14:textId="77777777" w:rsidR="00843B05" w:rsidRPr="00FE4BF2" w:rsidRDefault="00843B05" w:rsidP="00843B05">
      <w:pPr>
        <w:spacing w:before="100" w:beforeAutospacing="1" w:after="100" w:afterAutospacing="1" w:line="240" w:lineRule="auto"/>
        <w:rPr>
          <w:rFonts w:ascii="Roboto Light" w:hAnsi="Roboto Light"/>
        </w:rPr>
      </w:pPr>
      <w:r w:rsidRPr="00FE4BF2">
        <w:rPr>
          <w:rFonts w:ascii="Roboto Light" w:hAnsi="Roboto Light"/>
          <w:b/>
          <w:bCs/>
        </w:rPr>
        <w:t>Recommendations</w:t>
      </w:r>
    </w:p>
    <w:p w14:paraId="6E34345A" w14:textId="77777777" w:rsidR="00843B05" w:rsidRPr="00FE4BF2" w:rsidRDefault="00843B05" w:rsidP="00843B05">
      <w:pPr>
        <w:numPr>
          <w:ilvl w:val="0"/>
          <w:numId w:val="40"/>
        </w:numPr>
        <w:spacing w:before="100" w:beforeAutospacing="1" w:after="100" w:afterAutospacing="1" w:line="240" w:lineRule="auto"/>
        <w:jc w:val="left"/>
        <w:rPr>
          <w:rFonts w:ascii="Roboto Light" w:hAnsi="Roboto Light"/>
        </w:rPr>
      </w:pPr>
      <w:r w:rsidRPr="00FE4BF2">
        <w:rPr>
          <w:rFonts w:ascii="Roboto Light" w:hAnsi="Roboto Light"/>
          <w:b/>
          <w:bCs/>
        </w:rPr>
        <w:t>Mandatory MMT Usage:</w:t>
      </w:r>
      <w:r w:rsidRPr="00FE4BF2">
        <w:rPr>
          <w:rFonts w:ascii="Roboto Light" w:hAnsi="Roboto Light"/>
        </w:rPr>
        <w:t xml:space="preserve"> There is a push for more rigorous and consistent use of </w:t>
      </w:r>
      <w:r w:rsidRPr="00FE4BF2">
        <w:rPr>
          <w:rFonts w:ascii="Roboto Light" w:hAnsi="Roboto Light"/>
          <w:b/>
          <w:bCs/>
        </w:rPr>
        <w:t>Market Model Typology (MMT)</w:t>
      </w:r>
      <w:r w:rsidRPr="00FE4BF2">
        <w:rPr>
          <w:rFonts w:ascii="Roboto Light" w:hAnsi="Roboto Light"/>
        </w:rPr>
        <w:t xml:space="preserve"> flags—specifically the </w:t>
      </w:r>
      <w:r w:rsidRPr="00FE4BF2">
        <w:rPr>
          <w:rFonts w:ascii="Roboto Light" w:hAnsi="Roboto Light"/>
          <w:b/>
          <w:bCs/>
        </w:rPr>
        <w:t>ODAU (On Demand Auction)</w:t>
      </w:r>
      <w:r w:rsidRPr="00FE4BF2">
        <w:rPr>
          <w:rFonts w:ascii="Roboto Light" w:hAnsi="Roboto Light"/>
        </w:rPr>
        <w:t xml:space="preserve"> flag—to ensure FBAs are clearly distinguishable from primary limit order books and other auction types.</w:t>
      </w:r>
    </w:p>
    <w:p w14:paraId="63C94878" w14:textId="77777777" w:rsidR="00843B05" w:rsidRPr="00FE4BF2" w:rsidRDefault="00843B05" w:rsidP="00843B05">
      <w:pPr>
        <w:numPr>
          <w:ilvl w:val="0"/>
          <w:numId w:val="40"/>
        </w:numPr>
        <w:spacing w:before="100" w:beforeAutospacing="1" w:after="100" w:afterAutospacing="1" w:line="240" w:lineRule="auto"/>
        <w:jc w:val="left"/>
        <w:rPr>
          <w:rFonts w:ascii="Roboto Light" w:hAnsi="Roboto Light"/>
        </w:rPr>
      </w:pPr>
      <w:r w:rsidRPr="00FE4BF2">
        <w:rPr>
          <w:rFonts w:ascii="Roboto Light" w:hAnsi="Roboto Light"/>
          <w:b/>
          <w:bCs/>
        </w:rPr>
        <w:t>Granular Identifiers:</w:t>
      </w:r>
      <w:r w:rsidRPr="00FE4BF2">
        <w:rPr>
          <w:rFonts w:ascii="Roboto Light" w:hAnsi="Roboto Light"/>
        </w:rPr>
        <w:t xml:space="preserve"> We urge the adoptions of clear and consistent identifiers to remove confusion and allow market participants to make informed decisions based on clean data.</w:t>
      </w:r>
    </w:p>
    <w:p w14:paraId="3BEE1376" w14:textId="77777777" w:rsidR="00843B05" w:rsidRPr="00FE4BF2" w:rsidRDefault="00843B05" w:rsidP="00843B05">
      <w:pPr>
        <w:spacing w:before="100" w:beforeAutospacing="1" w:after="100" w:afterAutospacing="1" w:line="240" w:lineRule="auto"/>
        <w:rPr>
          <w:rFonts w:ascii="Roboto Light" w:hAnsi="Roboto Light"/>
        </w:rPr>
      </w:pPr>
    </w:p>
    <w:p w14:paraId="1339EF68" w14:textId="77777777" w:rsidR="003A33E5" w:rsidRDefault="003A33E5" w:rsidP="003A33E5">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5BD992E6" w14:textId="77777777" w:rsidR="00E621A1" w:rsidRPr="00FE4BF2" w:rsidRDefault="00E621A1" w:rsidP="00E621A1">
      <w:pPr>
        <w:spacing w:before="100" w:beforeAutospacing="1" w:after="100" w:afterAutospacing="1" w:line="240" w:lineRule="auto"/>
        <w:rPr>
          <w:rFonts w:ascii="Roboto Light" w:hAnsi="Roboto Light"/>
        </w:rPr>
      </w:pPr>
      <w:permStart w:id="2057074625" w:edGrp="everyone"/>
      <w:r w:rsidRPr="00FE4BF2">
        <w:rPr>
          <w:rFonts w:ascii="Roboto Light" w:hAnsi="Roboto Light"/>
        </w:rPr>
        <w:t xml:space="preserve">The implementation of the Single Volume Cap (SVC), which replaced the Double Volume Cap (DVC) in October 2025, has had a notable and measurable impact on the activity of Frequent Batch Auctions (FBAs) in the European equity market. </w:t>
      </w:r>
    </w:p>
    <w:p w14:paraId="44E5794A" w14:textId="77777777" w:rsidR="00E621A1" w:rsidRPr="00FE4BF2" w:rsidRDefault="00E621A1" w:rsidP="00E621A1">
      <w:pPr>
        <w:spacing w:before="100" w:beforeAutospacing="1" w:after="100" w:afterAutospacing="1" w:line="240" w:lineRule="auto"/>
        <w:rPr>
          <w:rFonts w:ascii="Roboto Light" w:hAnsi="Roboto Light"/>
        </w:rPr>
      </w:pPr>
      <w:r w:rsidRPr="00FE4BF2">
        <w:rPr>
          <w:rFonts w:ascii="Roboto Light" w:hAnsi="Roboto Light"/>
          <w:b/>
          <w:bCs/>
        </w:rPr>
        <w:t xml:space="preserve">Relocation of Dark Liquidity to FBAs; </w:t>
      </w:r>
      <w:r w:rsidRPr="00FE4BF2">
        <w:rPr>
          <w:rFonts w:ascii="Roboto Light" w:hAnsi="Roboto Light"/>
        </w:rPr>
        <w:t>Recalling that the data already analysed by ESMA indicates a trend where volumes previously executed under the Reference Price (RP) waiver are relocating to FBAs following SVC suspensions. There was an "evident" increase in trading for instruments that were suspended under the first SVC calculations in October 2025 which we understand to be the "Sweep Effect.” In other words, that dark orders outside the LIS and MTF rules have been recharacterised from RP waiver systems into FBA trading systems to bypass the cap, a move first seen in 2018 when the DVC was first implemented.</w:t>
      </w:r>
    </w:p>
    <w:p w14:paraId="326AEFC3" w14:textId="77777777" w:rsidR="00E621A1" w:rsidRPr="00FE4BF2" w:rsidRDefault="00E621A1" w:rsidP="00E621A1">
      <w:pPr>
        <w:spacing w:before="100" w:beforeAutospacing="1" w:after="100" w:afterAutospacing="1" w:line="240" w:lineRule="auto"/>
        <w:rPr>
          <w:rFonts w:ascii="Roboto Light" w:hAnsi="Roboto Light"/>
        </w:rPr>
      </w:pPr>
      <w:r w:rsidRPr="00FE4BF2">
        <w:rPr>
          <w:rFonts w:ascii="Roboto Light" w:hAnsi="Roboto Light"/>
        </w:rPr>
        <w:t>The increase in FBA activity following SVC enforcement has been largely driven by a single venue: Cboe Europe - DXE Periodic (BEUP). This venue is part of the same corporate group as the leader in RP waiver trading suggesting that participants are simply shifting their execution strategy within the same provider's ecosystem.</w:t>
      </w:r>
    </w:p>
    <w:p w14:paraId="4B7CEA8D" w14:textId="77777777" w:rsidR="00E621A1" w:rsidRPr="00FE4BF2" w:rsidRDefault="00E621A1" w:rsidP="00E621A1">
      <w:pPr>
        <w:spacing w:before="100" w:beforeAutospacing="1" w:after="100" w:afterAutospacing="1" w:line="240" w:lineRule="auto"/>
        <w:rPr>
          <w:rFonts w:ascii="Roboto Light" w:hAnsi="Roboto Light"/>
        </w:rPr>
      </w:pPr>
      <w:r w:rsidRPr="00FE4BF2">
        <w:rPr>
          <w:rFonts w:ascii="Roboto Light" w:hAnsi="Roboto Light"/>
        </w:rPr>
        <w:t xml:space="preserve">The test here would be to observe any UK vs. EU Divergence because of the removal of volume caps in the UK. We understand that the UK, which is set to issue a parallel consultation over the summer months, has indeed not experienced the same shift of dark liquidity into periodic auctions. </w:t>
      </w:r>
    </w:p>
    <w:p w14:paraId="123EED7B" w14:textId="77777777" w:rsidR="00E621A1" w:rsidRPr="00FE4BF2" w:rsidRDefault="00E621A1" w:rsidP="00E621A1">
      <w:pPr>
        <w:spacing w:before="100" w:beforeAutospacing="1" w:after="100" w:afterAutospacing="1" w:line="240" w:lineRule="auto"/>
        <w:rPr>
          <w:rFonts w:ascii="Roboto Light" w:hAnsi="Roboto Light"/>
        </w:rPr>
      </w:pPr>
      <w:r w:rsidRPr="00FE4BF2">
        <w:rPr>
          <w:rFonts w:ascii="Roboto Light" w:hAnsi="Roboto Light"/>
        </w:rPr>
        <w:t>We urge ESMA to remain cautious about drawing final conclusions due to the short observation period available.</w:t>
      </w:r>
    </w:p>
    <w:p w14:paraId="13293B63" w14:textId="77777777" w:rsidR="00E621A1" w:rsidRPr="00FE4BF2" w:rsidRDefault="00E621A1" w:rsidP="00E621A1">
      <w:pPr>
        <w:spacing w:before="100" w:beforeAutospacing="1" w:after="100" w:afterAutospacing="1" w:line="240" w:lineRule="auto"/>
        <w:rPr>
          <w:rFonts w:ascii="Roboto Light" w:hAnsi="Roboto Light"/>
        </w:rPr>
      </w:pPr>
    </w:p>
    <w:p w14:paraId="368930A1" w14:textId="77777777" w:rsidR="003A33E5" w:rsidRDefault="003A33E5" w:rsidP="003A33E5">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35F6FC0C" w14:textId="77777777" w:rsidR="00E36C6F" w:rsidRPr="00FE4BF2" w:rsidRDefault="00E36C6F" w:rsidP="00E36C6F">
      <w:pPr>
        <w:spacing w:before="100" w:beforeAutospacing="1" w:after="100" w:afterAutospacing="1" w:line="240" w:lineRule="auto"/>
        <w:rPr>
          <w:rFonts w:ascii="Roboto Light" w:hAnsi="Roboto Light"/>
        </w:rPr>
      </w:pPr>
      <w:permStart w:id="174423608" w:edGrp="everyone"/>
      <w:r w:rsidRPr="00FE4BF2">
        <w:rPr>
          <w:rFonts w:ascii="Roboto Light" w:hAnsi="Roboto Light"/>
        </w:rPr>
        <w:lastRenderedPageBreak/>
        <w:t>No. We consider any observed structural shifts to be logical and presenting a transition towards a more diverse and robust market ecosystem consequent to user choice.</w:t>
      </w:r>
    </w:p>
    <w:p w14:paraId="5F3029F4" w14:textId="77777777" w:rsidR="00E36C6F" w:rsidRPr="00FE4BF2" w:rsidRDefault="00E36C6F" w:rsidP="00E36C6F">
      <w:pPr>
        <w:spacing w:before="100" w:beforeAutospacing="1" w:after="100" w:afterAutospacing="1" w:line="240" w:lineRule="auto"/>
        <w:rPr>
          <w:rFonts w:ascii="Roboto Light" w:hAnsi="Roboto Light"/>
        </w:rPr>
      </w:pPr>
    </w:p>
    <w:p w14:paraId="1F3261F0" w14:textId="77777777" w:rsidR="003A33E5" w:rsidRDefault="003A33E5" w:rsidP="003A33E5">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06092A7E" w14:textId="77777777" w:rsidR="00675BF9" w:rsidRDefault="00675BF9" w:rsidP="00675BF9">
      <w:pPr>
        <w:spacing w:before="100" w:beforeAutospacing="1" w:after="100" w:afterAutospacing="1" w:line="240" w:lineRule="auto"/>
        <w:rPr>
          <w:rFonts w:ascii="Roboto Light" w:hAnsi="Roboto Light"/>
        </w:rPr>
      </w:pPr>
      <w:permStart w:id="1032158778" w:edGrp="everyone"/>
      <w:r w:rsidRPr="00FE4BF2">
        <w:rPr>
          <w:rFonts w:ascii="Roboto Light" w:hAnsi="Roboto Light"/>
        </w:rPr>
        <w:t>Referring to the diagram above and as supported by FIX, it is clear that Frequent Batch Auctions (FBAs) should be considered as price forming in the European equity market.</w:t>
      </w:r>
    </w:p>
    <w:p w14:paraId="28AFD47B" w14:textId="77777777" w:rsidR="00675BF9" w:rsidRDefault="00675BF9" w:rsidP="00675BF9">
      <w:pPr>
        <w:spacing w:before="100" w:beforeAutospacing="1" w:after="100" w:afterAutospacing="1" w:line="240" w:lineRule="auto"/>
        <w:rPr>
          <w:rFonts w:ascii="Roboto Light" w:hAnsi="Roboto Light"/>
        </w:rPr>
      </w:pPr>
      <w:r>
        <w:rPr>
          <w:rFonts w:ascii="Roboto Light" w:hAnsi="Roboto Light"/>
        </w:rPr>
        <w:t>W</w:t>
      </w:r>
      <w:r w:rsidRPr="006B35CC">
        <w:rPr>
          <w:rFonts w:ascii="Roboto Light" w:hAnsi="Roboto Light"/>
        </w:rPr>
        <w:t>he</w:t>
      </w:r>
      <w:r>
        <w:rPr>
          <w:rFonts w:ascii="Roboto Light" w:hAnsi="Roboto Light"/>
        </w:rPr>
        <w:t>re and when</w:t>
      </w:r>
      <w:r w:rsidRPr="006B35CC">
        <w:rPr>
          <w:rFonts w:ascii="Roboto Light" w:hAnsi="Roboto Light"/>
        </w:rPr>
        <w:t xml:space="preserve"> the </w:t>
      </w:r>
      <w:r>
        <w:rPr>
          <w:rFonts w:ascii="Roboto Light" w:hAnsi="Roboto Light"/>
        </w:rPr>
        <w:t>SVC</w:t>
      </w:r>
      <w:r w:rsidRPr="006B35CC">
        <w:rPr>
          <w:rFonts w:ascii="Roboto Light" w:hAnsi="Roboto Light"/>
        </w:rPr>
        <w:t xml:space="preserve"> is activated, </w:t>
      </w:r>
      <w:r>
        <w:rPr>
          <w:rFonts w:ascii="Roboto Light" w:hAnsi="Roboto Light"/>
        </w:rPr>
        <w:t xml:space="preserve">further </w:t>
      </w:r>
      <w:r w:rsidRPr="006B35CC">
        <w:rPr>
          <w:rFonts w:ascii="Roboto Light" w:hAnsi="Roboto Light"/>
        </w:rPr>
        <w:t>dar</w:t>
      </w:r>
      <w:r>
        <w:rPr>
          <w:rFonts w:ascii="Roboto Light" w:hAnsi="Roboto Light"/>
        </w:rPr>
        <w:t>k o</w:t>
      </w:r>
      <w:r w:rsidRPr="006B35CC">
        <w:rPr>
          <w:rFonts w:ascii="Roboto Light" w:hAnsi="Roboto Light"/>
        </w:rPr>
        <w:t xml:space="preserve">rders </w:t>
      </w:r>
      <w:r>
        <w:rPr>
          <w:rFonts w:ascii="Roboto Light" w:hAnsi="Roboto Light"/>
        </w:rPr>
        <w:t xml:space="preserve">on exchange </w:t>
      </w:r>
      <w:r w:rsidRPr="006B35CC">
        <w:rPr>
          <w:rFonts w:ascii="Roboto Light" w:hAnsi="Roboto Light"/>
        </w:rPr>
        <w:t xml:space="preserve">are swept </w:t>
      </w:r>
      <w:r>
        <w:rPr>
          <w:rFonts w:ascii="Roboto Light" w:hAnsi="Roboto Light"/>
        </w:rPr>
        <w:t xml:space="preserve">by </w:t>
      </w:r>
      <w:r w:rsidRPr="006B35CC">
        <w:rPr>
          <w:rFonts w:ascii="Roboto Light" w:hAnsi="Roboto Light"/>
        </w:rPr>
        <w:t>smart order router</w:t>
      </w:r>
      <w:r>
        <w:rPr>
          <w:rFonts w:ascii="Roboto Light" w:hAnsi="Roboto Light"/>
        </w:rPr>
        <w:t xml:space="preserve">s away </w:t>
      </w:r>
      <w:r w:rsidRPr="006B35CC">
        <w:rPr>
          <w:rFonts w:ascii="Roboto Light" w:hAnsi="Roboto Light"/>
        </w:rPr>
        <w:t xml:space="preserve">from the </w:t>
      </w:r>
      <w:r>
        <w:rPr>
          <w:rFonts w:ascii="Roboto Light" w:hAnsi="Roboto Light"/>
        </w:rPr>
        <w:t>RPW</w:t>
      </w:r>
      <w:r w:rsidRPr="006B35CC">
        <w:rPr>
          <w:rFonts w:ascii="Roboto Light" w:hAnsi="Roboto Light"/>
        </w:rPr>
        <w:t xml:space="preserve"> </w:t>
      </w:r>
      <w:r>
        <w:rPr>
          <w:rFonts w:ascii="Roboto Light" w:hAnsi="Roboto Light"/>
        </w:rPr>
        <w:t>mechanism and int</w:t>
      </w:r>
      <w:r w:rsidRPr="006B35CC">
        <w:rPr>
          <w:rFonts w:ascii="Roboto Light" w:hAnsi="Roboto Light"/>
        </w:rPr>
        <w:t xml:space="preserve">o </w:t>
      </w:r>
      <w:r>
        <w:rPr>
          <w:rFonts w:ascii="Roboto Light" w:hAnsi="Roboto Light"/>
        </w:rPr>
        <w:t>that for F</w:t>
      </w:r>
      <w:r w:rsidRPr="006B35CC">
        <w:rPr>
          <w:rFonts w:ascii="Roboto Light" w:hAnsi="Roboto Light"/>
        </w:rPr>
        <w:t xml:space="preserve">BAs. So typically </w:t>
      </w:r>
      <w:r>
        <w:rPr>
          <w:rFonts w:ascii="Roboto Light" w:hAnsi="Roboto Light"/>
        </w:rPr>
        <w:t xml:space="preserve">LIS/ RPW MTFs </w:t>
      </w:r>
      <w:r w:rsidRPr="006B35CC">
        <w:rPr>
          <w:rFonts w:ascii="Roboto Light" w:hAnsi="Roboto Light"/>
        </w:rPr>
        <w:t>and FBAs offer similar levels of pre-trade transparency</w:t>
      </w:r>
      <w:r>
        <w:rPr>
          <w:rFonts w:ascii="Roboto Light" w:hAnsi="Roboto Light"/>
        </w:rPr>
        <w:t xml:space="preserve">, but the effect of the SVC is to reroute </w:t>
      </w:r>
      <w:r w:rsidRPr="006B35CC">
        <w:rPr>
          <w:rFonts w:ascii="Roboto Light" w:hAnsi="Roboto Light"/>
        </w:rPr>
        <w:t xml:space="preserve">to the FBA as </w:t>
      </w:r>
      <w:r>
        <w:rPr>
          <w:rFonts w:ascii="Roboto Light" w:hAnsi="Roboto Light"/>
        </w:rPr>
        <w:t>an expression of the “</w:t>
      </w:r>
      <w:r w:rsidRPr="006B35CC">
        <w:rPr>
          <w:rFonts w:ascii="Roboto Light" w:hAnsi="Roboto Light"/>
        </w:rPr>
        <w:t>last venue standing</w:t>
      </w:r>
      <w:r>
        <w:rPr>
          <w:rFonts w:ascii="Roboto Light" w:hAnsi="Roboto Light"/>
        </w:rPr>
        <w:t>”</w:t>
      </w:r>
      <w:r w:rsidRPr="006B35CC">
        <w:rPr>
          <w:rFonts w:ascii="Roboto Light" w:hAnsi="Roboto Light"/>
        </w:rPr>
        <w:t xml:space="preserve">. </w:t>
      </w:r>
    </w:p>
    <w:p w14:paraId="7C7728B4" w14:textId="77777777" w:rsidR="00675BF9" w:rsidRPr="00FE4BF2" w:rsidRDefault="00675BF9" w:rsidP="00675BF9">
      <w:pPr>
        <w:spacing w:before="100" w:beforeAutospacing="1" w:after="100" w:afterAutospacing="1" w:line="240" w:lineRule="auto"/>
        <w:rPr>
          <w:rFonts w:ascii="Roboto Light" w:hAnsi="Roboto Light"/>
        </w:rPr>
      </w:pPr>
      <w:r>
        <w:rPr>
          <w:rFonts w:ascii="Roboto Light" w:hAnsi="Roboto Light"/>
        </w:rPr>
        <w:t>The</w:t>
      </w:r>
      <w:r w:rsidRPr="006B35CC">
        <w:rPr>
          <w:rFonts w:ascii="Roboto Light" w:hAnsi="Roboto Light"/>
        </w:rPr>
        <w:t xml:space="preserve"> unintended consequence in this scenario </w:t>
      </w:r>
      <w:r>
        <w:rPr>
          <w:rFonts w:ascii="Roboto Light" w:hAnsi="Roboto Light"/>
        </w:rPr>
        <w:t xml:space="preserve">is to distort the relative </w:t>
      </w:r>
      <w:r w:rsidRPr="006B35CC">
        <w:rPr>
          <w:rFonts w:ascii="Roboto Light" w:hAnsi="Roboto Light"/>
        </w:rPr>
        <w:t xml:space="preserve">execution performance </w:t>
      </w:r>
      <w:r>
        <w:rPr>
          <w:rFonts w:ascii="Roboto Light" w:hAnsi="Roboto Light"/>
        </w:rPr>
        <w:t xml:space="preserve">metrics </w:t>
      </w:r>
      <w:r w:rsidRPr="006B35CC">
        <w:rPr>
          <w:rFonts w:ascii="Roboto Light" w:hAnsi="Roboto Light"/>
        </w:rPr>
        <w:t xml:space="preserve">which then reinforces the movement of liquidity to FBAs away from </w:t>
      </w:r>
      <w:r>
        <w:rPr>
          <w:rFonts w:ascii="Roboto Light" w:hAnsi="Roboto Light"/>
        </w:rPr>
        <w:t>MTF</w:t>
      </w:r>
      <w:r w:rsidRPr="006B35CC">
        <w:rPr>
          <w:rFonts w:ascii="Roboto Light" w:hAnsi="Roboto Light"/>
        </w:rPr>
        <w:t xml:space="preserve"> trading</w:t>
      </w:r>
      <w:r>
        <w:rPr>
          <w:rFonts w:ascii="Roboto Light" w:hAnsi="Roboto Light"/>
        </w:rPr>
        <w:t xml:space="preserve"> under waivers</w:t>
      </w:r>
      <w:r w:rsidRPr="006B35CC">
        <w:rPr>
          <w:rFonts w:ascii="Roboto Light" w:hAnsi="Roboto Light"/>
        </w:rPr>
        <w:t>.</w:t>
      </w:r>
      <w:r>
        <w:rPr>
          <w:rFonts w:ascii="Roboto Light" w:hAnsi="Roboto Light"/>
        </w:rPr>
        <w:t xml:space="preserve"> In this context, any </w:t>
      </w:r>
      <w:r w:rsidRPr="00534D26">
        <w:rPr>
          <w:rFonts w:ascii="Roboto Light" w:hAnsi="Roboto Light"/>
        </w:rPr>
        <w:t>FBA should be assessed</w:t>
      </w:r>
      <w:r>
        <w:rPr>
          <w:rFonts w:ascii="Roboto Light" w:hAnsi="Roboto Light"/>
        </w:rPr>
        <w:t xml:space="preserve"> on </w:t>
      </w:r>
      <w:r w:rsidRPr="00534D26">
        <w:rPr>
          <w:rFonts w:ascii="Roboto Light" w:hAnsi="Roboto Light"/>
        </w:rPr>
        <w:t>the contribution</w:t>
      </w:r>
      <w:r>
        <w:rPr>
          <w:rFonts w:ascii="Roboto Light" w:hAnsi="Roboto Light"/>
        </w:rPr>
        <w:t>s</w:t>
      </w:r>
      <w:r w:rsidRPr="00534D26">
        <w:rPr>
          <w:rFonts w:ascii="Roboto Light" w:hAnsi="Roboto Light"/>
        </w:rPr>
        <w:t xml:space="preserve"> to price formation and transparency on a case-by-case basis, depending on the design of the auction.</w:t>
      </w:r>
      <w:r>
        <w:rPr>
          <w:rFonts w:ascii="Roboto Light" w:hAnsi="Roboto Light"/>
        </w:rPr>
        <w:t xml:space="preserve"> The </w:t>
      </w:r>
      <w:r w:rsidRPr="00751E2E">
        <w:rPr>
          <w:rFonts w:ascii="Roboto Light" w:hAnsi="Roboto Light"/>
        </w:rPr>
        <w:t>accepted use of mid-</w:t>
      </w:r>
      <w:r>
        <w:rPr>
          <w:rFonts w:ascii="Roboto Light" w:hAnsi="Roboto Light"/>
        </w:rPr>
        <w:t xml:space="preserve">market or </w:t>
      </w:r>
      <w:r w:rsidRPr="00751E2E">
        <w:rPr>
          <w:rFonts w:ascii="Roboto Light" w:hAnsi="Roboto Light"/>
        </w:rPr>
        <w:t>mid-point orders</w:t>
      </w:r>
      <w:r>
        <w:rPr>
          <w:rFonts w:ascii="Roboto Light" w:hAnsi="Roboto Light"/>
        </w:rPr>
        <w:t xml:space="preserve"> on FBA frequently import</w:t>
      </w:r>
      <w:r w:rsidRPr="00751E2E">
        <w:rPr>
          <w:rFonts w:ascii="Roboto Light" w:hAnsi="Roboto Light"/>
        </w:rPr>
        <w:t xml:space="preserve"> the execution price </w:t>
      </w:r>
      <w:r>
        <w:rPr>
          <w:rFonts w:ascii="Roboto Light" w:hAnsi="Roboto Light"/>
        </w:rPr>
        <w:t xml:space="preserve">from the </w:t>
      </w:r>
      <w:r w:rsidRPr="00751E2E">
        <w:rPr>
          <w:rFonts w:ascii="Roboto Light" w:hAnsi="Roboto Light"/>
        </w:rPr>
        <w:t>e prevailing EBBO</w:t>
      </w:r>
      <w:r>
        <w:rPr>
          <w:rFonts w:ascii="Roboto Light" w:hAnsi="Roboto Light"/>
        </w:rPr>
        <w:t xml:space="preserve"> </w:t>
      </w:r>
      <w:r w:rsidRPr="00751E2E">
        <w:rPr>
          <w:rFonts w:ascii="Roboto Light" w:hAnsi="Roboto Light"/>
        </w:rPr>
        <w:t xml:space="preserve">outside </w:t>
      </w:r>
      <w:r>
        <w:rPr>
          <w:rFonts w:ascii="Roboto Light" w:hAnsi="Roboto Light"/>
        </w:rPr>
        <w:t xml:space="preserve">of </w:t>
      </w:r>
      <w:r w:rsidRPr="00751E2E">
        <w:rPr>
          <w:rFonts w:ascii="Roboto Light" w:hAnsi="Roboto Light"/>
        </w:rPr>
        <w:t>the FBA</w:t>
      </w:r>
      <w:r>
        <w:rPr>
          <w:rFonts w:ascii="Roboto Light" w:hAnsi="Roboto Light"/>
        </w:rPr>
        <w:t xml:space="preserve"> mechanism</w:t>
      </w:r>
      <w:r w:rsidRPr="00751E2E">
        <w:rPr>
          <w:rFonts w:ascii="Roboto Light" w:hAnsi="Roboto Light"/>
        </w:rPr>
        <w:t xml:space="preserve">. </w:t>
      </w:r>
      <w:r>
        <w:rPr>
          <w:rFonts w:ascii="Roboto Light" w:hAnsi="Roboto Light"/>
        </w:rPr>
        <w:t>Given that t</w:t>
      </w:r>
      <w:r w:rsidRPr="00751E2E">
        <w:rPr>
          <w:rFonts w:ascii="Roboto Light" w:hAnsi="Roboto Light"/>
        </w:rPr>
        <w:t xml:space="preserve">here </w:t>
      </w:r>
      <w:r>
        <w:rPr>
          <w:rFonts w:ascii="Roboto Light" w:hAnsi="Roboto Light"/>
        </w:rPr>
        <w:t>are</w:t>
      </w:r>
      <w:r w:rsidRPr="00751E2E">
        <w:rPr>
          <w:rFonts w:ascii="Roboto Light" w:hAnsi="Roboto Light"/>
        </w:rPr>
        <w:t xml:space="preserve"> often very few other customer orders</w:t>
      </w:r>
      <w:r>
        <w:rPr>
          <w:rFonts w:ascii="Roboto Light" w:hAnsi="Roboto Light"/>
        </w:rPr>
        <w:t>, the mismatches commonly comprise substantial member</w:t>
      </w:r>
      <w:r w:rsidRPr="00751E2E">
        <w:rPr>
          <w:rFonts w:ascii="Roboto Light" w:hAnsi="Roboto Light"/>
        </w:rPr>
        <w:t xml:space="preserve"> preferencing.</w:t>
      </w:r>
    </w:p>
    <w:p w14:paraId="0261802C" w14:textId="77777777" w:rsidR="00675BF9" w:rsidRPr="00FE4BF2" w:rsidRDefault="00675BF9" w:rsidP="00675BF9">
      <w:pPr>
        <w:spacing w:before="100" w:beforeAutospacing="1" w:after="100" w:afterAutospacing="1" w:line="240" w:lineRule="auto"/>
        <w:rPr>
          <w:rFonts w:ascii="Roboto Light" w:hAnsi="Roboto Light"/>
        </w:rPr>
      </w:pPr>
    </w:p>
    <w:p w14:paraId="7C463076" w14:textId="77777777" w:rsidR="003A33E5" w:rsidRDefault="003A33E5" w:rsidP="003A33E5">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59FCD243" w14:textId="77777777" w:rsidR="00EF738E" w:rsidRPr="00FE4BF2" w:rsidRDefault="00EF738E" w:rsidP="00EF738E">
      <w:pPr>
        <w:spacing w:before="100" w:beforeAutospacing="1" w:after="100" w:afterAutospacing="1" w:line="240" w:lineRule="auto"/>
        <w:rPr>
          <w:rFonts w:ascii="Roboto Light" w:hAnsi="Roboto Light"/>
        </w:rPr>
      </w:pPr>
      <w:permStart w:id="529949636" w:edGrp="everyone"/>
      <w:r w:rsidRPr="00FE4BF2">
        <w:rPr>
          <w:rFonts w:ascii="Roboto Light" w:hAnsi="Roboto Light"/>
        </w:rPr>
        <w:t>As brokers and trading venues, EVIA member firms do not operate Systematic Internalisers [“SIs”] and offer no comments herewith</w:t>
      </w:r>
      <w:r>
        <w:rPr>
          <w:rFonts w:ascii="Roboto Light" w:hAnsi="Roboto Light"/>
        </w:rPr>
        <w:t xml:space="preserve"> save to ostensibly agree with ESMA’s analysis as set out</w:t>
      </w:r>
      <w:r w:rsidRPr="00FE4BF2">
        <w:rPr>
          <w:rFonts w:ascii="Roboto Light" w:hAnsi="Roboto Light"/>
        </w:rPr>
        <w:t xml:space="preserve">. </w:t>
      </w:r>
    </w:p>
    <w:p w14:paraId="531B4D33" w14:textId="77777777" w:rsidR="00EF738E" w:rsidRPr="00FE4BF2" w:rsidRDefault="00EF738E" w:rsidP="00EF738E">
      <w:pPr>
        <w:spacing w:before="100" w:beforeAutospacing="1" w:after="100" w:afterAutospacing="1" w:line="240" w:lineRule="auto"/>
        <w:rPr>
          <w:rFonts w:ascii="Roboto Light" w:hAnsi="Roboto Light"/>
        </w:rPr>
      </w:pPr>
    </w:p>
    <w:p w14:paraId="16CC736F" w14:textId="77777777" w:rsidR="003A33E5" w:rsidRDefault="003A33E5" w:rsidP="003A33E5">
      <w:r>
        <w:t>TYPE 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091D58EA" w14:textId="77777777" w:rsidR="00F86F9F" w:rsidRPr="00FE4BF2" w:rsidRDefault="00F86F9F" w:rsidP="00F86F9F">
      <w:pPr>
        <w:spacing w:before="100" w:beforeAutospacing="1" w:after="100" w:afterAutospacing="1" w:line="240" w:lineRule="auto"/>
        <w:rPr>
          <w:rFonts w:ascii="Roboto Light" w:hAnsi="Roboto Light"/>
        </w:rPr>
      </w:pPr>
      <w:permStart w:id="818545257" w:edGrp="everyone"/>
      <w:r w:rsidRPr="00FE4BF2">
        <w:rPr>
          <w:rFonts w:ascii="Roboto Light" w:hAnsi="Roboto Light"/>
        </w:rPr>
        <w:t xml:space="preserve">As brokers and trading venues, EVIA member firms do not operate Systematic Internalisers [“SIs”] and offer no comments herewith. </w:t>
      </w:r>
    </w:p>
    <w:p w14:paraId="45E8ABD9" w14:textId="77777777" w:rsidR="00F86F9F" w:rsidRPr="00FE4BF2" w:rsidRDefault="00F86F9F" w:rsidP="00F86F9F">
      <w:pPr>
        <w:spacing w:before="100" w:beforeAutospacing="1" w:after="100" w:afterAutospacing="1" w:line="240" w:lineRule="auto"/>
        <w:rPr>
          <w:rFonts w:ascii="Roboto Light" w:hAnsi="Roboto Light"/>
        </w:rPr>
      </w:pPr>
    </w:p>
    <w:p w14:paraId="41487637" w14:textId="77777777" w:rsidR="003A33E5" w:rsidRDefault="003A33E5" w:rsidP="003A33E5">
      <w:r>
        <w:t>TYPE 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7DCF6AC1" w14:textId="77777777" w:rsidR="00CB4BAA" w:rsidRPr="00FE4BF2" w:rsidRDefault="00CB4BAA" w:rsidP="00CB4BAA">
      <w:pPr>
        <w:spacing w:before="100" w:beforeAutospacing="1" w:after="100" w:afterAutospacing="1" w:line="240" w:lineRule="auto"/>
        <w:rPr>
          <w:rFonts w:ascii="Roboto Light" w:hAnsi="Roboto Light"/>
        </w:rPr>
      </w:pPr>
      <w:permStart w:id="1751220061" w:edGrp="everyone"/>
      <w:r w:rsidRPr="00FE4BF2">
        <w:rPr>
          <w:rFonts w:ascii="Roboto Light" w:hAnsi="Roboto Light"/>
        </w:rPr>
        <w:t xml:space="preserve">As brokers and trading venues, EVIA member firms do not operate Systematic Internalisers [“SIs”] and offer no comments herewith. </w:t>
      </w:r>
    </w:p>
    <w:p w14:paraId="193F5DD6" w14:textId="77777777" w:rsidR="00CB4BAA" w:rsidRPr="00FE4BF2" w:rsidRDefault="00CB4BAA" w:rsidP="00CB4BAA">
      <w:pPr>
        <w:spacing w:before="100" w:beforeAutospacing="1" w:after="100" w:afterAutospacing="1" w:line="240" w:lineRule="auto"/>
        <w:rPr>
          <w:rFonts w:ascii="Roboto Light" w:hAnsi="Roboto Light"/>
        </w:rPr>
      </w:pPr>
      <w:r w:rsidRPr="00FE4BF2">
        <w:rPr>
          <w:rFonts w:ascii="Roboto Light" w:hAnsi="Roboto Light"/>
        </w:rPr>
        <w:t>In respect of benefits from harmonisation between the post-trade transparency and transaction reporting regimes, as well as for better data quality and incorporation into consolidated tapes, we would suppose that SI trading is included in wider protocols for the capabilities to identify closing price activity from auctions, to distinguish between manual and electronic executions, together with the proper flagging of both addressable liquidity and  cross-border activity.</w:t>
      </w:r>
    </w:p>
    <w:p w14:paraId="2EFF87A0" w14:textId="77777777" w:rsidR="00CB4BAA" w:rsidRPr="00FE4BF2" w:rsidRDefault="00CB4BAA" w:rsidP="00CB4BAA">
      <w:pPr>
        <w:spacing w:before="100" w:beforeAutospacing="1" w:after="100" w:afterAutospacing="1" w:line="240" w:lineRule="auto"/>
        <w:rPr>
          <w:rFonts w:ascii="Roboto Light" w:hAnsi="Roboto Light"/>
        </w:rPr>
      </w:pPr>
      <w:r w:rsidRPr="00FE4BF2">
        <w:rPr>
          <w:rFonts w:ascii="Roboto Light" w:hAnsi="Roboto Light"/>
        </w:rPr>
        <w:t xml:space="preserve"> </w:t>
      </w:r>
    </w:p>
    <w:p w14:paraId="3DF39E0B" w14:textId="77777777" w:rsidR="003A33E5" w:rsidRDefault="003A33E5" w:rsidP="003A33E5">
      <w:r>
        <w:t>TYPE YOUR TEXT HERE</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234D6E77" w14:textId="77777777" w:rsidR="000F7E36" w:rsidRPr="00FE4BF2" w:rsidRDefault="000F7E36" w:rsidP="000F7E36">
      <w:pPr>
        <w:spacing w:before="100" w:beforeAutospacing="1" w:after="100" w:afterAutospacing="1" w:line="240" w:lineRule="auto"/>
        <w:rPr>
          <w:rFonts w:ascii="Roboto Light" w:hAnsi="Roboto Light"/>
        </w:rPr>
      </w:pPr>
      <w:permStart w:id="999231783" w:edGrp="everyone"/>
      <w:r w:rsidRPr="00FE4BF2">
        <w:rPr>
          <w:rFonts w:ascii="Roboto Light" w:hAnsi="Roboto Light"/>
        </w:rPr>
        <w:lastRenderedPageBreak/>
        <w:t xml:space="preserve">As brokers and trading venues, EVIA member firms do not operate Systematic Internalisers [“SIs”] and offer no comments herewith. </w:t>
      </w:r>
    </w:p>
    <w:p w14:paraId="6C9384D9" w14:textId="77777777" w:rsidR="000F7E36" w:rsidRPr="00FE4BF2" w:rsidRDefault="000F7E36" w:rsidP="000F7E36">
      <w:pPr>
        <w:spacing w:before="100" w:beforeAutospacing="1" w:after="100" w:afterAutospacing="1" w:line="240" w:lineRule="auto"/>
        <w:rPr>
          <w:rFonts w:ascii="Roboto Light" w:hAnsi="Roboto Light"/>
        </w:rPr>
      </w:pPr>
      <w:r w:rsidRPr="00FE4BF2">
        <w:rPr>
          <w:rFonts w:ascii="Roboto Light" w:hAnsi="Roboto Light"/>
        </w:rPr>
        <w:t>In respect of benefits from harmonisation between the post-trade transparency and transaction reporting regimes, as well as for better data quality and incorporation into consolidated tapes, we would suppose that SI trading is included in wider protocols for the capabilities to identify closing price activity from auctions, to distinguish between manual and electronic executions, together with the proper flagging of both addressable liquidity and  cross-border activity.</w:t>
      </w:r>
    </w:p>
    <w:p w14:paraId="725C6CD1" w14:textId="77777777" w:rsidR="000F7E36" w:rsidRPr="00FE4BF2" w:rsidRDefault="000F7E36" w:rsidP="000F7E36">
      <w:pPr>
        <w:spacing w:before="100" w:beforeAutospacing="1" w:after="100" w:afterAutospacing="1" w:line="240" w:lineRule="auto"/>
        <w:rPr>
          <w:rFonts w:ascii="Roboto Light" w:hAnsi="Roboto Light"/>
        </w:rPr>
      </w:pPr>
    </w:p>
    <w:p w14:paraId="33ABEBC2" w14:textId="77777777" w:rsidR="003A33E5" w:rsidRDefault="003A33E5" w:rsidP="003A33E5">
      <w:r>
        <w:t>TYPE 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05B9A656" w14:textId="77777777" w:rsidR="00214BB8" w:rsidRPr="00FE4BF2" w:rsidRDefault="00214BB8" w:rsidP="00214BB8">
      <w:pPr>
        <w:spacing w:before="100" w:beforeAutospacing="1" w:after="100" w:afterAutospacing="1" w:line="240" w:lineRule="auto"/>
        <w:rPr>
          <w:rFonts w:ascii="Roboto Light" w:hAnsi="Roboto Light"/>
        </w:rPr>
      </w:pPr>
      <w:permStart w:id="797907736" w:edGrp="everyone"/>
      <w:r w:rsidRPr="00FE4BF2">
        <w:rPr>
          <w:rFonts w:ascii="Roboto Light" w:hAnsi="Roboto Light"/>
        </w:rPr>
        <w:t xml:space="preserve">As brokers and trading venues, EVIA member firms do not operate Systematic Internalisers [“SIs”] and offer no comments herewith. </w:t>
      </w:r>
    </w:p>
    <w:p w14:paraId="3E2EF0B5" w14:textId="77777777" w:rsidR="00214BB8" w:rsidRPr="00FE4BF2" w:rsidRDefault="00214BB8" w:rsidP="00214BB8">
      <w:pPr>
        <w:spacing w:before="100" w:beforeAutospacing="1" w:after="100" w:afterAutospacing="1" w:line="240" w:lineRule="auto"/>
        <w:rPr>
          <w:rFonts w:ascii="Roboto Light" w:hAnsi="Roboto Light"/>
        </w:rPr>
      </w:pPr>
      <w:r w:rsidRPr="00FE4BF2">
        <w:rPr>
          <w:rFonts w:ascii="Roboto Light" w:hAnsi="Roboto Light"/>
        </w:rPr>
        <w:t xml:space="preserve">We do however refer to prior comments above as to the need to level the playing field with respect to on venue trades under LIS verses the increase in </w:t>
      </w:r>
      <w:r w:rsidRPr="00FE4BF2">
        <w:rPr>
          <w:rFonts w:ascii="Roboto Light" w:hAnsi="Roboto Light"/>
          <w:i/>
          <w:iCs/>
        </w:rPr>
        <w:t>xBoEx</w:t>
      </w:r>
      <w:r w:rsidRPr="00FE4BF2">
        <w:rPr>
          <w:rFonts w:ascii="Roboto Light" w:hAnsi="Roboto Light"/>
        </w:rPr>
        <w:t>/ ”OBOE” together with a removal of the unwarranted restrictions for OTFs in respect of cash equities. These would require changes to Level 1 MiFIR.</w:t>
      </w:r>
    </w:p>
    <w:p w14:paraId="29D523D3" w14:textId="77777777" w:rsidR="00214BB8" w:rsidRPr="00FE4BF2" w:rsidRDefault="00214BB8" w:rsidP="00214BB8">
      <w:pPr>
        <w:spacing w:before="100" w:beforeAutospacing="1" w:after="100" w:afterAutospacing="1" w:line="240" w:lineRule="auto"/>
        <w:rPr>
          <w:rFonts w:ascii="Roboto Light" w:hAnsi="Roboto Light"/>
        </w:rPr>
      </w:pPr>
    </w:p>
    <w:p w14:paraId="5B2ED651" w14:textId="77777777" w:rsidR="003A33E5" w:rsidRDefault="003A33E5" w:rsidP="003A33E5">
      <w:r>
        <w:t>TYPE 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5FAE9DF8" w14:textId="77777777" w:rsidR="00D9390B" w:rsidRPr="00FE4BF2" w:rsidRDefault="00D9390B" w:rsidP="00D9390B">
      <w:pPr>
        <w:spacing w:before="100" w:beforeAutospacing="1" w:after="100" w:afterAutospacing="1" w:line="240" w:lineRule="auto"/>
        <w:rPr>
          <w:rFonts w:ascii="Roboto Light" w:hAnsi="Roboto Light"/>
        </w:rPr>
      </w:pPr>
      <w:permStart w:id="165951741" w:edGrp="everyone"/>
      <w:r w:rsidRPr="00FE4BF2">
        <w:rPr>
          <w:rFonts w:ascii="Roboto Light" w:hAnsi="Roboto Light"/>
        </w:rPr>
        <w:lastRenderedPageBreak/>
        <w:t xml:space="preserve">As brokers and trading venues, EVIA member firms do not operate Systematic Internalisers [“SIs”] and offer no </w:t>
      </w:r>
      <w:r>
        <w:rPr>
          <w:rFonts w:ascii="Roboto Light" w:hAnsi="Roboto Light"/>
        </w:rPr>
        <w:t xml:space="preserve">direct </w:t>
      </w:r>
      <w:r w:rsidRPr="00FE4BF2">
        <w:rPr>
          <w:rFonts w:ascii="Roboto Light" w:hAnsi="Roboto Light"/>
        </w:rPr>
        <w:t>comments</w:t>
      </w:r>
      <w:r>
        <w:rPr>
          <w:rFonts w:ascii="Roboto Light" w:hAnsi="Roboto Light"/>
        </w:rPr>
        <w:t xml:space="preserve"> related to their operation. W</w:t>
      </w:r>
      <w:r w:rsidRPr="00262BD4">
        <w:rPr>
          <w:rFonts w:ascii="Roboto Light" w:hAnsi="Roboto Light"/>
        </w:rPr>
        <w:t xml:space="preserve">e </w:t>
      </w:r>
      <w:r>
        <w:rPr>
          <w:rFonts w:ascii="Roboto Light" w:hAnsi="Roboto Light"/>
        </w:rPr>
        <w:t xml:space="preserve">evidently </w:t>
      </w:r>
      <w:r w:rsidRPr="00262BD4">
        <w:rPr>
          <w:rFonts w:ascii="Roboto Light" w:hAnsi="Roboto Light"/>
        </w:rPr>
        <w:t>welcome diversity in execution methods</w:t>
      </w:r>
      <w:r>
        <w:rPr>
          <w:rFonts w:ascii="Roboto Light" w:hAnsi="Roboto Light"/>
        </w:rPr>
        <w:t xml:space="preserve"> and suggest that the capability for SIs to</w:t>
      </w:r>
      <w:r w:rsidRPr="00ED3075">
        <w:t xml:space="preserve"> </w:t>
      </w:r>
      <w:r w:rsidRPr="00ED3075">
        <w:rPr>
          <w:rFonts w:ascii="Roboto Light" w:hAnsi="Roboto Light"/>
        </w:rPr>
        <w:t>trade below SMS</w:t>
      </w:r>
      <w:r>
        <w:rPr>
          <w:rFonts w:ascii="Roboto Light" w:hAnsi="Roboto Light"/>
        </w:rPr>
        <w:t xml:space="preserve"> should be harmonised, together with post-deferral transparency obligations and MIC disclosure which are not currently the case</w:t>
      </w:r>
      <w:r w:rsidRPr="00FE4BF2">
        <w:rPr>
          <w:rFonts w:ascii="Roboto Light" w:hAnsi="Roboto Light"/>
        </w:rPr>
        <w:t xml:space="preserve">. </w:t>
      </w:r>
    </w:p>
    <w:p w14:paraId="48EF17DF" w14:textId="77777777" w:rsidR="00D9390B" w:rsidRDefault="00D9390B" w:rsidP="00D9390B">
      <w:pPr>
        <w:spacing w:before="100" w:beforeAutospacing="1" w:after="100" w:afterAutospacing="1" w:line="240" w:lineRule="auto"/>
        <w:rPr>
          <w:rFonts w:ascii="Roboto Light" w:hAnsi="Roboto Light"/>
        </w:rPr>
      </w:pPr>
      <w:r>
        <w:rPr>
          <w:rFonts w:ascii="Roboto Light" w:hAnsi="Roboto Light"/>
        </w:rPr>
        <w:t xml:space="preserve">Recalling the extended debate in the origins of MiFID2 and MiFIR concerning “Broker Crossing Networks” which have never been observed after the initial MiFID, </w:t>
      </w:r>
      <w:r w:rsidRPr="00F24C0A">
        <w:rPr>
          <w:rFonts w:ascii="Roboto Light" w:hAnsi="Roboto Light"/>
        </w:rPr>
        <w:t xml:space="preserve">policy </w:t>
      </w:r>
      <w:r>
        <w:rPr>
          <w:rFonts w:ascii="Roboto Light" w:hAnsi="Roboto Light"/>
        </w:rPr>
        <w:t xml:space="preserve">considerations still </w:t>
      </w:r>
      <w:r w:rsidRPr="00F24C0A">
        <w:rPr>
          <w:rFonts w:ascii="Roboto Light" w:hAnsi="Roboto Light"/>
        </w:rPr>
        <w:t>need</w:t>
      </w:r>
      <w:r>
        <w:rPr>
          <w:rFonts w:ascii="Roboto Light" w:hAnsi="Roboto Light"/>
        </w:rPr>
        <w:t xml:space="preserve"> </w:t>
      </w:r>
      <w:r w:rsidRPr="00F24C0A">
        <w:rPr>
          <w:rFonts w:ascii="Roboto Light" w:hAnsi="Roboto Light"/>
        </w:rPr>
        <w:t xml:space="preserve">to </w:t>
      </w:r>
      <w:r>
        <w:rPr>
          <w:rFonts w:ascii="Roboto Light" w:hAnsi="Roboto Light"/>
        </w:rPr>
        <w:t>en</w:t>
      </w:r>
      <w:r w:rsidRPr="00F24C0A">
        <w:rPr>
          <w:rFonts w:ascii="Roboto Light" w:hAnsi="Roboto Light"/>
        </w:rPr>
        <w:t xml:space="preserve">sure that SIs are taking principal risk and not otherwise </w:t>
      </w:r>
      <w:r>
        <w:rPr>
          <w:rFonts w:ascii="Roboto Light" w:hAnsi="Roboto Light"/>
        </w:rPr>
        <w:t xml:space="preserve">simply recreating multilateral risk offset systems. </w:t>
      </w:r>
    </w:p>
    <w:p w14:paraId="1773AB9E" w14:textId="77777777" w:rsidR="00D9390B" w:rsidRPr="00FE4BF2" w:rsidRDefault="00D9390B" w:rsidP="00D9390B">
      <w:pPr>
        <w:spacing w:before="100" w:beforeAutospacing="1" w:after="100" w:afterAutospacing="1" w:line="240" w:lineRule="auto"/>
        <w:rPr>
          <w:rFonts w:ascii="Roboto Light" w:hAnsi="Roboto Light"/>
        </w:rPr>
      </w:pPr>
      <w:r w:rsidRPr="00FE4BF2">
        <w:rPr>
          <w:rFonts w:ascii="Roboto Light" w:hAnsi="Roboto Light"/>
        </w:rPr>
        <w:t xml:space="preserve">We </w:t>
      </w:r>
      <w:r>
        <w:rPr>
          <w:rFonts w:ascii="Roboto Light" w:hAnsi="Roboto Light"/>
        </w:rPr>
        <w:t>again</w:t>
      </w:r>
      <w:r w:rsidRPr="00FE4BF2">
        <w:rPr>
          <w:rFonts w:ascii="Roboto Light" w:hAnsi="Roboto Light"/>
        </w:rPr>
        <w:t xml:space="preserve"> refer to prior comments above as to the need to level the playing field with respect to on venue trades under LIS verses the increase in </w:t>
      </w:r>
      <w:r w:rsidRPr="00FE4BF2">
        <w:rPr>
          <w:rFonts w:ascii="Roboto Light" w:hAnsi="Roboto Light"/>
          <w:i/>
          <w:iCs/>
        </w:rPr>
        <w:t>xBoEx</w:t>
      </w:r>
      <w:r w:rsidRPr="00FE4BF2">
        <w:rPr>
          <w:rFonts w:ascii="Roboto Light" w:hAnsi="Roboto Light"/>
        </w:rPr>
        <w:t>/ ”OBOE” together with a removal of the unwarranted restrictions for OTFs in respect of cash equities. These would require changes to Level 1 MiFIR.</w:t>
      </w:r>
    </w:p>
    <w:p w14:paraId="4B8B8B90" w14:textId="77777777" w:rsidR="00D9390B" w:rsidRPr="00FE4BF2" w:rsidRDefault="00D9390B" w:rsidP="00D9390B">
      <w:pPr>
        <w:spacing w:before="100" w:beforeAutospacing="1" w:after="100" w:afterAutospacing="1" w:line="240" w:lineRule="auto"/>
        <w:rPr>
          <w:rFonts w:ascii="Roboto Light" w:hAnsi="Roboto Light"/>
        </w:rPr>
      </w:pPr>
      <w:r w:rsidRPr="00FE4BF2">
        <w:rPr>
          <w:rFonts w:ascii="Roboto Light" w:hAnsi="Roboto Light"/>
        </w:rPr>
        <w:t>In respect of benefits from harmonisation between the post-trade transparency and transaction reporting regimes, as well as for better data quality and incorporation into consolidated tapes, we would suppose that SI trading is included in wider protocols for the capabilities to identify closing price activity from auctions, to distinguish between manual and electronic executions, together with the proper flagging of both addressable liquidity and  cross-border activity.</w:t>
      </w:r>
      <w:r>
        <w:rPr>
          <w:rFonts w:ascii="Roboto Light" w:hAnsi="Roboto Light"/>
        </w:rPr>
        <w:t xml:space="preserve"> We reiterate that </w:t>
      </w:r>
      <w:r w:rsidRPr="00174B0F">
        <w:rPr>
          <w:rFonts w:ascii="Roboto Light" w:hAnsi="Roboto Light"/>
        </w:rPr>
        <w:t xml:space="preserve">the UK removed the double volume cap </w:t>
      </w:r>
      <w:r>
        <w:rPr>
          <w:rFonts w:ascii="Roboto Light" w:hAnsi="Roboto Light"/>
        </w:rPr>
        <w:t>with</w:t>
      </w:r>
      <w:r w:rsidRPr="00174B0F">
        <w:rPr>
          <w:rFonts w:ascii="Roboto Light" w:hAnsi="Roboto Light"/>
        </w:rPr>
        <w:t xml:space="preserve"> no impact on market quality.</w:t>
      </w:r>
    </w:p>
    <w:p w14:paraId="4375F1DF" w14:textId="77777777" w:rsidR="00D9390B" w:rsidRPr="00FE4BF2" w:rsidRDefault="00D9390B" w:rsidP="00D9390B">
      <w:pPr>
        <w:spacing w:before="100" w:beforeAutospacing="1" w:after="100" w:afterAutospacing="1" w:line="240" w:lineRule="auto"/>
        <w:rPr>
          <w:rFonts w:ascii="Roboto Light" w:hAnsi="Roboto Light"/>
        </w:rPr>
      </w:pPr>
    </w:p>
    <w:p w14:paraId="426A709B" w14:textId="77777777" w:rsidR="003A33E5" w:rsidRDefault="003A33E5" w:rsidP="003A33E5">
      <w:r>
        <w:t>TYPE 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3FFEDC58" w14:textId="77777777" w:rsidR="0047595B" w:rsidRPr="00FE4BF2" w:rsidRDefault="0047595B" w:rsidP="0047595B">
      <w:pPr>
        <w:spacing w:before="100" w:beforeAutospacing="1" w:after="100" w:afterAutospacing="1" w:line="240" w:lineRule="auto"/>
        <w:rPr>
          <w:rFonts w:ascii="Roboto Light" w:hAnsi="Roboto Light"/>
        </w:rPr>
      </w:pPr>
      <w:permStart w:id="1012798389" w:edGrp="everyone"/>
      <w:r w:rsidRPr="00FE4BF2">
        <w:rPr>
          <w:rFonts w:ascii="Roboto Light" w:hAnsi="Roboto Light"/>
        </w:rPr>
        <w:t xml:space="preserve">No. We have not witnessed an increase in the use of benchmark trades, and note that the evidence presented supposes this to be an SI phenomena rather than an on-venue one. </w:t>
      </w:r>
    </w:p>
    <w:p w14:paraId="62C1FC88" w14:textId="77777777" w:rsidR="003A33E5" w:rsidRDefault="003A33E5" w:rsidP="003A33E5">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lastRenderedPageBreak/>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7D268C60" w14:textId="77777777" w:rsidR="00D7409D" w:rsidRPr="00FE4BF2" w:rsidRDefault="00D7409D" w:rsidP="00D7409D">
      <w:pPr>
        <w:spacing w:before="100" w:beforeAutospacing="1" w:after="100" w:afterAutospacing="1" w:line="240" w:lineRule="auto"/>
        <w:rPr>
          <w:rFonts w:ascii="Roboto Light" w:hAnsi="Roboto Light"/>
        </w:rPr>
      </w:pPr>
      <w:permStart w:id="921442006" w:edGrp="everyone"/>
      <w:r w:rsidRPr="00FE4BF2">
        <w:rPr>
          <w:rFonts w:ascii="Roboto Light" w:hAnsi="Roboto Light"/>
        </w:rPr>
        <w:t>Yes. We refer to the BMR to note that the use of transactions from multiple trading venues would be considered normal.</w:t>
      </w:r>
    </w:p>
    <w:p w14:paraId="4AE4388F" w14:textId="77777777" w:rsidR="00D7409D" w:rsidRPr="00FE4BF2" w:rsidRDefault="00D7409D" w:rsidP="00D7409D">
      <w:pPr>
        <w:spacing w:before="100" w:beforeAutospacing="1" w:after="100" w:afterAutospacing="1" w:line="240" w:lineRule="auto"/>
        <w:rPr>
          <w:rFonts w:ascii="Roboto Light" w:hAnsi="Roboto Light"/>
        </w:rPr>
      </w:pPr>
    </w:p>
    <w:p w14:paraId="48272282" w14:textId="77777777" w:rsidR="003A33E5" w:rsidRDefault="003A33E5" w:rsidP="003A33E5">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55A6B2AC" w14:textId="77777777" w:rsidR="008D6A20" w:rsidRPr="00FE4BF2" w:rsidRDefault="008D6A20" w:rsidP="008D6A20">
      <w:pPr>
        <w:spacing w:before="100" w:beforeAutospacing="1" w:after="100" w:afterAutospacing="1" w:line="240" w:lineRule="auto"/>
        <w:rPr>
          <w:rFonts w:ascii="Roboto Light" w:hAnsi="Roboto Light"/>
        </w:rPr>
      </w:pPr>
      <w:permStart w:id="2080063835" w:edGrp="everyone"/>
      <w:r w:rsidRPr="00FE4BF2">
        <w:rPr>
          <w:rFonts w:ascii="Roboto Light" w:hAnsi="Roboto Light"/>
        </w:rPr>
        <w:t>No comment. As brokers and trading venues, EVIA member firms do not operate Systematic Internalisers [“SIs”] and offer no comments herewith.</w:t>
      </w:r>
    </w:p>
    <w:p w14:paraId="77215CAE" w14:textId="77777777" w:rsidR="008D6A20" w:rsidRPr="00FE4BF2" w:rsidRDefault="008D6A20" w:rsidP="008D6A20">
      <w:pPr>
        <w:spacing w:before="100" w:beforeAutospacing="1" w:after="100" w:afterAutospacing="1" w:line="240" w:lineRule="auto"/>
        <w:rPr>
          <w:rFonts w:ascii="Roboto Light" w:hAnsi="Roboto Light"/>
        </w:rPr>
      </w:pPr>
    </w:p>
    <w:p w14:paraId="311874C9" w14:textId="27A08F50" w:rsidR="003A33E5" w:rsidRDefault="003A33E5" w:rsidP="003A33E5">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00A6157E" w14:textId="77777777" w:rsidR="005D6BE5" w:rsidRPr="00FE4BF2" w:rsidRDefault="005D6BE5" w:rsidP="005D6BE5">
      <w:pPr>
        <w:spacing w:before="100" w:beforeAutospacing="1" w:after="100" w:afterAutospacing="1" w:line="240" w:lineRule="auto"/>
        <w:rPr>
          <w:rFonts w:ascii="Roboto Light" w:hAnsi="Roboto Light"/>
        </w:rPr>
      </w:pPr>
      <w:permStart w:id="180496860" w:edGrp="everyone"/>
      <w:r w:rsidRPr="00FE4BF2">
        <w:rPr>
          <w:rFonts w:ascii="Roboto Light" w:hAnsi="Roboto Light"/>
        </w:rPr>
        <w:t>No comment. As brokers and trading venues, EVIA member firms do not operate Systematic Internalisers [“SIs”] and offer no comments herewith.</w:t>
      </w:r>
    </w:p>
    <w:p w14:paraId="7E93290F" w14:textId="77777777" w:rsidR="005D6BE5" w:rsidRPr="00FE4BF2" w:rsidRDefault="005D6BE5" w:rsidP="005D6BE5">
      <w:pPr>
        <w:spacing w:before="100" w:beforeAutospacing="1" w:after="100" w:afterAutospacing="1" w:line="240" w:lineRule="auto"/>
        <w:rPr>
          <w:rFonts w:ascii="Roboto Light" w:hAnsi="Roboto Light"/>
        </w:rPr>
      </w:pPr>
    </w:p>
    <w:p w14:paraId="29A2A271" w14:textId="77777777" w:rsidR="003A33E5" w:rsidRDefault="003A33E5" w:rsidP="003A33E5">
      <w:r>
        <w:t>TYPE YOUR TEXT HERE</w:t>
      </w:r>
    </w:p>
    <w:permEnd w:id="180496860"/>
    <w:p w14:paraId="5F3E8EA8" w14:textId="6BDD51BD" w:rsidR="003A33E5" w:rsidRDefault="003A33E5" w:rsidP="003A33E5">
      <w:r>
        <w:lastRenderedPageBreak/>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3E6B7647" w14:textId="77777777" w:rsidR="003B37A7" w:rsidRPr="00FE4BF2" w:rsidRDefault="003B37A7" w:rsidP="003B37A7">
      <w:pPr>
        <w:spacing w:before="100" w:beforeAutospacing="1" w:after="100" w:afterAutospacing="1" w:line="240" w:lineRule="auto"/>
        <w:rPr>
          <w:rFonts w:ascii="Roboto Light" w:hAnsi="Roboto Light"/>
        </w:rPr>
      </w:pPr>
      <w:permStart w:id="1316118649" w:edGrp="everyone"/>
      <w:r w:rsidRPr="00FE4BF2">
        <w:rPr>
          <w:rFonts w:ascii="Roboto Light" w:hAnsi="Roboto Light"/>
        </w:rPr>
        <w:t>No comment. As brokers and trading venues, EVIA member firms do not operate Systematic Internalisers [“SIs”] and offer no comments herewith.</w:t>
      </w:r>
    </w:p>
    <w:p w14:paraId="3BA54767" w14:textId="77777777" w:rsidR="003B37A7" w:rsidRPr="00FE4BF2" w:rsidRDefault="003B37A7" w:rsidP="003B37A7">
      <w:pPr>
        <w:spacing w:before="100" w:beforeAutospacing="1" w:after="100" w:afterAutospacing="1" w:line="240" w:lineRule="auto"/>
        <w:rPr>
          <w:rFonts w:ascii="Roboto Light" w:hAnsi="Roboto Light"/>
        </w:rPr>
      </w:pPr>
      <w:r w:rsidRPr="00FE4BF2">
        <w:rPr>
          <w:rFonts w:ascii="Roboto Light" w:hAnsi="Roboto Light"/>
        </w:rPr>
        <w:t>We do however support the FIX Org analysis</w:t>
      </w:r>
      <w:r w:rsidRPr="00FE4BF2">
        <w:rPr>
          <w:rStyle w:val="FootnoteReference"/>
          <w:rFonts w:ascii="Roboto Light" w:hAnsi="Roboto Light"/>
        </w:rPr>
        <w:footnoteReference w:id="11"/>
      </w:r>
      <w:r w:rsidRPr="00FE4BF2">
        <w:rPr>
          <w:rFonts w:ascii="Roboto Light" w:hAnsi="Roboto Light"/>
        </w:rPr>
        <w:t xml:space="preserve"> as set out at: </w:t>
      </w:r>
      <w:hyperlink r:id="rId30" w:history="1">
        <w:r w:rsidRPr="00FE4BF2">
          <w:rPr>
            <w:rStyle w:val="Hyperlink"/>
            <w:rFonts w:ascii="Roboto Light" w:hAnsi="Roboto Light"/>
          </w:rPr>
          <w:t>https://fixtrading.org/packages/fix-trade-flag-scenarios-european-equities/</w:t>
        </w:r>
      </w:hyperlink>
      <w:r w:rsidRPr="00FE4BF2">
        <w:rPr>
          <w:rFonts w:ascii="Roboto Light" w:hAnsi="Roboto Light"/>
        </w:rPr>
        <w:t xml:space="preserve"> which considers the use of the BENC flag, either alone or in combination with other flags, and the sufficiency of this information. </w:t>
      </w:r>
    </w:p>
    <w:p w14:paraId="4EB10A71" w14:textId="77777777" w:rsidR="003B37A7" w:rsidRPr="00FE4BF2" w:rsidRDefault="003B37A7" w:rsidP="003B37A7">
      <w:pPr>
        <w:spacing w:before="100" w:beforeAutospacing="1" w:after="100" w:afterAutospacing="1" w:line="240" w:lineRule="auto"/>
        <w:rPr>
          <w:rFonts w:ascii="Roboto Light" w:hAnsi="Roboto Light"/>
        </w:rPr>
      </w:pPr>
    </w:p>
    <w:p w14:paraId="46E0C115" w14:textId="77777777" w:rsidR="003A33E5" w:rsidRDefault="003A33E5" w:rsidP="003A33E5">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CB18FBB" w14:textId="77777777" w:rsidR="0063579D" w:rsidRPr="00FE4BF2" w:rsidRDefault="0063579D" w:rsidP="0063579D">
      <w:pPr>
        <w:spacing w:before="100" w:beforeAutospacing="1" w:after="100" w:afterAutospacing="1" w:line="240" w:lineRule="auto"/>
        <w:rPr>
          <w:rFonts w:ascii="Roboto Light" w:hAnsi="Roboto Light"/>
        </w:rPr>
      </w:pPr>
      <w:permStart w:id="1195064322" w:edGrp="everyone"/>
      <w:r w:rsidRPr="00FE4BF2">
        <w:rPr>
          <w:rFonts w:ascii="Roboto Light" w:hAnsi="Roboto Light"/>
        </w:rPr>
        <w:t>As brokers and trading venues, EVIA member firms do not admit “members”, but rather have market participants who interact subject to the MTF rulebook. Evidently the rules are “fair and non-discriminatory,” so against this playing field we do not see advantages for the continuation of “</w:t>
      </w:r>
      <w:r w:rsidRPr="00FE4BF2">
        <w:rPr>
          <w:rFonts w:ascii="Roboto Light" w:hAnsi="Roboto Light"/>
          <w:i/>
          <w:iCs/>
        </w:rPr>
        <w:t>member preferencing</w:t>
      </w:r>
      <w:r w:rsidRPr="00FE4BF2">
        <w:rPr>
          <w:rFonts w:ascii="Roboto Light" w:hAnsi="Roboto Light"/>
        </w:rPr>
        <w:t xml:space="preserve">” if not clearly a part of the rules set out and agreed by market participants.  However, mindful of the approach to market-making, tic sizes and latency which are all tantamount to the same outcomes, the core issues here remain </w:t>
      </w:r>
      <w:r w:rsidRPr="00FE4BF2">
        <w:rPr>
          <w:rFonts w:ascii="Roboto Light" w:hAnsi="Roboto Light"/>
          <w:u w:val="single"/>
        </w:rPr>
        <w:t>disclosure and choice (competition</w:t>
      </w:r>
      <w:r w:rsidRPr="00FE4BF2">
        <w:rPr>
          <w:rFonts w:ascii="Roboto Light" w:hAnsi="Roboto Light"/>
        </w:rPr>
        <w:t>) as opposed to regulatory intervention.</w:t>
      </w:r>
    </w:p>
    <w:p w14:paraId="42E3E31B" w14:textId="77777777" w:rsidR="0063579D" w:rsidRPr="00FE4BF2" w:rsidRDefault="0063579D" w:rsidP="0063579D">
      <w:pPr>
        <w:spacing w:before="100" w:beforeAutospacing="1" w:after="100" w:afterAutospacing="1" w:line="240" w:lineRule="auto"/>
        <w:rPr>
          <w:rFonts w:ascii="Roboto Light" w:hAnsi="Roboto Light"/>
        </w:rPr>
      </w:pPr>
    </w:p>
    <w:p w14:paraId="787A55CB" w14:textId="77777777" w:rsidR="003A33E5" w:rsidRDefault="003A33E5" w:rsidP="003A33E5">
      <w:r>
        <w:lastRenderedPageBreak/>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27F3F179" w14:textId="417C43F6" w:rsidR="00F43375" w:rsidRPr="00FE4BF2" w:rsidRDefault="00F43375" w:rsidP="00F43375">
      <w:pPr>
        <w:spacing w:before="100" w:beforeAutospacing="1" w:after="100" w:afterAutospacing="1" w:line="240" w:lineRule="auto"/>
        <w:rPr>
          <w:rFonts w:ascii="Roboto Light" w:hAnsi="Roboto Light"/>
        </w:rPr>
      </w:pPr>
      <w:permStart w:id="1218795063" w:edGrp="everyone"/>
      <w:r w:rsidRPr="00FE4BF2">
        <w:rPr>
          <w:rFonts w:ascii="Roboto Light" w:hAnsi="Roboto Light"/>
        </w:rPr>
        <w:t xml:space="preserve">Same </w:t>
      </w:r>
      <w:r>
        <w:rPr>
          <w:rFonts w:ascii="Roboto Light" w:hAnsi="Roboto Light"/>
        </w:rPr>
        <w:t xml:space="preserve">comments </w:t>
      </w:r>
      <w:r w:rsidRPr="00FE4BF2">
        <w:rPr>
          <w:rFonts w:ascii="Roboto Light" w:hAnsi="Roboto Light"/>
        </w:rPr>
        <w:t xml:space="preserve">as Q31. </w:t>
      </w:r>
    </w:p>
    <w:p w14:paraId="54837B62" w14:textId="77777777" w:rsidR="00F43375" w:rsidRPr="00FE4BF2" w:rsidRDefault="00F43375" w:rsidP="00F43375">
      <w:pPr>
        <w:spacing w:before="100" w:beforeAutospacing="1" w:after="100" w:afterAutospacing="1" w:line="240" w:lineRule="auto"/>
        <w:rPr>
          <w:rFonts w:ascii="Roboto Light" w:hAnsi="Roboto Light"/>
        </w:rPr>
      </w:pPr>
      <w:r w:rsidRPr="00FE4BF2">
        <w:rPr>
          <w:rFonts w:ascii="Roboto Light" w:hAnsi="Roboto Light"/>
        </w:rPr>
        <w:t>As brokers and trading venues, EVIA member firms do not admit “members”, but rather have market participants who interact subject to the MTF rulebook. Evidently the rules are “fair and non-discriminatory,” so against this playing field we do not see advantages for the continuation of “</w:t>
      </w:r>
      <w:r w:rsidRPr="00FE4BF2">
        <w:rPr>
          <w:rFonts w:ascii="Roboto Light" w:hAnsi="Roboto Light"/>
          <w:i/>
          <w:iCs/>
        </w:rPr>
        <w:t>member preferencing</w:t>
      </w:r>
      <w:r w:rsidRPr="00FE4BF2">
        <w:rPr>
          <w:rFonts w:ascii="Roboto Light" w:hAnsi="Roboto Light"/>
        </w:rPr>
        <w:t xml:space="preserve">” if not clearly a part of the rules set out and agreed by market participants.  However, mindful of the approach to market-making, tic sizes and latency which are all tantamount to the same outcomes, the core issues here remain </w:t>
      </w:r>
      <w:r w:rsidRPr="00FE4BF2">
        <w:rPr>
          <w:rFonts w:ascii="Roboto Light" w:hAnsi="Roboto Light"/>
          <w:u w:val="single"/>
        </w:rPr>
        <w:t>disclosure and choice (competition</w:t>
      </w:r>
      <w:r w:rsidRPr="00FE4BF2">
        <w:rPr>
          <w:rFonts w:ascii="Roboto Light" w:hAnsi="Roboto Light"/>
        </w:rPr>
        <w:t>) as opposed to regulatory intervention.</w:t>
      </w:r>
    </w:p>
    <w:p w14:paraId="532142EE" w14:textId="77777777" w:rsidR="00F43375" w:rsidRPr="00FE4BF2" w:rsidRDefault="00F43375" w:rsidP="00F43375">
      <w:pPr>
        <w:spacing w:before="100" w:beforeAutospacing="1" w:after="100" w:afterAutospacing="1" w:line="240" w:lineRule="auto"/>
        <w:rPr>
          <w:rFonts w:ascii="Roboto Light" w:hAnsi="Roboto Light"/>
        </w:rPr>
      </w:pPr>
    </w:p>
    <w:p w14:paraId="76960526" w14:textId="77777777" w:rsidR="003A33E5" w:rsidRDefault="003A33E5" w:rsidP="003A33E5">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48DDE8A2" w14:textId="77777777" w:rsidR="00F02048" w:rsidRDefault="00F02048" w:rsidP="00F02048">
      <w:pPr>
        <w:spacing w:before="100" w:beforeAutospacing="1" w:after="100" w:afterAutospacing="1" w:line="240" w:lineRule="auto"/>
        <w:rPr>
          <w:rFonts w:ascii="Roboto Light" w:hAnsi="Roboto Light"/>
        </w:rPr>
      </w:pPr>
      <w:permStart w:id="1697063566" w:edGrp="everyone"/>
      <w:r w:rsidRPr="00FE4BF2">
        <w:rPr>
          <w:rFonts w:ascii="Roboto Light" w:hAnsi="Roboto Light"/>
        </w:rPr>
        <w:t>Mindful of the need for innovation and a competitive landscape we would caution against regulatory intervention unless strictly necessary. M</w:t>
      </w:r>
      <w:r w:rsidRPr="00FE4BF2">
        <w:rPr>
          <w:rFonts w:ascii="Roboto Light" w:hAnsi="Roboto Light"/>
          <w:i/>
          <w:iCs/>
        </w:rPr>
        <w:t>ember Preferencing</w:t>
      </w:r>
      <w:r w:rsidRPr="00FE4BF2">
        <w:rPr>
          <w:rFonts w:ascii="Roboto Light" w:hAnsi="Roboto Light"/>
        </w:rPr>
        <w:t xml:space="preserve"> can be </w:t>
      </w:r>
      <w:r>
        <w:rPr>
          <w:rFonts w:ascii="Roboto Light" w:hAnsi="Roboto Light"/>
        </w:rPr>
        <w:t xml:space="preserve">a valuable tool for MTFs but it could also be </w:t>
      </w:r>
      <w:r w:rsidRPr="00FE4BF2">
        <w:rPr>
          <w:rFonts w:ascii="Roboto Light" w:hAnsi="Roboto Light"/>
        </w:rPr>
        <w:t xml:space="preserve">achieved in a many different ways and with alternative labelling. </w:t>
      </w:r>
      <w:r>
        <w:rPr>
          <w:rFonts w:ascii="Roboto Light" w:hAnsi="Roboto Light"/>
        </w:rPr>
        <w:t>Members note a valid use-case in sifting valuable block liquidity from the layering of minimum size as algorithmic techniques, We again refer to our prior comments around OTFs and the role of discretion in this regard.</w:t>
      </w:r>
    </w:p>
    <w:p w14:paraId="04326B78" w14:textId="77777777" w:rsidR="00F02048" w:rsidRPr="00FE4BF2" w:rsidRDefault="00F02048" w:rsidP="00F02048">
      <w:pPr>
        <w:spacing w:before="100" w:beforeAutospacing="1" w:after="100" w:afterAutospacing="1" w:line="240" w:lineRule="auto"/>
        <w:rPr>
          <w:rFonts w:ascii="Roboto Light" w:hAnsi="Roboto Light"/>
        </w:rPr>
      </w:pPr>
      <w:r w:rsidRPr="00FE4BF2">
        <w:rPr>
          <w:rFonts w:ascii="Roboto Light" w:hAnsi="Roboto Light"/>
        </w:rPr>
        <w:t>Indeed, restricted liquidity pools for certain wholesale activities appears reasonable under relevant circumstances. So the approach to market-making, tic-sizes and latency which are all tantamount to the same outcomes, the core issues here remain disclosure and choice (competition) as opposed to regulatory intervention.</w:t>
      </w:r>
    </w:p>
    <w:p w14:paraId="1D517B31" w14:textId="77777777" w:rsidR="00F02048" w:rsidRPr="00FE4BF2" w:rsidRDefault="00F02048" w:rsidP="00F02048">
      <w:pPr>
        <w:spacing w:before="100" w:beforeAutospacing="1" w:after="100" w:afterAutospacing="1" w:line="240" w:lineRule="auto"/>
        <w:rPr>
          <w:rFonts w:ascii="Roboto Light" w:hAnsi="Roboto Light"/>
        </w:rPr>
      </w:pPr>
    </w:p>
    <w:p w14:paraId="00D63C9A" w14:textId="77777777" w:rsidR="003A33E5" w:rsidRDefault="003A33E5" w:rsidP="003A33E5">
      <w:r>
        <w:t>TYPE YOUR TEXT HERE</w:t>
      </w:r>
    </w:p>
    <w:permEnd w:id="1697063566"/>
    <w:p w14:paraId="35DF9DD6" w14:textId="00BB2FEF" w:rsidR="003A33E5" w:rsidRDefault="003A33E5" w:rsidP="003A33E5">
      <w:r>
        <w:lastRenderedPageBreak/>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49A66263" w14:textId="77777777" w:rsidR="00AC6253" w:rsidRPr="00FE4BF2" w:rsidRDefault="00AC6253" w:rsidP="00AC6253">
      <w:pPr>
        <w:spacing w:before="100" w:beforeAutospacing="1" w:after="100" w:afterAutospacing="1" w:line="240" w:lineRule="auto"/>
        <w:rPr>
          <w:rFonts w:ascii="Roboto Light" w:hAnsi="Roboto Light"/>
        </w:rPr>
      </w:pPr>
      <w:permStart w:id="1084183535" w:edGrp="everyone"/>
      <w:r w:rsidRPr="00FE4BF2">
        <w:rPr>
          <w:rFonts w:ascii="Roboto Light" w:hAnsi="Roboto Light"/>
        </w:rPr>
        <w:t xml:space="preserve">Same as </w:t>
      </w:r>
      <w:r>
        <w:rPr>
          <w:rFonts w:ascii="Roboto Light" w:hAnsi="Roboto Light"/>
        </w:rPr>
        <w:t xml:space="preserve">Q31 and </w:t>
      </w:r>
      <w:r w:rsidRPr="00FE4BF2">
        <w:rPr>
          <w:rFonts w:ascii="Roboto Light" w:hAnsi="Roboto Light"/>
        </w:rPr>
        <w:t xml:space="preserve">Q33. </w:t>
      </w:r>
    </w:p>
    <w:p w14:paraId="0F195B57" w14:textId="77777777" w:rsidR="00AC6253" w:rsidRPr="00FE4BF2" w:rsidRDefault="00AC6253" w:rsidP="00AC6253">
      <w:pPr>
        <w:spacing w:before="100" w:beforeAutospacing="1" w:after="100" w:afterAutospacing="1" w:line="240" w:lineRule="auto"/>
        <w:rPr>
          <w:rFonts w:ascii="Roboto Light" w:hAnsi="Roboto Light"/>
        </w:rPr>
      </w:pPr>
      <w:r w:rsidRPr="00FE4BF2">
        <w:rPr>
          <w:rFonts w:ascii="Roboto Light" w:hAnsi="Roboto Light"/>
        </w:rPr>
        <w:t>Mindful of the need for innovation and a competitive landscape we would caution against regulatory intervention unless strictly necessary. M</w:t>
      </w:r>
      <w:r w:rsidRPr="00FE4BF2">
        <w:rPr>
          <w:rFonts w:ascii="Roboto Light" w:hAnsi="Roboto Light"/>
          <w:i/>
          <w:iCs/>
        </w:rPr>
        <w:t>ember Preferencing</w:t>
      </w:r>
      <w:r w:rsidRPr="00FE4BF2">
        <w:rPr>
          <w:rFonts w:ascii="Roboto Light" w:hAnsi="Roboto Light"/>
        </w:rPr>
        <w:t xml:space="preserve"> can be achieved in a many different ways and with alternative labelling. Indeed, restricted liquidity pools for certain wholesale activities appears reasonable under relevant circumstances. So the approach to market-making, tic-sizes and latency which are all tantamount to the same outcomes, the core issues here remain disclosure and choice (competition) as opposed to regulatory intervention.</w:t>
      </w:r>
    </w:p>
    <w:p w14:paraId="5AD1D73F" w14:textId="77777777" w:rsidR="00AC6253" w:rsidRPr="00FE4BF2" w:rsidRDefault="00AC6253" w:rsidP="00AC6253">
      <w:pPr>
        <w:spacing w:before="100" w:beforeAutospacing="1" w:after="100" w:afterAutospacing="1" w:line="240" w:lineRule="auto"/>
        <w:rPr>
          <w:rFonts w:ascii="Roboto Light" w:hAnsi="Roboto Light"/>
        </w:rPr>
      </w:pPr>
    </w:p>
    <w:p w14:paraId="5516576E" w14:textId="77777777" w:rsidR="003A33E5" w:rsidRDefault="003A33E5" w:rsidP="003A33E5">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6E39E2B1" w14:textId="77777777" w:rsidR="003904C3" w:rsidRPr="00FE4BF2" w:rsidRDefault="003904C3" w:rsidP="003904C3">
      <w:pPr>
        <w:spacing w:before="100" w:beforeAutospacing="1" w:after="100" w:afterAutospacing="1" w:line="240" w:lineRule="auto"/>
        <w:rPr>
          <w:rFonts w:ascii="Roboto Light" w:hAnsi="Roboto Light"/>
        </w:rPr>
      </w:pPr>
      <w:permStart w:id="1454133558" w:edGrp="everyone"/>
      <w:r w:rsidRPr="00FE4BF2">
        <w:rPr>
          <w:rFonts w:ascii="Roboto Light" w:hAnsi="Roboto Light"/>
        </w:rPr>
        <w:t>No.</w:t>
      </w:r>
    </w:p>
    <w:p w14:paraId="09CCA71A" w14:textId="77777777" w:rsidR="003A33E5" w:rsidRDefault="003A33E5" w:rsidP="003A33E5">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3C1CAD48" w14:textId="77777777" w:rsidR="007764D3" w:rsidRPr="00FE4BF2" w:rsidRDefault="007764D3" w:rsidP="007764D3">
      <w:pPr>
        <w:spacing w:before="100" w:beforeAutospacing="1" w:after="100" w:afterAutospacing="1" w:line="240" w:lineRule="auto"/>
        <w:rPr>
          <w:rFonts w:ascii="Roboto Light" w:hAnsi="Roboto Light"/>
        </w:rPr>
      </w:pPr>
      <w:permStart w:id="1509051285" w:edGrp="everyone"/>
      <w:r w:rsidRPr="00FE4BF2">
        <w:rPr>
          <w:rFonts w:ascii="Roboto Light" w:hAnsi="Roboto Light"/>
        </w:rPr>
        <w:lastRenderedPageBreak/>
        <w:t>Yes. Overall we agree with proposed concept of addressability and the three approaches set out in paragraph 111. We note the comments concerning negotiated transactions of third type (NT3), and the preferred approach of the FIX Org such that the two distinct concepts of price formation and accessibility are treated independently. We suppose that could be done within the broader ESMA framework and again cross-refer the schematic diagram above.</w:t>
      </w:r>
    </w:p>
    <w:p w14:paraId="3330896F" w14:textId="77777777" w:rsidR="007764D3" w:rsidRPr="00FE4BF2" w:rsidRDefault="007764D3" w:rsidP="007764D3">
      <w:pPr>
        <w:spacing w:before="100" w:beforeAutospacing="1" w:after="100" w:afterAutospacing="1" w:line="240" w:lineRule="auto"/>
        <w:rPr>
          <w:rFonts w:ascii="Roboto Light" w:hAnsi="Roboto Light"/>
        </w:rPr>
      </w:pPr>
      <w:r w:rsidRPr="00FE4BF2">
        <w:rPr>
          <w:rFonts w:ascii="Roboto Light" w:hAnsi="Roboto Light"/>
        </w:rPr>
        <w:t>Our pressing concern with where off-book transactions are made as economic trades that are price forming under the oBoEx/”OBOE” approach and should not accrue under the NPFT waiver. This is in accordance with the advocacy for a level playing approach between LIS trades on MTF and these trade registrations. This does not negate the role and classification for technical transactions where they do not meet the definition of price-forming activity and which should then be excluded from post-trade transparency requirements while remaining subject to transaction reporting obligations</w:t>
      </w:r>
    </w:p>
    <w:p w14:paraId="68153ED7" w14:textId="77777777" w:rsidR="007764D3" w:rsidRPr="00FE4BF2" w:rsidRDefault="007764D3" w:rsidP="007764D3">
      <w:pPr>
        <w:spacing w:before="100" w:beforeAutospacing="1" w:after="100" w:afterAutospacing="1" w:line="240" w:lineRule="auto"/>
        <w:rPr>
          <w:rFonts w:ascii="Roboto Light" w:hAnsi="Roboto Light"/>
        </w:rPr>
      </w:pPr>
      <w:r w:rsidRPr="00FE4BF2">
        <w:rPr>
          <w:rFonts w:ascii="Roboto Light" w:hAnsi="Roboto Light"/>
        </w:rPr>
        <w:t>It is clear that many types of addressable liquidity have limited accessibility. This does not and should not remove them from being classified as “price forming.” Furthermore, transactions subject to conditions other than the current market price also remain price-forming. Rather, this is the role of the consistent and accurate application of flags and the FIX Org framework. Together, they ought to provide all information necessary for investors to assess how relevant a particular price-forming transaction is to them under the market context at any point in time.</w:t>
      </w:r>
    </w:p>
    <w:p w14:paraId="12189DF1" w14:textId="77777777" w:rsidR="007764D3" w:rsidRPr="00FE4BF2" w:rsidRDefault="007764D3" w:rsidP="007764D3">
      <w:pPr>
        <w:spacing w:before="100" w:beforeAutospacing="1" w:after="100" w:afterAutospacing="1" w:line="240" w:lineRule="auto"/>
        <w:rPr>
          <w:rFonts w:ascii="Roboto Light" w:hAnsi="Roboto Light"/>
        </w:rPr>
      </w:pPr>
    </w:p>
    <w:p w14:paraId="752F84C6" w14:textId="77777777" w:rsidR="003A33E5" w:rsidRDefault="003A33E5" w:rsidP="003A33E5">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03226C8F" w14:textId="77777777" w:rsidR="005867C0" w:rsidRPr="00FE4BF2" w:rsidRDefault="005867C0" w:rsidP="005867C0">
      <w:pPr>
        <w:spacing w:before="100" w:beforeAutospacing="1" w:after="100" w:afterAutospacing="1" w:line="240" w:lineRule="auto"/>
        <w:rPr>
          <w:rFonts w:ascii="Roboto Light" w:hAnsi="Roboto Light"/>
        </w:rPr>
      </w:pPr>
      <w:permStart w:id="164585938" w:edGrp="everyone"/>
      <w:r w:rsidRPr="00FE4BF2">
        <w:rPr>
          <w:rFonts w:ascii="Roboto Light" w:hAnsi="Roboto Light"/>
        </w:rPr>
        <w:t>Yes we agree with the table as presented in Figure 36.</w:t>
      </w:r>
    </w:p>
    <w:p w14:paraId="5AAB684A" w14:textId="77777777" w:rsidR="005867C0" w:rsidRPr="00FE4BF2" w:rsidRDefault="005867C0" w:rsidP="005867C0">
      <w:pPr>
        <w:spacing w:before="100" w:beforeAutospacing="1" w:after="100" w:afterAutospacing="1" w:line="240" w:lineRule="auto"/>
        <w:rPr>
          <w:rFonts w:ascii="Roboto Light" w:hAnsi="Roboto Light"/>
        </w:rPr>
      </w:pPr>
    </w:p>
    <w:p w14:paraId="1B9FC3EF" w14:textId="77777777" w:rsidR="003A33E5" w:rsidRDefault="003A33E5" w:rsidP="003A33E5">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7BF59505" w14:textId="77777777" w:rsidR="000A20AE" w:rsidRPr="00FE4BF2" w:rsidRDefault="000A20AE" w:rsidP="000A20AE">
      <w:pPr>
        <w:spacing w:before="100" w:beforeAutospacing="1" w:after="100" w:afterAutospacing="1" w:line="240" w:lineRule="auto"/>
        <w:rPr>
          <w:rFonts w:ascii="Roboto Light" w:hAnsi="Roboto Light"/>
        </w:rPr>
      </w:pPr>
      <w:permStart w:id="1475570857" w:edGrp="everyone"/>
      <w:r w:rsidRPr="00FE4BF2">
        <w:rPr>
          <w:rFonts w:ascii="Roboto Light" w:hAnsi="Roboto Light"/>
        </w:rPr>
        <w:t>Yes we largely agree with the table as presented in Figure 36 with the exception that “Addressable Portfolio Trades” are also price forming because they comprise a real economic interest.</w:t>
      </w:r>
    </w:p>
    <w:p w14:paraId="1762CA3E" w14:textId="77777777" w:rsidR="000A20AE" w:rsidRPr="00FE4BF2" w:rsidRDefault="000A20AE" w:rsidP="000A20AE">
      <w:pPr>
        <w:spacing w:before="100" w:beforeAutospacing="1" w:after="100" w:afterAutospacing="1" w:line="240" w:lineRule="auto"/>
        <w:rPr>
          <w:rFonts w:ascii="Roboto Light" w:hAnsi="Roboto Light"/>
        </w:rPr>
      </w:pPr>
      <w:r w:rsidRPr="00FE4BF2">
        <w:rPr>
          <w:rFonts w:ascii="Roboto Light" w:hAnsi="Roboto Light"/>
        </w:rPr>
        <w:t>Our pressing concern with where off-book transactions are made as economic trades that are price forming under the oBoEx/”OBOE” approach and should not accrue under the NPFT waiver or should be correctly flagged. This is in accordance with the advocacy for a level playing approach between LIS trades on MTF and these trade registrations. This does not negate the role and classification for technical transactions where they do not meet the definition of price-forming activity and which should then be excluded from post-trade transparency requirements while remaining subject to transaction reporting obligations</w:t>
      </w:r>
    </w:p>
    <w:p w14:paraId="43F575E1" w14:textId="77777777" w:rsidR="000A20AE" w:rsidRPr="00FE4BF2" w:rsidRDefault="000A20AE" w:rsidP="000A20AE">
      <w:pPr>
        <w:spacing w:before="100" w:beforeAutospacing="1" w:after="100" w:afterAutospacing="1" w:line="240" w:lineRule="auto"/>
        <w:rPr>
          <w:rFonts w:ascii="Roboto Light" w:hAnsi="Roboto Light"/>
        </w:rPr>
      </w:pPr>
    </w:p>
    <w:p w14:paraId="41C88A47" w14:textId="77777777" w:rsidR="003A33E5" w:rsidRDefault="003A33E5" w:rsidP="003A33E5">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17A7D392" w14:textId="77777777" w:rsidR="00E35574" w:rsidRPr="00FE4BF2" w:rsidRDefault="00E35574" w:rsidP="00E35574">
      <w:pPr>
        <w:spacing w:before="100" w:beforeAutospacing="1" w:after="100" w:afterAutospacing="1" w:line="240" w:lineRule="auto"/>
        <w:rPr>
          <w:rFonts w:ascii="Roboto Light" w:hAnsi="Roboto Light"/>
        </w:rPr>
      </w:pPr>
      <w:permStart w:id="1523399739" w:edGrp="everyone"/>
      <w:r w:rsidRPr="00FE4BF2">
        <w:rPr>
          <w:rFonts w:ascii="Roboto Light" w:hAnsi="Roboto Light"/>
        </w:rPr>
        <w:t xml:space="preserve">No. We consider that all benchmark trades have real economic interest, and are therefore addressable, and that they are price forming. </w:t>
      </w:r>
    </w:p>
    <w:p w14:paraId="1C6C4BA0" w14:textId="77777777" w:rsidR="00E35574" w:rsidRPr="00FE4BF2" w:rsidRDefault="00E35574" w:rsidP="00E35574">
      <w:pPr>
        <w:spacing w:before="100" w:beforeAutospacing="1" w:after="100" w:afterAutospacing="1" w:line="240" w:lineRule="auto"/>
        <w:rPr>
          <w:rFonts w:ascii="Roboto Light" w:hAnsi="Roboto Light"/>
        </w:rPr>
      </w:pPr>
    </w:p>
    <w:p w14:paraId="0922E03D" w14:textId="77777777" w:rsidR="003A33E5" w:rsidRDefault="003A33E5" w:rsidP="003A33E5">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lastRenderedPageBreak/>
        <w:t>&lt;ESMA_QUESTION_MSEM_</w:t>
      </w:r>
      <w:r w:rsidR="051A75EE">
        <w:t>40</w:t>
      </w:r>
      <w:r>
        <w:t>&gt;</w:t>
      </w:r>
    </w:p>
    <w:p w14:paraId="22CD14E9" w14:textId="77777777" w:rsidR="009F4080" w:rsidRPr="00FE4BF2" w:rsidRDefault="009F4080" w:rsidP="009F4080">
      <w:pPr>
        <w:spacing w:before="100" w:beforeAutospacing="1" w:after="100" w:afterAutospacing="1" w:line="240" w:lineRule="auto"/>
        <w:rPr>
          <w:rFonts w:ascii="Roboto Light" w:hAnsi="Roboto Light"/>
        </w:rPr>
      </w:pPr>
      <w:permStart w:id="1013530916" w:edGrp="everyone"/>
      <w:r w:rsidRPr="00FE4BF2">
        <w:rPr>
          <w:rFonts w:ascii="Roboto Light" w:hAnsi="Roboto Light"/>
        </w:rPr>
        <w:t xml:space="preserve">Yes, it follows that transactions without any flag should be all considered addressable liquidity and price forming. We also agree with the conclusions for transactions are only flagged with SDIV or ALGO. Indeed, even the addition of the LRGS, the NLIQ, or the RFPT flag </w:t>
      </w:r>
      <w:r w:rsidRPr="00FE4BF2">
        <w:rPr>
          <w:rFonts w:ascii="Roboto Light" w:hAnsi="Roboto Light"/>
          <w:u w:val="single"/>
        </w:rPr>
        <w:t>would not</w:t>
      </w:r>
      <w:r w:rsidRPr="00FE4BF2">
        <w:rPr>
          <w:rFonts w:ascii="Roboto Light" w:hAnsi="Roboto Light"/>
        </w:rPr>
        <w:t xml:space="preserve"> then indicate whether any such trade was either addressable or non-addressable</w:t>
      </w:r>
    </w:p>
    <w:p w14:paraId="30A80364" w14:textId="77777777" w:rsidR="009F4080" w:rsidRPr="00FE4BF2" w:rsidRDefault="009F4080" w:rsidP="009F4080">
      <w:pPr>
        <w:spacing w:before="100" w:beforeAutospacing="1" w:after="100" w:afterAutospacing="1" w:line="240" w:lineRule="auto"/>
        <w:rPr>
          <w:rFonts w:ascii="Roboto Light" w:hAnsi="Roboto Light"/>
        </w:rPr>
      </w:pPr>
    </w:p>
    <w:p w14:paraId="49205781" w14:textId="77777777" w:rsidR="003A33E5" w:rsidRDefault="003A33E5" w:rsidP="003A33E5">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1C8209E4" w14:textId="77777777" w:rsidR="00360ABD" w:rsidRPr="00FE4BF2" w:rsidRDefault="00360ABD" w:rsidP="00360ABD">
      <w:pPr>
        <w:spacing w:before="100" w:beforeAutospacing="1" w:after="100" w:afterAutospacing="1" w:line="240" w:lineRule="auto"/>
        <w:rPr>
          <w:rFonts w:ascii="Roboto Light" w:hAnsi="Roboto Light"/>
        </w:rPr>
      </w:pPr>
      <w:permStart w:id="374162036" w:edGrp="everyone"/>
      <w:r w:rsidRPr="00FE4BF2">
        <w:rPr>
          <w:rFonts w:ascii="Roboto Light" w:hAnsi="Roboto Light"/>
        </w:rPr>
        <w:t xml:space="preserve">Yes, it follows that transactions without any flag should be all considered addressable liquidity and price forming. We also agree with the conclusions for transactions are only flagged with SDIV or ALGO. Indeed, even the addition of the LRGS, the NLIQ, or the RFPT flag </w:t>
      </w:r>
      <w:r w:rsidRPr="00FE4BF2">
        <w:rPr>
          <w:rFonts w:ascii="Roboto Light" w:hAnsi="Roboto Light"/>
          <w:u w:val="single"/>
        </w:rPr>
        <w:t>would not</w:t>
      </w:r>
      <w:r w:rsidRPr="00FE4BF2">
        <w:rPr>
          <w:rFonts w:ascii="Roboto Light" w:hAnsi="Roboto Light"/>
        </w:rPr>
        <w:t xml:space="preserve"> then indicate whether any such trade was either addressable or non-addressable</w:t>
      </w:r>
    </w:p>
    <w:p w14:paraId="43C22F84" w14:textId="77777777" w:rsidR="00360ABD" w:rsidRPr="00FE4BF2" w:rsidRDefault="00360ABD" w:rsidP="00360ABD">
      <w:pPr>
        <w:spacing w:before="100" w:beforeAutospacing="1" w:after="100" w:afterAutospacing="1" w:line="240" w:lineRule="auto"/>
        <w:rPr>
          <w:rFonts w:ascii="Roboto Light" w:hAnsi="Roboto Light"/>
        </w:rPr>
      </w:pPr>
    </w:p>
    <w:p w14:paraId="4719FDA4" w14:textId="77777777" w:rsidR="003A33E5" w:rsidRDefault="003A33E5" w:rsidP="003A33E5">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2559BC02" w14:textId="77777777" w:rsidR="00C917D8" w:rsidRPr="00FE4BF2" w:rsidRDefault="00C917D8" w:rsidP="00C917D8">
      <w:pPr>
        <w:spacing w:before="100" w:beforeAutospacing="1" w:after="100" w:afterAutospacing="1" w:line="240" w:lineRule="auto"/>
        <w:rPr>
          <w:rFonts w:ascii="Roboto Light" w:hAnsi="Roboto Light"/>
        </w:rPr>
      </w:pPr>
      <w:permStart w:id="1323904635" w:edGrp="everyone"/>
      <w:r w:rsidRPr="00FE4BF2">
        <w:rPr>
          <w:rFonts w:ascii="Roboto Light" w:hAnsi="Roboto Light"/>
        </w:rPr>
        <w:t xml:space="preserve">Same answer as Q40. </w:t>
      </w:r>
    </w:p>
    <w:p w14:paraId="7E8E6D3E" w14:textId="77777777" w:rsidR="00C917D8" w:rsidRPr="00FE4BF2" w:rsidRDefault="00C917D8" w:rsidP="00C917D8">
      <w:pPr>
        <w:spacing w:before="100" w:beforeAutospacing="1" w:after="100" w:afterAutospacing="1" w:line="240" w:lineRule="auto"/>
        <w:rPr>
          <w:rFonts w:ascii="Roboto Light" w:hAnsi="Roboto Light"/>
        </w:rPr>
      </w:pPr>
      <w:r w:rsidRPr="00FE4BF2">
        <w:rPr>
          <w:rFonts w:ascii="Roboto Light" w:hAnsi="Roboto Light"/>
        </w:rPr>
        <w:t xml:space="preserve">Yes, it follows that transactions without any flag should be all considered addressable liquidity and price forming. We also agree with the conclusions for transactions are only flagged with SDIV or ALGO. Indeed, even the addition of the LRGS, the NLIQ, or the RFPT flag </w:t>
      </w:r>
      <w:r w:rsidRPr="00FE4BF2">
        <w:rPr>
          <w:rFonts w:ascii="Roboto Light" w:hAnsi="Roboto Light"/>
          <w:u w:val="single"/>
        </w:rPr>
        <w:t>would not</w:t>
      </w:r>
      <w:r w:rsidRPr="00FE4BF2">
        <w:rPr>
          <w:rFonts w:ascii="Roboto Light" w:hAnsi="Roboto Light"/>
        </w:rPr>
        <w:t xml:space="preserve"> then indicate whether any such trade was either addressable or non-addressable</w:t>
      </w:r>
    </w:p>
    <w:p w14:paraId="3901DF88" w14:textId="77777777" w:rsidR="00C917D8" w:rsidRPr="00FE4BF2" w:rsidRDefault="00C917D8" w:rsidP="00C917D8">
      <w:pPr>
        <w:spacing w:before="100" w:beforeAutospacing="1" w:after="100" w:afterAutospacing="1" w:line="240" w:lineRule="auto"/>
        <w:rPr>
          <w:rFonts w:ascii="Roboto Light" w:hAnsi="Roboto Light"/>
        </w:rPr>
      </w:pPr>
    </w:p>
    <w:p w14:paraId="374410F2" w14:textId="77777777" w:rsidR="003A33E5" w:rsidRDefault="003A33E5" w:rsidP="003A33E5">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4C4E763" w14:textId="77777777" w:rsidR="00E40C63" w:rsidRPr="00FE4BF2" w:rsidRDefault="00E40C63" w:rsidP="00E40C63">
      <w:pPr>
        <w:spacing w:before="100" w:beforeAutospacing="1" w:after="100" w:afterAutospacing="1" w:line="240" w:lineRule="auto"/>
        <w:rPr>
          <w:rFonts w:ascii="Roboto Light" w:hAnsi="Roboto Light"/>
        </w:rPr>
      </w:pPr>
      <w:permStart w:id="1265007552" w:edGrp="everyone"/>
      <w:r w:rsidRPr="00FE4BF2">
        <w:rPr>
          <w:rFonts w:ascii="Roboto Light" w:hAnsi="Roboto Light"/>
        </w:rPr>
        <w:t xml:space="preserve">We do not consider that it is terribly relevant whether any sub-group of market participants agrees or not with protocol aspects such as the approach on the combination of flags; rather what is important here is the accepted industry standard by all market participants in order to provide for the standardisation and the data quality outcomes sought after. </w:t>
      </w:r>
    </w:p>
    <w:p w14:paraId="00ED99FC" w14:textId="77777777" w:rsidR="00E40C63" w:rsidRPr="00FE4BF2" w:rsidRDefault="00E40C63" w:rsidP="00E40C63">
      <w:pPr>
        <w:spacing w:before="100" w:beforeAutospacing="1" w:after="100" w:afterAutospacing="1" w:line="240" w:lineRule="auto"/>
        <w:rPr>
          <w:rFonts w:ascii="Roboto Light" w:hAnsi="Roboto Light"/>
        </w:rPr>
      </w:pPr>
      <w:r w:rsidRPr="00FE4BF2">
        <w:rPr>
          <w:rFonts w:ascii="Roboto Light" w:hAnsi="Roboto Light"/>
        </w:rPr>
        <w:t xml:space="preserve">We therefore reprise and endorse the FIX Org comments here: </w:t>
      </w:r>
    </w:p>
    <w:p w14:paraId="363903EE" w14:textId="77777777" w:rsidR="00E40C63" w:rsidRPr="00FE4BF2" w:rsidRDefault="00E40C63" w:rsidP="00E40C63">
      <w:pPr>
        <w:spacing w:before="100" w:beforeAutospacing="1" w:after="100" w:afterAutospacing="1" w:line="240" w:lineRule="auto"/>
        <w:rPr>
          <w:rFonts w:ascii="Roboto Light" w:hAnsi="Roboto Light"/>
        </w:rPr>
      </w:pPr>
      <w:r w:rsidRPr="00FE4BF2">
        <w:rPr>
          <w:rFonts w:ascii="Roboto Light" w:hAnsi="Roboto Light"/>
        </w:rPr>
        <w:t>To disagree that trades flagged as CONT are not addressable given their real economic interest and that any combination of CONT and other flags should default to being addressable.</w:t>
      </w:r>
    </w:p>
    <w:p w14:paraId="4458A1D2" w14:textId="77777777" w:rsidR="00E40C63" w:rsidRPr="00FE4BF2" w:rsidRDefault="00E40C63" w:rsidP="00E40C63">
      <w:pPr>
        <w:spacing w:before="100" w:beforeAutospacing="1" w:after="100" w:afterAutospacing="1" w:line="240" w:lineRule="auto"/>
        <w:rPr>
          <w:rFonts w:ascii="Roboto Light" w:hAnsi="Roboto Light"/>
        </w:rPr>
      </w:pPr>
      <w:r w:rsidRPr="00FE4BF2">
        <w:rPr>
          <w:rFonts w:ascii="Roboto Light" w:hAnsi="Roboto Light"/>
        </w:rPr>
        <w:t>To endorse that any combination comprising PORT or CONT with NPFT should not be possible, although the use and role of NFPT should be better clarified and checked.</w:t>
      </w:r>
    </w:p>
    <w:p w14:paraId="1744CADC" w14:textId="77777777" w:rsidR="00E40C63" w:rsidRPr="00FE4BF2" w:rsidRDefault="00E40C63" w:rsidP="00E40C63">
      <w:pPr>
        <w:spacing w:before="100" w:beforeAutospacing="1" w:after="100" w:afterAutospacing="1" w:line="240" w:lineRule="auto"/>
        <w:rPr>
          <w:rFonts w:ascii="Roboto Light" w:hAnsi="Roboto Light"/>
        </w:rPr>
      </w:pPr>
      <w:r w:rsidRPr="00FE4BF2">
        <w:rPr>
          <w:rFonts w:ascii="Roboto Light" w:hAnsi="Roboto Light"/>
        </w:rPr>
        <w:t xml:space="preserve">To reiterate the impartiality of the LRGS and SDIV flags in the context of whether the trade is either addressable or non-addressable. </w:t>
      </w:r>
    </w:p>
    <w:p w14:paraId="45271E08" w14:textId="77777777" w:rsidR="00E40C63" w:rsidRPr="00FE4BF2" w:rsidRDefault="00E40C63" w:rsidP="00E40C63">
      <w:pPr>
        <w:spacing w:before="100" w:beforeAutospacing="1" w:after="100" w:afterAutospacing="1" w:line="240" w:lineRule="auto"/>
        <w:rPr>
          <w:rFonts w:ascii="Roboto Light" w:hAnsi="Roboto Light"/>
        </w:rPr>
      </w:pPr>
    </w:p>
    <w:p w14:paraId="358423F7" w14:textId="77777777" w:rsidR="003A33E5" w:rsidRDefault="003A33E5" w:rsidP="003A33E5">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35225B5D" w14:textId="77777777" w:rsidR="00F831B8" w:rsidRPr="00FE4BF2" w:rsidRDefault="00F831B8" w:rsidP="00F831B8">
      <w:pPr>
        <w:spacing w:before="100" w:beforeAutospacing="1" w:after="100" w:afterAutospacing="1" w:line="240" w:lineRule="auto"/>
        <w:rPr>
          <w:rFonts w:ascii="Roboto Light" w:hAnsi="Roboto Light"/>
        </w:rPr>
      </w:pPr>
      <w:permStart w:id="78797142" w:edGrp="everyone"/>
      <w:r w:rsidRPr="00FE4BF2">
        <w:rPr>
          <w:rFonts w:ascii="Roboto Light" w:hAnsi="Roboto Light"/>
        </w:rPr>
        <w:lastRenderedPageBreak/>
        <w:t xml:space="preserve">As brokers and trading venues, EVIA member firms do not operate Systematic Internalisers [“SIs”] and offer no comments herewith. </w:t>
      </w:r>
    </w:p>
    <w:p w14:paraId="0217CC0A" w14:textId="77777777" w:rsidR="00F831B8" w:rsidRPr="00FE4BF2" w:rsidRDefault="00F831B8" w:rsidP="00F831B8">
      <w:pPr>
        <w:spacing w:before="100" w:beforeAutospacing="1" w:after="100" w:afterAutospacing="1" w:line="240" w:lineRule="auto"/>
        <w:rPr>
          <w:rFonts w:ascii="Roboto Light" w:hAnsi="Roboto Light"/>
        </w:rPr>
      </w:pPr>
    </w:p>
    <w:p w14:paraId="5441D0E0" w14:textId="77777777" w:rsidR="003A33E5" w:rsidRDefault="003A33E5" w:rsidP="003A33E5">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2ECF06E8" w14:textId="77777777" w:rsidR="000D0FE3" w:rsidRPr="00FE4BF2" w:rsidRDefault="000D0FE3" w:rsidP="000D0FE3">
      <w:pPr>
        <w:spacing w:before="100" w:beforeAutospacing="1" w:after="100" w:afterAutospacing="1" w:line="240" w:lineRule="auto"/>
        <w:rPr>
          <w:rFonts w:ascii="Roboto Light" w:hAnsi="Roboto Light"/>
        </w:rPr>
      </w:pPr>
      <w:permStart w:id="1195269664" w:edGrp="everyone"/>
      <w:r w:rsidRPr="00FE4BF2">
        <w:rPr>
          <w:rFonts w:ascii="Roboto Light" w:hAnsi="Roboto Light"/>
        </w:rPr>
        <w:t>We support moves towards close alignment with revised FCA practices, including the incorporation of FIX Trading Community industry-led trade flags into regulation to ensure standardised methodology for RTS 1 transparency, in particular [”CLSE”] &amp; [“ExecMethod”].</w:t>
      </w:r>
    </w:p>
    <w:p w14:paraId="5748BABC" w14:textId="77777777" w:rsidR="000D0FE3" w:rsidRPr="00F1769F" w:rsidRDefault="000D0FE3" w:rsidP="000D0FE3">
      <w:pPr>
        <w:spacing w:before="100" w:beforeAutospacing="1" w:after="100" w:afterAutospacing="1" w:line="240" w:lineRule="auto"/>
        <w:rPr>
          <w:rFonts w:ascii="Roboto Light" w:hAnsi="Roboto Light"/>
        </w:rPr>
      </w:pPr>
    </w:p>
    <w:p w14:paraId="6CF38F88" w14:textId="77777777" w:rsidR="003A33E5" w:rsidRDefault="003A33E5" w:rsidP="003A33E5">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31"/>
      <w:footerReference w:type="default" r:id="rId3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D903" w14:textId="77777777" w:rsidR="005A618E" w:rsidRDefault="005A618E" w:rsidP="007E7997">
      <w:pPr>
        <w:spacing w:line="240" w:lineRule="auto"/>
      </w:pPr>
      <w:r>
        <w:separator/>
      </w:r>
    </w:p>
  </w:endnote>
  <w:endnote w:type="continuationSeparator" w:id="0">
    <w:p w14:paraId="5E897F3A" w14:textId="77777777" w:rsidR="005A618E" w:rsidRDefault="005A618E" w:rsidP="007E7997">
      <w:pPr>
        <w:spacing w:line="240" w:lineRule="auto"/>
      </w:pPr>
      <w:r>
        <w:continuationSeparator/>
      </w:r>
    </w:p>
  </w:endnote>
  <w:endnote w:type="continuationNotice" w:id="1">
    <w:p w14:paraId="236D075A" w14:textId="77777777" w:rsidR="005A618E" w:rsidRDefault="005A618E">
      <w:pPr>
        <w:spacing w:after="0" w:line="240" w:lineRule="auto"/>
      </w:pPr>
    </w:p>
  </w:endnote>
  <w:endnote w:id="2">
    <w:p w14:paraId="7FF064FE" w14:textId="77777777" w:rsidR="0057114E" w:rsidRPr="00FE4BF2" w:rsidRDefault="0057114E" w:rsidP="0057114E">
      <w:pPr>
        <w:pStyle w:val="EndnoteText"/>
      </w:pPr>
      <w:r w:rsidRPr="00FE4BF2">
        <w:rPr>
          <w:rStyle w:val="EndnoteReference"/>
        </w:rPr>
        <w:endnoteRef/>
      </w:r>
      <w:r w:rsidRPr="00FE4BF2">
        <w:t xml:space="preserve"> </w:t>
      </w:r>
      <w:r w:rsidRPr="00FE4BF2">
        <w:rPr>
          <w:b/>
          <w:bCs/>
        </w:rPr>
        <w:t xml:space="preserve">Absolute growth (AUM and flows), a massive increase in assets; </w:t>
      </w:r>
      <w:r w:rsidRPr="00FE4BF2">
        <w:rPr>
          <w:i/>
          <w:iCs/>
        </w:rPr>
        <w:t xml:space="preserve">This is one of the fastest structural shifts in modern asset management. (see </w:t>
      </w:r>
      <w:hyperlink r:id="rId1" w:history="1">
        <w:r w:rsidRPr="00FE4BF2">
          <w:rPr>
            <w:rStyle w:val="Hyperlink"/>
            <w:i/>
            <w:iCs/>
          </w:rPr>
          <w:t>Vanguard | Acquired</w:t>
        </w:r>
      </w:hyperlink>
      <w:r w:rsidRPr="00FE4BF2">
        <w:rPr>
          <w:i/>
          <w:iCs/>
        </w:rPr>
        <w:t xml:space="preserve"> deep-dive podcast)</w:t>
      </w:r>
    </w:p>
    <w:p w14:paraId="445F5F9B" w14:textId="77777777" w:rsidR="0057114E" w:rsidRPr="00FE4BF2" w:rsidRDefault="0057114E" w:rsidP="0057114E">
      <w:pPr>
        <w:pStyle w:val="EndnoteText"/>
        <w:numPr>
          <w:ilvl w:val="0"/>
          <w:numId w:val="20"/>
        </w:numPr>
        <w:jc w:val="left"/>
      </w:pPr>
      <w:r w:rsidRPr="00FE4BF2">
        <w:t xml:space="preserve">Global passive assets (ETFs + index funds) now exceed $20–22 trillion </w:t>
      </w:r>
      <w:hyperlink r:id="rId2" w:history="1">
        <w:r w:rsidRPr="00FE4BF2">
          <w:rPr>
            <w:rStyle w:val="Hyperlink"/>
          </w:rPr>
          <w:t>[citywire.com]</w:t>
        </w:r>
      </w:hyperlink>
    </w:p>
    <w:p w14:paraId="19E3968D" w14:textId="77777777" w:rsidR="0057114E" w:rsidRPr="00FE4BF2" w:rsidRDefault="0057114E" w:rsidP="0057114E">
      <w:pPr>
        <w:pStyle w:val="EndnoteText"/>
        <w:numPr>
          <w:ilvl w:val="0"/>
          <w:numId w:val="20"/>
        </w:numPr>
        <w:jc w:val="left"/>
      </w:pPr>
      <w:r w:rsidRPr="00FE4BF2">
        <w:t xml:space="preserve">Over the past decade, passive funds have attracted ~$9–9.5 trillion of net inflows globally </w:t>
      </w:r>
      <w:hyperlink r:id="rId3" w:history="1">
        <w:r w:rsidRPr="00FE4BF2">
          <w:rPr>
            <w:rStyle w:val="Hyperlink"/>
          </w:rPr>
          <w:t>[pwlcapital.com]</w:t>
        </w:r>
      </w:hyperlink>
    </w:p>
    <w:p w14:paraId="4B135F83" w14:textId="77777777" w:rsidR="0057114E" w:rsidRPr="00FE4BF2" w:rsidRDefault="0057114E" w:rsidP="0057114E">
      <w:pPr>
        <w:pStyle w:val="EndnoteText"/>
        <w:numPr>
          <w:ilvl w:val="0"/>
          <w:numId w:val="20"/>
        </w:numPr>
        <w:jc w:val="left"/>
      </w:pPr>
      <w:r w:rsidRPr="00FE4BF2">
        <w:t xml:space="preserve">Passive AUM has expanded roughly 4x over the last 10–15 years in key markets like the US </w:t>
      </w:r>
      <w:hyperlink r:id="rId4" w:history="1">
        <w:r w:rsidRPr="00FE4BF2">
          <w:rPr>
            <w:rStyle w:val="Hyperlink"/>
          </w:rPr>
          <w:t>[dspim.com]</w:t>
        </w:r>
      </w:hyperlink>
    </w:p>
    <w:p w14:paraId="4143F896"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Strong and persistent inflows</w:t>
      </w:r>
    </w:p>
    <w:p w14:paraId="67A45DB8" w14:textId="77777777" w:rsidR="0057114E" w:rsidRPr="00FE4BF2" w:rsidRDefault="0057114E" w:rsidP="0057114E">
      <w:pPr>
        <w:pStyle w:val="EndnoteText"/>
        <w:numPr>
          <w:ilvl w:val="0"/>
          <w:numId w:val="21"/>
        </w:numPr>
        <w:jc w:val="left"/>
      </w:pPr>
      <w:r w:rsidRPr="00FE4BF2">
        <w:t xml:space="preserve">2024 alone saw ~$1.4 trillion of net inflows into passive funds globally </w:t>
      </w:r>
      <w:hyperlink r:id="rId5" w:history="1">
        <w:r w:rsidRPr="00FE4BF2">
          <w:rPr>
            <w:rStyle w:val="Hyperlink"/>
          </w:rPr>
          <w:t>[citywire.com]</w:t>
        </w:r>
      </w:hyperlink>
    </w:p>
    <w:p w14:paraId="27AC43C5" w14:textId="77777777" w:rsidR="0057114E" w:rsidRPr="00FE4BF2" w:rsidRDefault="0057114E" w:rsidP="0057114E">
      <w:pPr>
        <w:pStyle w:val="EndnoteText"/>
        <w:numPr>
          <w:ilvl w:val="0"/>
          <w:numId w:val="21"/>
        </w:numPr>
        <w:jc w:val="left"/>
      </w:pPr>
      <w:r w:rsidRPr="00FE4BF2">
        <w:t xml:space="preserve">Over recent periods, passive funds consistently: </w:t>
      </w:r>
    </w:p>
    <w:p w14:paraId="16B0B3F0" w14:textId="77777777" w:rsidR="0057114E" w:rsidRPr="00FE4BF2" w:rsidRDefault="0057114E" w:rsidP="0057114E">
      <w:pPr>
        <w:pStyle w:val="EndnoteText"/>
        <w:numPr>
          <w:ilvl w:val="1"/>
          <w:numId w:val="21"/>
        </w:numPr>
        <w:jc w:val="left"/>
      </w:pPr>
      <w:r w:rsidRPr="00FE4BF2">
        <w:t>receive large positive inflows, while</w:t>
      </w:r>
    </w:p>
    <w:p w14:paraId="13F3A9B9" w14:textId="77777777" w:rsidR="0057114E" w:rsidRPr="00FE4BF2" w:rsidRDefault="0057114E" w:rsidP="0057114E">
      <w:pPr>
        <w:pStyle w:val="EndnoteText"/>
        <w:numPr>
          <w:ilvl w:val="1"/>
          <w:numId w:val="21"/>
        </w:numPr>
        <w:jc w:val="left"/>
      </w:pPr>
      <w:r w:rsidRPr="00FE4BF2">
        <w:t xml:space="preserve">active funds often experience net outflows </w:t>
      </w:r>
      <w:hyperlink r:id="rId6" w:history="1">
        <w:r w:rsidRPr="00FE4BF2">
          <w:rPr>
            <w:rStyle w:val="Hyperlink"/>
          </w:rPr>
          <w:t>[ftportfolios.com]</w:t>
        </w:r>
      </w:hyperlink>
    </w:p>
    <w:p w14:paraId="05C2E624"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Equity dominance</w:t>
      </w:r>
    </w:p>
    <w:p w14:paraId="2103B4F1" w14:textId="77777777" w:rsidR="0057114E" w:rsidRPr="00FE4BF2" w:rsidRDefault="0057114E" w:rsidP="0057114E">
      <w:pPr>
        <w:pStyle w:val="EndnoteText"/>
        <w:numPr>
          <w:ilvl w:val="0"/>
          <w:numId w:val="22"/>
        </w:numPr>
        <w:jc w:val="left"/>
      </w:pPr>
      <w:r w:rsidRPr="00FE4BF2">
        <w:t xml:space="preserve">A large majority of passive assets are equity-focused </w:t>
      </w:r>
    </w:p>
    <w:p w14:paraId="26414E6E" w14:textId="77777777" w:rsidR="0057114E" w:rsidRPr="00FE4BF2" w:rsidRDefault="0057114E" w:rsidP="0057114E">
      <w:pPr>
        <w:pStyle w:val="EndnoteText"/>
        <w:numPr>
          <w:ilvl w:val="1"/>
          <w:numId w:val="22"/>
        </w:numPr>
        <w:jc w:val="left"/>
      </w:pPr>
      <w:r w:rsidRPr="00FE4BF2">
        <w:t xml:space="preserve">e.g. ~57% of passive AUM tracks global and US equity indices </w:t>
      </w:r>
      <w:hyperlink r:id="rId7" w:history="1">
        <w:r w:rsidRPr="00FE4BF2">
          <w:rPr>
            <w:rStyle w:val="Hyperlink"/>
          </w:rPr>
          <w:t>[citywire.com]</w:t>
        </w:r>
      </w:hyperlink>
    </w:p>
    <w:p w14:paraId="326A9360" w14:textId="77777777" w:rsidR="0057114E" w:rsidRPr="00FE4BF2" w:rsidRDefault="0057114E" w:rsidP="0057114E">
      <w:pPr>
        <w:pStyle w:val="EndnoteText"/>
        <w:numPr>
          <w:ilvl w:val="0"/>
          <w:numId w:val="22"/>
        </w:numPr>
        <w:jc w:val="left"/>
      </w:pPr>
      <w:r w:rsidRPr="00FE4BF2">
        <w:t>This means the rise of passive is fundamentally a global equities phenomenon, not a fixed</w:t>
      </w:r>
      <w:r w:rsidRPr="00FE4BF2">
        <w:noBreakHyphen/>
        <w:t>income story.</w:t>
      </w:r>
    </w:p>
    <w:p w14:paraId="3DA4934E" w14:textId="77777777" w:rsidR="0057114E" w:rsidRPr="00FE4BF2" w:rsidRDefault="0057114E" w:rsidP="0057114E">
      <w:pPr>
        <w:pStyle w:val="EndnoteText"/>
        <w:rPr>
          <w:b/>
          <w:bCs/>
        </w:rPr>
      </w:pPr>
      <w:r w:rsidRPr="00FE4BF2">
        <w:rPr>
          <w:b/>
          <w:bCs/>
        </w:rPr>
        <w:t>2) Relative growth (market share vs active)</w:t>
      </w:r>
    </w:p>
    <w:p w14:paraId="6DB3F179" w14:textId="77777777" w:rsidR="0057114E" w:rsidRPr="00FE4BF2" w:rsidRDefault="0057114E" w:rsidP="0057114E">
      <w:pPr>
        <w:pStyle w:val="EndnoteText"/>
      </w:pPr>
      <w:r w:rsidRPr="00FE4BF2">
        <w:rPr>
          <w:rFonts w:ascii="Segoe UI Emoji" w:hAnsi="Segoe UI Emoji" w:cs="Segoe UI Emoji"/>
          <w:b/>
          <w:bCs/>
        </w:rPr>
        <w:t>🌍</w:t>
      </w:r>
      <w:r w:rsidRPr="00FE4BF2">
        <w:rPr>
          <w:b/>
          <w:bCs/>
        </w:rPr>
        <w:t xml:space="preserve"> Global level; </w:t>
      </w:r>
      <w:r w:rsidRPr="00FE4BF2">
        <w:rPr>
          <w:rFonts w:ascii="Segoe UI Emoji" w:hAnsi="Segoe UI Emoji" w:cs="Segoe UI Emoji"/>
        </w:rPr>
        <w:t>👉</w:t>
      </w:r>
      <w:r w:rsidRPr="00FE4BF2">
        <w:t xml:space="preserve"> A dramatic increase from: ~23–25% a decade ago </w:t>
      </w:r>
      <w:hyperlink r:id="rId8" w:history="1">
        <w:r w:rsidRPr="00FE4BF2">
          <w:rPr>
            <w:rStyle w:val="Hyperlink"/>
          </w:rPr>
          <w:t>[pwlcapital.com]</w:t>
        </w:r>
      </w:hyperlink>
      <w:r w:rsidRPr="00FE4BF2">
        <w:t xml:space="preserve">,  </w:t>
      </w:r>
    </w:p>
    <w:p w14:paraId="2B439C81" w14:textId="77777777" w:rsidR="0057114E" w:rsidRPr="00FE4BF2" w:rsidRDefault="0057114E" w:rsidP="0057114E">
      <w:pPr>
        <w:pStyle w:val="EndnoteText"/>
        <w:numPr>
          <w:ilvl w:val="0"/>
          <w:numId w:val="23"/>
        </w:numPr>
        <w:jc w:val="left"/>
      </w:pPr>
      <w:r w:rsidRPr="00FE4BF2">
        <w:t xml:space="preserve">Passive share of global fund assets has risen to roughly ~43–44% of global mutual fund + ETF AUM (2024–2025) </w:t>
      </w:r>
      <w:hyperlink r:id="rId9" w:history="1">
        <w:r w:rsidRPr="00FE4BF2">
          <w:rPr>
            <w:rStyle w:val="Hyperlink"/>
          </w:rPr>
          <w:t>[pwlcapital.com]</w:t>
        </w:r>
      </w:hyperlink>
      <w:r w:rsidRPr="00FE4BF2">
        <w:t>,</w:t>
      </w:r>
    </w:p>
    <w:p w14:paraId="5BD7C9EB" w14:textId="77777777" w:rsidR="0057114E" w:rsidRPr="00FE4BF2" w:rsidRDefault="0057114E" w:rsidP="0057114E">
      <w:pPr>
        <w:pStyle w:val="EndnoteText"/>
        <w:numPr>
          <w:ilvl w:val="0"/>
          <w:numId w:val="23"/>
        </w:numPr>
        <w:jc w:val="left"/>
      </w:pPr>
      <w:r w:rsidRPr="00FE4BF2">
        <w:t xml:space="preserve">Passive now accounts for ~39% of total global AUM (including institutional assets) </w:t>
      </w:r>
    </w:p>
    <w:p w14:paraId="006A1A09"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United States (most advanced market);</w:t>
      </w:r>
      <w:r w:rsidRPr="00FE4BF2">
        <w:rPr>
          <w:i/>
          <w:iCs/>
        </w:rPr>
        <w:t xml:space="preserve"> The US is the clearest example of structural dominance.</w:t>
      </w:r>
    </w:p>
    <w:p w14:paraId="017580B3" w14:textId="77777777" w:rsidR="0057114E" w:rsidRPr="00FE4BF2" w:rsidRDefault="0057114E" w:rsidP="0057114E">
      <w:pPr>
        <w:pStyle w:val="EndnoteText"/>
        <w:numPr>
          <w:ilvl w:val="0"/>
          <w:numId w:val="25"/>
        </w:numPr>
        <w:jc w:val="left"/>
      </w:pPr>
      <w:r w:rsidRPr="00FE4BF2">
        <w:t xml:space="preserve">Passive has overtaken active in AUM ~53–55% market share by 2025 </w:t>
      </w:r>
      <w:hyperlink r:id="rId10" w:history="1">
        <w:r w:rsidRPr="00FE4BF2">
          <w:rPr>
            <w:rStyle w:val="Hyperlink"/>
          </w:rPr>
          <w:t>[pwlcapital.com]</w:t>
        </w:r>
      </w:hyperlink>
    </w:p>
    <w:p w14:paraId="13D6F3B3" w14:textId="77777777" w:rsidR="0057114E" w:rsidRPr="00FE4BF2" w:rsidRDefault="0057114E" w:rsidP="0057114E">
      <w:pPr>
        <w:pStyle w:val="EndnoteText"/>
        <w:numPr>
          <w:ilvl w:val="0"/>
          <w:numId w:val="25"/>
        </w:numPr>
        <w:jc w:val="left"/>
      </w:pPr>
      <w:r w:rsidRPr="00FE4BF2">
        <w:t xml:space="preserve">Passive now constitutes &gt;50% of US equity fund assets and roughly one-third of the underlying US equity market itself </w:t>
      </w:r>
      <w:hyperlink r:id="rId11" w:history="1">
        <w:r w:rsidRPr="00FE4BF2">
          <w:rPr>
            <w:rStyle w:val="Hyperlink"/>
          </w:rPr>
          <w:t>[pwlcapital.com]</w:t>
        </w:r>
      </w:hyperlink>
    </w:p>
    <w:p w14:paraId="384FE07F"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Europe (lagging but converging); </w:t>
      </w:r>
      <w:r w:rsidRPr="00FE4BF2">
        <w:rPr>
          <w:i/>
          <w:iCs/>
        </w:rPr>
        <w:t>Growth continues via strong net inflows into passive products.</w:t>
      </w:r>
    </w:p>
    <w:p w14:paraId="6B6437BF" w14:textId="77777777" w:rsidR="0057114E" w:rsidRPr="00FE4BF2" w:rsidRDefault="0057114E" w:rsidP="0057114E">
      <w:pPr>
        <w:pStyle w:val="EndnoteText"/>
        <w:numPr>
          <w:ilvl w:val="0"/>
          <w:numId w:val="26"/>
        </w:numPr>
        <w:jc w:val="left"/>
      </w:pPr>
      <w:r w:rsidRPr="00FE4BF2">
        <w:t>Passive share has grown from ~14% (2015) → ~30% (2024) in non</w:t>
      </w:r>
      <w:r w:rsidRPr="00FE4BF2">
        <w:noBreakHyphen/>
        <w:t xml:space="preserve">North American markets </w:t>
      </w:r>
      <w:hyperlink r:id="rId12" w:history="1">
        <w:r w:rsidRPr="00FE4BF2">
          <w:rPr>
            <w:rStyle w:val="Hyperlink"/>
          </w:rPr>
          <w:t>[pwlcapital.com]</w:t>
        </w:r>
      </w:hyperlink>
    </w:p>
    <w:p w14:paraId="7EBB872E" w14:textId="77777777" w:rsidR="0057114E" w:rsidRPr="00FE4BF2" w:rsidRDefault="0057114E" w:rsidP="0057114E">
      <w:pPr>
        <w:pStyle w:val="EndnoteText"/>
        <w:numPr>
          <w:ilvl w:val="0"/>
          <w:numId w:val="26"/>
        </w:numPr>
        <w:jc w:val="left"/>
      </w:pPr>
      <w:r w:rsidRPr="00FE4BF2">
        <w:t xml:space="preserve">In Europe specifically ~30% of fund assets are passive but active still dominates AUM </w:t>
      </w:r>
      <w:hyperlink r:id="rId13" w:history="1">
        <w:r w:rsidRPr="00FE4BF2">
          <w:rPr>
            <w:rStyle w:val="Hyperlink"/>
          </w:rPr>
          <w:t>[morningstar.com]</w:t>
        </w:r>
      </w:hyperlink>
    </w:p>
    <w:p w14:paraId="7B3DE605"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Other regions; </w:t>
      </w:r>
      <w:r w:rsidRPr="00FE4BF2">
        <w:rPr>
          <w:i/>
          <w:iCs/>
        </w:rPr>
        <w:t>The shift is now clearly global, not US-specific.</w:t>
      </w:r>
    </w:p>
    <w:p w14:paraId="10AE46D4" w14:textId="77777777" w:rsidR="0057114E" w:rsidRPr="00FE4BF2" w:rsidRDefault="0057114E" w:rsidP="0057114E">
      <w:pPr>
        <w:pStyle w:val="EndnoteText"/>
        <w:numPr>
          <w:ilvl w:val="0"/>
          <w:numId w:val="27"/>
        </w:numPr>
        <w:jc w:val="left"/>
      </w:pPr>
      <w:r w:rsidRPr="00FE4BF2">
        <w:t xml:space="preserve">Similar trends are visible globally: </w:t>
      </w:r>
    </w:p>
    <w:p w14:paraId="08DFF3FB" w14:textId="77777777" w:rsidR="0057114E" w:rsidRPr="00FE4BF2" w:rsidRDefault="0057114E" w:rsidP="0057114E">
      <w:pPr>
        <w:pStyle w:val="EndnoteText"/>
        <w:numPr>
          <w:ilvl w:val="1"/>
          <w:numId w:val="27"/>
        </w:numPr>
        <w:jc w:val="left"/>
      </w:pPr>
      <w:r w:rsidRPr="00FE4BF2">
        <w:t xml:space="preserve">China: passive AUM has overtaken active (2024) </w:t>
      </w:r>
      <w:hyperlink r:id="rId14" w:history="1">
        <w:r w:rsidRPr="00FE4BF2">
          <w:rPr>
            <w:rStyle w:val="Hyperlink"/>
          </w:rPr>
          <w:t>[cafemutual.com]</w:t>
        </w:r>
      </w:hyperlink>
    </w:p>
    <w:p w14:paraId="129FAA2B" w14:textId="77777777" w:rsidR="0057114E" w:rsidRPr="00FE4BF2" w:rsidRDefault="0057114E" w:rsidP="0057114E">
      <w:pPr>
        <w:pStyle w:val="EndnoteText"/>
        <w:numPr>
          <w:ilvl w:val="1"/>
          <w:numId w:val="27"/>
        </w:numPr>
        <w:jc w:val="left"/>
      </w:pPr>
      <w:r w:rsidRPr="00FE4BF2">
        <w:t xml:space="preserve">Canada: passive ~20%+ and rising </w:t>
      </w:r>
      <w:hyperlink r:id="rId15" w:history="1">
        <w:r w:rsidRPr="00FE4BF2">
          <w:rPr>
            <w:rStyle w:val="Hyperlink"/>
          </w:rPr>
          <w:t>[pwlcapital.com]</w:t>
        </w:r>
      </w:hyperlink>
    </w:p>
    <w:p w14:paraId="12500020" w14:textId="77777777" w:rsidR="0057114E" w:rsidRPr="00FE4BF2" w:rsidRDefault="0057114E" w:rsidP="0057114E">
      <w:pPr>
        <w:pStyle w:val="EndnoteText"/>
      </w:pPr>
      <w:r w:rsidRPr="00FE4BF2">
        <w:rPr>
          <w:b/>
          <w:bCs/>
        </w:rPr>
        <w:t xml:space="preserve">3) Equity market penetration (deeper perspective); </w:t>
      </w:r>
      <w:r w:rsidRPr="00FE4BF2">
        <w:t>Beyond fund AUM:</w:t>
      </w:r>
    </w:p>
    <w:p w14:paraId="22219090" w14:textId="77777777" w:rsidR="0057114E" w:rsidRPr="00FE4BF2" w:rsidRDefault="0057114E" w:rsidP="0057114E">
      <w:pPr>
        <w:pStyle w:val="EndnoteText"/>
        <w:numPr>
          <w:ilvl w:val="0"/>
          <w:numId w:val="28"/>
        </w:numPr>
        <w:jc w:val="left"/>
      </w:pPr>
      <w:r w:rsidRPr="00FE4BF2">
        <w:t xml:space="preserve">Passive strategies now account for: </w:t>
      </w:r>
    </w:p>
    <w:p w14:paraId="7CB39BFB" w14:textId="77777777" w:rsidR="0057114E" w:rsidRPr="00FE4BF2" w:rsidRDefault="0057114E" w:rsidP="0057114E">
      <w:pPr>
        <w:pStyle w:val="EndnoteText"/>
        <w:numPr>
          <w:ilvl w:val="1"/>
          <w:numId w:val="28"/>
        </w:numPr>
        <w:jc w:val="left"/>
      </w:pPr>
      <w:r w:rsidRPr="00FE4BF2">
        <w:t xml:space="preserve">≈50% of equity fund investing globally </w:t>
      </w:r>
      <w:hyperlink r:id="rId16" w:history="1">
        <w:r w:rsidRPr="00FE4BF2">
          <w:rPr>
            <w:rStyle w:val="Hyperlink"/>
          </w:rPr>
          <w:t>[apolloacademy.com]</w:t>
        </w:r>
      </w:hyperlink>
    </w:p>
    <w:p w14:paraId="1173EAD1" w14:textId="77777777" w:rsidR="0057114E" w:rsidRPr="00FE4BF2" w:rsidRDefault="0057114E" w:rsidP="0057114E">
      <w:pPr>
        <w:pStyle w:val="EndnoteText"/>
        <w:numPr>
          <w:ilvl w:val="0"/>
          <w:numId w:val="28"/>
        </w:numPr>
        <w:jc w:val="left"/>
      </w:pPr>
      <w:r w:rsidRPr="00FE4BF2">
        <w:t xml:space="preserve">ETFs alone represent: </w:t>
      </w:r>
    </w:p>
    <w:p w14:paraId="27040681" w14:textId="77777777" w:rsidR="0057114E" w:rsidRPr="00FE4BF2" w:rsidRDefault="0057114E" w:rsidP="0057114E">
      <w:pPr>
        <w:pStyle w:val="EndnoteText"/>
        <w:numPr>
          <w:ilvl w:val="1"/>
          <w:numId w:val="28"/>
        </w:numPr>
        <w:jc w:val="left"/>
      </w:pPr>
      <w:r w:rsidRPr="00FE4BF2">
        <w:t xml:space="preserve">~26–30% of daily US equity trading volume </w:t>
      </w:r>
      <w:hyperlink r:id="rId17" w:history="1">
        <w:r w:rsidRPr="00FE4BF2">
          <w:rPr>
            <w:rStyle w:val="Hyperlink"/>
          </w:rPr>
          <w:t>[investopedia.com]</w:t>
        </w:r>
      </w:hyperlink>
    </w:p>
    <w:p w14:paraId="607A4DA4" w14:textId="77777777" w:rsidR="0057114E" w:rsidRPr="00FE4BF2" w:rsidRDefault="0057114E" w:rsidP="0057114E">
      <w:pPr>
        <w:pStyle w:val="EndnoteText"/>
        <w:numPr>
          <w:ilvl w:val="0"/>
          <w:numId w:val="28"/>
        </w:numPr>
        <w:jc w:val="left"/>
      </w:pPr>
      <w:r w:rsidRPr="00FE4BF2">
        <w:t>This shows passive is not just large—it is structurally embedded in market functioning.</w:t>
      </w:r>
    </w:p>
    <w:p w14:paraId="4F01710E" w14:textId="77777777" w:rsidR="0057114E" w:rsidRPr="00FE4BF2" w:rsidRDefault="0057114E" w:rsidP="0057114E">
      <w:pPr>
        <w:pStyle w:val="EndnoteText"/>
      </w:pPr>
      <w:r w:rsidRPr="00FE4BF2">
        <w:rPr>
          <w:b/>
          <w:bCs/>
        </w:rPr>
        <w:t xml:space="preserve">Key drivers of growth; </w:t>
      </w:r>
      <w:r w:rsidRPr="00FE4BF2">
        <w:t>The expansion is driven by structural forces:</w:t>
      </w:r>
    </w:p>
    <w:p w14:paraId="055B162F" w14:textId="77777777" w:rsidR="0057114E" w:rsidRPr="00FE4BF2" w:rsidRDefault="0057114E" w:rsidP="0057114E">
      <w:pPr>
        <w:pStyle w:val="EndnoteText"/>
        <w:numPr>
          <w:ilvl w:val="0"/>
          <w:numId w:val="34"/>
        </w:numPr>
        <w:jc w:val="left"/>
      </w:pPr>
      <w:r w:rsidRPr="00FE4BF2">
        <w:rPr>
          <w:b/>
          <w:bCs/>
        </w:rPr>
        <w:t xml:space="preserve">Cost advantage; </w:t>
      </w:r>
      <w:r w:rsidRPr="00FE4BF2">
        <w:t>Passive fees are far lower than active → strong investor migration</w:t>
      </w:r>
    </w:p>
    <w:p w14:paraId="126EB25D" w14:textId="77777777" w:rsidR="0057114E" w:rsidRPr="00FE4BF2" w:rsidRDefault="0057114E" w:rsidP="0057114E">
      <w:pPr>
        <w:pStyle w:val="EndnoteText"/>
        <w:numPr>
          <w:ilvl w:val="0"/>
          <w:numId w:val="34"/>
        </w:numPr>
        <w:jc w:val="left"/>
      </w:pPr>
      <w:r w:rsidRPr="00FE4BF2">
        <w:rPr>
          <w:b/>
          <w:bCs/>
        </w:rPr>
        <w:t xml:space="preserve">Persistent underperformance of active; </w:t>
      </w:r>
      <w:r w:rsidRPr="00FE4BF2">
        <w:t xml:space="preserve">Only ~20–30% of active managers outperform over long horizons </w:t>
      </w:r>
      <w:hyperlink r:id="rId18" w:history="1">
        <w:r w:rsidRPr="00FE4BF2">
          <w:rPr>
            <w:rStyle w:val="Hyperlink"/>
          </w:rPr>
          <w:t>[morningstar.com]</w:t>
        </w:r>
      </w:hyperlink>
    </w:p>
    <w:p w14:paraId="3BBD507C" w14:textId="77777777" w:rsidR="0057114E" w:rsidRPr="00FE4BF2" w:rsidRDefault="0057114E" w:rsidP="0057114E">
      <w:pPr>
        <w:pStyle w:val="EndnoteText"/>
        <w:numPr>
          <w:ilvl w:val="0"/>
          <w:numId w:val="34"/>
        </w:numPr>
        <w:jc w:val="left"/>
      </w:pPr>
      <w:r w:rsidRPr="00FE4BF2">
        <w:rPr>
          <w:b/>
          <w:bCs/>
        </w:rPr>
        <w:t xml:space="preserve">Product innovation; </w:t>
      </w:r>
      <w:r w:rsidRPr="00FE4BF2">
        <w:t xml:space="preserve">Explosion of ETFs (now 12,000+ globally) </w:t>
      </w:r>
      <w:hyperlink r:id="rId19" w:history="1">
        <w:r w:rsidRPr="00FE4BF2">
          <w:rPr>
            <w:rStyle w:val="Hyperlink"/>
          </w:rPr>
          <w:t>[investopedia.com]</w:t>
        </w:r>
      </w:hyperlink>
    </w:p>
    <w:p w14:paraId="68C56F73" w14:textId="77777777" w:rsidR="0057114E" w:rsidRPr="00FE4BF2" w:rsidRDefault="0057114E" w:rsidP="0057114E">
      <w:pPr>
        <w:pStyle w:val="EndnoteText"/>
        <w:numPr>
          <w:ilvl w:val="0"/>
          <w:numId w:val="34"/>
        </w:numPr>
        <w:jc w:val="left"/>
        <w:rPr>
          <w:b/>
          <w:bCs/>
        </w:rPr>
      </w:pPr>
      <w:r w:rsidRPr="00FE4BF2">
        <w:rPr>
          <w:b/>
          <w:bCs/>
        </w:rPr>
        <w:t xml:space="preserve">Institutional adoption; </w:t>
      </w:r>
      <w:r w:rsidRPr="00FE4BF2">
        <w:t xml:space="preserve">Pension funds and DC schemes have increasingly shifted to:  </w:t>
      </w:r>
      <w:r w:rsidRPr="00FE4BF2">
        <w:rPr>
          <w:i/>
          <w:iCs/>
        </w:rPr>
        <w:t>index-based allocation frameworks</w:t>
      </w:r>
    </w:p>
    <w:p w14:paraId="795176C6" w14:textId="77777777" w:rsidR="0057114E" w:rsidRPr="00FE4BF2" w:rsidRDefault="0057114E" w:rsidP="0057114E">
      <w:pPr>
        <w:pStyle w:val="EndnoteText"/>
      </w:pPr>
    </w:p>
  </w:endnote>
  <w:endnote w:id="3">
    <w:p w14:paraId="45468EA1" w14:textId="77777777" w:rsidR="0057114E" w:rsidRPr="00FE4BF2" w:rsidRDefault="0057114E" w:rsidP="0057114E">
      <w:pPr>
        <w:pStyle w:val="EndnoteText"/>
      </w:pPr>
      <w:r w:rsidRPr="00FE4BF2">
        <w:rPr>
          <w:rStyle w:val="EndnoteReference"/>
        </w:rPr>
        <w:endnoteRef/>
      </w:r>
      <w:r w:rsidRPr="00FE4BF2">
        <w:t xml:space="preserve"> </w:t>
      </w:r>
      <w:r w:rsidRPr="00FE4BF2">
        <w:rPr>
          <w:b/>
          <w:bCs/>
        </w:rPr>
        <w:t>Absolute growth (AUM and flows)</w:t>
      </w:r>
    </w:p>
    <w:p w14:paraId="3EDA8457"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Massive increase in assets</w:t>
      </w:r>
    </w:p>
    <w:p w14:paraId="6013CCE1" w14:textId="77777777" w:rsidR="0057114E" w:rsidRPr="00FE4BF2" w:rsidRDefault="0057114E" w:rsidP="0057114E">
      <w:pPr>
        <w:pStyle w:val="EndnoteText"/>
        <w:numPr>
          <w:ilvl w:val="0"/>
          <w:numId w:val="20"/>
        </w:numPr>
        <w:jc w:val="left"/>
      </w:pPr>
      <w:r w:rsidRPr="00FE4BF2">
        <w:t xml:space="preserve">Global passive assets (ETFs + index funds) now exceed </w:t>
      </w:r>
      <w:r w:rsidRPr="00FE4BF2">
        <w:rPr>
          <w:b/>
          <w:bCs/>
        </w:rPr>
        <w:t>$20–22 trillion</w:t>
      </w:r>
      <w:r w:rsidRPr="00FE4BF2">
        <w:t xml:space="preserve"> </w:t>
      </w:r>
      <w:hyperlink r:id="rId20" w:history="1">
        <w:r w:rsidRPr="00FE4BF2">
          <w:rPr>
            <w:rStyle w:val="Hyperlink"/>
          </w:rPr>
          <w:t>[citywire.com]</w:t>
        </w:r>
      </w:hyperlink>
    </w:p>
    <w:p w14:paraId="72A7B451" w14:textId="77777777" w:rsidR="0057114E" w:rsidRPr="00FE4BF2" w:rsidRDefault="0057114E" w:rsidP="0057114E">
      <w:pPr>
        <w:pStyle w:val="EndnoteText"/>
        <w:numPr>
          <w:ilvl w:val="0"/>
          <w:numId w:val="20"/>
        </w:numPr>
        <w:jc w:val="left"/>
      </w:pPr>
      <w:r w:rsidRPr="00FE4BF2">
        <w:t xml:space="preserve">Over the past decade, passive funds have attracted </w:t>
      </w:r>
      <w:r w:rsidRPr="00FE4BF2">
        <w:rPr>
          <w:b/>
          <w:bCs/>
        </w:rPr>
        <w:t>~$9–9.5 trillion of net inflows globally</w:t>
      </w:r>
      <w:r w:rsidRPr="00FE4BF2">
        <w:t xml:space="preserve"> </w:t>
      </w:r>
      <w:hyperlink r:id="rId21" w:history="1">
        <w:r w:rsidRPr="00FE4BF2">
          <w:rPr>
            <w:rStyle w:val="Hyperlink"/>
          </w:rPr>
          <w:t>[pwlcapital.com]</w:t>
        </w:r>
      </w:hyperlink>
    </w:p>
    <w:p w14:paraId="26BD8CCD" w14:textId="77777777" w:rsidR="0057114E" w:rsidRPr="00FE4BF2" w:rsidRDefault="0057114E" w:rsidP="0057114E">
      <w:pPr>
        <w:pStyle w:val="EndnoteText"/>
        <w:numPr>
          <w:ilvl w:val="0"/>
          <w:numId w:val="20"/>
        </w:numPr>
        <w:jc w:val="left"/>
      </w:pPr>
      <w:r w:rsidRPr="00FE4BF2">
        <w:t xml:space="preserve">Passive AUM has expanded </w:t>
      </w:r>
      <w:r w:rsidRPr="00FE4BF2">
        <w:rPr>
          <w:b/>
          <w:bCs/>
        </w:rPr>
        <w:t>roughly 4x over the last 10–15 years</w:t>
      </w:r>
      <w:r w:rsidRPr="00FE4BF2">
        <w:t xml:space="preserve"> in key markets like the US </w:t>
      </w:r>
      <w:hyperlink r:id="rId22" w:history="1">
        <w:r w:rsidRPr="00FE4BF2">
          <w:rPr>
            <w:rStyle w:val="Hyperlink"/>
          </w:rPr>
          <w:t>[dspim.com]</w:t>
        </w:r>
      </w:hyperlink>
    </w:p>
    <w:p w14:paraId="50CF543C" w14:textId="77777777" w:rsidR="0057114E" w:rsidRPr="00FE4BF2" w:rsidRDefault="0057114E" w:rsidP="0057114E">
      <w:pPr>
        <w:pStyle w:val="EndnoteText"/>
      </w:pPr>
      <w:r w:rsidRPr="00FE4BF2">
        <w:rPr>
          <w:rFonts w:ascii="Segoe UI Emoji" w:hAnsi="Segoe UI Emoji" w:cs="Segoe UI Emoji"/>
        </w:rPr>
        <w:t>👉</w:t>
      </w:r>
      <w:r w:rsidRPr="00FE4BF2">
        <w:t xml:space="preserve"> This is one of the fastest structural shifts in modern asset management.</w:t>
      </w:r>
    </w:p>
    <w:p w14:paraId="3CDF71BE"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Strong and persistent inflows</w:t>
      </w:r>
    </w:p>
    <w:p w14:paraId="631B47BC" w14:textId="77777777" w:rsidR="0057114E" w:rsidRPr="00FE4BF2" w:rsidRDefault="0057114E" w:rsidP="0057114E">
      <w:pPr>
        <w:pStyle w:val="EndnoteText"/>
        <w:numPr>
          <w:ilvl w:val="0"/>
          <w:numId w:val="21"/>
        </w:numPr>
        <w:jc w:val="left"/>
      </w:pPr>
      <w:r w:rsidRPr="00FE4BF2">
        <w:t xml:space="preserve">2024 alone saw </w:t>
      </w:r>
      <w:r w:rsidRPr="00FE4BF2">
        <w:rPr>
          <w:b/>
          <w:bCs/>
        </w:rPr>
        <w:t>~$1.4 trillion of net inflows into passive funds globally</w:t>
      </w:r>
      <w:r w:rsidRPr="00FE4BF2">
        <w:t xml:space="preserve"> </w:t>
      </w:r>
      <w:hyperlink r:id="rId23" w:history="1">
        <w:r w:rsidRPr="00FE4BF2">
          <w:rPr>
            <w:rStyle w:val="Hyperlink"/>
          </w:rPr>
          <w:t>[citywire.com]</w:t>
        </w:r>
      </w:hyperlink>
    </w:p>
    <w:p w14:paraId="289BDC9A" w14:textId="77777777" w:rsidR="0057114E" w:rsidRPr="00FE4BF2" w:rsidRDefault="0057114E" w:rsidP="0057114E">
      <w:pPr>
        <w:pStyle w:val="EndnoteText"/>
        <w:numPr>
          <w:ilvl w:val="0"/>
          <w:numId w:val="21"/>
        </w:numPr>
        <w:jc w:val="left"/>
      </w:pPr>
      <w:r w:rsidRPr="00FE4BF2">
        <w:t xml:space="preserve">Over recent periods, passive funds consistently: </w:t>
      </w:r>
    </w:p>
    <w:p w14:paraId="7E6AC999" w14:textId="77777777" w:rsidR="0057114E" w:rsidRPr="00FE4BF2" w:rsidRDefault="0057114E" w:rsidP="0057114E">
      <w:pPr>
        <w:pStyle w:val="EndnoteText"/>
        <w:numPr>
          <w:ilvl w:val="1"/>
          <w:numId w:val="21"/>
        </w:numPr>
        <w:jc w:val="left"/>
      </w:pPr>
      <w:r w:rsidRPr="00FE4BF2">
        <w:t xml:space="preserve">receive </w:t>
      </w:r>
      <w:r w:rsidRPr="00FE4BF2">
        <w:rPr>
          <w:b/>
          <w:bCs/>
        </w:rPr>
        <w:t>large positive inflows</w:t>
      </w:r>
      <w:r w:rsidRPr="00FE4BF2">
        <w:t>, while</w:t>
      </w:r>
    </w:p>
    <w:p w14:paraId="61C4E1A0" w14:textId="77777777" w:rsidR="0057114E" w:rsidRPr="00FE4BF2" w:rsidRDefault="0057114E" w:rsidP="0057114E">
      <w:pPr>
        <w:pStyle w:val="EndnoteText"/>
        <w:numPr>
          <w:ilvl w:val="1"/>
          <w:numId w:val="21"/>
        </w:numPr>
        <w:jc w:val="left"/>
      </w:pPr>
      <w:r w:rsidRPr="00FE4BF2">
        <w:t xml:space="preserve">active funds often experience </w:t>
      </w:r>
      <w:r w:rsidRPr="00FE4BF2">
        <w:rPr>
          <w:b/>
          <w:bCs/>
        </w:rPr>
        <w:t>net outflows</w:t>
      </w:r>
      <w:r w:rsidRPr="00FE4BF2">
        <w:t xml:space="preserve"> </w:t>
      </w:r>
      <w:hyperlink r:id="rId24" w:history="1">
        <w:r w:rsidRPr="00FE4BF2">
          <w:rPr>
            <w:rStyle w:val="Hyperlink"/>
          </w:rPr>
          <w:t>[ftportfolios.com]</w:t>
        </w:r>
      </w:hyperlink>
    </w:p>
    <w:p w14:paraId="59109875"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Equity dominance</w:t>
      </w:r>
    </w:p>
    <w:p w14:paraId="6CB59878" w14:textId="77777777" w:rsidR="0057114E" w:rsidRPr="00FE4BF2" w:rsidRDefault="0057114E" w:rsidP="0057114E">
      <w:pPr>
        <w:pStyle w:val="EndnoteText"/>
        <w:numPr>
          <w:ilvl w:val="0"/>
          <w:numId w:val="22"/>
        </w:numPr>
        <w:jc w:val="left"/>
      </w:pPr>
      <w:r w:rsidRPr="00FE4BF2">
        <w:t xml:space="preserve">A large majority of passive assets are </w:t>
      </w:r>
      <w:r w:rsidRPr="00FE4BF2">
        <w:rPr>
          <w:b/>
          <w:bCs/>
        </w:rPr>
        <w:t>equity-focused</w:t>
      </w:r>
      <w:r w:rsidRPr="00FE4BF2">
        <w:t xml:space="preserve"> </w:t>
      </w:r>
    </w:p>
    <w:p w14:paraId="0DA716E1" w14:textId="77777777" w:rsidR="0057114E" w:rsidRPr="00FE4BF2" w:rsidRDefault="0057114E" w:rsidP="0057114E">
      <w:pPr>
        <w:pStyle w:val="EndnoteText"/>
        <w:numPr>
          <w:ilvl w:val="1"/>
          <w:numId w:val="22"/>
        </w:numPr>
        <w:jc w:val="left"/>
      </w:pPr>
      <w:r w:rsidRPr="00FE4BF2">
        <w:t xml:space="preserve">e.g. ~57% of passive AUM tracks global and US equity indices </w:t>
      </w:r>
      <w:hyperlink r:id="rId25" w:history="1">
        <w:r w:rsidRPr="00FE4BF2">
          <w:rPr>
            <w:rStyle w:val="Hyperlink"/>
          </w:rPr>
          <w:t>[citywire.com]</w:t>
        </w:r>
      </w:hyperlink>
    </w:p>
    <w:p w14:paraId="5E255CC6" w14:textId="77777777" w:rsidR="0057114E" w:rsidRPr="00FE4BF2" w:rsidRDefault="0057114E" w:rsidP="0057114E">
      <w:pPr>
        <w:pStyle w:val="EndnoteText"/>
      </w:pPr>
      <w:r w:rsidRPr="00FE4BF2">
        <w:rPr>
          <w:rFonts w:ascii="Segoe UI Emoji" w:hAnsi="Segoe UI Emoji" w:cs="Segoe UI Emoji"/>
        </w:rPr>
        <w:t>👉</w:t>
      </w:r>
      <w:r w:rsidRPr="00FE4BF2">
        <w:t xml:space="preserve"> This means the rise of passive is fundamentally a </w:t>
      </w:r>
      <w:r w:rsidRPr="00FE4BF2">
        <w:rPr>
          <w:b/>
          <w:bCs/>
        </w:rPr>
        <w:t>global equities phenomenon</w:t>
      </w:r>
      <w:r w:rsidRPr="00FE4BF2">
        <w:t>, not a fixed</w:t>
      </w:r>
      <w:r w:rsidRPr="00FE4BF2">
        <w:noBreakHyphen/>
        <w:t>income story.</w:t>
      </w:r>
    </w:p>
    <w:p w14:paraId="5A650A1E" w14:textId="77777777" w:rsidR="0057114E" w:rsidRPr="00FE4BF2" w:rsidRDefault="0057114E" w:rsidP="0057114E">
      <w:pPr>
        <w:pStyle w:val="EndnoteText"/>
        <w:rPr>
          <w:b/>
          <w:bCs/>
        </w:rPr>
      </w:pPr>
      <w:r w:rsidRPr="00FE4BF2">
        <w:rPr>
          <w:b/>
          <w:bCs/>
        </w:rPr>
        <w:t>2) Relative growth (market share vs active)</w:t>
      </w:r>
    </w:p>
    <w:p w14:paraId="71421A34"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Global level</w:t>
      </w:r>
    </w:p>
    <w:p w14:paraId="0FF44005" w14:textId="77777777" w:rsidR="0057114E" w:rsidRPr="00FE4BF2" w:rsidRDefault="0057114E" w:rsidP="0057114E">
      <w:pPr>
        <w:pStyle w:val="EndnoteText"/>
        <w:numPr>
          <w:ilvl w:val="0"/>
          <w:numId w:val="23"/>
        </w:numPr>
        <w:jc w:val="left"/>
      </w:pPr>
      <w:r w:rsidRPr="00FE4BF2">
        <w:t xml:space="preserve">Passive share of global fund assets has risen to roughly: </w:t>
      </w:r>
    </w:p>
    <w:p w14:paraId="2848AE80" w14:textId="77777777" w:rsidR="0057114E" w:rsidRPr="00FE4BF2" w:rsidRDefault="0057114E" w:rsidP="0057114E">
      <w:pPr>
        <w:pStyle w:val="EndnoteText"/>
        <w:numPr>
          <w:ilvl w:val="1"/>
          <w:numId w:val="23"/>
        </w:numPr>
        <w:jc w:val="left"/>
      </w:pPr>
      <w:r w:rsidRPr="00FE4BF2">
        <w:rPr>
          <w:b/>
          <w:bCs/>
        </w:rPr>
        <w:t>~43–44% of global mutual fund + ETF AUM (2024–2025)</w:t>
      </w:r>
      <w:r w:rsidRPr="00FE4BF2">
        <w:t xml:space="preserve"> </w:t>
      </w:r>
      <w:hyperlink r:id="rId26" w:history="1">
        <w:r w:rsidRPr="00FE4BF2">
          <w:rPr>
            <w:rStyle w:val="Hyperlink"/>
          </w:rPr>
          <w:t>[pwlcapital.com]</w:t>
        </w:r>
      </w:hyperlink>
      <w:r w:rsidRPr="00FE4BF2">
        <w:t xml:space="preserve">,  </w:t>
      </w:r>
    </w:p>
    <w:p w14:paraId="075B1E33" w14:textId="77777777" w:rsidR="0057114E" w:rsidRPr="00FE4BF2" w:rsidRDefault="0057114E" w:rsidP="0057114E">
      <w:pPr>
        <w:pStyle w:val="EndnoteText"/>
        <w:numPr>
          <w:ilvl w:val="0"/>
          <w:numId w:val="23"/>
        </w:numPr>
        <w:jc w:val="left"/>
      </w:pPr>
      <w:r w:rsidRPr="00FE4BF2">
        <w:t xml:space="preserve">Passive now accounts for </w:t>
      </w:r>
      <w:r w:rsidRPr="00FE4BF2">
        <w:rPr>
          <w:b/>
          <w:bCs/>
        </w:rPr>
        <w:t>~39% of total global AUM (including institutional assets)</w:t>
      </w:r>
      <w:r w:rsidRPr="00FE4BF2">
        <w:t xml:space="preserve"> </w:t>
      </w:r>
    </w:p>
    <w:p w14:paraId="4DA238C2" w14:textId="77777777" w:rsidR="0057114E" w:rsidRPr="00FE4BF2" w:rsidRDefault="0057114E" w:rsidP="0057114E">
      <w:pPr>
        <w:pStyle w:val="EndnoteText"/>
      </w:pPr>
      <w:r w:rsidRPr="00FE4BF2">
        <w:rPr>
          <w:rFonts w:ascii="Segoe UI Emoji" w:hAnsi="Segoe UI Emoji" w:cs="Segoe UI Emoji"/>
        </w:rPr>
        <w:t>👉</w:t>
      </w:r>
      <w:r w:rsidRPr="00FE4BF2">
        <w:t xml:space="preserve"> A dramatic increase from:</w:t>
      </w:r>
    </w:p>
    <w:p w14:paraId="63684716" w14:textId="77777777" w:rsidR="0057114E" w:rsidRPr="00FE4BF2" w:rsidRDefault="0057114E" w:rsidP="0057114E">
      <w:pPr>
        <w:pStyle w:val="EndnoteText"/>
        <w:numPr>
          <w:ilvl w:val="0"/>
          <w:numId w:val="24"/>
        </w:numPr>
        <w:jc w:val="left"/>
      </w:pPr>
      <w:r w:rsidRPr="00FE4BF2">
        <w:t xml:space="preserve">~23–25% a decade ago </w:t>
      </w:r>
      <w:hyperlink r:id="rId27" w:history="1">
        <w:r w:rsidRPr="00FE4BF2">
          <w:rPr>
            <w:rStyle w:val="Hyperlink"/>
          </w:rPr>
          <w:t>[pwlcapital.com]</w:t>
        </w:r>
      </w:hyperlink>
      <w:r w:rsidRPr="00FE4BF2">
        <w:t xml:space="preserve">, </w:t>
      </w:r>
    </w:p>
    <w:p w14:paraId="327C0450"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United States (most advanced market)</w:t>
      </w:r>
    </w:p>
    <w:p w14:paraId="5ABE4B6D" w14:textId="77777777" w:rsidR="0057114E" w:rsidRPr="00FE4BF2" w:rsidRDefault="0057114E" w:rsidP="0057114E">
      <w:pPr>
        <w:pStyle w:val="EndnoteText"/>
        <w:numPr>
          <w:ilvl w:val="0"/>
          <w:numId w:val="25"/>
        </w:numPr>
        <w:jc w:val="left"/>
      </w:pPr>
      <w:r w:rsidRPr="00FE4BF2">
        <w:t xml:space="preserve">Passive has </w:t>
      </w:r>
      <w:r w:rsidRPr="00FE4BF2">
        <w:rPr>
          <w:b/>
          <w:bCs/>
        </w:rPr>
        <w:t>overtaken active in AUM</w:t>
      </w:r>
      <w:r w:rsidRPr="00FE4BF2">
        <w:t xml:space="preserve"> </w:t>
      </w:r>
    </w:p>
    <w:p w14:paraId="516070AF" w14:textId="77777777" w:rsidR="0057114E" w:rsidRPr="00FE4BF2" w:rsidRDefault="0057114E" w:rsidP="0057114E">
      <w:pPr>
        <w:pStyle w:val="EndnoteText"/>
        <w:numPr>
          <w:ilvl w:val="1"/>
          <w:numId w:val="25"/>
        </w:numPr>
        <w:jc w:val="left"/>
      </w:pPr>
      <w:r w:rsidRPr="00FE4BF2">
        <w:t>~</w:t>
      </w:r>
      <w:r w:rsidRPr="00FE4BF2">
        <w:rPr>
          <w:b/>
          <w:bCs/>
        </w:rPr>
        <w:t>53–55% market share by 2025</w:t>
      </w:r>
      <w:r w:rsidRPr="00FE4BF2">
        <w:t xml:space="preserve"> </w:t>
      </w:r>
      <w:hyperlink r:id="rId28" w:history="1">
        <w:r w:rsidRPr="00FE4BF2">
          <w:rPr>
            <w:rStyle w:val="Hyperlink"/>
          </w:rPr>
          <w:t>[pwlcapital.com]</w:t>
        </w:r>
      </w:hyperlink>
    </w:p>
    <w:p w14:paraId="7BCFCC7A" w14:textId="77777777" w:rsidR="0057114E" w:rsidRPr="00FE4BF2" w:rsidRDefault="0057114E" w:rsidP="0057114E">
      <w:pPr>
        <w:pStyle w:val="EndnoteText"/>
        <w:numPr>
          <w:ilvl w:val="0"/>
          <w:numId w:val="25"/>
        </w:numPr>
        <w:jc w:val="left"/>
      </w:pPr>
      <w:r w:rsidRPr="00FE4BF2">
        <w:t xml:space="preserve">Passive now constitutes: </w:t>
      </w:r>
    </w:p>
    <w:p w14:paraId="6DE45B87" w14:textId="77777777" w:rsidR="0057114E" w:rsidRPr="00FE4BF2" w:rsidRDefault="0057114E" w:rsidP="0057114E">
      <w:pPr>
        <w:pStyle w:val="EndnoteText"/>
        <w:numPr>
          <w:ilvl w:val="1"/>
          <w:numId w:val="25"/>
        </w:numPr>
        <w:jc w:val="left"/>
      </w:pPr>
      <w:r w:rsidRPr="00FE4BF2">
        <w:rPr>
          <w:b/>
          <w:bCs/>
        </w:rPr>
        <w:t>&gt;50% of US equity fund assets</w:t>
      </w:r>
    </w:p>
    <w:p w14:paraId="6C9849F1" w14:textId="77777777" w:rsidR="0057114E" w:rsidRPr="00FE4BF2" w:rsidRDefault="0057114E" w:rsidP="0057114E">
      <w:pPr>
        <w:pStyle w:val="EndnoteText"/>
        <w:numPr>
          <w:ilvl w:val="1"/>
          <w:numId w:val="25"/>
        </w:numPr>
        <w:jc w:val="left"/>
      </w:pPr>
      <w:r w:rsidRPr="00FE4BF2">
        <w:t xml:space="preserve">and roughly </w:t>
      </w:r>
      <w:r w:rsidRPr="00FE4BF2">
        <w:rPr>
          <w:b/>
          <w:bCs/>
        </w:rPr>
        <w:t>one-third of the underlying US equity market itself</w:t>
      </w:r>
      <w:r w:rsidRPr="00FE4BF2">
        <w:t xml:space="preserve"> </w:t>
      </w:r>
      <w:hyperlink r:id="rId29" w:history="1">
        <w:r w:rsidRPr="00FE4BF2">
          <w:rPr>
            <w:rStyle w:val="Hyperlink"/>
          </w:rPr>
          <w:t>[pwlcapital.com]</w:t>
        </w:r>
      </w:hyperlink>
    </w:p>
    <w:p w14:paraId="2959A527" w14:textId="77777777" w:rsidR="0057114E" w:rsidRPr="00FE4BF2" w:rsidRDefault="0057114E" w:rsidP="0057114E">
      <w:pPr>
        <w:pStyle w:val="EndnoteText"/>
      </w:pPr>
      <w:r w:rsidRPr="00FE4BF2">
        <w:rPr>
          <w:rFonts w:ascii="Segoe UI Emoji" w:hAnsi="Segoe UI Emoji" w:cs="Segoe UI Emoji"/>
        </w:rPr>
        <w:t>👉</w:t>
      </w:r>
      <w:r w:rsidRPr="00FE4BF2">
        <w:t xml:space="preserve"> The US is the clearest example of structural dominance.</w:t>
      </w:r>
    </w:p>
    <w:p w14:paraId="6F2193B8"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Europe (lagging but converging)</w:t>
      </w:r>
    </w:p>
    <w:p w14:paraId="762CEFC7" w14:textId="77777777" w:rsidR="0057114E" w:rsidRPr="00FE4BF2" w:rsidRDefault="0057114E" w:rsidP="0057114E">
      <w:pPr>
        <w:pStyle w:val="EndnoteText"/>
        <w:numPr>
          <w:ilvl w:val="0"/>
          <w:numId w:val="26"/>
        </w:numPr>
        <w:jc w:val="left"/>
      </w:pPr>
      <w:r w:rsidRPr="00FE4BF2">
        <w:t xml:space="preserve">Passive share has grown from: </w:t>
      </w:r>
    </w:p>
    <w:p w14:paraId="34F7A1E6" w14:textId="77777777" w:rsidR="0057114E" w:rsidRPr="00FE4BF2" w:rsidRDefault="0057114E" w:rsidP="0057114E">
      <w:pPr>
        <w:pStyle w:val="EndnoteText"/>
        <w:numPr>
          <w:ilvl w:val="1"/>
          <w:numId w:val="26"/>
        </w:numPr>
        <w:jc w:val="left"/>
      </w:pPr>
      <w:r w:rsidRPr="00FE4BF2">
        <w:rPr>
          <w:b/>
          <w:bCs/>
        </w:rPr>
        <w:t>~14% (2015) → ~30% (2024) in non</w:t>
      </w:r>
      <w:r w:rsidRPr="00FE4BF2">
        <w:rPr>
          <w:b/>
          <w:bCs/>
        </w:rPr>
        <w:noBreakHyphen/>
        <w:t>North American markets</w:t>
      </w:r>
      <w:r w:rsidRPr="00FE4BF2">
        <w:t xml:space="preserve"> </w:t>
      </w:r>
      <w:hyperlink r:id="rId30" w:history="1">
        <w:r w:rsidRPr="00FE4BF2">
          <w:rPr>
            <w:rStyle w:val="Hyperlink"/>
          </w:rPr>
          <w:t>[pwlcapital.com]</w:t>
        </w:r>
      </w:hyperlink>
    </w:p>
    <w:p w14:paraId="1B0AD118" w14:textId="77777777" w:rsidR="0057114E" w:rsidRPr="00FE4BF2" w:rsidRDefault="0057114E" w:rsidP="0057114E">
      <w:pPr>
        <w:pStyle w:val="EndnoteText"/>
        <w:numPr>
          <w:ilvl w:val="0"/>
          <w:numId w:val="26"/>
        </w:numPr>
        <w:jc w:val="left"/>
      </w:pPr>
      <w:r w:rsidRPr="00FE4BF2">
        <w:t xml:space="preserve">In Europe specifically: </w:t>
      </w:r>
    </w:p>
    <w:p w14:paraId="090445B6" w14:textId="77777777" w:rsidR="0057114E" w:rsidRPr="00FE4BF2" w:rsidRDefault="0057114E" w:rsidP="0057114E">
      <w:pPr>
        <w:pStyle w:val="EndnoteText"/>
        <w:numPr>
          <w:ilvl w:val="1"/>
          <w:numId w:val="26"/>
        </w:numPr>
        <w:jc w:val="left"/>
      </w:pPr>
      <w:r w:rsidRPr="00FE4BF2">
        <w:t>~</w:t>
      </w:r>
      <w:r w:rsidRPr="00FE4BF2">
        <w:rPr>
          <w:b/>
          <w:bCs/>
        </w:rPr>
        <w:t>30% of fund assets are passive</w:t>
      </w:r>
    </w:p>
    <w:p w14:paraId="03F30F3E" w14:textId="77777777" w:rsidR="0057114E" w:rsidRPr="00FE4BF2" w:rsidRDefault="0057114E" w:rsidP="0057114E">
      <w:pPr>
        <w:pStyle w:val="EndnoteText"/>
        <w:numPr>
          <w:ilvl w:val="1"/>
          <w:numId w:val="26"/>
        </w:numPr>
        <w:jc w:val="left"/>
      </w:pPr>
      <w:r w:rsidRPr="00FE4BF2">
        <w:t xml:space="preserve">but </w:t>
      </w:r>
      <w:r w:rsidRPr="00FE4BF2">
        <w:rPr>
          <w:b/>
          <w:bCs/>
        </w:rPr>
        <w:t>active still dominates AUM</w:t>
      </w:r>
      <w:r w:rsidRPr="00FE4BF2">
        <w:t xml:space="preserve"> </w:t>
      </w:r>
      <w:hyperlink r:id="rId31" w:history="1">
        <w:r w:rsidRPr="00FE4BF2">
          <w:rPr>
            <w:rStyle w:val="Hyperlink"/>
          </w:rPr>
          <w:t>[morningstar.com]</w:t>
        </w:r>
      </w:hyperlink>
    </w:p>
    <w:p w14:paraId="1E9C72E0" w14:textId="77777777" w:rsidR="0057114E" w:rsidRPr="00FE4BF2" w:rsidRDefault="0057114E" w:rsidP="0057114E">
      <w:pPr>
        <w:pStyle w:val="EndnoteText"/>
      </w:pPr>
      <w:r w:rsidRPr="00FE4BF2">
        <w:rPr>
          <w:rFonts w:ascii="Segoe UI Emoji" w:hAnsi="Segoe UI Emoji" w:cs="Segoe UI Emoji"/>
        </w:rPr>
        <w:t>👉</w:t>
      </w:r>
      <w:r w:rsidRPr="00FE4BF2">
        <w:t xml:space="preserve"> Growth continues via </w:t>
      </w:r>
      <w:r w:rsidRPr="00FE4BF2">
        <w:rPr>
          <w:b/>
          <w:bCs/>
        </w:rPr>
        <w:t>strong net inflows into passive products</w:t>
      </w:r>
      <w:r w:rsidRPr="00FE4BF2">
        <w:t>.</w:t>
      </w:r>
    </w:p>
    <w:p w14:paraId="72EFBB70"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Other regions</w:t>
      </w:r>
    </w:p>
    <w:p w14:paraId="71F69D23" w14:textId="77777777" w:rsidR="0057114E" w:rsidRPr="00FE4BF2" w:rsidRDefault="0057114E" w:rsidP="0057114E">
      <w:pPr>
        <w:pStyle w:val="EndnoteText"/>
        <w:numPr>
          <w:ilvl w:val="0"/>
          <w:numId w:val="27"/>
        </w:numPr>
        <w:jc w:val="left"/>
      </w:pPr>
      <w:r w:rsidRPr="00FE4BF2">
        <w:t xml:space="preserve">Similar trends are visible globally: </w:t>
      </w:r>
    </w:p>
    <w:p w14:paraId="1CF745D2" w14:textId="77777777" w:rsidR="0057114E" w:rsidRPr="00FE4BF2" w:rsidRDefault="0057114E" w:rsidP="0057114E">
      <w:pPr>
        <w:pStyle w:val="EndnoteText"/>
        <w:numPr>
          <w:ilvl w:val="1"/>
          <w:numId w:val="27"/>
        </w:numPr>
        <w:jc w:val="left"/>
      </w:pPr>
      <w:r w:rsidRPr="00FE4BF2">
        <w:t xml:space="preserve">China: passive AUM has </w:t>
      </w:r>
      <w:r w:rsidRPr="00FE4BF2">
        <w:rPr>
          <w:b/>
          <w:bCs/>
        </w:rPr>
        <w:t>overtaken active (2024)</w:t>
      </w:r>
      <w:r w:rsidRPr="00FE4BF2">
        <w:t xml:space="preserve"> </w:t>
      </w:r>
      <w:hyperlink r:id="rId32" w:history="1">
        <w:r w:rsidRPr="00FE4BF2">
          <w:rPr>
            <w:rStyle w:val="Hyperlink"/>
          </w:rPr>
          <w:t>[cafemutual.com]</w:t>
        </w:r>
      </w:hyperlink>
    </w:p>
    <w:p w14:paraId="553E57BD" w14:textId="77777777" w:rsidR="0057114E" w:rsidRPr="00FE4BF2" w:rsidRDefault="0057114E" w:rsidP="0057114E">
      <w:pPr>
        <w:pStyle w:val="EndnoteText"/>
        <w:numPr>
          <w:ilvl w:val="1"/>
          <w:numId w:val="27"/>
        </w:numPr>
        <w:jc w:val="left"/>
      </w:pPr>
      <w:r w:rsidRPr="00FE4BF2">
        <w:t>Canada: passive ~</w:t>
      </w:r>
      <w:r w:rsidRPr="00FE4BF2">
        <w:rPr>
          <w:b/>
          <w:bCs/>
        </w:rPr>
        <w:t>20%+ and rising</w:t>
      </w:r>
      <w:r w:rsidRPr="00FE4BF2">
        <w:t xml:space="preserve"> </w:t>
      </w:r>
      <w:hyperlink r:id="rId33" w:history="1">
        <w:r w:rsidRPr="00FE4BF2">
          <w:rPr>
            <w:rStyle w:val="Hyperlink"/>
          </w:rPr>
          <w:t>[pwlcapital.com]</w:t>
        </w:r>
      </w:hyperlink>
    </w:p>
    <w:p w14:paraId="53B8CE51" w14:textId="77777777" w:rsidR="0057114E" w:rsidRPr="00FE4BF2" w:rsidRDefault="0057114E" w:rsidP="0057114E">
      <w:pPr>
        <w:pStyle w:val="EndnoteText"/>
      </w:pPr>
      <w:r w:rsidRPr="00FE4BF2">
        <w:rPr>
          <w:rFonts w:ascii="Segoe UI Emoji" w:hAnsi="Segoe UI Emoji" w:cs="Segoe UI Emoji"/>
        </w:rPr>
        <w:t>👉</w:t>
      </w:r>
      <w:r w:rsidRPr="00FE4BF2">
        <w:t xml:space="preserve"> The shift is now clearly </w:t>
      </w:r>
      <w:r w:rsidRPr="00FE4BF2">
        <w:rPr>
          <w:b/>
          <w:bCs/>
        </w:rPr>
        <w:t>global, not US-specific</w:t>
      </w:r>
      <w:r w:rsidRPr="00FE4BF2">
        <w:t>.</w:t>
      </w:r>
    </w:p>
    <w:p w14:paraId="73CFDF66" w14:textId="77777777" w:rsidR="0057114E" w:rsidRPr="00FE4BF2" w:rsidRDefault="0057114E" w:rsidP="0057114E">
      <w:pPr>
        <w:pStyle w:val="EndnoteText"/>
      </w:pPr>
      <w:r w:rsidRPr="00FE4BF2">
        <w:rPr>
          <w:b/>
          <w:bCs/>
        </w:rPr>
        <w:t xml:space="preserve">3) Equity market penetration (deeper perspective); </w:t>
      </w:r>
      <w:r w:rsidRPr="00FE4BF2">
        <w:t>Beyond fund AUM:</w:t>
      </w:r>
    </w:p>
    <w:p w14:paraId="08BA546E" w14:textId="77777777" w:rsidR="0057114E" w:rsidRPr="00FE4BF2" w:rsidRDefault="0057114E" w:rsidP="0057114E">
      <w:pPr>
        <w:pStyle w:val="EndnoteText"/>
        <w:numPr>
          <w:ilvl w:val="0"/>
          <w:numId w:val="28"/>
        </w:numPr>
        <w:jc w:val="left"/>
      </w:pPr>
      <w:r w:rsidRPr="00FE4BF2">
        <w:t xml:space="preserve">Passive strategies now account for: </w:t>
      </w:r>
    </w:p>
    <w:p w14:paraId="6F45A38D" w14:textId="77777777" w:rsidR="0057114E" w:rsidRPr="00FE4BF2" w:rsidRDefault="0057114E" w:rsidP="0057114E">
      <w:pPr>
        <w:pStyle w:val="EndnoteText"/>
        <w:numPr>
          <w:ilvl w:val="1"/>
          <w:numId w:val="28"/>
        </w:numPr>
        <w:jc w:val="left"/>
      </w:pPr>
      <w:r w:rsidRPr="00FE4BF2">
        <w:rPr>
          <w:b/>
          <w:bCs/>
        </w:rPr>
        <w:t>≈50% of equity fund investing globally</w:t>
      </w:r>
      <w:r w:rsidRPr="00FE4BF2">
        <w:t xml:space="preserve"> </w:t>
      </w:r>
      <w:hyperlink r:id="rId34" w:history="1">
        <w:r w:rsidRPr="00FE4BF2">
          <w:rPr>
            <w:rStyle w:val="Hyperlink"/>
          </w:rPr>
          <w:t>[apolloacademy.com]</w:t>
        </w:r>
      </w:hyperlink>
    </w:p>
    <w:p w14:paraId="5DA03CC6" w14:textId="77777777" w:rsidR="0057114E" w:rsidRPr="00FE4BF2" w:rsidRDefault="0057114E" w:rsidP="0057114E">
      <w:pPr>
        <w:pStyle w:val="EndnoteText"/>
        <w:numPr>
          <w:ilvl w:val="0"/>
          <w:numId w:val="28"/>
        </w:numPr>
        <w:jc w:val="left"/>
      </w:pPr>
      <w:r w:rsidRPr="00FE4BF2">
        <w:t xml:space="preserve">ETFs alone represent: </w:t>
      </w:r>
    </w:p>
    <w:p w14:paraId="67486F23" w14:textId="77777777" w:rsidR="0057114E" w:rsidRPr="00FE4BF2" w:rsidRDefault="0057114E" w:rsidP="0057114E">
      <w:pPr>
        <w:pStyle w:val="EndnoteText"/>
        <w:numPr>
          <w:ilvl w:val="1"/>
          <w:numId w:val="28"/>
        </w:numPr>
        <w:jc w:val="left"/>
      </w:pPr>
      <w:r w:rsidRPr="00FE4BF2">
        <w:rPr>
          <w:b/>
          <w:bCs/>
        </w:rPr>
        <w:t>~26–30% of daily US equity trading volume</w:t>
      </w:r>
      <w:r w:rsidRPr="00FE4BF2">
        <w:t xml:space="preserve"> </w:t>
      </w:r>
      <w:hyperlink r:id="rId35" w:history="1">
        <w:r w:rsidRPr="00FE4BF2">
          <w:rPr>
            <w:rStyle w:val="Hyperlink"/>
          </w:rPr>
          <w:t>[investopedia.com]</w:t>
        </w:r>
      </w:hyperlink>
    </w:p>
    <w:p w14:paraId="60DC918A" w14:textId="77777777" w:rsidR="0057114E" w:rsidRPr="00FE4BF2" w:rsidRDefault="0057114E" w:rsidP="0057114E">
      <w:pPr>
        <w:pStyle w:val="EndnoteText"/>
      </w:pPr>
      <w:r w:rsidRPr="00FE4BF2">
        <w:rPr>
          <w:rFonts w:ascii="Segoe UI Emoji" w:hAnsi="Segoe UI Emoji" w:cs="Segoe UI Emoji"/>
        </w:rPr>
        <w:t>👉</w:t>
      </w:r>
      <w:r w:rsidRPr="00FE4BF2">
        <w:t xml:space="preserve"> This shows passive is not just large—it is </w:t>
      </w:r>
      <w:r w:rsidRPr="00FE4BF2">
        <w:rPr>
          <w:b/>
          <w:bCs/>
        </w:rPr>
        <w:t>structurally embedded in market functioning</w:t>
      </w:r>
      <w:r w:rsidRPr="00FE4BF2">
        <w:t>.</w:t>
      </w:r>
    </w:p>
    <w:p w14:paraId="08C856B1" w14:textId="77777777" w:rsidR="0057114E" w:rsidRPr="00FE4BF2" w:rsidRDefault="0057114E" w:rsidP="0057114E">
      <w:pPr>
        <w:pStyle w:val="EndnoteText"/>
      </w:pPr>
      <w:r w:rsidRPr="00FE4BF2">
        <w:rPr>
          <w:b/>
          <w:bCs/>
        </w:rPr>
        <w:t xml:space="preserve">Key drivers of growth; </w:t>
      </w:r>
      <w:r w:rsidRPr="00FE4BF2">
        <w:t>The expansion is driven by structural forces:</w:t>
      </w:r>
    </w:p>
    <w:p w14:paraId="08B28BF0" w14:textId="77777777" w:rsidR="0057114E" w:rsidRPr="00FE4BF2" w:rsidRDefault="0057114E" w:rsidP="0057114E">
      <w:pPr>
        <w:pStyle w:val="EndnoteText"/>
        <w:ind w:left="360"/>
        <w:rPr>
          <w:b/>
          <w:bCs/>
        </w:rPr>
      </w:pPr>
      <w:r w:rsidRPr="00FE4BF2">
        <w:rPr>
          <w:rFonts w:ascii="Segoe UI Emoji" w:hAnsi="Segoe UI Emoji" w:cs="Segoe UI Emoji"/>
          <w:b/>
          <w:bCs/>
        </w:rPr>
        <w:t>✅</w:t>
      </w:r>
      <w:r w:rsidRPr="00FE4BF2">
        <w:rPr>
          <w:b/>
          <w:bCs/>
        </w:rPr>
        <w:t xml:space="preserve"> Cost advantage</w:t>
      </w:r>
    </w:p>
    <w:p w14:paraId="44AF1C2D" w14:textId="77777777" w:rsidR="0057114E" w:rsidRPr="00FE4BF2" w:rsidRDefault="0057114E" w:rsidP="0057114E">
      <w:pPr>
        <w:pStyle w:val="EndnoteText"/>
        <w:numPr>
          <w:ilvl w:val="0"/>
          <w:numId w:val="29"/>
        </w:numPr>
        <w:tabs>
          <w:tab w:val="clear" w:pos="720"/>
          <w:tab w:val="num" w:pos="1080"/>
        </w:tabs>
        <w:ind w:left="1080"/>
        <w:jc w:val="left"/>
      </w:pPr>
      <w:r w:rsidRPr="00FE4BF2">
        <w:t xml:space="preserve">Passive fees are </w:t>
      </w:r>
      <w:r w:rsidRPr="00FE4BF2">
        <w:rPr>
          <w:b/>
          <w:bCs/>
        </w:rPr>
        <w:t>far lower</w:t>
      </w:r>
      <w:r w:rsidRPr="00FE4BF2">
        <w:t xml:space="preserve"> than active → strong investor migration</w:t>
      </w:r>
    </w:p>
    <w:p w14:paraId="0CD8C7B6" w14:textId="77777777" w:rsidR="0057114E" w:rsidRPr="00FE4BF2" w:rsidRDefault="0057114E" w:rsidP="0057114E">
      <w:pPr>
        <w:pStyle w:val="EndnoteText"/>
        <w:ind w:left="360"/>
        <w:rPr>
          <w:b/>
          <w:bCs/>
        </w:rPr>
      </w:pPr>
      <w:r w:rsidRPr="00FE4BF2">
        <w:rPr>
          <w:rFonts w:ascii="Segoe UI Emoji" w:hAnsi="Segoe UI Emoji" w:cs="Segoe UI Emoji"/>
          <w:b/>
          <w:bCs/>
        </w:rPr>
        <w:t>✅</w:t>
      </w:r>
      <w:r w:rsidRPr="00FE4BF2">
        <w:rPr>
          <w:b/>
          <w:bCs/>
        </w:rPr>
        <w:t xml:space="preserve"> Persistent underperformance of active</w:t>
      </w:r>
    </w:p>
    <w:p w14:paraId="73725107" w14:textId="77777777" w:rsidR="0057114E" w:rsidRPr="00FE4BF2" w:rsidRDefault="0057114E" w:rsidP="0057114E">
      <w:pPr>
        <w:pStyle w:val="EndnoteText"/>
        <w:numPr>
          <w:ilvl w:val="0"/>
          <w:numId w:val="30"/>
        </w:numPr>
        <w:tabs>
          <w:tab w:val="clear" w:pos="720"/>
          <w:tab w:val="num" w:pos="1080"/>
        </w:tabs>
        <w:ind w:left="1080"/>
        <w:jc w:val="left"/>
      </w:pPr>
      <w:r w:rsidRPr="00FE4BF2">
        <w:t>Only ~</w:t>
      </w:r>
      <w:r w:rsidRPr="00FE4BF2">
        <w:rPr>
          <w:b/>
          <w:bCs/>
        </w:rPr>
        <w:t>20–30% of active managers outperform</w:t>
      </w:r>
      <w:r w:rsidRPr="00FE4BF2">
        <w:t xml:space="preserve"> over long horizons </w:t>
      </w:r>
      <w:hyperlink r:id="rId36" w:history="1">
        <w:r w:rsidRPr="00FE4BF2">
          <w:rPr>
            <w:rStyle w:val="Hyperlink"/>
          </w:rPr>
          <w:t>[morningstar.com]</w:t>
        </w:r>
      </w:hyperlink>
    </w:p>
    <w:p w14:paraId="039B776D" w14:textId="77777777" w:rsidR="0057114E" w:rsidRPr="00FE4BF2" w:rsidRDefault="0057114E" w:rsidP="0057114E">
      <w:pPr>
        <w:pStyle w:val="EndnoteText"/>
        <w:ind w:left="360"/>
        <w:rPr>
          <w:b/>
          <w:bCs/>
        </w:rPr>
      </w:pPr>
      <w:r w:rsidRPr="00FE4BF2">
        <w:rPr>
          <w:rFonts w:ascii="Segoe UI Emoji" w:hAnsi="Segoe UI Emoji" w:cs="Segoe UI Emoji"/>
          <w:b/>
          <w:bCs/>
        </w:rPr>
        <w:t>✅</w:t>
      </w:r>
      <w:r w:rsidRPr="00FE4BF2">
        <w:rPr>
          <w:b/>
          <w:bCs/>
        </w:rPr>
        <w:t xml:space="preserve"> Product innovation</w:t>
      </w:r>
    </w:p>
    <w:p w14:paraId="7E414A10" w14:textId="77777777" w:rsidR="0057114E" w:rsidRPr="00FE4BF2" w:rsidRDefault="0057114E" w:rsidP="0057114E">
      <w:pPr>
        <w:pStyle w:val="EndnoteText"/>
        <w:numPr>
          <w:ilvl w:val="0"/>
          <w:numId w:val="31"/>
        </w:numPr>
        <w:tabs>
          <w:tab w:val="clear" w:pos="720"/>
          <w:tab w:val="num" w:pos="1080"/>
        </w:tabs>
        <w:ind w:left="1080"/>
        <w:jc w:val="left"/>
      </w:pPr>
      <w:r w:rsidRPr="00FE4BF2">
        <w:t xml:space="preserve">Explosion of ETFs (now </w:t>
      </w:r>
      <w:r w:rsidRPr="00FE4BF2">
        <w:rPr>
          <w:b/>
          <w:bCs/>
        </w:rPr>
        <w:t>12,000+ globally</w:t>
      </w:r>
      <w:r w:rsidRPr="00FE4BF2">
        <w:t xml:space="preserve">) </w:t>
      </w:r>
      <w:hyperlink r:id="rId37" w:history="1">
        <w:r w:rsidRPr="00FE4BF2">
          <w:rPr>
            <w:rStyle w:val="Hyperlink"/>
          </w:rPr>
          <w:t>[investopedia.com]</w:t>
        </w:r>
      </w:hyperlink>
    </w:p>
    <w:p w14:paraId="29C3543B" w14:textId="77777777" w:rsidR="0057114E" w:rsidRPr="00FE4BF2" w:rsidRDefault="0057114E" w:rsidP="0057114E">
      <w:pPr>
        <w:pStyle w:val="EndnoteText"/>
        <w:rPr>
          <w:b/>
          <w:bCs/>
        </w:rPr>
      </w:pPr>
      <w:r w:rsidRPr="00FE4BF2">
        <w:rPr>
          <w:rFonts w:ascii="Segoe UI Emoji" w:hAnsi="Segoe UI Emoji" w:cs="Segoe UI Emoji"/>
          <w:b/>
          <w:bCs/>
        </w:rPr>
        <w:t>✅</w:t>
      </w:r>
      <w:r w:rsidRPr="00FE4BF2">
        <w:rPr>
          <w:b/>
          <w:bCs/>
        </w:rPr>
        <w:t xml:space="preserve"> Institutional adoption</w:t>
      </w:r>
    </w:p>
    <w:p w14:paraId="45831E32" w14:textId="77777777" w:rsidR="0057114E" w:rsidRPr="00FE4BF2" w:rsidRDefault="0057114E" w:rsidP="0057114E">
      <w:pPr>
        <w:pStyle w:val="EndnoteText"/>
        <w:numPr>
          <w:ilvl w:val="0"/>
          <w:numId w:val="32"/>
        </w:numPr>
        <w:jc w:val="left"/>
      </w:pPr>
      <w:r w:rsidRPr="00FE4BF2">
        <w:t xml:space="preserve">Pension funds and DC schemes have increasingly shifted to: </w:t>
      </w:r>
    </w:p>
    <w:p w14:paraId="522A37EF" w14:textId="77777777" w:rsidR="0057114E" w:rsidRPr="00FE4BF2" w:rsidRDefault="0057114E" w:rsidP="0057114E">
      <w:pPr>
        <w:pStyle w:val="EndnoteText"/>
        <w:numPr>
          <w:ilvl w:val="1"/>
          <w:numId w:val="32"/>
        </w:numPr>
        <w:jc w:val="left"/>
      </w:pPr>
      <w:r w:rsidRPr="00FE4BF2">
        <w:rPr>
          <w:b/>
          <w:bCs/>
        </w:rPr>
        <w:t>index-based allocation frameworks</w:t>
      </w:r>
    </w:p>
    <w:p w14:paraId="38B0A883" w14:textId="77777777" w:rsidR="0057114E" w:rsidRDefault="0057114E" w:rsidP="0057114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8236" w14:textId="77777777" w:rsidR="005A618E" w:rsidRDefault="005A618E" w:rsidP="007E7997">
      <w:pPr>
        <w:spacing w:line="240" w:lineRule="auto"/>
      </w:pPr>
      <w:r>
        <w:separator/>
      </w:r>
    </w:p>
  </w:footnote>
  <w:footnote w:type="continuationSeparator" w:id="0">
    <w:p w14:paraId="6128DE46" w14:textId="77777777" w:rsidR="005A618E" w:rsidRDefault="005A618E" w:rsidP="007E7997">
      <w:pPr>
        <w:spacing w:line="240" w:lineRule="auto"/>
      </w:pPr>
      <w:r>
        <w:continuationSeparator/>
      </w:r>
    </w:p>
  </w:footnote>
  <w:footnote w:type="continuationNotice" w:id="1">
    <w:p w14:paraId="043266CE" w14:textId="77777777" w:rsidR="005A618E" w:rsidRDefault="005A618E">
      <w:pPr>
        <w:spacing w:after="0" w:line="240" w:lineRule="auto"/>
      </w:pPr>
    </w:p>
  </w:footnote>
  <w:footnote w:id="2">
    <w:p w14:paraId="7724282C" w14:textId="77777777" w:rsidR="0057114E" w:rsidRPr="00272D3C" w:rsidRDefault="0057114E" w:rsidP="0057114E">
      <w:pPr>
        <w:spacing w:before="100" w:beforeAutospacing="1" w:after="100" w:afterAutospacing="1" w:line="240" w:lineRule="auto"/>
        <w:rPr>
          <w:rFonts w:ascii="Roboto Light" w:hAnsi="Roboto Light"/>
          <w:b/>
          <w:bCs/>
          <w:sz w:val="18"/>
          <w:szCs w:val="18"/>
          <w:u w:val="single"/>
        </w:rPr>
      </w:pPr>
      <w:r w:rsidRPr="00272D3C">
        <w:rPr>
          <w:rStyle w:val="FootnoteReference"/>
          <w:sz w:val="18"/>
          <w:szCs w:val="18"/>
        </w:rPr>
        <w:footnoteRef/>
      </w:r>
      <w:r w:rsidRPr="00272D3C">
        <w:rPr>
          <w:sz w:val="18"/>
          <w:szCs w:val="18"/>
        </w:rPr>
        <w:t xml:space="preserve"> </w:t>
      </w:r>
      <w:r w:rsidRPr="00272D3C">
        <w:rPr>
          <w:rFonts w:ascii="Roboto Light" w:hAnsi="Roboto Light"/>
          <w:b/>
          <w:bCs/>
          <w:sz w:val="18"/>
          <w:szCs w:val="18"/>
          <w:u w:val="single"/>
        </w:rPr>
        <w:t>The gap between “what is dark” and “what is regulated as dark” has widened</w:t>
      </w:r>
    </w:p>
    <w:p w14:paraId="412618C5" w14:textId="77777777" w:rsidR="0057114E" w:rsidRPr="00272D3C" w:rsidRDefault="0057114E" w:rsidP="0057114E">
      <w:pPr>
        <w:spacing w:before="100" w:beforeAutospacing="1" w:after="100" w:afterAutospacing="1" w:line="240" w:lineRule="auto"/>
        <w:rPr>
          <w:rFonts w:ascii="Roboto Light" w:hAnsi="Roboto Light"/>
          <w:i/>
          <w:iCs/>
          <w:sz w:val="18"/>
          <w:szCs w:val="18"/>
        </w:rPr>
      </w:pPr>
      <w:r w:rsidRPr="00272D3C">
        <w:rPr>
          <w:rFonts w:ascii="Roboto Light" w:hAnsi="Roboto Light"/>
          <w:i/>
          <w:iCs/>
          <w:sz w:val="18"/>
          <w:szCs w:val="18"/>
        </w:rPr>
        <w:t>ESMA understands “dark trading” as trading executed without pre</w:t>
      </w:r>
      <w:r w:rsidRPr="00272D3C">
        <w:rPr>
          <w:rFonts w:ascii="Roboto Light" w:hAnsi="Roboto Light"/>
          <w:i/>
          <w:iCs/>
          <w:sz w:val="18"/>
          <w:szCs w:val="18"/>
        </w:rPr>
        <w:noBreakHyphen/>
        <w:t>trade transparency (primarily via MiFIR waivers), with LIS included but separately treated, and with regulatory caps (DVC/SVC) applying only to a specific subset—now mainly RPW trades.</w:t>
      </w:r>
    </w:p>
    <w:p w14:paraId="6D910FE9" w14:textId="77777777" w:rsidR="0057114E" w:rsidRPr="00272D3C" w:rsidRDefault="0057114E" w:rsidP="0057114E">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The SVC: (</w:t>
      </w:r>
      <w:r w:rsidRPr="00272D3C">
        <w:rPr>
          <w:rFonts w:ascii="Roboto Light" w:hAnsi="Roboto Light"/>
          <w:i/>
          <w:iCs/>
          <w:sz w:val="18"/>
          <w:szCs w:val="18"/>
        </w:rPr>
        <w:t>does NOT redefine dark trading, it only simplifies and refocuses how part of dark trading is capped</w:t>
      </w:r>
      <w:r w:rsidRPr="00272D3C">
        <w:rPr>
          <w:rFonts w:ascii="Roboto Light" w:hAnsi="Roboto Light"/>
          <w:sz w:val="18"/>
          <w:szCs w:val="18"/>
        </w:rPr>
        <w:t>)</w:t>
      </w:r>
    </w:p>
    <w:p w14:paraId="711C4F62" w14:textId="77777777" w:rsidR="0057114E" w:rsidRPr="00272D3C" w:rsidRDefault="0057114E" w:rsidP="0057114E">
      <w:pPr>
        <w:pStyle w:val="ListParagraph"/>
        <w:numPr>
          <w:ilvl w:val="0"/>
          <w:numId w:val="17"/>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Narrows the regulatory focus to the most price-sensitive segment (RPW)</w:t>
      </w:r>
    </w:p>
    <w:p w14:paraId="661E589D" w14:textId="77777777" w:rsidR="0057114E" w:rsidRPr="00272D3C" w:rsidRDefault="0057114E" w:rsidP="0057114E">
      <w:pPr>
        <w:pStyle w:val="ListParagraph"/>
        <w:numPr>
          <w:ilvl w:val="0"/>
          <w:numId w:val="17"/>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Simplifies enforcement (single EU-wide threshold)</w:t>
      </w:r>
    </w:p>
    <w:p w14:paraId="353A5C2C" w14:textId="77777777" w:rsidR="0057114E" w:rsidRPr="00272D3C" w:rsidRDefault="0057114E" w:rsidP="0057114E">
      <w:pPr>
        <w:pStyle w:val="ListParagraph"/>
        <w:numPr>
          <w:ilvl w:val="0"/>
          <w:numId w:val="17"/>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Leaves the conceptual category unchanged but partially uncapped</w:t>
      </w:r>
    </w:p>
    <w:p w14:paraId="1AEED55C" w14:textId="77777777" w:rsidR="0057114E" w:rsidRPr="00272D3C" w:rsidRDefault="0057114E" w:rsidP="0057114E">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 xml:space="preserve">The CfE is revisiting: </w:t>
      </w:r>
    </w:p>
    <w:p w14:paraId="577BE7F0" w14:textId="77777777" w:rsidR="0057114E" w:rsidRPr="00272D3C" w:rsidRDefault="0057114E" w:rsidP="0057114E">
      <w:pPr>
        <w:pStyle w:val="ListParagraph"/>
        <w:numPr>
          <w:ilvl w:val="0"/>
          <w:numId w:val="17"/>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whether current definitions still capture meaningful risks</w:t>
      </w:r>
    </w:p>
    <w:p w14:paraId="477DC0E6" w14:textId="77777777" w:rsidR="0057114E" w:rsidRPr="00272D3C" w:rsidRDefault="0057114E" w:rsidP="0057114E">
      <w:pPr>
        <w:pStyle w:val="ListParagraph"/>
        <w:numPr>
          <w:ilvl w:val="0"/>
          <w:numId w:val="17"/>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and whether periodic auctions / SI activity are becoming “de facto dark substitutes</w:t>
      </w:r>
    </w:p>
    <w:p w14:paraId="3E5E01CF" w14:textId="77777777" w:rsidR="0057114E" w:rsidRPr="00272D3C" w:rsidRDefault="0057114E" w:rsidP="0057114E">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Volume caps target only a subset of dark trading</w:t>
      </w:r>
    </w:p>
    <w:p w14:paraId="37783C44" w14:textId="77777777" w:rsidR="0057114E" w:rsidRPr="00272D3C" w:rsidRDefault="0057114E" w:rsidP="0057114E">
      <w:pPr>
        <w:pStyle w:val="ListParagraph"/>
        <w:numPr>
          <w:ilvl w:val="0"/>
          <w:numId w:val="18"/>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Previously: RPW + NTW (DVC)</w:t>
      </w:r>
    </w:p>
    <w:p w14:paraId="1AACBCEB" w14:textId="77777777" w:rsidR="0057114E" w:rsidRPr="00272D3C" w:rsidRDefault="0057114E" w:rsidP="0057114E">
      <w:pPr>
        <w:pStyle w:val="ListParagraph"/>
        <w:numPr>
          <w:ilvl w:val="0"/>
          <w:numId w:val="18"/>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Now: primarily RPW (SVC)</w:t>
      </w:r>
    </w:p>
    <w:p w14:paraId="6FD85065" w14:textId="77777777" w:rsidR="0057114E" w:rsidRPr="00272D3C" w:rsidRDefault="0057114E" w:rsidP="0057114E">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Considering the policy distinction; ESMA differentiates:</w:t>
      </w:r>
    </w:p>
    <w:p w14:paraId="58912867" w14:textId="77777777" w:rsidR="0057114E" w:rsidRPr="00272D3C" w:rsidRDefault="0057114E" w:rsidP="0057114E">
      <w:pPr>
        <w:pStyle w:val="ListParagraph"/>
        <w:numPr>
          <w:ilvl w:val="0"/>
          <w:numId w:val="19"/>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 xml:space="preserve">“Good/necessary dark” </w:t>
      </w:r>
      <w:r w:rsidRPr="00272D3C">
        <w:rPr>
          <w:rFonts w:ascii="Times New Roman" w:hAnsi="Times New Roman" w:cs="Times New Roman"/>
          <w:sz w:val="18"/>
          <w:szCs w:val="18"/>
        </w:rPr>
        <w:t>→</w:t>
      </w:r>
      <w:r w:rsidRPr="00272D3C">
        <w:rPr>
          <w:rFonts w:ascii="Roboto Light" w:hAnsi="Roboto Light"/>
          <w:sz w:val="18"/>
          <w:szCs w:val="18"/>
        </w:rPr>
        <w:t xml:space="preserve"> LIS (block trading)</w:t>
      </w:r>
    </w:p>
    <w:p w14:paraId="53C7DF0B" w14:textId="77777777" w:rsidR="0057114E" w:rsidRPr="00272D3C" w:rsidRDefault="0057114E" w:rsidP="0057114E">
      <w:pPr>
        <w:pStyle w:val="ListParagraph"/>
        <w:numPr>
          <w:ilvl w:val="0"/>
          <w:numId w:val="19"/>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 xml:space="preserve">“Potentially harmful dark” </w:t>
      </w:r>
      <w:r w:rsidRPr="00272D3C">
        <w:rPr>
          <w:rFonts w:ascii="Times New Roman" w:hAnsi="Times New Roman" w:cs="Times New Roman"/>
          <w:sz w:val="18"/>
          <w:szCs w:val="18"/>
        </w:rPr>
        <w:t>→</w:t>
      </w:r>
      <w:r w:rsidRPr="00272D3C">
        <w:rPr>
          <w:rFonts w:ascii="Roboto Light" w:hAnsi="Roboto Light"/>
          <w:sz w:val="18"/>
          <w:szCs w:val="18"/>
        </w:rPr>
        <w:t xml:space="preserve"> RPW/NTW (price formation concerns)</w:t>
      </w:r>
    </w:p>
    <w:p w14:paraId="35C48ADA" w14:textId="77777777" w:rsidR="0057114E" w:rsidRPr="00272D3C" w:rsidRDefault="0057114E" w:rsidP="0057114E">
      <w:pPr>
        <w:pStyle w:val="ListParagraph"/>
        <w:numPr>
          <w:ilvl w:val="0"/>
          <w:numId w:val="19"/>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Regulatory “dark trading” (for cap purposes) = subset of dark trading (only RPW/NTW, excluding LIS)</w:t>
      </w:r>
    </w:p>
    <w:p w14:paraId="500FAF93" w14:textId="77777777" w:rsidR="0057114E" w:rsidRPr="00272D3C" w:rsidRDefault="0057114E" w:rsidP="0057114E">
      <w:pPr>
        <w:pStyle w:val="ListParagraph"/>
        <w:numPr>
          <w:ilvl w:val="0"/>
          <w:numId w:val="19"/>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LIS is designed to protect block liquidity &amp; LIS is not subject to volume caps</w:t>
      </w:r>
    </w:p>
    <w:p w14:paraId="04CF8734" w14:textId="77777777" w:rsidR="0057114E" w:rsidRPr="00272D3C" w:rsidRDefault="0057114E" w:rsidP="0057114E">
      <w:pPr>
        <w:pStyle w:val="ListParagraph"/>
        <w:numPr>
          <w:ilvl w:val="0"/>
          <w:numId w:val="19"/>
        </w:numPr>
        <w:spacing w:before="100" w:beforeAutospacing="1" w:after="100" w:afterAutospacing="1" w:line="240" w:lineRule="auto"/>
        <w:contextualSpacing/>
        <w:jc w:val="left"/>
        <w:rPr>
          <w:rFonts w:ascii="Roboto Light" w:hAnsi="Roboto Light"/>
          <w:sz w:val="18"/>
          <w:szCs w:val="18"/>
        </w:rPr>
      </w:pPr>
      <w:r w:rsidRPr="00272D3C">
        <w:rPr>
          <w:rFonts w:ascii="Roboto Light" w:hAnsi="Roboto Light"/>
          <w:sz w:val="18"/>
          <w:szCs w:val="18"/>
        </w:rPr>
        <w:t>All LIS is dark, but not all dark is LIS—and regulators treat LIS as “acceptable dark.”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7"/>
        <w:gridCol w:w="4237"/>
      </w:tblGrid>
      <w:tr w:rsidR="0057114E" w:rsidRPr="00272D3C" w14:paraId="7A90341C" w14:textId="77777777" w:rsidTr="00BA5B7C">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827F7A" w14:textId="77777777" w:rsidR="0057114E" w:rsidRPr="00272D3C" w:rsidRDefault="0057114E" w:rsidP="00F10156">
            <w:pPr>
              <w:spacing w:before="100" w:beforeAutospacing="1" w:after="100" w:afterAutospacing="1" w:line="240" w:lineRule="auto"/>
              <w:rPr>
                <w:rFonts w:ascii="Roboto Light" w:hAnsi="Roboto Light"/>
                <w:b/>
                <w:bCs/>
                <w:sz w:val="18"/>
                <w:szCs w:val="18"/>
              </w:rPr>
            </w:pPr>
            <w:r w:rsidRPr="00272D3C">
              <w:rPr>
                <w:rFonts w:ascii="Roboto Light" w:hAnsi="Roboto Light"/>
                <w:b/>
                <w:bCs/>
                <w:sz w:val="18"/>
                <w:szCs w:val="18"/>
              </w:rPr>
              <w:t>Type of trading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1613DE4" w14:textId="77777777" w:rsidR="0057114E" w:rsidRPr="00272D3C" w:rsidRDefault="0057114E" w:rsidP="00F10156">
            <w:pPr>
              <w:spacing w:before="100" w:beforeAutospacing="1" w:after="100" w:afterAutospacing="1" w:line="240" w:lineRule="auto"/>
              <w:rPr>
                <w:rFonts w:ascii="Roboto Light" w:hAnsi="Roboto Light"/>
                <w:b/>
                <w:bCs/>
                <w:sz w:val="18"/>
                <w:szCs w:val="18"/>
              </w:rPr>
            </w:pPr>
            <w:r w:rsidRPr="00272D3C">
              <w:rPr>
                <w:rFonts w:ascii="Roboto Light" w:hAnsi="Roboto Light"/>
                <w:b/>
                <w:bCs/>
                <w:sz w:val="18"/>
                <w:szCs w:val="18"/>
              </w:rPr>
              <w:t>In scope of SVC?</w:t>
            </w:r>
          </w:p>
        </w:tc>
      </w:tr>
      <w:tr w:rsidR="0057114E" w:rsidRPr="00272D3C" w14:paraId="223FA961" w14:textId="77777777" w:rsidTr="00BA5B7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2BFFAD"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RPW (midpoint dark pools)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FC39BB"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Segoe UI Emoji" w:hAnsi="Segoe UI Emoji" w:cs="Segoe UI Emoji"/>
                <w:sz w:val="18"/>
                <w:szCs w:val="18"/>
              </w:rPr>
              <w:t>✅</w:t>
            </w:r>
            <w:r w:rsidRPr="00272D3C">
              <w:rPr>
                <w:rFonts w:ascii="Roboto Light" w:hAnsi="Roboto Light"/>
                <w:sz w:val="18"/>
                <w:szCs w:val="18"/>
              </w:rPr>
              <w:t xml:space="preserve"> Yes (core target)</w:t>
            </w:r>
          </w:p>
        </w:tc>
      </w:tr>
      <w:tr w:rsidR="0057114E" w:rsidRPr="00272D3C" w14:paraId="7C5ECF28" w14:textId="77777777" w:rsidTr="00BA5B7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F51BE2F"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NTW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FA0A01"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Segoe UI Emoji" w:hAnsi="Segoe UI Emoji" w:cs="Segoe UI Emoji"/>
                <w:sz w:val="18"/>
                <w:szCs w:val="18"/>
              </w:rPr>
              <w:t>❌</w:t>
            </w:r>
            <w:r w:rsidRPr="00272D3C">
              <w:rPr>
                <w:rFonts w:ascii="Roboto Light" w:hAnsi="Roboto Light"/>
                <w:sz w:val="18"/>
                <w:szCs w:val="18"/>
              </w:rPr>
              <w:t xml:space="preserve"> Largely de-emphasised / no longer central to cap</w:t>
            </w:r>
          </w:p>
        </w:tc>
      </w:tr>
      <w:tr w:rsidR="0057114E" w:rsidRPr="00272D3C" w14:paraId="7CC04A09" w14:textId="77777777" w:rsidTr="00BA5B7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3E290A"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LIS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B95A0B"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Segoe UI Emoji" w:hAnsi="Segoe UI Emoji" w:cs="Segoe UI Emoji"/>
                <w:sz w:val="18"/>
                <w:szCs w:val="18"/>
              </w:rPr>
              <w:t>❌</w:t>
            </w:r>
            <w:r w:rsidRPr="00272D3C">
              <w:rPr>
                <w:rFonts w:ascii="Roboto Light" w:hAnsi="Roboto Light"/>
                <w:sz w:val="18"/>
                <w:szCs w:val="18"/>
              </w:rPr>
              <w:t xml:space="preserve"> Excluded</w:t>
            </w:r>
          </w:p>
        </w:tc>
      </w:tr>
      <w:tr w:rsidR="0057114E" w:rsidRPr="00272D3C" w14:paraId="318B7638" w14:textId="77777777" w:rsidTr="00BA5B7C">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E526A4"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Roboto Light" w:hAnsi="Roboto Light"/>
                <w:sz w:val="18"/>
                <w:szCs w:val="18"/>
              </w:rPr>
              <w:t>Other dark mechanisms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0846A8" w14:textId="77777777" w:rsidR="0057114E" w:rsidRPr="00272D3C" w:rsidRDefault="0057114E" w:rsidP="00F10156">
            <w:pPr>
              <w:spacing w:before="100" w:beforeAutospacing="1" w:after="100" w:afterAutospacing="1" w:line="240" w:lineRule="auto"/>
              <w:rPr>
                <w:rFonts w:ascii="Roboto Light" w:hAnsi="Roboto Light"/>
                <w:sz w:val="18"/>
                <w:szCs w:val="18"/>
              </w:rPr>
            </w:pPr>
            <w:r w:rsidRPr="00272D3C">
              <w:rPr>
                <w:rFonts w:ascii="Segoe UI Emoji" w:hAnsi="Segoe UI Emoji" w:cs="Segoe UI Emoji"/>
                <w:sz w:val="18"/>
                <w:szCs w:val="18"/>
              </w:rPr>
              <w:t>❌</w:t>
            </w:r>
            <w:r w:rsidRPr="00272D3C">
              <w:rPr>
                <w:rFonts w:ascii="Roboto Light" w:hAnsi="Roboto Light"/>
                <w:sz w:val="18"/>
                <w:szCs w:val="18"/>
              </w:rPr>
              <w:t xml:space="preserve"> Outside cap</w:t>
            </w:r>
          </w:p>
        </w:tc>
      </w:tr>
    </w:tbl>
    <w:p w14:paraId="4E431E5B" w14:textId="77777777" w:rsidR="0057114E" w:rsidRPr="00272D3C" w:rsidRDefault="0057114E" w:rsidP="0057114E">
      <w:pPr>
        <w:pStyle w:val="FootnoteText"/>
        <w:rPr>
          <w:sz w:val="18"/>
          <w:szCs w:val="18"/>
        </w:rPr>
      </w:pPr>
    </w:p>
  </w:footnote>
  <w:footnote w:id="3">
    <w:p w14:paraId="2D3C4EB6" w14:textId="77777777" w:rsidR="00E91CCF" w:rsidRPr="00FE4BF2" w:rsidRDefault="00E91CCF" w:rsidP="00E91CCF">
      <w:pPr>
        <w:spacing w:before="100" w:beforeAutospacing="1" w:after="100" w:afterAutospacing="1" w:line="240" w:lineRule="auto"/>
        <w:contextualSpacing/>
        <w:rPr>
          <w:rFonts w:ascii="Roboto Light" w:hAnsi="Roboto Light"/>
          <w:b/>
          <w:bCs/>
          <w:sz w:val="18"/>
          <w:szCs w:val="18"/>
          <w:u w:val="single"/>
        </w:rPr>
      </w:pPr>
      <w:r w:rsidRPr="00FE4BF2">
        <w:rPr>
          <w:rStyle w:val="FootnoteReference"/>
          <w:rFonts w:ascii="Roboto Light" w:hAnsi="Roboto Light"/>
          <w:sz w:val="18"/>
          <w:szCs w:val="18"/>
        </w:rPr>
        <w:footnoteRef/>
      </w:r>
      <w:r w:rsidRPr="00FE4BF2">
        <w:rPr>
          <w:rFonts w:ascii="Roboto Light" w:hAnsi="Roboto Light"/>
          <w:sz w:val="18"/>
          <w:szCs w:val="18"/>
        </w:rPr>
        <w:t xml:space="preserve"> </w:t>
      </w:r>
      <w:r w:rsidRPr="00FE4BF2">
        <w:rPr>
          <w:rFonts w:ascii="Roboto Light" w:hAnsi="Roboto Light"/>
          <w:b/>
          <w:bCs/>
          <w:sz w:val="18"/>
          <w:szCs w:val="18"/>
          <w:u w:val="single"/>
        </w:rPr>
        <w:t>The gap between “what is dark” and “what is regulated as dark” has widened</w:t>
      </w:r>
    </w:p>
    <w:p w14:paraId="7DA46698" w14:textId="77777777" w:rsidR="00E91CCF" w:rsidRPr="00FE4BF2" w:rsidRDefault="00E91CCF" w:rsidP="00E91CCF">
      <w:pPr>
        <w:spacing w:before="100" w:beforeAutospacing="1" w:after="100" w:afterAutospacing="1" w:line="240" w:lineRule="auto"/>
        <w:contextualSpacing/>
        <w:rPr>
          <w:rFonts w:ascii="Roboto Light" w:hAnsi="Roboto Light"/>
          <w:i/>
          <w:iCs/>
          <w:sz w:val="18"/>
          <w:szCs w:val="18"/>
        </w:rPr>
      </w:pPr>
      <w:r w:rsidRPr="00FE4BF2">
        <w:rPr>
          <w:rFonts w:ascii="Roboto Light" w:hAnsi="Roboto Light"/>
          <w:i/>
          <w:iCs/>
          <w:sz w:val="18"/>
          <w:szCs w:val="18"/>
        </w:rPr>
        <w:t>ESMA understands “dark trading” as trading executed without pre</w:t>
      </w:r>
      <w:r w:rsidRPr="00FE4BF2">
        <w:rPr>
          <w:rFonts w:ascii="Roboto Light" w:hAnsi="Roboto Light"/>
          <w:i/>
          <w:iCs/>
          <w:sz w:val="18"/>
          <w:szCs w:val="18"/>
        </w:rPr>
        <w:noBreakHyphen/>
        <w:t>trade transparency (primarily via MiFIR waivers), with LIS included but separately treated, and with regulatory caps (DVC/SVC) applying only to a specific subset—now mainly RPW trades.</w:t>
      </w:r>
    </w:p>
    <w:p w14:paraId="2700C430" w14:textId="77777777" w:rsidR="00E91CCF" w:rsidRPr="00FE4BF2" w:rsidRDefault="00E91CCF" w:rsidP="00E91CCF">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The SVC: (</w:t>
      </w:r>
      <w:r w:rsidRPr="00FE4BF2">
        <w:rPr>
          <w:rFonts w:ascii="Roboto Light" w:hAnsi="Roboto Light"/>
          <w:i/>
          <w:iCs/>
          <w:sz w:val="18"/>
          <w:szCs w:val="18"/>
        </w:rPr>
        <w:t>does NOT redefine dark trading, it only simplifies and refocuses how part of dark trading is capped</w:t>
      </w:r>
      <w:r w:rsidRPr="00FE4BF2">
        <w:rPr>
          <w:rFonts w:ascii="Roboto Light" w:hAnsi="Roboto Light"/>
          <w:sz w:val="18"/>
          <w:szCs w:val="18"/>
        </w:rPr>
        <w:t>)</w:t>
      </w:r>
    </w:p>
    <w:p w14:paraId="63733FB9" w14:textId="77777777" w:rsidR="00E91CCF" w:rsidRPr="00FE4BF2" w:rsidRDefault="00E91CCF" w:rsidP="00E91CCF">
      <w:pPr>
        <w:pStyle w:val="ListParagraph"/>
        <w:numPr>
          <w:ilvl w:val="0"/>
          <w:numId w:val="17"/>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Narrows the regulatory focus to the most price-sensitive segment (RPW)</w:t>
      </w:r>
    </w:p>
    <w:p w14:paraId="576097B0" w14:textId="77777777" w:rsidR="00E91CCF" w:rsidRPr="00FE4BF2" w:rsidRDefault="00E91CCF" w:rsidP="00E91CCF">
      <w:pPr>
        <w:pStyle w:val="ListParagraph"/>
        <w:numPr>
          <w:ilvl w:val="0"/>
          <w:numId w:val="17"/>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Simplifies enforcement (single EU-wide threshold)</w:t>
      </w:r>
    </w:p>
    <w:p w14:paraId="2FA821F7" w14:textId="77777777" w:rsidR="00E91CCF" w:rsidRPr="00FE4BF2" w:rsidRDefault="00E91CCF" w:rsidP="00E91CCF">
      <w:pPr>
        <w:pStyle w:val="ListParagraph"/>
        <w:numPr>
          <w:ilvl w:val="0"/>
          <w:numId w:val="17"/>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Leaves the conceptual category unchanged but partially uncapped</w:t>
      </w:r>
    </w:p>
    <w:p w14:paraId="602BD134" w14:textId="77777777" w:rsidR="00E91CCF" w:rsidRPr="00FE4BF2" w:rsidRDefault="00E91CCF" w:rsidP="00E91CCF">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 xml:space="preserve">The CfE is revisiting: </w:t>
      </w:r>
    </w:p>
    <w:p w14:paraId="0C0594E1" w14:textId="77777777" w:rsidR="00E91CCF" w:rsidRPr="00FE4BF2" w:rsidRDefault="00E91CCF" w:rsidP="00E91CCF">
      <w:pPr>
        <w:pStyle w:val="ListParagraph"/>
        <w:numPr>
          <w:ilvl w:val="0"/>
          <w:numId w:val="17"/>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whether current definitions still capture meaningful risks</w:t>
      </w:r>
    </w:p>
    <w:p w14:paraId="4D2D3F2C" w14:textId="77777777" w:rsidR="00E91CCF" w:rsidRPr="00FE4BF2" w:rsidRDefault="00E91CCF" w:rsidP="00E91CCF">
      <w:pPr>
        <w:pStyle w:val="ListParagraph"/>
        <w:numPr>
          <w:ilvl w:val="0"/>
          <w:numId w:val="17"/>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and whether periodic auctions / SI activity are becoming “de facto dark substitutes</w:t>
      </w:r>
    </w:p>
    <w:p w14:paraId="5BDD671B" w14:textId="77777777" w:rsidR="00E91CCF" w:rsidRPr="00FE4BF2" w:rsidRDefault="00E91CCF" w:rsidP="00E91CCF">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Volume caps target only a subset of dark trading</w:t>
      </w:r>
    </w:p>
    <w:p w14:paraId="57C954C4" w14:textId="77777777" w:rsidR="00E91CCF" w:rsidRPr="00FE4BF2" w:rsidRDefault="00E91CCF" w:rsidP="00E91CCF">
      <w:pPr>
        <w:pStyle w:val="ListParagraph"/>
        <w:numPr>
          <w:ilvl w:val="0"/>
          <w:numId w:val="18"/>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Previously: RPW + NTW (DVC)</w:t>
      </w:r>
    </w:p>
    <w:p w14:paraId="61C5DADD" w14:textId="77777777" w:rsidR="00E91CCF" w:rsidRPr="00FE4BF2" w:rsidRDefault="00E91CCF" w:rsidP="00E91CCF">
      <w:pPr>
        <w:pStyle w:val="ListParagraph"/>
        <w:numPr>
          <w:ilvl w:val="0"/>
          <w:numId w:val="18"/>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Now: primarily RPW (SVC)</w:t>
      </w:r>
    </w:p>
    <w:p w14:paraId="7E6A2D31" w14:textId="77777777" w:rsidR="00E91CCF" w:rsidRPr="00FE4BF2" w:rsidRDefault="00E91CCF" w:rsidP="00E91CCF">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Considering the policy distinction; ESMA differentiates:</w:t>
      </w:r>
    </w:p>
    <w:p w14:paraId="4A54B9FF" w14:textId="77777777" w:rsidR="00E91CCF" w:rsidRPr="00FE4BF2" w:rsidRDefault="00E91CCF" w:rsidP="00E91CCF">
      <w:pPr>
        <w:pStyle w:val="ListParagraph"/>
        <w:numPr>
          <w:ilvl w:val="0"/>
          <w:numId w:val="19"/>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 xml:space="preserve">“Good/necessary dark” </w:t>
      </w:r>
      <w:r w:rsidRPr="00FE4BF2">
        <w:rPr>
          <w:rFonts w:ascii="Times New Roman" w:hAnsi="Times New Roman" w:cs="Times New Roman"/>
          <w:sz w:val="18"/>
          <w:szCs w:val="18"/>
          <w:lang w:val="en-GB"/>
        </w:rPr>
        <w:t>→</w:t>
      </w:r>
      <w:r w:rsidRPr="00FE4BF2">
        <w:rPr>
          <w:rFonts w:ascii="Roboto Light" w:hAnsi="Roboto Light"/>
          <w:sz w:val="18"/>
          <w:szCs w:val="18"/>
          <w:lang w:val="en-GB"/>
        </w:rPr>
        <w:t xml:space="preserve"> LIS (block trading)</w:t>
      </w:r>
    </w:p>
    <w:p w14:paraId="2F703598" w14:textId="77777777" w:rsidR="00E91CCF" w:rsidRPr="00FE4BF2" w:rsidRDefault="00E91CCF" w:rsidP="00E91CCF">
      <w:pPr>
        <w:pStyle w:val="ListParagraph"/>
        <w:numPr>
          <w:ilvl w:val="0"/>
          <w:numId w:val="19"/>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 xml:space="preserve">“Potentially harmful dark” </w:t>
      </w:r>
      <w:r w:rsidRPr="00FE4BF2">
        <w:rPr>
          <w:rFonts w:ascii="Times New Roman" w:hAnsi="Times New Roman" w:cs="Times New Roman"/>
          <w:sz w:val="18"/>
          <w:szCs w:val="18"/>
          <w:lang w:val="en-GB"/>
        </w:rPr>
        <w:t>→</w:t>
      </w:r>
      <w:r w:rsidRPr="00FE4BF2">
        <w:rPr>
          <w:rFonts w:ascii="Roboto Light" w:hAnsi="Roboto Light"/>
          <w:sz w:val="18"/>
          <w:szCs w:val="18"/>
          <w:lang w:val="en-GB"/>
        </w:rPr>
        <w:t xml:space="preserve"> RPW/NTW (price formation concerns)</w:t>
      </w:r>
    </w:p>
    <w:p w14:paraId="7EC4C668" w14:textId="77777777" w:rsidR="00E91CCF" w:rsidRPr="00FE4BF2" w:rsidRDefault="00E91CCF" w:rsidP="00E91CCF">
      <w:pPr>
        <w:pStyle w:val="ListParagraph"/>
        <w:numPr>
          <w:ilvl w:val="0"/>
          <w:numId w:val="19"/>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Regulatory “dark trading” (for cap purposes) = subset of dark trading (only RPW/NTW, excluding LIS)</w:t>
      </w:r>
    </w:p>
    <w:p w14:paraId="5DFC7AD7" w14:textId="77777777" w:rsidR="00E91CCF" w:rsidRPr="00FE4BF2" w:rsidRDefault="00E91CCF" w:rsidP="00E91CCF">
      <w:pPr>
        <w:pStyle w:val="ListParagraph"/>
        <w:numPr>
          <w:ilvl w:val="0"/>
          <w:numId w:val="19"/>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LIS is designed to protect block liquidity &amp; LIS is not subject to volume caps</w:t>
      </w:r>
    </w:p>
    <w:p w14:paraId="3A017C12" w14:textId="77777777" w:rsidR="00E91CCF" w:rsidRPr="00FE4BF2" w:rsidRDefault="00E91CCF" w:rsidP="00E91CCF">
      <w:pPr>
        <w:pStyle w:val="ListParagraph"/>
        <w:numPr>
          <w:ilvl w:val="0"/>
          <w:numId w:val="19"/>
        </w:numPr>
        <w:spacing w:before="100" w:beforeAutospacing="1" w:after="100" w:afterAutospacing="1" w:line="240" w:lineRule="auto"/>
        <w:contextualSpacing/>
        <w:jc w:val="left"/>
        <w:rPr>
          <w:rFonts w:ascii="Roboto Light" w:hAnsi="Roboto Light"/>
          <w:sz w:val="18"/>
          <w:szCs w:val="18"/>
          <w:lang w:val="en-GB"/>
        </w:rPr>
      </w:pPr>
      <w:r w:rsidRPr="00FE4BF2">
        <w:rPr>
          <w:rFonts w:ascii="Roboto Light" w:hAnsi="Roboto Light"/>
          <w:sz w:val="18"/>
          <w:szCs w:val="18"/>
          <w:lang w:val="en-GB"/>
        </w:rPr>
        <w:t>All LIS is dark, but not all dark is LIS—and regulators treat LIS as “acceptable dark.”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7"/>
        <w:gridCol w:w="4237"/>
      </w:tblGrid>
      <w:tr w:rsidR="00E91CCF" w:rsidRPr="00FE4BF2" w14:paraId="6CBC209D" w14:textId="77777777" w:rsidTr="00774198">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01A2F1" w14:textId="77777777" w:rsidR="00E91CCF" w:rsidRPr="00FE4BF2" w:rsidRDefault="00E91CCF" w:rsidP="0089754C">
            <w:pPr>
              <w:spacing w:before="100" w:beforeAutospacing="1" w:after="100" w:afterAutospacing="1" w:line="240" w:lineRule="auto"/>
              <w:contextualSpacing/>
              <w:rPr>
                <w:rFonts w:ascii="Roboto Light" w:hAnsi="Roboto Light"/>
                <w:b/>
                <w:bCs/>
                <w:sz w:val="18"/>
                <w:szCs w:val="18"/>
              </w:rPr>
            </w:pPr>
            <w:r w:rsidRPr="00FE4BF2">
              <w:rPr>
                <w:rFonts w:ascii="Roboto Light" w:hAnsi="Roboto Light"/>
                <w:b/>
                <w:bCs/>
                <w:sz w:val="18"/>
                <w:szCs w:val="18"/>
              </w:rPr>
              <w:t>Type of trading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D4E0AC" w14:textId="77777777" w:rsidR="00E91CCF" w:rsidRPr="00FE4BF2" w:rsidRDefault="00E91CCF" w:rsidP="0089754C">
            <w:pPr>
              <w:spacing w:before="100" w:beforeAutospacing="1" w:after="100" w:afterAutospacing="1" w:line="240" w:lineRule="auto"/>
              <w:contextualSpacing/>
              <w:rPr>
                <w:rFonts w:ascii="Roboto Light" w:hAnsi="Roboto Light"/>
                <w:b/>
                <w:bCs/>
                <w:sz w:val="18"/>
                <w:szCs w:val="18"/>
              </w:rPr>
            </w:pPr>
            <w:r w:rsidRPr="00FE4BF2">
              <w:rPr>
                <w:rFonts w:ascii="Roboto Light" w:hAnsi="Roboto Light"/>
                <w:b/>
                <w:bCs/>
                <w:sz w:val="18"/>
                <w:szCs w:val="18"/>
              </w:rPr>
              <w:t>In scope of SVC?</w:t>
            </w:r>
          </w:p>
        </w:tc>
      </w:tr>
      <w:tr w:rsidR="00E91CCF" w:rsidRPr="00FE4BF2" w14:paraId="0C00FC7D" w14:textId="77777777" w:rsidTr="0077419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3C2A17"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RPW (midpoint dark pools)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275BFF"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Segoe UI Emoji" w:hAnsi="Segoe UI Emoji" w:cs="Segoe UI Emoji"/>
                <w:sz w:val="18"/>
                <w:szCs w:val="18"/>
              </w:rPr>
              <w:t>✅</w:t>
            </w:r>
            <w:r w:rsidRPr="00FE4BF2">
              <w:rPr>
                <w:rFonts w:ascii="Roboto Light" w:hAnsi="Roboto Light"/>
                <w:sz w:val="18"/>
                <w:szCs w:val="18"/>
              </w:rPr>
              <w:t xml:space="preserve"> Yes (core target)</w:t>
            </w:r>
          </w:p>
        </w:tc>
      </w:tr>
      <w:tr w:rsidR="00E91CCF" w:rsidRPr="00FE4BF2" w14:paraId="1821DA4B" w14:textId="77777777" w:rsidTr="0077419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CE2F964"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NTW</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862AB9"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Segoe UI Emoji" w:hAnsi="Segoe UI Emoji" w:cs="Segoe UI Emoji"/>
                <w:sz w:val="18"/>
                <w:szCs w:val="18"/>
              </w:rPr>
              <w:t>❌</w:t>
            </w:r>
            <w:r w:rsidRPr="00FE4BF2">
              <w:rPr>
                <w:rFonts w:ascii="Roboto Light" w:hAnsi="Roboto Light"/>
                <w:sz w:val="18"/>
                <w:szCs w:val="18"/>
              </w:rPr>
              <w:t xml:space="preserve"> Largely de-emphasised / no longer central to cap</w:t>
            </w:r>
          </w:p>
        </w:tc>
      </w:tr>
      <w:tr w:rsidR="00E91CCF" w:rsidRPr="00FE4BF2" w14:paraId="4D09B307" w14:textId="77777777" w:rsidTr="0077419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C035FA"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LIS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E3A3A5"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Segoe UI Emoji" w:hAnsi="Segoe UI Emoji" w:cs="Segoe UI Emoji"/>
                <w:sz w:val="18"/>
                <w:szCs w:val="18"/>
              </w:rPr>
              <w:t>❌</w:t>
            </w:r>
            <w:r w:rsidRPr="00FE4BF2">
              <w:rPr>
                <w:rFonts w:ascii="Roboto Light" w:hAnsi="Roboto Light"/>
                <w:sz w:val="18"/>
                <w:szCs w:val="18"/>
              </w:rPr>
              <w:t xml:space="preserve"> Excluded</w:t>
            </w:r>
          </w:p>
        </w:tc>
      </w:tr>
      <w:tr w:rsidR="00E91CCF" w:rsidRPr="00FE4BF2" w14:paraId="6B23213A" w14:textId="77777777" w:rsidTr="0077419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25F554"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Roboto Light" w:hAnsi="Roboto Light"/>
                <w:sz w:val="18"/>
                <w:szCs w:val="18"/>
              </w:rPr>
              <w:t>Other dark mechanisms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414C91" w14:textId="77777777" w:rsidR="00E91CCF" w:rsidRPr="00FE4BF2" w:rsidRDefault="00E91CCF" w:rsidP="0089754C">
            <w:pPr>
              <w:spacing w:before="100" w:beforeAutospacing="1" w:after="100" w:afterAutospacing="1" w:line="240" w:lineRule="auto"/>
              <w:contextualSpacing/>
              <w:rPr>
                <w:rFonts w:ascii="Roboto Light" w:hAnsi="Roboto Light"/>
                <w:sz w:val="18"/>
                <w:szCs w:val="18"/>
              </w:rPr>
            </w:pPr>
            <w:r w:rsidRPr="00FE4BF2">
              <w:rPr>
                <w:rFonts w:ascii="Segoe UI Emoji" w:hAnsi="Segoe UI Emoji" w:cs="Segoe UI Emoji"/>
                <w:sz w:val="18"/>
                <w:szCs w:val="18"/>
              </w:rPr>
              <w:t>❌</w:t>
            </w:r>
            <w:r w:rsidRPr="00FE4BF2">
              <w:rPr>
                <w:rFonts w:ascii="Roboto Light" w:hAnsi="Roboto Light"/>
                <w:sz w:val="18"/>
                <w:szCs w:val="18"/>
              </w:rPr>
              <w:t xml:space="preserve"> Outside cap</w:t>
            </w:r>
          </w:p>
        </w:tc>
      </w:tr>
    </w:tbl>
    <w:p w14:paraId="3DBEA402" w14:textId="77777777" w:rsidR="00E91CCF" w:rsidRPr="00FE4BF2" w:rsidRDefault="00E91CCF" w:rsidP="00E91CCF">
      <w:pPr>
        <w:pStyle w:val="FootnoteText"/>
      </w:pPr>
    </w:p>
  </w:footnote>
  <w:footnote w:id="4">
    <w:p w14:paraId="47026AE9" w14:textId="77777777" w:rsidR="00A46839" w:rsidRPr="00FE4BF2" w:rsidRDefault="00A46839" w:rsidP="00A46839">
      <w:pPr>
        <w:pStyle w:val="FootnoteText"/>
      </w:pPr>
      <w:r w:rsidRPr="00FE4BF2">
        <w:rPr>
          <w:rStyle w:val="FootnoteReference"/>
        </w:rPr>
        <w:footnoteRef/>
      </w:r>
      <w:r w:rsidRPr="00FE4BF2">
        <w:t xml:space="preserve"> </w:t>
      </w:r>
      <w:hyperlink r:id="rId1" w:history="1">
        <w:r w:rsidRPr="00FE4BF2">
          <w:rPr>
            <w:rStyle w:val="Hyperlink"/>
          </w:rPr>
          <w:t>Flash Boys - Wikipedia</w:t>
        </w:r>
      </w:hyperlink>
    </w:p>
  </w:footnote>
  <w:footnote w:id="5">
    <w:p w14:paraId="42CC4CC7" w14:textId="77777777" w:rsidR="00A46839" w:rsidRPr="00FE4BF2" w:rsidRDefault="00A46839" w:rsidP="00A46839">
      <w:pPr>
        <w:pStyle w:val="FootnoteText"/>
      </w:pPr>
      <w:r w:rsidRPr="00FE4BF2">
        <w:rPr>
          <w:rStyle w:val="FootnoteReference"/>
        </w:rPr>
        <w:footnoteRef/>
      </w:r>
      <w:r w:rsidRPr="00FE4BF2">
        <w:t xml:space="preserve"> </w:t>
      </w:r>
      <w:hyperlink r:id="rId2" w:history="1">
        <w:r w:rsidRPr="00FE4BF2">
          <w:rPr>
            <w:rStyle w:val="Hyperlink"/>
          </w:rPr>
          <w:t>AFME and EFAMA set out priorities to scale up EU Equity Markets</w:t>
        </w:r>
      </w:hyperlink>
    </w:p>
  </w:footnote>
  <w:footnote w:id="6">
    <w:p w14:paraId="0D805D19" w14:textId="77777777" w:rsidR="00EA3846" w:rsidRPr="00FE4BF2" w:rsidRDefault="00EA3846" w:rsidP="00EA3846">
      <w:pPr>
        <w:pStyle w:val="FootnoteText"/>
      </w:pPr>
      <w:r w:rsidRPr="00FE4BF2">
        <w:rPr>
          <w:rStyle w:val="FootnoteReference"/>
        </w:rPr>
        <w:footnoteRef/>
      </w:r>
      <w:r w:rsidRPr="00FE4BF2">
        <w:t xml:space="preserve"> </w:t>
      </w:r>
      <w:hyperlink r:id="rId3" w:history="1">
        <w:r w:rsidRPr="00FE4BF2">
          <w:rPr>
            <w:rStyle w:val="Hyperlink"/>
          </w:rPr>
          <w:t>Sounding the bell: understanding the closing auction for… | BMLL</w:t>
        </w:r>
      </w:hyperlink>
    </w:p>
  </w:footnote>
  <w:footnote w:id="7">
    <w:p w14:paraId="10803BDC" w14:textId="77777777" w:rsidR="00EA3846" w:rsidRPr="00FE4BF2" w:rsidRDefault="00EA3846" w:rsidP="00EA3846">
      <w:pPr>
        <w:pStyle w:val="FootnoteText"/>
      </w:pPr>
      <w:r w:rsidRPr="00FE4BF2">
        <w:rPr>
          <w:rStyle w:val="FootnoteReference"/>
        </w:rPr>
        <w:footnoteRef/>
      </w:r>
      <w:r w:rsidRPr="00FE4BF2">
        <w:t xml:space="preserve"> </w:t>
      </w:r>
      <w:hyperlink r:id="rId4" w:history="1">
        <w:r w:rsidRPr="00FE4BF2">
          <w:rPr>
            <w:rStyle w:val="Hyperlink"/>
          </w:rPr>
          <w:t>Plotting at the Triple Witching Hour: how the Closing Auction… | BMLL</w:t>
        </w:r>
      </w:hyperlink>
    </w:p>
  </w:footnote>
  <w:footnote w:id="8">
    <w:p w14:paraId="22852E1B" w14:textId="77777777" w:rsidR="00EA3846" w:rsidRPr="00FE4BF2" w:rsidRDefault="00EA3846" w:rsidP="00EA3846">
      <w:pPr>
        <w:pStyle w:val="FootnoteText"/>
      </w:pPr>
      <w:r w:rsidRPr="00FE4BF2">
        <w:rPr>
          <w:rStyle w:val="FootnoteReference"/>
        </w:rPr>
        <w:footnoteRef/>
      </w:r>
      <w:r w:rsidRPr="00FE4BF2">
        <w:t xml:space="preserve"> </w:t>
      </w:r>
      <w:hyperlink r:id="rId5" w:history="1">
        <w:r w:rsidRPr="00FE4BF2">
          <w:rPr>
            <w:rStyle w:val="Hyperlink"/>
          </w:rPr>
          <w:t>Better trading at the close thanks to market impact models</w:t>
        </w:r>
      </w:hyperlink>
    </w:p>
  </w:footnote>
  <w:footnote w:id="9">
    <w:p w14:paraId="6A468AB6" w14:textId="77777777" w:rsidR="00EA3846" w:rsidRPr="00FE4BF2" w:rsidRDefault="00EA3846" w:rsidP="00EA3846">
      <w:pPr>
        <w:pStyle w:val="FootnoteText"/>
      </w:pPr>
      <w:r w:rsidRPr="00FE4BF2">
        <w:rPr>
          <w:rStyle w:val="FootnoteReference"/>
        </w:rPr>
        <w:footnoteRef/>
      </w:r>
      <w:r w:rsidRPr="00FE4BF2">
        <w:t xml:space="preserve"> </w:t>
      </w:r>
      <w:hyperlink r:id="rId6" w:history="1">
        <w:r w:rsidRPr="00FE4BF2">
          <w:rPr>
            <w:rStyle w:val="Hyperlink"/>
          </w:rPr>
          <w:t>Shifting Volumes to the Close: Consequences for Price Discovery and Market Quality</w:t>
        </w:r>
      </w:hyperlink>
    </w:p>
    <w:p w14:paraId="2F445E35" w14:textId="77777777" w:rsidR="00EA3846" w:rsidRPr="00FE4BF2" w:rsidRDefault="00EA3846" w:rsidP="00EA3846">
      <w:pPr>
        <w:pStyle w:val="FootnoteText"/>
      </w:pPr>
    </w:p>
  </w:footnote>
  <w:footnote w:id="10">
    <w:p w14:paraId="34B5AF01" w14:textId="77777777" w:rsidR="00843B05" w:rsidRPr="00FE4BF2" w:rsidRDefault="00843B05" w:rsidP="00843B05">
      <w:pPr>
        <w:pStyle w:val="FootnoteText"/>
      </w:pPr>
      <w:r w:rsidRPr="00FE4BF2">
        <w:rPr>
          <w:rStyle w:val="FootnoteReference"/>
        </w:rPr>
        <w:footnoteRef/>
      </w:r>
      <w:r w:rsidRPr="00FE4BF2">
        <w:t xml:space="preserve"> </w:t>
      </w:r>
      <w:hyperlink r:id="rId7" w:history="1">
        <w:r w:rsidRPr="00FE4BF2">
          <w:rPr>
            <w:rStyle w:val="Hyperlink"/>
          </w:rPr>
          <w:t>BMLL Market Lens: European Liquidity Maps | BMLL</w:t>
        </w:r>
      </w:hyperlink>
    </w:p>
  </w:footnote>
  <w:footnote w:id="11">
    <w:p w14:paraId="78EA6A96" w14:textId="77777777" w:rsidR="003B37A7" w:rsidRPr="00FE4BF2" w:rsidRDefault="003B37A7" w:rsidP="003B37A7">
      <w:pPr>
        <w:pStyle w:val="FootnoteText"/>
        <w:rPr>
          <w:rFonts w:ascii="Roboto Light" w:hAnsi="Roboto Light"/>
        </w:rPr>
      </w:pPr>
      <w:r w:rsidRPr="00FE4BF2">
        <w:rPr>
          <w:rStyle w:val="FootnoteReference"/>
        </w:rPr>
        <w:footnoteRef/>
      </w:r>
      <w:r w:rsidRPr="00FE4BF2">
        <w:t xml:space="preserve"> </w:t>
      </w:r>
      <w:hyperlink r:id="rId8" w:history="1">
        <w:r w:rsidRPr="00FE4BF2">
          <w:rPr>
            <w:rStyle w:val="Hyperlink"/>
            <w:rFonts w:ascii="Roboto Light" w:hAnsi="Roboto Light"/>
          </w:rPr>
          <w:t>https://fixtrading.org/packages/fix-trade-flag-scenarios-european-equities/</w:t>
        </w:r>
      </w:hyperlink>
    </w:p>
    <w:p w14:paraId="5407FF04" w14:textId="77777777" w:rsidR="003B37A7" w:rsidRDefault="003B37A7" w:rsidP="003B37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D16"/>
    <w:multiLevelType w:val="multilevel"/>
    <w:tmpl w:val="73285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65C44"/>
    <w:multiLevelType w:val="multilevel"/>
    <w:tmpl w:val="EC0E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C6D5E"/>
    <w:multiLevelType w:val="multilevel"/>
    <w:tmpl w:val="EE920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07CA"/>
    <w:multiLevelType w:val="multilevel"/>
    <w:tmpl w:val="04347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B423B"/>
    <w:multiLevelType w:val="multilevel"/>
    <w:tmpl w:val="3D10E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D4948"/>
    <w:multiLevelType w:val="multilevel"/>
    <w:tmpl w:val="1AB4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C79ED"/>
    <w:multiLevelType w:val="multilevel"/>
    <w:tmpl w:val="99A0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1454B"/>
    <w:multiLevelType w:val="hybridMultilevel"/>
    <w:tmpl w:val="FD2650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02D23"/>
    <w:multiLevelType w:val="hybridMultilevel"/>
    <w:tmpl w:val="A274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F3CAE"/>
    <w:multiLevelType w:val="multilevel"/>
    <w:tmpl w:val="5864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14E475A"/>
    <w:multiLevelType w:val="multilevel"/>
    <w:tmpl w:val="3254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05BE7"/>
    <w:multiLevelType w:val="multilevel"/>
    <w:tmpl w:val="D2B4B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863F3"/>
    <w:multiLevelType w:val="hybridMultilevel"/>
    <w:tmpl w:val="7ED6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B80ABB"/>
    <w:multiLevelType w:val="hybridMultilevel"/>
    <w:tmpl w:val="CF3E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22" w15:restartNumberingAfterBreak="0">
    <w:nsid w:val="43985C2B"/>
    <w:multiLevelType w:val="multilevel"/>
    <w:tmpl w:val="2A50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B28D8"/>
    <w:multiLevelType w:val="multilevel"/>
    <w:tmpl w:val="2208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30D87"/>
    <w:multiLevelType w:val="multilevel"/>
    <w:tmpl w:val="5CB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A9123BD"/>
    <w:multiLevelType w:val="multilevel"/>
    <w:tmpl w:val="F1C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10B8C"/>
    <w:multiLevelType w:val="multilevel"/>
    <w:tmpl w:val="4E569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C1AC0"/>
    <w:multiLevelType w:val="multilevel"/>
    <w:tmpl w:val="F1C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B098A"/>
    <w:multiLevelType w:val="multilevel"/>
    <w:tmpl w:val="242C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A53FE3"/>
    <w:multiLevelType w:val="hybridMultilevel"/>
    <w:tmpl w:val="5A52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D2F5F"/>
    <w:multiLevelType w:val="multilevel"/>
    <w:tmpl w:val="FEF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57119"/>
    <w:multiLevelType w:val="multilevel"/>
    <w:tmpl w:val="52AE6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21525">
    <w:abstractNumId w:val="32"/>
  </w:num>
  <w:num w:numId="2" w16cid:durableId="270287514">
    <w:abstractNumId w:val="14"/>
  </w:num>
  <w:num w:numId="3" w16cid:durableId="1675497260">
    <w:abstractNumId w:val="26"/>
  </w:num>
  <w:num w:numId="4" w16cid:durableId="1146706333">
    <w:abstractNumId w:val="13"/>
  </w:num>
  <w:num w:numId="5" w16cid:durableId="1502348752">
    <w:abstractNumId w:val="1"/>
  </w:num>
  <w:num w:numId="6" w16cid:durableId="1544101585">
    <w:abstractNumId w:val="18"/>
  </w:num>
  <w:num w:numId="7" w16cid:durableId="896626050">
    <w:abstractNumId w:val="33"/>
  </w:num>
  <w:num w:numId="8" w16cid:durableId="806780153">
    <w:abstractNumId w:val="8"/>
  </w:num>
  <w:num w:numId="9" w16cid:durableId="1677002603">
    <w:abstractNumId w:val="30"/>
  </w:num>
  <w:num w:numId="10" w16cid:durableId="22487393">
    <w:abstractNumId w:val="25"/>
  </w:num>
  <w:num w:numId="11" w16cid:durableId="270942799">
    <w:abstractNumId w:val="21"/>
  </w:num>
  <w:num w:numId="12" w16cid:durableId="10230698">
    <w:abstractNumId w:val="21"/>
    <w:lvlOverride w:ilvl="0">
      <w:startOverride w:val="1"/>
    </w:lvlOverride>
  </w:num>
  <w:num w:numId="13" w16cid:durableId="1914856611">
    <w:abstractNumId w:val="6"/>
  </w:num>
  <w:num w:numId="14" w16cid:durableId="297614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20"/>
  </w:num>
  <w:num w:numId="17" w16cid:durableId="335034212">
    <w:abstractNumId w:val="11"/>
  </w:num>
  <w:num w:numId="18" w16cid:durableId="1720133353">
    <w:abstractNumId w:val="34"/>
  </w:num>
  <w:num w:numId="19" w16cid:durableId="1367484182">
    <w:abstractNumId w:val="17"/>
  </w:num>
  <w:num w:numId="20" w16cid:durableId="1544755035">
    <w:abstractNumId w:val="7"/>
  </w:num>
  <w:num w:numId="21" w16cid:durableId="758018463">
    <w:abstractNumId w:val="22"/>
  </w:num>
  <w:num w:numId="22" w16cid:durableId="1430740063">
    <w:abstractNumId w:val="16"/>
  </w:num>
  <w:num w:numId="23" w16cid:durableId="1724862944">
    <w:abstractNumId w:val="36"/>
  </w:num>
  <w:num w:numId="24" w16cid:durableId="1100106089">
    <w:abstractNumId w:val="24"/>
  </w:num>
  <w:num w:numId="25" w16cid:durableId="1942370257">
    <w:abstractNumId w:val="3"/>
  </w:num>
  <w:num w:numId="26" w16cid:durableId="1956519269">
    <w:abstractNumId w:val="9"/>
  </w:num>
  <w:num w:numId="27" w16cid:durableId="984317373">
    <w:abstractNumId w:val="28"/>
  </w:num>
  <w:num w:numId="28" w16cid:durableId="1212884850">
    <w:abstractNumId w:val="4"/>
  </w:num>
  <w:num w:numId="29" w16cid:durableId="566183856">
    <w:abstractNumId w:val="2"/>
  </w:num>
  <w:num w:numId="30" w16cid:durableId="171645298">
    <w:abstractNumId w:val="31"/>
  </w:num>
  <w:num w:numId="31" w16cid:durableId="1773238036">
    <w:abstractNumId w:val="29"/>
  </w:num>
  <w:num w:numId="32" w16cid:durableId="2008971095">
    <w:abstractNumId w:val="5"/>
  </w:num>
  <w:num w:numId="33" w16cid:durableId="710805151">
    <w:abstractNumId w:val="19"/>
  </w:num>
  <w:num w:numId="34" w16cid:durableId="1802456234">
    <w:abstractNumId w:val="27"/>
  </w:num>
  <w:num w:numId="35" w16cid:durableId="1517034591">
    <w:abstractNumId w:val="10"/>
  </w:num>
  <w:num w:numId="36" w16cid:durableId="1333410910">
    <w:abstractNumId w:val="0"/>
  </w:num>
  <w:num w:numId="37" w16cid:durableId="1874151193">
    <w:abstractNumId w:val="15"/>
  </w:num>
  <w:num w:numId="38" w16cid:durableId="2035228019">
    <w:abstractNumId w:val="12"/>
  </w:num>
  <w:num w:numId="39" w16cid:durableId="1914192778">
    <w:abstractNumId w:val="35"/>
  </w:num>
  <w:num w:numId="40" w16cid:durableId="10427545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0AE"/>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0FE3"/>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36"/>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4BB8"/>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CD0"/>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2D71"/>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ABD"/>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4C3"/>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7A7"/>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95B"/>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3417"/>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14E"/>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7C0"/>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18E"/>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BE5"/>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4D0"/>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79D"/>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2D1E"/>
    <w:rsid w:val="006731AA"/>
    <w:rsid w:val="00673206"/>
    <w:rsid w:val="00673563"/>
    <w:rsid w:val="0067394F"/>
    <w:rsid w:val="00673AC8"/>
    <w:rsid w:val="00673C5E"/>
    <w:rsid w:val="00673FAB"/>
    <w:rsid w:val="00674523"/>
    <w:rsid w:val="006745A4"/>
    <w:rsid w:val="00674C26"/>
    <w:rsid w:val="0067523C"/>
    <w:rsid w:val="00675955"/>
    <w:rsid w:val="00675BF9"/>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8F1"/>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4D3"/>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B8"/>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3E5F"/>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05"/>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1DE"/>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6A20"/>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080"/>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839"/>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253"/>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BD4"/>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6DEF"/>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7D8"/>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4BAA"/>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011"/>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5B3E"/>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9D"/>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0B"/>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7F9"/>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574"/>
    <w:rsid w:val="00E35DA8"/>
    <w:rsid w:val="00E35DB3"/>
    <w:rsid w:val="00E366E2"/>
    <w:rsid w:val="00E36C6F"/>
    <w:rsid w:val="00E36EE9"/>
    <w:rsid w:val="00E37244"/>
    <w:rsid w:val="00E3778F"/>
    <w:rsid w:val="00E37F6A"/>
    <w:rsid w:val="00E40274"/>
    <w:rsid w:val="00E40300"/>
    <w:rsid w:val="00E4047A"/>
    <w:rsid w:val="00E40497"/>
    <w:rsid w:val="00E4058E"/>
    <w:rsid w:val="00E40C63"/>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1A1"/>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1CCF"/>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846"/>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38E"/>
    <w:rsid w:val="00EF75F0"/>
    <w:rsid w:val="00F002A0"/>
    <w:rsid w:val="00F006C5"/>
    <w:rsid w:val="00F00731"/>
    <w:rsid w:val="00F00A7D"/>
    <w:rsid w:val="00F00FA7"/>
    <w:rsid w:val="00F01831"/>
    <w:rsid w:val="00F01A32"/>
    <w:rsid w:val="00F01F41"/>
    <w:rsid w:val="00F02048"/>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375"/>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31B8"/>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6F9F"/>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BF"/>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50534"/>
    <w:pPr>
      <w:spacing w:after="0" w:line="240" w:lineRule="auto"/>
    </w:pPr>
  </w:style>
  <w:style w:type="character" w:customStyle="1" w:styleId="EndnoteTextChar">
    <w:name w:val="Endnote Text Char"/>
    <w:basedOn w:val="DefaultParagraphFont"/>
    <w:link w:val="EndnoteText"/>
    <w:uiPriority w:val="99"/>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mbaleba-my.sharepoint.com/:b:/g/personal/amcdonald_evia_org_uk/IQDqSyk0v1HDRYEv5WzqurFcAS61cgKuUcXBx_pjEN7-pHo?e=K1QPcM" TargetMode="External"/><Relationship Id="rId26" Type="http://schemas.openxmlformats.org/officeDocument/2006/relationships/hyperlink" Target="https://www.efmaefm.org/0EFMAMEETINGS/EFMA%20ANNUAL%20MEETINGS/2023-UK/papers/EFMA%202023_stage-4455_question-Full%20Paper_id-228.pdf" TargetMode="External"/><Relationship Id="rId3" Type="http://schemas.openxmlformats.org/officeDocument/2006/relationships/customXml" Target="../customXml/item3.xml"/><Relationship Id="rId21" Type="http://schemas.openxmlformats.org/officeDocument/2006/relationships/hyperlink" Target="https://www.acquired.fm/episodes/vanguard"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hyperlink" Target="https://www.euronext.com/en/news/better-trading-close-thanks-market-impact-mode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mbaleba-my.sharepoint.com/:b:/g/personal/amcdonald_evia_org_uk/IQD6OdKQ1RnQQL9qJciU6cXIAZCrWyQXGuuoyWtyhMo3qKk?e=0grV7z" TargetMode="External"/><Relationship Id="rId29" Type="http://schemas.openxmlformats.org/officeDocument/2006/relationships/image" Target="media/image5.png"/><Relationship Id="rId32"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mlltech.com/news/market-insight/plotting-at-the-triple-witching-hour-how-the-closing-auction-has-changed" TargetMode="Externa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yperlink" Target="https://www.bmlltech.com/news/market-insight/sounding-the-bell-understanding-the-closing-auction-for-optimal-execution-in-global-equity-markets"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amazon.com/Stay-Course-Story-Vanguard-Revolution/dp/1119404304/ref=tmm_hrd_swatch_0" TargetMode="External"/><Relationship Id="rId27" Type="http://schemas.openxmlformats.org/officeDocument/2006/relationships/hyperlink" Target="https://www.bmlltech.com/news/market-insight/bmll-market-lens-liquidity-maps" TargetMode="External"/><Relationship Id="rId30" Type="http://schemas.openxmlformats.org/officeDocument/2006/relationships/hyperlink" Target="https://fixtrading.org/packages/fix-trade-flag-scenarios-european-equities/" TargetMode="External"/><Relationship Id="rId35" Type="http://schemas.openxmlformats.org/officeDocument/2006/relationships/theme" Target="theme/theme1.xml"/><Relationship Id="rId8" Type="http://schemas.openxmlformats.org/officeDocument/2006/relationships/settings" Target="settings.xml"/></Relationships>
</file>

<file path=word/_rels/endnotes.xml.rels><?xml version="1.0" encoding="UTF-8" standalone="yes"?>
<Relationships xmlns="http://schemas.openxmlformats.org/package/2006/relationships"><Relationship Id="rId13" Type="http://schemas.openxmlformats.org/officeDocument/2006/relationships/hyperlink" Target="https://www.morningstar.com/business/insights/blog/active-vs-passive-investing" TargetMode="External"/><Relationship Id="rId18" Type="http://schemas.openxmlformats.org/officeDocument/2006/relationships/hyperlink" Target="https://www.morningstar.com/business/insights/blog/active-vs-passive-investing" TargetMode="External"/><Relationship Id="rId26" Type="http://schemas.openxmlformats.org/officeDocument/2006/relationships/hyperlink" Target="https://pwlcapital.com/wp-content/uploads/2025/03/20250318-The-Passive-vs-Active-Fund-Monitor.pdf" TargetMode="External"/><Relationship Id="rId21" Type="http://schemas.openxmlformats.org/officeDocument/2006/relationships/hyperlink" Target="https://pwlcapital.com/wp-content/uploads/2026/04/YearEnd2025_The-Passive-vs-Active-Fund-Monitor_en.pdf" TargetMode="External"/><Relationship Id="rId34" Type="http://schemas.openxmlformats.org/officeDocument/2006/relationships/hyperlink" Target="https://www.apolloacademy.com/wp-content/uploads/2024/11/Passive-Investing-Paper-vF-112224_STAMPED.pdf" TargetMode="External"/><Relationship Id="rId7" Type="http://schemas.openxmlformats.org/officeDocument/2006/relationships/hyperlink" Target="https://citywire.com/selector/news/no-manager-no-problem-2024-best-year-yet-for-passive-flows/a2458422" TargetMode="External"/><Relationship Id="rId12" Type="http://schemas.openxmlformats.org/officeDocument/2006/relationships/hyperlink" Target="https://pwlcapital.com/wp-content/uploads/2025/03/20250318-The-Passive-vs-Active-Fund-Monitor.pdf" TargetMode="External"/><Relationship Id="rId17" Type="http://schemas.openxmlformats.org/officeDocument/2006/relationships/hyperlink" Target="https://www.investopedia.com/articles/exchangetradedfunds/12/brief-history-exchange-traded-funds.asp" TargetMode="External"/><Relationship Id="rId25" Type="http://schemas.openxmlformats.org/officeDocument/2006/relationships/hyperlink" Target="https://citywire.com/selector/news/no-manager-no-problem-2024-best-year-yet-for-passive-flows/a2458422" TargetMode="External"/><Relationship Id="rId33" Type="http://schemas.openxmlformats.org/officeDocument/2006/relationships/hyperlink" Target="https://pwlcapital.com/wp-content/uploads/2025/03/20250318-The-Passive-vs-Active-Fund-Monitor.pdf" TargetMode="External"/><Relationship Id="rId2" Type="http://schemas.openxmlformats.org/officeDocument/2006/relationships/hyperlink" Target="https://citywire.com/selector/news/no-manager-no-problem-2024-best-year-yet-for-passive-flows/a2458422" TargetMode="External"/><Relationship Id="rId16" Type="http://schemas.openxmlformats.org/officeDocument/2006/relationships/hyperlink" Target="https://www.apolloacademy.com/wp-content/uploads/2024/11/Passive-Investing-Paper-vF-112224_STAMPED.pdf" TargetMode="External"/><Relationship Id="rId20" Type="http://schemas.openxmlformats.org/officeDocument/2006/relationships/hyperlink" Target="https://citywire.com/selector/news/no-manager-no-problem-2024-best-year-yet-for-passive-flows/a2458422" TargetMode="External"/><Relationship Id="rId29" Type="http://schemas.openxmlformats.org/officeDocument/2006/relationships/hyperlink" Target="https://pwlcapital.com/wp-content/uploads/2026/04/YearEnd2025_The-Passive-vs-Active-Fund-Monitor_en.pdf" TargetMode="External"/><Relationship Id="rId1" Type="http://schemas.openxmlformats.org/officeDocument/2006/relationships/hyperlink" Target="https://www.acquired.fm/episodes/vanguard" TargetMode="External"/><Relationship Id="rId6" Type="http://schemas.openxmlformats.org/officeDocument/2006/relationships/hyperlink" Target="https://www.ftportfolios.com/Commentary/MarketCommentary/2025/10/28/passive-vs.-active-fund-flows" TargetMode="External"/><Relationship Id="rId11" Type="http://schemas.openxmlformats.org/officeDocument/2006/relationships/hyperlink" Target="https://pwlcapital.com/wp-content/uploads/2026/04/YearEnd2025_The-Passive-vs-Active-Fund-Monitor_en.pdf" TargetMode="External"/><Relationship Id="rId24" Type="http://schemas.openxmlformats.org/officeDocument/2006/relationships/hyperlink" Target="https://www.ftportfolios.com/Commentary/MarketCommentary/2025/10/28/passive-vs.-active-fund-flows" TargetMode="External"/><Relationship Id="rId32" Type="http://schemas.openxmlformats.org/officeDocument/2006/relationships/hyperlink" Target="https://cafemutual.com/news/passives/34893-how-are-passive-funds-faring-globally" TargetMode="External"/><Relationship Id="rId37" Type="http://schemas.openxmlformats.org/officeDocument/2006/relationships/hyperlink" Target="https://www.investopedia.com/articles/exchangetradedfunds/12/brief-history-exchange-traded-funds.asp" TargetMode="External"/><Relationship Id="rId5" Type="http://schemas.openxmlformats.org/officeDocument/2006/relationships/hyperlink" Target="https://citywire.com/selector/news/no-manager-no-problem-2024-best-year-yet-for-passive-flows/a2458422" TargetMode="External"/><Relationship Id="rId15" Type="http://schemas.openxmlformats.org/officeDocument/2006/relationships/hyperlink" Target="https://pwlcapital.com/wp-content/uploads/2025/03/20250318-The-Passive-vs-Active-Fund-Monitor.pdf" TargetMode="External"/><Relationship Id="rId23" Type="http://schemas.openxmlformats.org/officeDocument/2006/relationships/hyperlink" Target="https://citywire.com/selector/news/no-manager-no-problem-2024-best-year-yet-for-passive-flows/a2458422" TargetMode="External"/><Relationship Id="rId28" Type="http://schemas.openxmlformats.org/officeDocument/2006/relationships/hyperlink" Target="https://pwlcapital.com/wp-content/uploads/2026/04/YearEnd2025_The-Passive-vs-Active-Fund-Monitor_en.pdf" TargetMode="External"/><Relationship Id="rId36" Type="http://schemas.openxmlformats.org/officeDocument/2006/relationships/hyperlink" Target="https://www.morningstar.com/business/insights/blog/active-vs-passive-investing" TargetMode="External"/><Relationship Id="rId10" Type="http://schemas.openxmlformats.org/officeDocument/2006/relationships/hyperlink" Target="https://pwlcapital.com/wp-content/uploads/2026/04/YearEnd2025_The-Passive-vs-Active-Fund-Monitor_en.pdf" TargetMode="External"/><Relationship Id="rId19" Type="http://schemas.openxmlformats.org/officeDocument/2006/relationships/hyperlink" Target="https://www.investopedia.com/articles/exchangetradedfunds/12/brief-history-exchange-traded-funds.asp" TargetMode="External"/><Relationship Id="rId31" Type="http://schemas.openxmlformats.org/officeDocument/2006/relationships/hyperlink" Target="https://www.morningstar.com/business/insights/blog/active-vs-passive-investing" TargetMode="External"/><Relationship Id="rId4" Type="http://schemas.openxmlformats.org/officeDocument/2006/relationships/hyperlink" Target="https://www.dspim.com/media/pages/latest-literature/f30d07eb5b-1749016733/passive-product-deck-insights-may-2025-final.pdf" TargetMode="External"/><Relationship Id="rId9" Type="http://schemas.openxmlformats.org/officeDocument/2006/relationships/hyperlink" Target="https://pwlcapital.com/wp-content/uploads/2025/03/20250318-The-Passive-vs-Active-Fund-Monitor.pdf" TargetMode="External"/><Relationship Id="rId14" Type="http://schemas.openxmlformats.org/officeDocument/2006/relationships/hyperlink" Target="https://cafemutual.com/news/passives/34893-how-are-passive-funds-faring-globally" TargetMode="External"/><Relationship Id="rId22" Type="http://schemas.openxmlformats.org/officeDocument/2006/relationships/hyperlink" Target="https://www.dspim.com/media/pages/latest-literature/f30d07eb5b-1749016733/passive-product-deck-insights-may-2025-final.pdf" TargetMode="External"/><Relationship Id="rId27" Type="http://schemas.openxmlformats.org/officeDocument/2006/relationships/hyperlink" Target="https://pwlcapital.com/wp-content/uploads/2025/03/20250318-The-Passive-vs-Active-Fund-Monitor.pdf" TargetMode="External"/><Relationship Id="rId30" Type="http://schemas.openxmlformats.org/officeDocument/2006/relationships/hyperlink" Target="https://pwlcapital.com/wp-content/uploads/2025/03/20250318-The-Passive-vs-Active-Fund-Monitor.pdf" TargetMode="External"/><Relationship Id="rId35" Type="http://schemas.openxmlformats.org/officeDocument/2006/relationships/hyperlink" Target="https://www.investopedia.com/articles/exchangetradedfunds/12/brief-history-exchange-traded-funds.asp" TargetMode="External"/><Relationship Id="rId8" Type="http://schemas.openxmlformats.org/officeDocument/2006/relationships/hyperlink" Target="https://pwlcapital.com/wp-content/uploads/2025/03/20250318-The-Passive-vs-Active-Fund-Monitor.pdf" TargetMode="External"/><Relationship Id="rId3" Type="http://schemas.openxmlformats.org/officeDocument/2006/relationships/hyperlink" Target="https://pwlcapital.com/wp-content/uploads/2026/04/YearEnd2025_The-Passive-vs-Active-Fund-Monitor_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ixtrading.org/packages/fix-trade-flag-scenarios-european-equities/" TargetMode="External"/><Relationship Id="rId3" Type="http://schemas.openxmlformats.org/officeDocument/2006/relationships/hyperlink" Target="https://www.bmlltech.com/news/market-insight/sounding-the-bell-understanding-the-closing-auction-for-optimal-execution-in-global-equity-markets" TargetMode="External"/><Relationship Id="rId7" Type="http://schemas.openxmlformats.org/officeDocument/2006/relationships/hyperlink" Target="https://www.bmlltech.com/news/market-insight/bmll-market-lens-liquidity-maps" TargetMode="External"/><Relationship Id="rId2" Type="http://schemas.openxmlformats.org/officeDocument/2006/relationships/hyperlink" Target="https://www.afme.eu/news-insights/press-releases/afme-and-efama-set-out-priorities-to-scale-up-eu-equity-markets/" TargetMode="External"/><Relationship Id="rId1" Type="http://schemas.openxmlformats.org/officeDocument/2006/relationships/hyperlink" Target="https://en.wikipedia.org/wiki/Flash_Boys" TargetMode="External"/><Relationship Id="rId6" Type="http://schemas.openxmlformats.org/officeDocument/2006/relationships/hyperlink" Target="https://www.efmaefm.org/0EFMAMEETINGS/EFMA%20ANNUAL%20MEETINGS/2023-UK/papers/EFMA%202023_stage-4455_question-Full%20Paper_id-228.pdf" TargetMode="External"/><Relationship Id="rId5" Type="http://schemas.openxmlformats.org/officeDocument/2006/relationships/hyperlink" Target="https://www.euronext.com/en/news/better-trading-close-thanks-market-impact-models" TargetMode="External"/><Relationship Id="rId4" Type="http://schemas.openxmlformats.org/officeDocument/2006/relationships/hyperlink" Target="https://www.bmlltech.com/news/market-insight/plotting-at-the-triple-witching-hour-how-the-closing-auction-has-chang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85654"/>
    <w:rsid w:val="00CA74DD"/>
    <w:rsid w:val="00D35B3E"/>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BF501166ADEB4385355192EDA8E244" ma:contentTypeVersion="15" ma:contentTypeDescription="Create a new document." ma:contentTypeScope="" ma:versionID="aeb943b0a206abd5a4f47da20b420ee4">
  <xsd:schema xmlns:xsd="http://www.w3.org/2001/XMLSchema" xmlns:xs="http://www.w3.org/2001/XMLSchema" xmlns:p="http://schemas.microsoft.com/office/2006/metadata/properties" xmlns:ns2="b024ad5b-af6b-44c1-aae6-51df71a5efa9" xmlns:ns3="b78b5191-36be-4515-8866-7c7989a03b3f" targetNamespace="http://schemas.microsoft.com/office/2006/metadata/properties" ma:root="true" ma:fieldsID="30f3b4dedcf9c980c841b777fd9fdd78" ns2:_="" ns3:_="">
    <xsd:import namespace="b024ad5b-af6b-44c1-aae6-51df71a5efa9"/>
    <xsd:import namespace="b78b5191-36be-4515-8866-7c7989a03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4ad5b-af6b-44c1-aae6-51df71a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ef7433-0968-47c0-bb35-1c860e879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5191-36be-4515-8866-7c7989a03b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a9c8fc-69e9-41eb-82d3-f2f6a8b00177}" ma:internalName="TaxCatchAll" ma:showField="CatchAllData" ma:web="b78b5191-36be-4515-8866-7c7989a03b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78b5191-36be-4515-8866-7c7989a03b3f" xsi:nil="true"/>
    <lcf76f155ced4ddcb4097134ff3c332f xmlns="b024ad5b-af6b-44c1-aae6-51df71a5e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7D9E015F-3DAB-4366-B431-84774CF532CA}"/>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9078</Words>
  <Characters>51746</Characters>
  <Application>Microsoft Office Word</Application>
  <DocSecurity>8</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Alexander McDonald</cp:lastModifiedBy>
  <cp:revision>49</cp:revision>
  <cp:lastPrinted>2023-09-09T09:53:00Z</cp:lastPrinted>
  <dcterms:created xsi:type="dcterms:W3CDTF">2026-06-30T20:20:00Z</dcterms:created>
  <dcterms:modified xsi:type="dcterms:W3CDTF">2026-06-30T20:31:00Z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0x010100D8BF501166ADEB4385355192EDA8E244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