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el"/>
            <w:tabs>
              <w:tab w:val="center" w:pos="4536"/>
            </w:tabs>
          </w:pPr>
          <w:r>
            <w:t xml:space="preserve">Reply </w:t>
          </w:r>
          <w:r w:rsidR="00DD03DC">
            <w:t>F</w:t>
          </w:r>
          <w:r>
            <w:t>orm</w:t>
          </w:r>
          <w:r w:rsidR="00FA1BF6">
            <w:tab/>
          </w:r>
        </w:p>
        <w:p w14:paraId="031F2108" w14:textId="042F6D9B" w:rsidR="007E7997" w:rsidRPr="00C01571" w:rsidRDefault="005B1C75" w:rsidP="00D77369">
          <w:pPr>
            <w:pStyle w:val="Untertitel"/>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tc>
          <w:tcPr>
            <w:tcW w:w="4531" w:type="dxa"/>
          </w:tcPr>
          <w:p w14:paraId="5C8A6928" w14:textId="0065A9A7" w:rsidR="00E40D2C" w:rsidRPr="00557BD2" w:rsidRDefault="007016C8">
            <w:permStart w:id="289486921" w:edGrp="everyone"/>
            <w:r>
              <w:t>Bundesverband derWertpapierfirmen (bwf)</w:t>
            </w:r>
          </w:p>
        </w:tc>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36EDA922" w:rsidR="00E40D2C" w:rsidRDefault="007016C8">
                <w:r>
                  <w:t>Investment firm</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44268F8A" w:rsidR="002262FA" w:rsidRDefault="007016C8"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19E1E40A" w:rsidR="00E40D2C" w:rsidRPr="00557BD2" w:rsidRDefault="007016C8">
                <w:r>
                  <w:t>Germany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berschrift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170767B9" w14:textId="074985E0" w:rsidR="00116CBE" w:rsidRDefault="00E6297D" w:rsidP="003A33E5">
      <w:permStart w:id="1150511936" w:edGrp="everyone"/>
      <w:r>
        <w:t xml:space="preserve">We broadly agree with the description of the market structure summarised in Figure 1 based on transaction reporting data. However, </w:t>
      </w:r>
      <w:r w:rsidR="0067370B">
        <w:t>t</w:t>
      </w:r>
      <w:r w:rsidR="0067370B" w:rsidRPr="0067370B">
        <w:t xml:space="preserve">he classification system adopted is not very </w:t>
      </w:r>
      <w:r w:rsidR="0067370B">
        <w:t>detailed</w:t>
      </w:r>
      <w:r w:rsidR="0067370B" w:rsidRPr="0067370B">
        <w:t xml:space="preserve"> and, in particular, fails to provide further distinctions with regard to the market models</w:t>
      </w:r>
      <w:r w:rsidR="0067370B">
        <w:t xml:space="preserve"> used. E.g. “lit continuous” trading can be observed in a variety of forms</w:t>
      </w:r>
      <w:r w:rsidR="00394121">
        <w:t xml:space="preserve"> of which the</w:t>
      </w:r>
      <w:r w:rsidR="0067370B">
        <w:t xml:space="preserve"> fully electronic open </w:t>
      </w:r>
      <w:r w:rsidR="00E07F8A">
        <w:t xml:space="preserve">central </w:t>
      </w:r>
      <w:r w:rsidR="0067370B">
        <w:t xml:space="preserve">limit orderbook today </w:t>
      </w:r>
      <w:r w:rsidR="00394121">
        <w:t>is the</w:t>
      </w:r>
      <w:r w:rsidR="0067370B">
        <w:t xml:space="preserve"> predominant form of lit trading by volume</w:t>
      </w:r>
      <w:r w:rsidR="00394121">
        <w:t xml:space="preserve"> but neither the only admissible nor empirically observable one. </w:t>
      </w:r>
    </w:p>
    <w:p w14:paraId="4F8BA329" w14:textId="14399792" w:rsidR="00394121" w:rsidRDefault="00394121" w:rsidP="00394121">
      <w:r>
        <w:t>In this context, it needs to be remembered that</w:t>
      </w:r>
      <w:r w:rsidRPr="00394121">
        <w:t xml:space="preserve"> MiFID, from the days of MiFID I, has always been neutral, not only in terms of technology but also with respect to different trading models (“systems”), as long as certain general standards are met. Consequently, the catalogue of trading systems provided in Annex I of Commission Delegated Regula</w:t>
      </w:r>
      <w:r>
        <w:rPr>
          <w:rFonts w:ascii="Arial" w:eastAsia="Arial" w:hAnsi="Arial" w:cs="Arial"/>
        </w:rPr>
        <w:t>ti</w:t>
      </w:r>
      <w:r w:rsidRPr="00394121">
        <w:t>on (EU) 2017/583 is deliberately non-exhaus</w:t>
      </w:r>
      <w:r>
        <w:rPr>
          <w:rFonts w:ascii="Arial" w:eastAsia="Arial" w:hAnsi="Arial" w:cs="Arial"/>
        </w:rPr>
        <w:t>ti</w:t>
      </w:r>
      <w:r w:rsidRPr="00394121">
        <w:t>ve and contains the “catch-all” category of “Trading system not covered by first 5 rows”.</w:t>
      </w:r>
    </w:p>
    <w:p w14:paraId="74845BAD" w14:textId="00788ACB" w:rsidR="003A33E5" w:rsidRDefault="00E6297D" w:rsidP="003A33E5">
      <w:r>
        <w:t>bwf has consistently emphasised in prior submissions (including our June 2025 response to the European Commission’s Targeted Consultation on Integration of EU Capital Markets and our February 2026 comments on the Market Integration &amp; Supervision Package) that diversity of market models and national particularities constitutes a strength, not a weakness, of the European equity ecosystem.</w:t>
      </w:r>
    </w:p>
    <w:permEnd w:id="1150511936"/>
    <w:p w14:paraId="14BDE9D8" w14:textId="77777777" w:rsidR="003A33E5" w:rsidRDefault="003A33E5" w:rsidP="003A33E5">
      <w:r>
        <w:lastRenderedPageBreak/>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B1C56C5" w14:textId="261E4EA0" w:rsidR="003A33E5" w:rsidRDefault="00E07F8A" w:rsidP="003A33E5">
      <w:permStart w:id="1720911874" w:edGrp="everyone"/>
      <w:r>
        <w:t>We have no specific additional insights on XOFF transactions reported by investment firms acting as SIs beyond the general observation that such trades often reflect legitimate bilateral liquidity provision.</w:t>
      </w:r>
      <w:permEnd w:id="1720911874"/>
      <w:r w:rsidR="003A33E5">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7BB7AE3F" w14:textId="05F1EBBD" w:rsidR="003A33E5" w:rsidRDefault="00E07F8A" w:rsidP="003A33E5">
      <w:permStart w:id="1070029581" w:edGrp="everyone"/>
      <w:r>
        <w:t xml:space="preserve">We agree with the general trends identified. The relative shift away from pure on-book CLOB trading </w:t>
      </w:r>
      <w:r w:rsidR="004720E6">
        <w:t xml:space="preserve">in some markets </w:t>
      </w:r>
      <w:r>
        <w:t xml:space="preserve">has been partly offset by growth in committed liquidity provision </w:t>
      </w:r>
      <w:r w:rsidR="004720E6">
        <w:t xml:space="preserve">e.g. </w:t>
      </w:r>
      <w:r>
        <w:t xml:space="preserve">through </w:t>
      </w:r>
      <w:r w:rsidR="004720E6">
        <w:t>“</w:t>
      </w:r>
      <w:r>
        <w:t>designated market makers</w:t>
      </w:r>
      <w:r w:rsidR="004720E6">
        <w:t>”</w:t>
      </w:r>
      <w:r>
        <w:t xml:space="preserve"> on regional venues. This development has not impaired overall liquidity</w:t>
      </w:r>
      <w:r w:rsidR="004720E6">
        <w:t>, in the contrary:</w:t>
      </w:r>
      <w:r>
        <w:t xml:space="preserve"> in many cases it has improved it by providing reliable depth and tighter spreads for less-liquid names. Other relevant trends include the increasing importance of hybrid models that combine multilateral and bilateral elements, which enhance overall market resilience</w:t>
      </w:r>
      <w:r w:rsidR="004720E6">
        <w:t xml:space="preserve"> and increase investors’ choice</w:t>
      </w:r>
      <w:r>
        <w:t>.</w:t>
      </w:r>
      <w:permEnd w:id="1070029581"/>
      <w:r w:rsidR="003A33E5">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2A3F17E9" w14:textId="5C1076C4" w:rsidR="003A33E5" w:rsidRDefault="00CA7B30" w:rsidP="003A33E5">
      <w:permStart w:id="856752782" w:edGrp="everyone"/>
      <w:r>
        <w:t xml:space="preserve">We do not have major concerns regarding the impact of the identified trends on the general functioning of EEA markets for shares. </w:t>
      </w:r>
      <w:r>
        <w:t xml:space="preserve">E.G. </w:t>
      </w:r>
      <w:r>
        <w:t xml:space="preserve">German regional exchanges </w:t>
      </w:r>
      <w:r>
        <w:t>with</w:t>
      </w:r>
      <w:r>
        <w:t xml:space="preserve"> </w:t>
      </w:r>
      <w:r>
        <w:t>intermediaries-based</w:t>
      </w:r>
      <w:r>
        <w:t xml:space="preserve"> models demonstrate that </w:t>
      </w:r>
      <w:r>
        <w:t>composite</w:t>
      </w:r>
      <w:r>
        <w:t xml:space="preserve"> structures can </w:t>
      </w:r>
      <w:r w:rsidRPr="00CA7B30">
        <w:t>enhance</w:t>
      </w:r>
      <w:r>
        <w:t xml:space="preserve"> effective price formation and access to liquidity, especially for the large number of less-liquid ISINs. A continued decline in pure CLOB share would not automatically impair price formation if committed liquidity providers remain active. Overly uniform rules that would disadvantage </w:t>
      </w:r>
      <w:r>
        <w:t>individual market models</w:t>
      </w:r>
      <w:r>
        <w:t xml:space="preserve"> risk reducing diversity – a point bwf has repeatedly made in EC consultations on capital market integration.</w:t>
      </w:r>
      <w:permEnd w:id="856752782"/>
      <w:r w:rsidR="003A33E5">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4D24E0A5" w14:textId="77777777" w:rsidR="00D16E60" w:rsidRPr="00D16E60" w:rsidRDefault="00D16E60" w:rsidP="00D16E60">
      <w:permStart w:id="617826185" w:edGrp="everyone"/>
      <w:r>
        <w:t xml:space="preserve">First of all, </w:t>
      </w:r>
    </w:p>
    <w:p w14:paraId="1DBA8E97" w14:textId="3057F51D" w:rsidR="00D16E60" w:rsidRDefault="00D16E60" w:rsidP="00D16E60">
      <w:r w:rsidRPr="00D16E60">
        <w:lastRenderedPageBreak/>
        <w:t xml:space="preserve"> there is no such thing as “the best market model” for all investors. Investors might have different needs and preferences. </w:t>
      </w:r>
      <w:r w:rsidR="004D4988">
        <w:t>Such preferences even vary within different groups of investors as classified by MIFId (retail-, professional- or eligible counterparts).</w:t>
      </w:r>
    </w:p>
    <w:p w14:paraId="001B0622" w14:textId="690600D9" w:rsidR="003A33E5" w:rsidRDefault="004D4988" w:rsidP="00D16E60">
      <w:r>
        <w:t>This said,</w:t>
      </w:r>
      <w:r w:rsidR="00D16E60">
        <w:t xml:space="preserve"> most relevant drivers when choosing execution venue and method include </w:t>
      </w:r>
      <w:r w:rsidR="00D16E60" w:rsidRPr="00D16E60">
        <w:t>reliable two-way liquidity, tight spreads, low implicit costs, certainty of execution</w:t>
      </w:r>
      <w:r w:rsidR="002B0623">
        <w:t xml:space="preserve"> (including avoidance of partial execution)</w:t>
      </w:r>
      <w:r w:rsidR="00D16E60" w:rsidRPr="00D16E60">
        <w:t xml:space="preserve">, and </w:t>
      </w:r>
      <w:r w:rsidR="002B0623">
        <w:t xml:space="preserve">ease of </w:t>
      </w:r>
      <w:r w:rsidR="00D16E60" w:rsidRPr="00D16E60">
        <w:t xml:space="preserve">access </w:t>
      </w:r>
      <w:r w:rsidR="002B0623">
        <w:t xml:space="preserve">(in particular </w:t>
      </w:r>
      <w:r w:rsidR="00D16E60" w:rsidRPr="00D16E60">
        <w:t>for retail investors</w:t>
      </w:r>
      <w:r w:rsidR="002B0623">
        <w:t>)</w:t>
      </w:r>
      <w:r w:rsidR="00D16E60" w:rsidRPr="00D16E60">
        <w:t xml:space="preserve">. </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596D8721" w:rsidR="003A33E5" w:rsidRDefault="005443F2" w:rsidP="003A33E5">
      <w:permStart w:id="1898151376" w:edGrp="everyone"/>
      <w:r>
        <w:t xml:space="preserve">Our members (investment firms and market specialists) </w:t>
      </w:r>
      <w:r>
        <w:t>are “on the other side of the fence” to say so</w:t>
      </w:r>
      <w:r w:rsidR="00C54C97">
        <w:t xml:space="preserve">, they </w:t>
      </w:r>
      <w:r>
        <w:t xml:space="preserve">routinely </w:t>
      </w:r>
      <w:r w:rsidR="00C54C97">
        <w:t>provide</w:t>
      </w:r>
      <w:r>
        <w:t xml:space="preserve"> access to liquidity on regional venues through </w:t>
      </w:r>
      <w:r w:rsidR="00C54C97">
        <w:t xml:space="preserve">competitive </w:t>
      </w:r>
      <w:r>
        <w:t>quotes</w:t>
      </w:r>
      <w:r w:rsidR="00C54C97">
        <w:t xml:space="preserve"> in meaningful sizes (depending on the overall liquidity of the security in question)</w:t>
      </w:r>
      <w:r>
        <w:t xml:space="preserve">. </w:t>
      </w:r>
      <w:r w:rsidR="00C54C97">
        <w:t xml:space="preserve">Pure </w:t>
      </w:r>
      <w:r>
        <w:t xml:space="preserve">CLOB venues </w:t>
      </w:r>
      <w:r w:rsidR="00C54C97">
        <w:t xml:space="preserve">often </w:t>
      </w:r>
      <w:r>
        <w:t>can</w:t>
      </w:r>
      <w:r w:rsidR="00C54C97">
        <w:t>not</w:t>
      </w:r>
      <w:r>
        <w:t xml:space="preserve"> </w:t>
      </w:r>
      <w:r w:rsidR="00C54C97">
        <w:t>raise sufficient liquidity in particular in</w:t>
      </w:r>
      <w:r>
        <w:t xml:space="preserve"> less-liquid names.</w:t>
      </w:r>
      <w:r w:rsidR="00C54C97">
        <w:t xml:space="preserve"> One reason is that liquidity on CLOB venues is often concentrated among “blue chips” (liquidity attracts liquidity) since prop-trader in those markets (whether HFT or not) are often comparably risk averse and therefore avoid less liquid names.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2F2F2872" w:rsidR="005439CE" w:rsidRDefault="00DB5D29" w:rsidP="005439CE">
      <w:permStart w:id="1102657477" w:edGrp="everyone"/>
      <w:r>
        <w:t>N.a.</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38651293" w14:textId="468D0D73" w:rsidR="0080026D" w:rsidRDefault="0080026D" w:rsidP="0080026D">
      <w:pPr>
        <w:pStyle w:val="Textkrper"/>
      </w:pPr>
      <w:permStart w:id="1746406015" w:edGrp="everyone"/>
      <w:r>
        <w:t>The fact that Germany is clearly leading the field in respect of ISINs tradable is clearly the result of the market models of its regional exchanges with intermediaries’ based market models. In fact, the intermediaries often suggest that new ISINs are admitted for trading and the exchanges may comply to do so when the intermediary commits himself to provide continuous two</w:t>
      </w:r>
      <w:r>
        <w:t>-</w:t>
      </w:r>
      <w:r>
        <w:t>way quotes at competitive prices and size.</w:t>
      </w:r>
    </w:p>
    <w:p w14:paraId="1A77713C" w14:textId="19865A16" w:rsidR="003A33E5" w:rsidRDefault="0080026D" w:rsidP="007D217A">
      <w:pPr>
        <w:pStyle w:val="Textkrper"/>
      </w:pPr>
      <w:r>
        <w:lastRenderedPageBreak/>
        <w:t xml:space="preserve">Policy recommendations </w:t>
      </w:r>
      <w:r w:rsidR="003A5530">
        <w:t>include to identify market structures/-model which incentify the increase of the number of securities offered (in particular but not only to retail investors), to protect rather than inhibit such structures, and to send regulatory signals to Memberstates with a less diverse universe of ISINs tradable to orient themselves on the various successful models observable. However, it is fair to say that in particular smaller Memberstates often lack the overall market-infrastructural basis, which goes from trading to settlement on the supply side and also require a “critical mass” on the demand side. Accordingly, it is equally important to reduce the burden (and costs) of cross-border trades to give all EU citizens a comparable possibility to make an informed investors’ choices and to diversify their portfolio (without taking the risk that they cannot unwind it in due time, if need be, because of lack of liquidity in local markets).</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164D9A9F" w14:textId="481E8102" w:rsidR="00F87322" w:rsidRPr="00F87322" w:rsidRDefault="00F87322" w:rsidP="00F87322">
      <w:permStart w:id="648821160" w:edGrp="everyone"/>
      <w:r>
        <w:t>“Dark trading” is a somewhat opaque term and may mean different things, depending on context and people referring to it. Therefore, it is important to keep in mind, tat the term is used in a specific way here: “</w:t>
      </w:r>
    </w:p>
    <w:p w14:paraId="3A317E1C" w14:textId="6C027275" w:rsidR="00F87322" w:rsidRPr="00F87322" w:rsidRDefault="00F87322" w:rsidP="00F87322">
      <w:r>
        <w:t>“</w:t>
      </w:r>
      <w:r w:rsidRPr="00F87322">
        <w:t>Dark trading in this call for evidence identifies trading under two waivers. More specifically, the large in scale waiver (article 4(1)(c) of MiFIR) and the reference price waiver (article 4(1)(a) of MiFIR).</w:t>
      </w:r>
      <w:r>
        <w:t>”</w:t>
      </w:r>
      <w:r w:rsidRPr="00F87322">
        <w:t xml:space="preserve"> </w:t>
      </w:r>
    </w:p>
    <w:p w14:paraId="7C40A66E" w14:textId="0EFFA6D3" w:rsidR="003A33E5" w:rsidRDefault="00F87322" w:rsidP="003A33E5">
      <w:r>
        <w:t>This said, w</w:t>
      </w:r>
      <w:r w:rsidR="00B72F99">
        <w:t xml:space="preserve">e observe a stable rather than alarming evolution of dark trading. </w:t>
      </w:r>
      <w:r w:rsidR="00580763">
        <w:t>Even though, possible s</w:t>
      </w:r>
      <w:r w:rsidR="00B72F99">
        <w:t>tructural shifts should be monitored</w:t>
      </w:r>
      <w:r w:rsidR="00580763">
        <w:t xml:space="preserve"> by regulators on an ongoing basis</w:t>
      </w:r>
      <w:r w:rsidR="00B72F99">
        <w:t>.</w:t>
      </w:r>
      <w:permEnd w:id="648821160"/>
      <w:r w:rsidR="003A33E5">
        <w:t>&lt;ESMA_QUESTION_MSEM_</w:t>
      </w:r>
      <w:r w:rsidR="1D2DBD5A">
        <w:t>9</w:t>
      </w:r>
      <w:r w:rsidR="003A33E5">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70C3C802" w:rsidR="003A33E5" w:rsidRDefault="0044461D" w:rsidP="003A33E5">
      <w:permStart w:id="733371525" w:edGrp="everyone"/>
      <w:r>
        <w:t>We do not see an urgent need for specific new regulatory interventions on dark trading at this stage. Any measures should avoid unintended consequences</w:t>
      </w:r>
      <w:r>
        <w:t>.</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19514EE" w14:textId="2CB894B3" w:rsidR="003A33E5" w:rsidRDefault="002F50A0" w:rsidP="003A33E5">
      <w:permStart w:id="14425139" w:edGrp="everyone"/>
      <w:r>
        <w:t xml:space="preserve">The extraordinary growth of importance of closing auctions, in particular in CLOB markets as various reasons which are in general well described in the consultation paper. However, there seem to be a few additional observations worthwhile mentioning: The intraday liquidity </w:t>
      </w:r>
      <w:r>
        <w:lastRenderedPageBreak/>
        <w:t xml:space="preserve">distribution in the most relevant CLOB markets today is mainly determined by algo-/HF-trading. This is one major reason why larger lots cannot be easily executed in those markets (without risking a significant adverse market impact. The other point is that the closing auction price is </w:t>
      </w:r>
      <w:r w:rsidR="00533D54">
        <w:t xml:space="preserve">often </w:t>
      </w:r>
      <w:r>
        <w:t xml:space="preserve">the reference </w:t>
      </w:r>
      <w:r w:rsidR="00533D54">
        <w:t>for regulatory reporting/valuation. In other words, any order executed in the closing auction (whether favourable from an investors point of view or not) is “on the safe side in this respect.</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1985E166" w:rsidR="003A33E5" w:rsidRDefault="00652A25" w:rsidP="003A33E5">
      <w:permStart w:id="230633778" w:edGrp="everyone"/>
      <w:r>
        <w:t>Alternative closing mechanisms offered by MTFs and SIs can be beneficial if they increase choice; they should not be restricted if they improve overall execution quality.</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0B1BA465" w:rsidR="003A33E5" w:rsidRDefault="0060272B" w:rsidP="003A33E5">
      <w:permStart w:id="834536465" w:edGrp="everyone"/>
      <w:r>
        <w:t xml:space="preserve">24h/extended trading hours could </w:t>
      </w:r>
      <w:r>
        <w:t>increase the “concentration” on</w:t>
      </w:r>
      <w:r>
        <w:t xml:space="preserve"> closing auctions</w:t>
      </w:r>
      <w:r>
        <w:t xml:space="preserve"> and thereby further contribute to</w:t>
      </w:r>
      <w:r>
        <w:t xml:space="preserve"> liquidity fragmentation.</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77777777" w:rsidR="003A33E5" w:rsidRDefault="003A33E5" w:rsidP="003A33E5">
      <w:permStart w:id="54361316" w:edGrp="everyone"/>
      <w:r>
        <w:t>TYPE YOUR TEXT HERE</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339EF68" w14:textId="6F7D1EC5" w:rsidR="003A33E5" w:rsidRDefault="00ED7F1D" w:rsidP="003A33E5">
      <w:permStart w:id="1032677898" w:edGrp="everyone"/>
      <w:r>
        <w:t xml:space="preserve">We hold the general opinion that by indefinitely reducing the duration of an auction, one will reach the moment where it can hardly be called an “auction” anymore. This holds true for the economic as well for the regulatory perspective. Where </w:t>
      </w:r>
      <w:r w:rsidR="00396D4D">
        <w:t xml:space="preserve">this point is reached depends on the overall setup of participant and the level of technological sophistication. </w:t>
      </w:r>
    </w:p>
    <w:p w14:paraId="30A22FF7" w14:textId="010E69D9" w:rsidR="003A33E5" w:rsidRDefault="00396D4D" w:rsidP="003A33E5">
      <w:r>
        <w:t>If a market model objectively is not an auction anymore, it should not be treated as such from a regulatory point of view, simply not to compare apples and pears.</w:t>
      </w:r>
      <w:permEnd w:id="1032677898"/>
      <w:r w:rsidR="003A33E5">
        <w:t>&lt;ESMA_QUESTION_MSEM_1</w:t>
      </w:r>
      <w:r w:rsidR="09AFE597">
        <w:t>5</w:t>
      </w:r>
      <w:r w:rsidR="003A33E5">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05D92EEF" w:rsidR="003A33E5" w:rsidRDefault="00763570" w:rsidP="003A33E5">
      <w:permStart w:id="1672904074" w:edGrp="everyone"/>
      <w:r>
        <w:t>Any (meaningful) contribution to price formation can only be assumed as long as FBAs are still an “auction” in an economic sense. In practice, we consider the contribution to price formation of FBAs as neglectable.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16CC736F" w14:textId="068F758A" w:rsidR="003A33E5" w:rsidRDefault="00763570" w:rsidP="003A33E5">
      <w:permStart w:id="529949636" w:edGrp="everyone"/>
      <w:r>
        <w:t xml:space="preserve">SI trading has evolved as a legitimate liquidity channel. Main drivers are flexibility and ability to provide firm quotes, which complement </w:t>
      </w:r>
      <w:r>
        <w:t xml:space="preserve">and compete with </w:t>
      </w:r>
      <w:r>
        <w:t>venue-based models</w:t>
      </w:r>
      <w:r>
        <w:t xml:space="preserve"> at the same time</w:t>
      </w:r>
      <w:r>
        <w:t>.</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1487637" w14:textId="5E5CE0AA" w:rsidR="003A33E5" w:rsidRDefault="00763570" w:rsidP="003A33E5">
      <w:permStart w:id="818545257" w:edGrp="everyone"/>
      <w:r>
        <w:t>The picture largely reflects observed trends. SIs serve both large and small sizes depending on client needs; different trade sizes often reflect different client segments (institutional vs. retail</w:t>
      </w:r>
      <w:r>
        <w:t>).</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5DC53A7C" w:rsidR="003A33E5" w:rsidRDefault="004E7190" w:rsidP="003A33E5">
      <w:permStart w:id="1751220061" w:edGrp="everyone"/>
      <w:r>
        <w:t>Price improvement by SIs is generally perceived positively when it delivers better execution. Data quality on flagging appears adequate</w:t>
      </w:r>
      <w:r>
        <w:t xml:space="preserve"> but remains an important issue to be monitored.</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4291F20A" w:rsidR="003A33E5" w:rsidRDefault="00AD4DAD" w:rsidP="003A33E5">
      <w:permStart w:id="999231783" w:edGrp="everyone"/>
      <w:r>
        <w:t>Important flags include those distinguishing SI trades from venue trades and indicating price improvement or benchmark nature.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5FF6ED52" w:rsidR="003A33E5" w:rsidRDefault="00221E6F" w:rsidP="003A33E5">
      <w:permStart w:id="797907736" w:edGrp="everyone"/>
      <w:r>
        <w:lastRenderedPageBreak/>
        <w:t>We see n</w:t>
      </w:r>
      <w:r>
        <w:t>o major structural shifts in SI trading that require immediate further monitoring beyond the addressable liquidity framework.</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26A709B" w14:textId="452FD150" w:rsidR="003A33E5" w:rsidRDefault="004256AA" w:rsidP="003A33E5">
      <w:permStart w:id="165951741" w:edGrp="everyone"/>
      <w:r>
        <w:t>We have n</w:t>
      </w:r>
      <w:r>
        <w:t>o urgent concerns or need for new regulatory interventions on SIs at this stage</w:t>
      </w:r>
      <w:r>
        <w:t>.</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472D89FD" w:rsidR="003A33E5" w:rsidRDefault="00782DD2" w:rsidP="003A33E5">
      <w:permStart w:id="1012798389" w:edGrp="everyone"/>
      <w:r>
        <w:t>We have observed moderate growth in benchmark trades driven by portfolio rebalancing and index tracking needs on both venues and SIs.</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54ADB337" w:rsidR="003A33E5" w:rsidRDefault="00B86CBE" w:rsidP="003A33E5">
      <w:permStart w:id="921442006" w:edGrp="everyone"/>
      <w:r>
        <w:t>The u</w:t>
      </w:r>
      <w:r>
        <w:t>se of transactions from multiple venues for benchmark calculation should be allowed where it improves robustness and representativeness.</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lastRenderedPageBreak/>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3265C300" w:rsidR="003A33E5" w:rsidRDefault="008D5544" w:rsidP="003A33E5">
      <w:permStart w:id="2080063835" w:edGrp="everyone"/>
      <w:r>
        <w:t>The number of transactions used for benchmark calculation varies widely depending on instrument liquidity (higher for liquid names, lower for illiquid).</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468DB1D" w:rsidR="003A33E5" w:rsidRDefault="00AF5A19" w:rsidP="003A33E5">
      <w:permStart w:id="180496860" w:edGrp="everyone"/>
      <w:r>
        <w:t>We have no specific data on the extent to which SIs use Article 15(3) MiFIR.</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3187DC5F" w:rsidR="003A33E5" w:rsidRPr="002A1404" w:rsidRDefault="002A1404" w:rsidP="003A33E5">
      <w:permStart w:id="1316118649" w:edGrp="everyone"/>
      <w:r>
        <w:t>We would support targeted ESMA guidance on benchmark trades (e.g. minimum standards) provided it remains proportionate and does not disadvantage committed liquidity providers.</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lastRenderedPageBreak/>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39735398" w:rsidR="003A33E5" w:rsidRDefault="00C84289" w:rsidP="003A33E5">
      <w:permStart w:id="1218795063" w:edGrp="everyone"/>
      <w:r>
        <w:t>As a general rule, all orders should have the processed on an “equal footing” basis. In a CLOB environment, this is the time/price preference. In market models where orders are collected in the orderbook for a certain period of time before price determination, all orders present at a given time should be treated equally. Any deviation from this general rule requires a very convincing explanation. In other words</w:t>
      </w:r>
      <w:r w:rsidR="002506F6">
        <w:t>, for the credibility and reliability of EU markets, any kind of “animal farm” situation needs to be avoided</w:t>
      </w:r>
      <w:r w:rsidR="005F7DB4">
        <w:t xml:space="preserve"> as long as there is not a due causewhich can be justified on objective grounds</w:t>
      </w:r>
      <w:r w:rsidR="002506F6">
        <w:t>.</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lastRenderedPageBreak/>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3B1684A7" w:rsidR="003A33E5" w:rsidRDefault="00F22C07" w:rsidP="003A33E5">
      <w:permStart w:id="1509051285" w:edGrp="everyone"/>
      <w:r>
        <w:t xml:space="preserve">We </w:t>
      </w:r>
      <w:r w:rsidR="0034378F" w:rsidRPr="0034378F">
        <w:t xml:space="preserve">principally </w:t>
      </w:r>
      <w:r>
        <w:t>agree with the three approaches as a useful analytical framework</w:t>
      </w:r>
      <w:r>
        <w:t>.</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64673A0" w:rsidR="003A33E5" w:rsidRDefault="00DA485F" w:rsidP="003A33E5">
      <w:permStart w:id="164585938" w:edGrp="everyone"/>
      <w:r>
        <w:t xml:space="preserve">In </w:t>
      </w:r>
      <w:r w:rsidR="0034378F">
        <w:t>g</w:t>
      </w:r>
      <w:r>
        <w:t>eneral “yes” but p</w:t>
      </w:r>
      <w:r w:rsidR="00C4724C">
        <w:t>lease refer to our answer to question one</w:t>
      </w:r>
      <w:r>
        <w:t>:</w:t>
      </w:r>
      <w:r w:rsidR="00C4724C">
        <w:t xml:space="preserve"> </w:t>
      </w:r>
      <w:r>
        <w:t>i</w:t>
      </w:r>
      <w:r w:rsidR="00C4724C">
        <w:t xml:space="preserve">t would be </w:t>
      </w:r>
      <w:r>
        <w:t xml:space="preserve">extremely </w:t>
      </w:r>
      <w:r w:rsidR="00C4724C">
        <w:t>helpful to insert an additional row as done for the SI for RM/MTF as well to reflect the reality of existing and protectable market models more closely</w:t>
      </w:r>
      <w:r>
        <w:t>.</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461866B" w:rsidR="003A33E5" w:rsidRDefault="00DA485F" w:rsidP="003A33E5">
      <w:permStart w:id="1475570857" w:edGrp="everyone"/>
      <w:r>
        <w:t xml:space="preserve">We </w:t>
      </w:r>
      <w:r w:rsidR="0034378F" w:rsidRPr="0034378F">
        <w:t xml:space="preserve">principally </w:t>
      </w:r>
      <w:r>
        <w:t>agree with the second part of the table.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lastRenderedPageBreak/>
        <w:t>&lt;ESMA_QUESTION_MSEM_3</w:t>
      </w:r>
      <w:r w:rsidR="76D08CB4">
        <w:t>9</w:t>
      </w:r>
      <w:r>
        <w:t>&gt;</w:t>
      </w:r>
    </w:p>
    <w:p w14:paraId="0922E03D" w14:textId="45C1639E" w:rsidR="003A33E5" w:rsidRDefault="00CA7564" w:rsidP="003A33E5">
      <w:permStart w:id="1523399739" w:edGrp="everyone"/>
      <w:r>
        <w:t>We do not consider benchmark transactions as generally non-addressable/non-price-forming</w:t>
      </w:r>
      <w:r>
        <w:t>, but</w:t>
      </w:r>
      <w:r>
        <w:t xml:space="preserve"> classification should remain case-by-case.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375BF72" w:rsidR="003A33E5" w:rsidRDefault="001E5195" w:rsidP="003A33E5">
      <w:permStart w:id="1013530916" w:edGrp="everyone"/>
      <w:r>
        <w:t xml:space="preserve">We </w:t>
      </w:r>
      <w:r w:rsidR="0034378F" w:rsidRPr="0034378F">
        <w:t xml:space="preserve">principally </w:t>
      </w:r>
      <w:r>
        <w:t>agree with the third part of the table.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65BD9C4A" w:rsidR="003A33E5" w:rsidRDefault="00857515" w:rsidP="003A33E5">
      <w:permStart w:id="374162036" w:edGrp="everyone"/>
      <w:r>
        <w:t>We agree that all transactions without a flag should generally be considered addressable and price-forming, unless specific evidence shows otherwise.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5AB2105E" w:rsidR="003A33E5" w:rsidRDefault="0034378F" w:rsidP="003A33E5">
      <w:permStart w:id="1323904635" w:edGrp="everyone"/>
      <w:r>
        <w:t xml:space="preserve">We </w:t>
      </w:r>
      <w:bookmarkStart w:id="0" w:name="_Hlk233745903"/>
      <w:r>
        <w:t xml:space="preserve">principally </w:t>
      </w:r>
      <w:bookmarkEnd w:id="0"/>
      <w:r>
        <w:t>agree with the fourth and last part of the table.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lastRenderedPageBreak/>
        <w:t>&lt;ESMA_QUESTION_MSEM_4</w:t>
      </w:r>
      <w:r w:rsidR="7536AFC4">
        <w:t>3</w:t>
      </w:r>
      <w:r>
        <w:t>&gt;</w:t>
      </w:r>
    </w:p>
    <w:p w14:paraId="358423F7" w14:textId="3B4E20FF" w:rsidR="003A33E5" w:rsidRDefault="005F5642" w:rsidP="003A33E5">
      <w:permStart w:id="1265007552" w:edGrp="everyone"/>
      <w:r>
        <w:t xml:space="preserve">We </w:t>
      </w:r>
      <w:r>
        <w:t xml:space="preserve">principally </w:t>
      </w:r>
      <w:r>
        <w:t>agree with the approach on the combination of flags for addressable liquidity.</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4CB6377D" w:rsidR="003A33E5" w:rsidRDefault="004A6DF0" w:rsidP="003A33E5">
      <w:permStart w:id="78797142" w:edGrp="everyone"/>
      <w:r>
        <w:t>Intragroup transactions executed by SIs should be treated differently from multilateral venue activity.</w:t>
      </w:r>
      <w:r>
        <w:t xml:space="preserve"> However, we find it difficult to set a general rule here since “intragroup” transactions (like in other market model) can be of very different nature. As a general rule: where an SI is not aware of an intra group generated order (which finally leads to a transaction), it should not be treated differently from any other transaction (and in this respect, it can be price</w:t>
      </w:r>
      <w:r w:rsidR="00C07137">
        <w:t xml:space="preserve"> </w:t>
      </w:r>
      <w:r>
        <w:t>forming).</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13D8F442" w:rsidR="003A33E5" w:rsidRDefault="00336E4A" w:rsidP="003A33E5">
      <w:permStart w:id="1195269664" w:edGrp="everyone"/>
      <w:r>
        <w:t xml:space="preserve">We do not believe that additional transactions beyond those already discussed should be flagged and excluded from addressable liquidity calculations. Any new flags must be strictly limited to genuinely </w:t>
      </w:r>
      <w:r>
        <w:t xml:space="preserve">identifiable </w:t>
      </w:r>
      <w:r>
        <w:t>non-addressable/non-price-forming activity.</w:t>
      </w:r>
      <w:r>
        <w:t xml:space="preserve"> In other words, any “inflation” of flags rather reduces the informativeness of the data-set.</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16E4" w14:textId="77777777" w:rsidR="006529F8" w:rsidRDefault="006529F8" w:rsidP="007E7997">
      <w:pPr>
        <w:spacing w:line="240" w:lineRule="auto"/>
      </w:pPr>
      <w:r>
        <w:separator/>
      </w:r>
    </w:p>
  </w:endnote>
  <w:endnote w:type="continuationSeparator" w:id="0">
    <w:p w14:paraId="5EB3501E" w14:textId="77777777" w:rsidR="006529F8" w:rsidRDefault="006529F8" w:rsidP="007E7997">
      <w:pPr>
        <w:spacing w:line="240" w:lineRule="auto"/>
      </w:pPr>
      <w:r>
        <w:continuationSeparator/>
      </w:r>
    </w:p>
  </w:endnote>
  <w:endnote w:type="continuationNotice" w:id="1">
    <w:p w14:paraId="705FEC54" w14:textId="77777777" w:rsidR="006529F8" w:rsidRDefault="00652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7EFC" w14:textId="77777777" w:rsidR="006529F8" w:rsidRDefault="006529F8" w:rsidP="007E7997">
      <w:pPr>
        <w:spacing w:line="240" w:lineRule="auto"/>
      </w:pPr>
      <w:r>
        <w:separator/>
      </w:r>
    </w:p>
  </w:footnote>
  <w:footnote w:type="continuationSeparator" w:id="0">
    <w:p w14:paraId="1ACFE827" w14:textId="77777777" w:rsidR="006529F8" w:rsidRDefault="006529F8" w:rsidP="007E7997">
      <w:pPr>
        <w:spacing w:line="240" w:lineRule="auto"/>
      </w:pPr>
      <w:r>
        <w:continuationSeparator/>
      </w:r>
    </w:p>
  </w:footnote>
  <w:footnote w:type="continuationNotice" w:id="1">
    <w:p w14:paraId="57C0D351" w14:textId="77777777" w:rsidR="006529F8" w:rsidRDefault="00652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Kopfzeile"/>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4D95"/>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CBE"/>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195"/>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1E6F"/>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06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404"/>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23"/>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0A0"/>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6E4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78F"/>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121"/>
    <w:rsid w:val="0039470E"/>
    <w:rsid w:val="00394E3A"/>
    <w:rsid w:val="00394F80"/>
    <w:rsid w:val="003950BB"/>
    <w:rsid w:val="00395540"/>
    <w:rsid w:val="00395C72"/>
    <w:rsid w:val="00396B14"/>
    <w:rsid w:val="00396BF9"/>
    <w:rsid w:val="00396D21"/>
    <w:rsid w:val="00396D4D"/>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530"/>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6A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61D"/>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0E6"/>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6DF0"/>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4988"/>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190"/>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3D5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3F2"/>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763"/>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642"/>
    <w:rsid w:val="005F5760"/>
    <w:rsid w:val="005F58D7"/>
    <w:rsid w:val="005F59C5"/>
    <w:rsid w:val="005F59EC"/>
    <w:rsid w:val="005F5BEC"/>
    <w:rsid w:val="005F6233"/>
    <w:rsid w:val="005F6510"/>
    <w:rsid w:val="005F68E0"/>
    <w:rsid w:val="005F6AAE"/>
    <w:rsid w:val="005F7491"/>
    <w:rsid w:val="005F7800"/>
    <w:rsid w:val="005F7DB4"/>
    <w:rsid w:val="006014B2"/>
    <w:rsid w:val="00601C34"/>
    <w:rsid w:val="0060272B"/>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9F8"/>
    <w:rsid w:val="00652A25"/>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70B"/>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6C8"/>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570"/>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B4"/>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D2"/>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7A"/>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26D"/>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15"/>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544"/>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AD"/>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5A19"/>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2F99"/>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CBE"/>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2DFC"/>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137"/>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24C"/>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4C97"/>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289"/>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64"/>
    <w:rsid w:val="00CA75B1"/>
    <w:rsid w:val="00CA7B30"/>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402"/>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6E60"/>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85F"/>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5D29"/>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07F8A"/>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97D"/>
    <w:rsid w:val="00E62BAD"/>
    <w:rsid w:val="00E630D8"/>
    <w:rsid w:val="00E6315A"/>
    <w:rsid w:val="00E63917"/>
    <w:rsid w:val="00E63A18"/>
    <w:rsid w:val="00E63A25"/>
    <w:rsid w:val="00E64BCC"/>
    <w:rsid w:val="00E6508D"/>
    <w:rsid w:val="00E65975"/>
    <w:rsid w:val="00E65E19"/>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D7F1D"/>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2C07"/>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322"/>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unhideWhenUsed/>
    <w:rsid w:val="00044C5A"/>
  </w:style>
  <w:style w:type="character" w:customStyle="1" w:styleId="TextkrperZchn">
    <w:name w:val="Textkörper Zchn"/>
    <w:basedOn w:val="Absatz-Standardschriftart"/>
    <w:link w:val="Textkrper"/>
    <w:uiPriority w:val="99"/>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 w:type="character" w:customStyle="1" w:styleId="normaltextrun">
    <w:name w:val="normaltextrun"/>
    <w:basedOn w:val="Absatz-Standardschriftar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tzhalt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BA2DFC"/>
    <w:rsid w:val="00CA74DD"/>
    <w:rsid w:val="00D43C80"/>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_dlc_DocId xmlns="d0fb0f98-34f9-4d57-9559-eb8efd17aa5e" xsi:nil="true"/>
    <_dlc_DocIdUrl xmlns="d0fb0f98-34f9-4d57-9559-eb8efd17aa5e">
      <Url xsi:nil="true"/>
      <Description xsi:nil="true"/>
    </_dlc_DocIdUrl>
    <_dlc_DocIdPersistId xmlns="d0fb0f98-34f9-4d57-9559-eb8efd17aa5e" xsi:nil="true"/>
    <eed0a0b2ea6941718a34434e243f3d8f xmlns="d0fb0f98-34f9-4d57-9559-eb8efd17aa5e">
      <Terms xmlns="http://schemas.microsoft.com/office/infopath/2007/PartnerControl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j69a081f486747f6ac8a5aeed63facfd>
    <MeetingDate xmlns="d0fb0f98-34f9-4d57-9559-eb8efd17aa5e" xsi:nil="true"/>
    <Year xmlns="d0fb0f98-34f9-4d57-9559-eb8efd17aa5e"/>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bce29119141747ccb9ac7d87218ed4af>
    <caa5aeb1a6644849b60fbe2335e12657 xmlns="d0fb0f98-34f9-4d57-9559-eb8efd17aa5e">
      <Terms xmlns="http://schemas.microsoft.com/office/infopath/2007/PartnerControls"/>
    </caa5aeb1a6644849b60fbe2335e12657>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3858</Words>
  <Characters>21992</Characters>
  <Application>Microsoft Office Word</Application>
  <DocSecurity>8</DocSecurity>
  <Lines>183</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Michael Sterzenbach (bwf)</cp:lastModifiedBy>
  <cp:revision>45</cp:revision>
  <cp:lastPrinted>2023-09-09T09:53:00Z</cp:lastPrinted>
  <dcterms:created xsi:type="dcterms:W3CDTF">2026-06-30T16:11:00Z</dcterms:created>
  <dcterms:modified xsi:type="dcterms:W3CDTF">2026-06-30T19:15:00Z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