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itle"/>
            <w:tabs>
              <w:tab w:val="center" w:pos="4536"/>
            </w:tabs>
          </w:pPr>
          <w:r>
            <w:t xml:space="preserve">Reply </w:t>
          </w:r>
          <w:r w:rsidR="00DD03DC">
            <w:t>F</w:t>
          </w:r>
          <w:r>
            <w:t>orm</w:t>
          </w:r>
          <w:r w:rsidR="00FA1BF6">
            <w:tab/>
          </w:r>
        </w:p>
        <w:p w14:paraId="031F2108" w14:textId="042F6D9B" w:rsidR="007E7997" w:rsidRPr="00C01571" w:rsidRDefault="005B1C75" w:rsidP="00D77369">
          <w:pPr>
            <w:pStyle w:val="Subtitle"/>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CC97A"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Content>
            <w:tc>
              <w:tcPr>
                <w:tcW w:w="4531" w:type="dxa"/>
              </w:tcPr>
              <w:p w14:paraId="5C8A6928" w14:textId="18663398" w:rsidR="00E40D2C" w:rsidRPr="00557BD2" w:rsidRDefault="00EE040A">
                <w:r>
                  <w:t>Cboe Europe</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Content>
            <w:tc>
              <w:tcPr>
                <w:tcW w:w="4531" w:type="dxa"/>
              </w:tcPr>
              <w:p w14:paraId="22ECE1B6" w14:textId="5170C98D" w:rsidR="00E40D2C" w:rsidRDefault="00EE040A">
                <w:r>
                  <w:t>Trading Venues</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0"/>
              <w14:checkedState w14:val="2612" w14:font="MS Gothic"/>
              <w14:uncheckedState w14:val="2610" w14:font="MS Gothic"/>
            </w14:checkbox>
          </w:sdtPr>
          <w:sdtContent>
            <w:permStart w:id="1385105873" w:edGrp="everyone" w:displacedByCustomXml="prev"/>
            <w:tc>
              <w:tcPr>
                <w:tcW w:w="4531" w:type="dxa"/>
                <w:vAlign w:val="center"/>
              </w:tcPr>
              <w:p w14:paraId="7AB9C082" w14:textId="043FB9A2" w:rsidR="002262FA" w:rsidRDefault="00EE040A"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22924511" w:edGrp="everyone" w:displacedByCustomXml="prev"/>
            <w:tc>
              <w:tcPr>
                <w:tcW w:w="4531" w:type="dxa"/>
              </w:tcPr>
              <w:p w14:paraId="5BB12D35" w14:textId="5CF6BE8C" w:rsidR="00E40D2C" w:rsidRPr="00557BD2" w:rsidRDefault="00EE040A">
                <w:r>
                  <w:t>Netherlands</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Heading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75B2FB73" w14:textId="77777777" w:rsidR="00EE040A" w:rsidRPr="006424E1" w:rsidRDefault="00EE040A" w:rsidP="00EE040A">
      <w:pPr>
        <w:spacing w:after="160" w:line="278" w:lineRule="auto"/>
        <w:rPr>
          <w:rFonts w:ascii="Arial" w:hAnsi="Arial" w:cs="Arial"/>
          <w:szCs w:val="22"/>
        </w:rPr>
      </w:pPr>
      <w:permStart w:id="1150511936" w:edGrp="everyone"/>
      <w:r w:rsidRPr="006424E1">
        <w:rPr>
          <w:rFonts w:ascii="Arial" w:hAnsi="Arial" w:cs="Arial"/>
          <w:szCs w:val="22"/>
        </w:rPr>
        <w:t>Yes, with one exception: the LIS (Large in Scale) waiver is also used for some off-book on-exchange activity. The LIS waiver permits pre-trade transparency obligations to be waived for orders that are large in scale compared to normal market size, and in practice a portion of this activity occurs on-exchange in off-book form. Figure 1's categorisation should be adjusted to reflect this nuance in order to avoid mischaracterising that segment of the market structure.</w:t>
      </w:r>
    </w:p>
    <w:permEnd w:id="1150511936"/>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2CCD913B" w14:textId="399847FF" w:rsidR="00EE040A" w:rsidRPr="006424E1" w:rsidRDefault="00EE040A" w:rsidP="00EE040A">
      <w:pPr>
        <w:spacing w:after="160" w:line="278" w:lineRule="auto"/>
        <w:rPr>
          <w:rFonts w:ascii="Arial" w:hAnsi="Arial" w:cs="Arial"/>
          <w:szCs w:val="22"/>
        </w:rPr>
      </w:pPr>
      <w:permStart w:id="1720911874" w:edGrp="everyone"/>
      <w:r w:rsidRPr="006424E1">
        <w:rPr>
          <w:rFonts w:ascii="Arial" w:hAnsi="Arial" w:cs="Arial"/>
          <w:szCs w:val="22"/>
        </w:rPr>
        <w:t xml:space="preserve">As a trading venue operator, Cboe does not itself operate as an SI and does not have direct visibility into XOFF transactions reported by investment firms acting in an SI capacity. We note, however, that the volume of SI-OTC transactions flagged under XOFF has grown materially since MiFID II implementation. We would encourage ESMA to examine whether the XOFF flag is being applied consistently and whether current </w:t>
      </w:r>
      <w:r>
        <w:rPr>
          <w:rFonts w:ascii="Arial" w:hAnsi="Arial" w:cs="Arial"/>
          <w:szCs w:val="22"/>
        </w:rPr>
        <w:t>trade</w:t>
      </w:r>
      <w:r w:rsidRPr="006424E1">
        <w:rPr>
          <w:rFonts w:ascii="Arial" w:hAnsi="Arial" w:cs="Arial"/>
          <w:szCs w:val="22"/>
        </w:rPr>
        <w:t xml:space="preserve"> reporting guidance provides sufficient clarity to ensure comparability across firms. In particular, we understand that some firms report </w:t>
      </w:r>
      <w:r w:rsidRPr="006424E1">
        <w:rPr>
          <w:rFonts w:ascii="Arial" w:hAnsi="Arial" w:cs="Arial"/>
          <w:szCs w:val="22"/>
        </w:rPr>
        <w:lastRenderedPageBreak/>
        <w:t>intragroup transactions under XOFF, which may distort the apparent scale of genuine SI-OTC activity. Improved guidance on the correct use of this flag would meaningfully enhance data quality and analytical reliability.</w:t>
      </w:r>
      <w:r>
        <w:rPr>
          <w:rFonts w:ascii="Arial" w:hAnsi="Arial" w:cs="Arial"/>
          <w:szCs w:val="22"/>
        </w:rPr>
        <w:t xml:space="preserve"> Furthermore, we would note that there appears to be a larg</w:t>
      </w:r>
      <w:r w:rsidR="007E0057">
        <w:rPr>
          <w:rFonts w:ascii="Arial" w:hAnsi="Arial" w:cs="Arial"/>
          <w:szCs w:val="22"/>
        </w:rPr>
        <w:t>e</w:t>
      </w:r>
      <w:r>
        <w:rPr>
          <w:rFonts w:ascii="Arial" w:hAnsi="Arial" w:cs="Arial"/>
          <w:szCs w:val="22"/>
        </w:rPr>
        <w:t xml:space="preserve"> amount of duplicate reporting activity between the UK and EU, with trades that are reported as SINT in the UK also being reported as XOFF in the EU, and vice versa.</w:t>
      </w:r>
    </w:p>
    <w:permEnd w:id="1720911874"/>
    <w:p w14:paraId="7B1C56C5" w14:textId="77777777" w:rsidR="003A33E5" w:rsidRDefault="003A33E5" w:rsidP="003A33E5">
      <w:r>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417934C5" w14:textId="77777777" w:rsidR="00EE040A" w:rsidRPr="006424E1" w:rsidRDefault="004C7A58" w:rsidP="00EE040A">
      <w:pPr>
        <w:spacing w:after="160" w:line="278" w:lineRule="auto"/>
        <w:rPr>
          <w:rFonts w:ascii="Arial" w:hAnsi="Arial" w:cs="Arial"/>
          <w:szCs w:val="22"/>
        </w:rPr>
      </w:pPr>
      <w:permStart w:id="1070029581" w:edGrp="everyone"/>
      <w:r>
        <w:t xml:space="preserve"> </w:t>
      </w:r>
      <w:r w:rsidR="00EE040A" w:rsidRPr="006424E1">
        <w:rPr>
          <w:rFonts w:ascii="Arial" w:hAnsi="Arial" w:cs="Arial"/>
          <w:szCs w:val="22"/>
        </w:rPr>
        <w:t>We broadly agree with the identified trends, with one important caveat: the baseline period matters significantly. Q1 2022 was an outlier driven by heightened volatility following Russia's invasion of Ukraine, and trends measured from this point may overstate or understate structural shifts.</w:t>
      </w:r>
    </w:p>
    <w:p w14:paraId="61EA3804" w14:textId="0E75D7F7" w:rsidR="00EE040A" w:rsidRPr="006424E1" w:rsidRDefault="00EE040A" w:rsidP="00EE040A">
      <w:pPr>
        <w:spacing w:after="160" w:line="278" w:lineRule="auto"/>
        <w:rPr>
          <w:rFonts w:ascii="Arial" w:hAnsi="Arial" w:cs="Arial"/>
          <w:szCs w:val="22"/>
        </w:rPr>
      </w:pPr>
      <w:r w:rsidRPr="006424E1">
        <w:rPr>
          <w:rFonts w:ascii="Arial" w:hAnsi="Arial" w:cs="Arial"/>
          <w:szCs w:val="22"/>
        </w:rPr>
        <w:t>The broader picture is one of gradual, organic evolution away from primary exchange CLOBs toward alternative</w:t>
      </w:r>
      <w:r w:rsidR="001C15C6">
        <w:rPr>
          <w:rFonts w:ascii="Arial" w:hAnsi="Arial" w:cs="Arial"/>
          <w:szCs w:val="22"/>
        </w:rPr>
        <w:t>, multilateral</w:t>
      </w:r>
      <w:r w:rsidRPr="006424E1">
        <w:rPr>
          <w:rFonts w:ascii="Arial" w:hAnsi="Arial" w:cs="Arial"/>
          <w:szCs w:val="22"/>
        </w:rPr>
        <w:t xml:space="preserve"> lit venues </w:t>
      </w:r>
      <w:r w:rsidR="001B5B2B">
        <w:rPr>
          <w:rFonts w:ascii="Arial" w:hAnsi="Arial" w:cs="Arial"/>
          <w:szCs w:val="22"/>
        </w:rPr>
        <w:t xml:space="preserve">– </w:t>
      </w:r>
      <w:r w:rsidR="00116BC9">
        <w:rPr>
          <w:rFonts w:ascii="Arial" w:hAnsi="Arial" w:cs="Arial"/>
          <w:szCs w:val="22"/>
        </w:rPr>
        <w:t>including</w:t>
      </w:r>
      <w:r w:rsidR="001B5B2B">
        <w:rPr>
          <w:rFonts w:ascii="Arial" w:hAnsi="Arial" w:cs="Arial"/>
          <w:szCs w:val="22"/>
        </w:rPr>
        <w:t xml:space="preserve"> </w:t>
      </w:r>
      <w:r w:rsidRPr="006424E1">
        <w:rPr>
          <w:rFonts w:ascii="Arial" w:hAnsi="Arial" w:cs="Arial"/>
          <w:szCs w:val="22"/>
        </w:rPr>
        <w:t xml:space="preserve">FBAs and closing auctions </w:t>
      </w:r>
      <w:r w:rsidR="001B5B2B">
        <w:rPr>
          <w:rFonts w:ascii="Arial" w:hAnsi="Arial" w:cs="Arial"/>
          <w:szCs w:val="22"/>
        </w:rPr>
        <w:t xml:space="preserve">– </w:t>
      </w:r>
      <w:r w:rsidR="001C15C6">
        <w:rPr>
          <w:rFonts w:ascii="Arial" w:hAnsi="Arial" w:cs="Arial"/>
          <w:szCs w:val="22"/>
        </w:rPr>
        <w:t>and</w:t>
      </w:r>
      <w:r w:rsidR="001B5B2B">
        <w:rPr>
          <w:rFonts w:ascii="Arial" w:hAnsi="Arial" w:cs="Arial"/>
          <w:szCs w:val="22"/>
        </w:rPr>
        <w:t xml:space="preserve"> </w:t>
      </w:r>
      <w:r w:rsidR="001C15C6">
        <w:rPr>
          <w:rFonts w:ascii="Arial" w:hAnsi="Arial" w:cs="Arial"/>
          <w:szCs w:val="22"/>
        </w:rPr>
        <w:t>SIs</w:t>
      </w:r>
      <w:r w:rsidRPr="006424E1">
        <w:rPr>
          <w:rFonts w:ascii="Arial" w:hAnsi="Arial" w:cs="Arial"/>
          <w:szCs w:val="22"/>
        </w:rPr>
        <w:t>. This is not an alarming development but rather the natural consequence of the competitive market structure introduced by MiFID I in 2007. Primary exchanges entered that era with close to 100% market share; even today their share remains higher than might be expected under conditions of uninhibited competition, which reflects residual incumbency advantages rather than superior service provision.</w:t>
      </w:r>
    </w:p>
    <w:p w14:paraId="47C8C198" w14:textId="5C2A3EBD" w:rsidR="003A33E5" w:rsidRPr="00EE040A" w:rsidRDefault="00EE040A" w:rsidP="00EE040A">
      <w:pPr>
        <w:spacing w:after="160" w:line="278" w:lineRule="auto"/>
        <w:rPr>
          <w:rFonts w:ascii="Arial" w:hAnsi="Arial" w:cs="Arial"/>
          <w:szCs w:val="22"/>
        </w:rPr>
      </w:pPr>
      <w:r w:rsidRPr="006424E1">
        <w:rPr>
          <w:rFonts w:ascii="Arial" w:hAnsi="Arial" w:cs="Arial"/>
          <w:szCs w:val="22"/>
        </w:rPr>
        <w:t xml:space="preserve">On the whole — with some notable exceptions — primary exchanges have </w:t>
      </w:r>
      <w:r>
        <w:rPr>
          <w:rFonts w:ascii="Arial" w:hAnsi="Arial" w:cs="Arial"/>
          <w:szCs w:val="22"/>
        </w:rPr>
        <w:t>been slower to</w:t>
      </w:r>
      <w:r w:rsidRPr="006424E1">
        <w:rPr>
          <w:rFonts w:ascii="Arial" w:hAnsi="Arial" w:cs="Arial"/>
          <w:szCs w:val="22"/>
        </w:rPr>
        <w:t xml:space="preserve"> innovate to meet investors' evolving execution needs, while alternative providers have</w:t>
      </w:r>
      <w:r>
        <w:rPr>
          <w:rFonts w:ascii="Arial" w:hAnsi="Arial" w:cs="Arial"/>
          <w:szCs w:val="22"/>
        </w:rPr>
        <w:t xml:space="preserve"> been more responsive</w:t>
      </w:r>
      <w:r w:rsidRPr="006424E1">
        <w:rPr>
          <w:rFonts w:ascii="Arial" w:hAnsi="Arial" w:cs="Arial"/>
          <w:szCs w:val="22"/>
        </w:rPr>
        <w:t>. Any transfer of volume from primaries to alternatives will therefore also reflect a move toward a more optimal mix of trading mechanisms, not simply a loss of business that should be attributed to regulatory failure.</w:t>
      </w:r>
    </w:p>
    <w:permEnd w:id="1070029581"/>
    <w:p w14:paraId="7BB7AE3F" w14:textId="77777777"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0BD923BF" w14:textId="77777777" w:rsidR="00EE040A" w:rsidRPr="006424E1" w:rsidRDefault="00EE040A" w:rsidP="00EE040A">
      <w:pPr>
        <w:spacing w:after="160" w:line="278" w:lineRule="auto"/>
        <w:rPr>
          <w:rFonts w:ascii="Arial" w:hAnsi="Arial" w:cs="Arial"/>
          <w:szCs w:val="22"/>
        </w:rPr>
      </w:pPr>
      <w:permStart w:id="856752782" w:edGrp="everyone"/>
      <w:r w:rsidRPr="006424E1">
        <w:rPr>
          <w:rFonts w:ascii="Arial" w:hAnsi="Arial" w:cs="Arial"/>
          <w:szCs w:val="22"/>
        </w:rPr>
        <w:t>We do not share concerns about the implications of declining CLOB market share for price formation. Price formation is the aggregation of all market events — orders, trades and auctions — viewed in real time, and has never been driven solely by the subset of orders that participants choose to display on a CLOB. When investors are efficiently finding counterparties and receiving prices they are satisfied with, effective price formation is occurring regardless of the mechanism used.</w:t>
      </w:r>
    </w:p>
    <w:p w14:paraId="243D1853" w14:textId="6382EF44" w:rsidR="00EE040A" w:rsidRPr="006424E1" w:rsidRDefault="00EE040A" w:rsidP="00EE040A">
      <w:pPr>
        <w:spacing w:after="160" w:line="278" w:lineRule="auto"/>
        <w:rPr>
          <w:rFonts w:ascii="Arial" w:hAnsi="Arial" w:cs="Arial"/>
          <w:szCs w:val="22"/>
        </w:rPr>
      </w:pPr>
      <w:r w:rsidRPr="006424E1">
        <w:rPr>
          <w:rFonts w:ascii="Arial" w:hAnsi="Arial" w:cs="Arial"/>
          <w:szCs w:val="22"/>
        </w:rPr>
        <w:lastRenderedPageBreak/>
        <w:t xml:space="preserve">Importantly, many of the mechanisms gaining market share — including </w:t>
      </w:r>
      <w:r>
        <w:rPr>
          <w:rFonts w:ascii="Arial" w:hAnsi="Arial" w:cs="Arial"/>
          <w:szCs w:val="22"/>
        </w:rPr>
        <w:t>FBAs</w:t>
      </w:r>
      <w:r w:rsidRPr="006424E1">
        <w:rPr>
          <w:rFonts w:ascii="Arial" w:hAnsi="Arial" w:cs="Arial"/>
          <w:szCs w:val="22"/>
        </w:rPr>
        <w:t xml:space="preserve"> and closing auctions — display indicative prices and volumes in real time and therefore contribute actively to price discovery. Using a CLOB when doing so generates excessive market impact or information leakage does not enhance price formation; rather it produces short-term price swings that reflect intermediation profits rather than fundamental value.</w:t>
      </w:r>
    </w:p>
    <w:p w14:paraId="37E368FA" w14:textId="56DAFBFF" w:rsidR="003A33E5" w:rsidRDefault="00EE040A" w:rsidP="00EE040A">
      <w:r w:rsidRPr="006424E1">
        <w:rPr>
          <w:rFonts w:ascii="Arial" w:hAnsi="Arial" w:cs="Arial"/>
          <w:szCs w:val="22"/>
        </w:rPr>
        <w:t>Regulatory concern should focus on ensuring access to consolidated price information and maintaining pre-trade transparency standards — not on artificially defending CLOB market share as an end in itself.</w:t>
      </w:r>
    </w:p>
    <w:permEnd w:id="856752782"/>
    <w:p w14:paraId="2A3F17E9" w14:textId="77777777" w:rsidR="003A33E5" w:rsidRDefault="003A33E5" w:rsidP="003A33E5">
      <w:r>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215DF38E" w14:textId="77777777" w:rsidR="00EE040A" w:rsidRPr="006424E1" w:rsidRDefault="00EE040A" w:rsidP="00EE040A">
      <w:pPr>
        <w:spacing w:after="160" w:line="278" w:lineRule="auto"/>
        <w:rPr>
          <w:rFonts w:ascii="Arial" w:hAnsi="Arial" w:cs="Arial"/>
          <w:szCs w:val="22"/>
        </w:rPr>
      </w:pPr>
      <w:permStart w:id="617826185" w:edGrp="everyone"/>
      <w:r w:rsidRPr="006424E1">
        <w:rPr>
          <w:rFonts w:ascii="Arial" w:hAnsi="Arial" w:cs="Arial"/>
          <w:szCs w:val="22"/>
        </w:rPr>
        <w:t>The principal drivers are explicit and implicit costs. Explicit costs include exchange fees, clearing and settlement costs and market data charges. Implicit costs — often the more significant factor for institutional investors — include market impact, information leakage risk and the probability of adverse price movement during execution.</w:t>
      </w:r>
    </w:p>
    <w:p w14:paraId="001B0622" w14:textId="55920E62" w:rsidR="003A33E5" w:rsidRDefault="00EE040A" w:rsidP="00EE040A">
      <w:r w:rsidRPr="006424E1">
        <w:rPr>
          <w:rFonts w:ascii="Arial" w:hAnsi="Arial" w:cs="Arial"/>
          <w:szCs w:val="22"/>
        </w:rPr>
        <w:t xml:space="preserve">Investors and their brokers rationally select the mechanism — whether CLOB, </w:t>
      </w:r>
      <w:r w:rsidR="00B3613E">
        <w:rPr>
          <w:rFonts w:ascii="Arial" w:hAnsi="Arial" w:cs="Arial"/>
          <w:szCs w:val="22"/>
        </w:rPr>
        <w:t>FBA</w:t>
      </w:r>
      <w:r w:rsidRPr="006424E1">
        <w:rPr>
          <w:rFonts w:ascii="Arial" w:hAnsi="Arial" w:cs="Arial"/>
          <w:szCs w:val="22"/>
        </w:rPr>
        <w:t>, closing auction, dark pool or SI — that minimises total execution cost for the size, urgency and nature of the order in question. Best execution obligations require this analysis. The growing sophistication of execution algorithms means that venue selection is increasingly data-driven and dynamic, with order routing responding in real time to prevailing liquidity conditions across all available mechanisms.</w:t>
      </w:r>
    </w:p>
    <w:permEnd w:id="617826185"/>
    <w:p w14:paraId="27C70824" w14:textId="77777777"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539AAB43" w14:textId="4B3CB7B7" w:rsidR="003A33E5" w:rsidRPr="00B3613E" w:rsidRDefault="00B3613E" w:rsidP="00B3613E">
      <w:pPr>
        <w:spacing w:after="160" w:line="278" w:lineRule="auto"/>
        <w:rPr>
          <w:rFonts w:ascii="Arial" w:hAnsi="Arial" w:cs="Arial"/>
          <w:szCs w:val="22"/>
        </w:rPr>
      </w:pPr>
      <w:permStart w:id="1898151376" w:edGrp="everyone"/>
      <w:r w:rsidRPr="006424E1">
        <w:rPr>
          <w:rFonts w:ascii="Arial" w:hAnsi="Arial" w:cs="Arial"/>
          <w:szCs w:val="22"/>
        </w:rPr>
        <w:t>As a venue operator, Cboe does not access liquidity on behalf of end-clients. However, our customers and prospective customers consistently identify two key structural barriers. The first is post-trade infrastructure: fragmented clearing and settlement arrangements and high cross-border settlement costs create material friction for participants seeking to access liquidity across multiple EEA venues. The second is market data costs, which remain disproportionately high across the European ecosystem, preventing many participants from obtaining a complete and timely picture of available liquidity. The implementation of a robust, affordable consolidated tape would directly address the latter barrier and would be strongly welcomed.</w:t>
      </w:r>
    </w:p>
    <w:permEnd w:id="1898151376"/>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7A75D0EE" w14:textId="01877407" w:rsidR="005439CE" w:rsidRDefault="00B3613E" w:rsidP="005439CE">
      <w:permStart w:id="1102657477" w:edGrp="everyone"/>
      <w:r w:rsidRPr="006424E1">
        <w:rPr>
          <w:rFonts w:ascii="Arial" w:hAnsi="Arial" w:cs="Arial"/>
          <w:szCs w:val="22"/>
        </w:rPr>
        <w:t>Cboe is a trading venue operator and not an issuer, so we do not respond to this question from the perspective of an issuer. In general terms, the attractiveness of European equity markets for listings depends heavily on the depth, resilience and accessibility of secondary market liquidity — all of which are directly influenced by the quality of market structure regulation. A regulatory environment that supports competition, innovation and a diversity of trading mechanisms is more likely to be conducive to a vibrant primary market than one that seeks to concentrate liquidity artificially within a single mechanism.</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692DC8A9" w14:textId="401097C3" w:rsidR="00B3613E" w:rsidRPr="006424E1" w:rsidRDefault="00B3613E" w:rsidP="00B3613E">
      <w:pPr>
        <w:spacing w:after="160" w:line="278" w:lineRule="auto"/>
        <w:rPr>
          <w:rFonts w:ascii="Arial" w:hAnsi="Arial" w:cs="Arial"/>
          <w:szCs w:val="22"/>
        </w:rPr>
      </w:pPr>
      <w:permStart w:id="1746406015" w:edGrp="everyone"/>
      <w:r w:rsidRPr="006424E1">
        <w:rPr>
          <w:rFonts w:ascii="Arial" w:hAnsi="Arial" w:cs="Arial"/>
          <w:szCs w:val="22"/>
        </w:rPr>
        <w:lastRenderedPageBreak/>
        <w:t xml:space="preserve">The distribution of liquidity across EEA ISINs reflects significant structural heterogeneity. The most striking outlier is Poland, whose market remains small relative to the size of its economy and whose trading composition differs substantially from that of other medium and large European markets. Poland's market structure strongly suggests that </w:t>
      </w:r>
      <w:r w:rsidR="00CA3531">
        <w:rPr>
          <w:rFonts w:ascii="Arial" w:hAnsi="Arial" w:cs="Arial"/>
          <w:szCs w:val="22"/>
        </w:rPr>
        <w:t>the competitive marke</w:t>
      </w:r>
      <w:r w:rsidR="00FE3BD9">
        <w:rPr>
          <w:rFonts w:ascii="Arial" w:hAnsi="Arial" w:cs="Arial"/>
          <w:szCs w:val="22"/>
        </w:rPr>
        <w:t>t</w:t>
      </w:r>
      <w:r w:rsidR="00CA3531">
        <w:rPr>
          <w:rFonts w:ascii="Arial" w:hAnsi="Arial" w:cs="Arial"/>
          <w:szCs w:val="22"/>
        </w:rPr>
        <w:t xml:space="preserve"> model </w:t>
      </w:r>
      <w:r w:rsidR="00FE3BD9">
        <w:rPr>
          <w:rFonts w:ascii="Arial" w:hAnsi="Arial" w:cs="Arial"/>
          <w:szCs w:val="22"/>
        </w:rPr>
        <w:t xml:space="preserve">envisioned by the co legislators of the various iterations of </w:t>
      </w:r>
      <w:r w:rsidRPr="006424E1">
        <w:rPr>
          <w:rFonts w:ascii="Arial" w:hAnsi="Arial" w:cs="Arial"/>
          <w:szCs w:val="22"/>
        </w:rPr>
        <w:t xml:space="preserve">MiFID has not been effectively transposed or enforced in practice. This points to a need for greater supervisory convergence across EEA jurisdictions, particularly in the consistent application of the transparency and competition-enabling provisions of </w:t>
      </w:r>
      <w:r w:rsidR="00FE3BD9">
        <w:rPr>
          <w:rFonts w:ascii="Arial" w:hAnsi="Arial" w:cs="Arial"/>
          <w:szCs w:val="22"/>
        </w:rPr>
        <w:t xml:space="preserve">MiFID and </w:t>
      </w:r>
      <w:proofErr w:type="spellStart"/>
      <w:r w:rsidRPr="006424E1">
        <w:rPr>
          <w:rFonts w:ascii="Arial" w:hAnsi="Arial" w:cs="Arial"/>
          <w:szCs w:val="22"/>
        </w:rPr>
        <w:t>MiFIR</w:t>
      </w:r>
      <w:proofErr w:type="spellEnd"/>
      <w:r w:rsidRPr="006424E1">
        <w:rPr>
          <w:rFonts w:ascii="Arial" w:hAnsi="Arial" w:cs="Arial"/>
          <w:szCs w:val="22"/>
        </w:rPr>
        <w:t>.</w:t>
      </w:r>
    </w:p>
    <w:p w14:paraId="1A77713C" w14:textId="1C77FBE6" w:rsidR="003A33E5" w:rsidRDefault="00B3613E" w:rsidP="00B3613E">
      <w:r w:rsidRPr="006424E1">
        <w:rPr>
          <w:rFonts w:ascii="Arial" w:hAnsi="Arial" w:cs="Arial"/>
          <w:szCs w:val="22"/>
        </w:rPr>
        <w:t>The high share of OTC trading in some jurisdictions is likely a function of fragmented post-trade infrastructure, limited local access to multilateral venues and, in some cases, inadequate enforcement of pre-trade transparency requirements. The most effective policy response would be to address these root causes — improving cross-border settlement access, reducing market data costs, and ensuring consistent supervisory enforcement — rather than imposing further restrictions on market participants.</w:t>
      </w:r>
    </w:p>
    <w:permEnd w:id="1746406015"/>
    <w:p w14:paraId="733FC025" w14:textId="486493A9"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31F2B526" w14:textId="77777777" w:rsidR="00B3613E" w:rsidRPr="006424E1" w:rsidRDefault="00B3613E" w:rsidP="00B3613E">
      <w:pPr>
        <w:spacing w:after="160" w:line="278" w:lineRule="auto"/>
        <w:rPr>
          <w:rFonts w:ascii="Arial" w:hAnsi="Arial" w:cs="Arial"/>
          <w:szCs w:val="22"/>
        </w:rPr>
      </w:pPr>
      <w:permStart w:id="648821160" w:edGrp="everyone"/>
      <w:r w:rsidRPr="006424E1">
        <w:rPr>
          <w:rFonts w:ascii="Arial" w:hAnsi="Arial" w:cs="Arial"/>
          <w:szCs w:val="22"/>
        </w:rPr>
        <w:t xml:space="preserve">The overall level of dark trading on EU trading venues has remained broadly stable following the introduction of the Double Volume Cap and subsequently the Single Volume Cap under </w:t>
      </w:r>
      <w:proofErr w:type="spellStart"/>
      <w:r w:rsidRPr="006424E1">
        <w:rPr>
          <w:rFonts w:ascii="Arial" w:hAnsi="Arial" w:cs="Arial"/>
          <w:szCs w:val="22"/>
        </w:rPr>
        <w:t>MiFIR</w:t>
      </w:r>
      <w:proofErr w:type="spellEnd"/>
      <w:r w:rsidRPr="006424E1">
        <w:rPr>
          <w:rFonts w:ascii="Arial" w:hAnsi="Arial" w:cs="Arial"/>
          <w:szCs w:val="22"/>
        </w:rPr>
        <w:t>. We have not observed material structural shifts in the composition of dark trading that would warrant specific additional monitoring at this stage, beyond ongoing oversight of reference price waiver usage and SVC threshold calibration.</w:t>
      </w:r>
    </w:p>
    <w:p w14:paraId="6CAB21E8" w14:textId="5C8887BA" w:rsidR="003A33E5" w:rsidRDefault="00B3613E" w:rsidP="00B3613E">
      <w:r w:rsidRPr="006424E1">
        <w:rPr>
          <w:rFonts w:ascii="Arial" w:hAnsi="Arial" w:cs="Arial"/>
          <w:szCs w:val="22"/>
        </w:rPr>
        <w:t xml:space="preserve">We would, however, draw ESMA's attention to the risk of misclassification. Mechanisms that are genuinely transparent — including </w:t>
      </w:r>
      <w:r>
        <w:rPr>
          <w:rFonts w:ascii="Arial" w:hAnsi="Arial" w:cs="Arial"/>
          <w:szCs w:val="22"/>
        </w:rPr>
        <w:t>FBAs</w:t>
      </w:r>
      <w:r w:rsidRPr="006424E1">
        <w:rPr>
          <w:rFonts w:ascii="Arial" w:hAnsi="Arial" w:cs="Arial"/>
          <w:szCs w:val="22"/>
        </w:rPr>
        <w:t>, which display indicative uncrossing prices and volumes in real time throughout the call period — have at times been characterised as dark or quasi-dark. Accurate classification is essential to meaningful monitoring, and ESMA should ensure that its analytical framework correctly distinguishes between genuinely opaque execution and lit mechanisms that operate on a periodic rather than continuous basis.</w:t>
      </w:r>
    </w:p>
    <w:permEnd w:id="648821160"/>
    <w:p w14:paraId="7C40A66E" w14:textId="22C93734"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4BBC89F1" w14:textId="77777777" w:rsidR="00B3613E" w:rsidRPr="006424E1" w:rsidRDefault="00B3613E" w:rsidP="00B3613E">
      <w:pPr>
        <w:spacing w:after="160" w:line="278" w:lineRule="auto"/>
        <w:rPr>
          <w:rFonts w:ascii="Arial" w:hAnsi="Arial" w:cs="Arial"/>
          <w:szCs w:val="22"/>
        </w:rPr>
      </w:pPr>
      <w:permStart w:id="733371525" w:edGrp="everyone"/>
      <w:r w:rsidRPr="006424E1">
        <w:rPr>
          <w:rFonts w:ascii="Arial" w:hAnsi="Arial" w:cs="Arial"/>
          <w:szCs w:val="22"/>
        </w:rPr>
        <w:t>Our primary concern is the requirement that reference price waiver venues must execute at a single price — the midpoint. This restriction is disproportionate and distorting: it restricts competition in both trading and market data, narrows the range of available execution strategies and weakens the resilience of European markets by reducing the diversity of functioning mechanisms.</w:t>
      </w:r>
    </w:p>
    <w:p w14:paraId="1B04CE86" w14:textId="77777777" w:rsidR="00B3613E" w:rsidRPr="006424E1" w:rsidRDefault="00B3613E" w:rsidP="00B3613E">
      <w:pPr>
        <w:spacing w:after="160" w:line="278" w:lineRule="auto"/>
        <w:rPr>
          <w:rFonts w:ascii="Arial" w:hAnsi="Arial" w:cs="Arial"/>
          <w:szCs w:val="22"/>
        </w:rPr>
      </w:pPr>
      <w:r w:rsidRPr="006424E1">
        <w:rPr>
          <w:rFonts w:ascii="Arial" w:hAnsi="Arial" w:cs="Arial"/>
          <w:szCs w:val="22"/>
        </w:rPr>
        <w:t>The United Kingdom removed this restriction following its departure from the EU framework and has not witnessed the exponential growth in dark trading that critics predicted. The empirical evidence from the UK strongly supports removing the single-price constraint for reference price venues in the EU.</w:t>
      </w:r>
    </w:p>
    <w:p w14:paraId="489A7F2C" w14:textId="2273BAB5" w:rsidR="003A33E5" w:rsidRDefault="00B3613E" w:rsidP="00B3613E">
      <w:r w:rsidRPr="006424E1">
        <w:rPr>
          <w:rFonts w:ascii="Arial" w:hAnsi="Arial" w:cs="Arial"/>
          <w:szCs w:val="22"/>
        </w:rPr>
        <w:t xml:space="preserve">More broadly, the volume cap framework should be reassessed. Evidence consistently shows that it has not achieved its intended objective of redirecting flow into CLOBs; instead it has </w:t>
      </w:r>
      <w:r w:rsidRPr="006424E1">
        <w:rPr>
          <w:rFonts w:ascii="Arial" w:hAnsi="Arial" w:cs="Arial"/>
          <w:szCs w:val="22"/>
        </w:rPr>
        <w:lastRenderedPageBreak/>
        <w:t>displaced activity into closing auctions, SIs and OTC channels — outcomes that are arguably less transparent than the reference price mechanisms the caps were designed to constrain.</w:t>
      </w: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07F57FC8" w14:textId="350995DB" w:rsidR="00B3613E" w:rsidRDefault="00215418" w:rsidP="00215418">
      <w:pPr>
        <w:spacing w:after="160" w:line="278" w:lineRule="auto"/>
        <w:rPr>
          <w:rFonts w:ascii="Arial" w:hAnsi="Arial" w:cs="Arial"/>
          <w:szCs w:val="22"/>
        </w:rPr>
      </w:pPr>
      <w:permStart w:id="14425139" w:edGrp="everyone"/>
      <w:r>
        <w:rPr>
          <w:rFonts w:ascii="Arial" w:hAnsi="Arial" w:cs="Arial"/>
          <w:szCs w:val="22"/>
        </w:rPr>
        <w:t>ESMA’s data shows that c</w:t>
      </w:r>
      <w:r w:rsidR="00B3613E" w:rsidRPr="006424E1">
        <w:rPr>
          <w:rFonts w:ascii="Arial" w:hAnsi="Arial" w:cs="Arial"/>
          <w:szCs w:val="22"/>
        </w:rPr>
        <w:t xml:space="preserve">losing auction volumes in Europe </w:t>
      </w:r>
      <w:r>
        <w:rPr>
          <w:rFonts w:ascii="Arial" w:hAnsi="Arial" w:cs="Arial"/>
          <w:szCs w:val="22"/>
        </w:rPr>
        <w:t>have continued to grow – and this is a self-reinforcing trend</w:t>
      </w:r>
      <w:r w:rsidR="00B3613E" w:rsidRPr="006424E1">
        <w:rPr>
          <w:rFonts w:ascii="Arial" w:hAnsi="Arial" w:cs="Arial"/>
          <w:szCs w:val="22"/>
        </w:rPr>
        <w:t>. Unlike FBAs, which run alongside continuous trading and complement intraday price formation, closing auctions concentrate liquidity at a single point in time and bleed activity away from continuous trading during the session. While closing auctions serve an important reference pricing function, their growth should not be assumed to be unconditionally beneficial: concentration of execution at a single daily event increases systemic fragility and reduces the richness of intraday price formation. Best execution considerations also apply — the closing price is not always the optimal execution price for a given order and size.</w:t>
      </w:r>
    </w:p>
    <w:p w14:paraId="519514EE" w14:textId="2C26586E" w:rsidR="003A33E5" w:rsidRDefault="00B3613E" w:rsidP="00B3613E">
      <w:r>
        <w:rPr>
          <w:rFonts w:ascii="Arial" w:hAnsi="Arial" w:cs="Arial"/>
          <w:szCs w:val="22"/>
        </w:rPr>
        <w:t>On this last point, Cboe has been made aware that recent changes to the PRIIPS Regulation, particularly rules around price slippage, are compounding the issue and incentivising firms to move trading from continuous mechanisms such as CLOBs to closing auctions and S</w:t>
      </w:r>
      <w:r w:rsidR="007509E7">
        <w:rPr>
          <w:rFonts w:ascii="Arial" w:hAnsi="Arial" w:cs="Arial"/>
          <w:szCs w:val="22"/>
        </w:rPr>
        <w:t>I</w:t>
      </w:r>
      <w:r>
        <w:rPr>
          <w:rFonts w:ascii="Arial" w:hAnsi="Arial" w:cs="Arial"/>
          <w:szCs w:val="22"/>
        </w:rPr>
        <w:t>s, where a single price can be achieved, avoiding price slippage during the execution of the order but achieving a potentially overall worse outcome e.g. by waiting to end of the day when the price has already moved adversely for the investor.</w:t>
      </w:r>
      <w:r w:rsidR="009B5A1F">
        <w:t xml:space="preserve"> </w:t>
      </w: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455EA8AC" w14:textId="575BD0F4" w:rsidR="003A33E5" w:rsidRDefault="00B3613E" w:rsidP="003A33E5">
      <w:permStart w:id="230633778" w:edGrp="everyone"/>
      <w:r w:rsidRPr="006424E1">
        <w:rPr>
          <w:rFonts w:ascii="Arial" w:hAnsi="Arial" w:cs="Arial"/>
          <w:szCs w:val="22"/>
        </w:rPr>
        <w:t>Alternative closing mechanisms offered by MTFs are not competing with primary closing auctions. They serve a different and complementary function: enabling participants to execute at the closing price, which is a common requirement for index-tracking and passive investment strategies. These mechanisms compete primarily with bilateral OTC execution that would otherwise occur away from regulated venues. To the extent they bring activity into regulated or reporting frameworks, they should be viewed positively from a transparency and systemic oversight perspective.</w:t>
      </w:r>
      <w:r w:rsidR="00D44BC2">
        <w:t xml:space="preserve"> </w:t>
      </w:r>
    </w:p>
    <w:permEnd w:id="230633778"/>
    <w:p w14:paraId="5B799896" w14:textId="134B17D7"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4D4F73F8" w14:textId="296F957F" w:rsidR="003A33E5" w:rsidRDefault="007F5B1B" w:rsidP="003A33E5">
      <w:permStart w:id="834536465" w:edGrp="everyone"/>
      <w:r w:rsidRPr="006424E1">
        <w:rPr>
          <w:rFonts w:ascii="Arial" w:hAnsi="Arial" w:cs="Arial"/>
          <w:szCs w:val="22"/>
        </w:rPr>
        <w:t>It is not yet clear that 24-hour trading will develop to a significant degree in European equity markets. To the extent that extended hours trading does emerge, we would not expect it to materially undermine the role of the primary closing auction as the key daily reference pricing event. The closing auction's function as the benchmark for index replication, fund valuation and derivatives settlement gives it a structural importance that is unlikely to be displaced by the mere availability of extended hours trading. However, ESMA should monitor whether extended hours liquidity fragmentation affects the representativeness of closing auction prices, particularly for less liquid instruments where the closing auction already draws on a relatively thin order pool.</w:t>
      </w:r>
    </w:p>
    <w:permEnd w:id="834536465"/>
    <w:p w14:paraId="7C20DB7D" w14:textId="1B046AFF"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0D407B43" w14:textId="61F783CE" w:rsidR="003A33E5" w:rsidRPr="0019151D" w:rsidRDefault="002115A9" w:rsidP="0019151D">
      <w:pPr>
        <w:spacing w:after="160" w:line="278" w:lineRule="auto"/>
        <w:rPr>
          <w:rFonts w:ascii="Arial" w:hAnsi="Arial" w:cs="Arial"/>
          <w:szCs w:val="22"/>
        </w:rPr>
      </w:pPr>
      <w:permStart w:id="54361316" w:edGrp="everyone"/>
      <w:r w:rsidRPr="002115A9">
        <w:rPr>
          <w:rFonts w:ascii="Arial" w:hAnsi="Arial" w:cs="Arial"/>
          <w:szCs w:val="22"/>
        </w:rPr>
        <w:lastRenderedPageBreak/>
        <w:t>The structural shift most deserving of closer monitoring is the continued growth of bilateral OTC execution</w:t>
      </w:r>
      <w:r w:rsidR="009F20A9">
        <w:rPr>
          <w:rFonts w:ascii="Arial" w:hAnsi="Arial" w:cs="Arial"/>
          <w:szCs w:val="22"/>
        </w:rPr>
        <w:t xml:space="preserve"> – </w:t>
      </w:r>
      <w:r w:rsidRPr="002115A9">
        <w:rPr>
          <w:rFonts w:ascii="Arial" w:hAnsi="Arial" w:cs="Arial"/>
          <w:szCs w:val="22"/>
        </w:rPr>
        <w:t>and</w:t>
      </w:r>
      <w:r w:rsidR="009F20A9">
        <w:rPr>
          <w:rFonts w:ascii="Arial" w:hAnsi="Arial" w:cs="Arial"/>
          <w:szCs w:val="22"/>
        </w:rPr>
        <w:t xml:space="preserve"> </w:t>
      </w:r>
      <w:r w:rsidRPr="002115A9">
        <w:rPr>
          <w:rFonts w:ascii="Arial" w:hAnsi="Arial" w:cs="Arial"/>
          <w:szCs w:val="22"/>
        </w:rPr>
        <w:t xml:space="preserve">in particular the migration of volume to execution venues and counterparties outside the EU. Where activity moves offshore, it falls outside the reach of European transparency requirements entirely, representing a materially worse outcome than any form of on-venue or SI execution within the EU framework. Competent authorities should monitor cross-border flow patterns closely and assess whether the current regulatory framework is inadvertently incentivising participants to seek execution outside the EU. The appropriate regulatory response to these trends is not to restrict the mechanisms available to market participants within the EU, but to ensure that multilateral venues are able to compete effectively for flow that might otherwise migrate to bilateral or offshore channels. This means addressing the structural asymmetries </w:t>
      </w:r>
      <w:r w:rsidR="009F20A9">
        <w:rPr>
          <w:rFonts w:ascii="Arial" w:hAnsi="Arial" w:cs="Arial"/>
          <w:szCs w:val="22"/>
        </w:rPr>
        <w:t xml:space="preserve">– </w:t>
      </w:r>
      <w:r w:rsidRPr="002115A9">
        <w:rPr>
          <w:rFonts w:ascii="Arial" w:hAnsi="Arial" w:cs="Arial"/>
          <w:szCs w:val="22"/>
        </w:rPr>
        <w:t xml:space="preserve">in transparency obligations, operational requirements and midpoint execution permissions </w:t>
      </w:r>
      <w:r w:rsidR="009F20A9">
        <w:rPr>
          <w:rFonts w:ascii="Arial" w:hAnsi="Arial" w:cs="Arial"/>
          <w:szCs w:val="22"/>
        </w:rPr>
        <w:t xml:space="preserve">– </w:t>
      </w:r>
      <w:r w:rsidRPr="002115A9">
        <w:rPr>
          <w:rFonts w:ascii="Arial" w:hAnsi="Arial" w:cs="Arial"/>
          <w:szCs w:val="22"/>
        </w:rPr>
        <w:t>that currently disadvantage multilateral venues relative to SIs, as set out in our responses to Q19 and Q25. On a more positive note, we believe the implementation of the EU equity consolidated tape represents a meaningful opportunity to improve the quality and accessibility of market data across the European ecosystem. A well-designed consolidated tape should enhance price transparency, reduce barriers to accessing liquidity across venues, and provide regulators with a more complete and reliable picture of overall market activity. We would encourage ESMA to assess carefully what data</w:t>
      </w:r>
      <w:r w:rsidR="00877D19">
        <w:rPr>
          <w:rFonts w:ascii="Arial" w:hAnsi="Arial" w:cs="Arial"/>
          <w:szCs w:val="22"/>
        </w:rPr>
        <w:t xml:space="preserve"> is</w:t>
      </w:r>
      <w:r w:rsidRPr="002115A9">
        <w:rPr>
          <w:rFonts w:ascii="Arial" w:hAnsi="Arial" w:cs="Arial"/>
          <w:szCs w:val="22"/>
        </w:rPr>
        <w:t xml:space="preserve"> necessary to ensure the tape delivers its full potential, and to consider whether the current scope of reporting obligations is sufficient to support a genuinely representative consolidated view of European equity markets.</w:t>
      </w: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3AF97956" w14:textId="5FE05CF5" w:rsidR="007F5B1B" w:rsidRPr="006424E1" w:rsidRDefault="007F5B1B" w:rsidP="007F5B1B">
      <w:pPr>
        <w:spacing w:after="160" w:line="278" w:lineRule="auto"/>
        <w:rPr>
          <w:rFonts w:ascii="Arial" w:hAnsi="Arial" w:cs="Arial"/>
          <w:szCs w:val="22"/>
        </w:rPr>
      </w:pPr>
      <w:permStart w:id="1032677898" w:edGrp="everyone"/>
      <w:r w:rsidRPr="006424E1">
        <w:rPr>
          <w:rFonts w:ascii="Arial" w:hAnsi="Arial" w:cs="Arial"/>
          <w:szCs w:val="22"/>
        </w:rPr>
        <w:t>Frequent Batch Auctions</w:t>
      </w:r>
      <w:r w:rsidR="00FE32C2">
        <w:rPr>
          <w:rFonts w:ascii="Arial" w:hAnsi="Arial" w:cs="Arial"/>
          <w:szCs w:val="22"/>
        </w:rPr>
        <w:t xml:space="preserve"> (FBAs)</w:t>
      </w:r>
      <w:r w:rsidRPr="006424E1">
        <w:rPr>
          <w:rFonts w:ascii="Arial" w:hAnsi="Arial" w:cs="Arial"/>
          <w:szCs w:val="22"/>
        </w:rPr>
        <w:t xml:space="preserve"> have grown organically to represent a healthy share of European lit equities trading and operate across regulated venues including Cboe Europe, Turquoise, Aquis, Nasdaq Nordic, Sigma X and Posit. This growth reflects genuine investor demand, not regulatory arbitrage.</w:t>
      </w:r>
    </w:p>
    <w:p w14:paraId="39FF8779" w14:textId="2768F987" w:rsidR="006F216A" w:rsidRPr="007F5B1B" w:rsidRDefault="007F5B1B" w:rsidP="007F5B1B">
      <w:pPr>
        <w:spacing w:after="160" w:line="278" w:lineRule="auto"/>
        <w:rPr>
          <w:rFonts w:ascii="Arial" w:hAnsi="Arial" w:cs="Arial"/>
          <w:szCs w:val="22"/>
        </w:rPr>
      </w:pPr>
      <w:r w:rsidRPr="006424E1">
        <w:rPr>
          <w:rFonts w:ascii="Arial" w:hAnsi="Arial" w:cs="Arial"/>
          <w:szCs w:val="22"/>
        </w:rPr>
        <w:t xml:space="preserve">The principal benefits </w:t>
      </w:r>
      <w:r>
        <w:rPr>
          <w:rFonts w:ascii="Arial" w:hAnsi="Arial" w:cs="Arial"/>
          <w:szCs w:val="22"/>
        </w:rPr>
        <w:t>FBAs</w:t>
      </w:r>
      <w:r w:rsidRPr="006424E1">
        <w:rPr>
          <w:rFonts w:ascii="Arial" w:hAnsi="Arial" w:cs="Arial"/>
          <w:szCs w:val="22"/>
        </w:rPr>
        <w:t xml:space="preserve"> offer are: (</w:t>
      </w:r>
      <w:proofErr w:type="spellStart"/>
      <w:r w:rsidRPr="006424E1">
        <w:rPr>
          <w:rFonts w:ascii="Arial" w:hAnsi="Arial" w:cs="Arial"/>
          <w:szCs w:val="22"/>
        </w:rPr>
        <w:t>i</w:t>
      </w:r>
      <w:proofErr w:type="spellEnd"/>
      <w:r w:rsidRPr="006424E1">
        <w:rPr>
          <w:rFonts w:ascii="Arial" w:hAnsi="Arial" w:cs="Arial"/>
          <w:szCs w:val="22"/>
        </w:rPr>
        <w:t>) protection from latency arbitrage for institutional investors such as asset managers and pension funds; (ii) improved execution quality through reduced market impact and tighter effective spreads; (iii) full pre-trade transparency via a displayed indicative price and volume — identical to the closing auction model; and (iv) genuine multilateral price competition. These are characteristics that directly serve the objectives of market structure regulation.</w:t>
      </w:r>
      <w:r w:rsidR="008057E7">
        <w:rPr>
          <w:rFonts w:ascii="Arial" w:hAnsi="Arial" w:cs="Arial"/>
          <w:szCs w:val="22"/>
        </w:rPr>
        <w:t xml:space="preserve"> No</w:t>
      </w:r>
      <w:r w:rsidRPr="006424E1">
        <w:rPr>
          <w:rFonts w:ascii="Arial" w:hAnsi="Arial" w:cs="Arial"/>
          <w:szCs w:val="22"/>
        </w:rPr>
        <w:t xml:space="preserve"> </w:t>
      </w:r>
      <w:r w:rsidR="00287264" w:rsidRPr="00287264">
        <w:rPr>
          <w:rFonts w:ascii="Arial" w:hAnsi="Arial" w:cs="Arial"/>
          <w:szCs w:val="22"/>
        </w:rPr>
        <w:t>material shortcomings have been identified from the available market quality data, including effective spread and multilateral participation analysis.</w:t>
      </w:r>
    </w:p>
    <w:permEnd w:id="1032677898"/>
    <w:p w14:paraId="30A22FF7" w14:textId="12C24108"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71CAE789" w14:textId="7633ED31" w:rsidR="007F5B1B" w:rsidRPr="006424E1" w:rsidRDefault="007F5B1B" w:rsidP="007F5B1B">
      <w:pPr>
        <w:spacing w:after="160" w:line="278" w:lineRule="auto"/>
        <w:rPr>
          <w:rFonts w:ascii="Arial" w:hAnsi="Arial" w:cs="Arial"/>
          <w:szCs w:val="22"/>
        </w:rPr>
      </w:pPr>
      <w:permStart w:id="2057074625" w:edGrp="everyone"/>
      <w:r w:rsidRPr="006424E1">
        <w:rPr>
          <w:rFonts w:ascii="Arial" w:hAnsi="Arial" w:cs="Arial"/>
          <w:szCs w:val="22"/>
        </w:rPr>
        <w:t>All alternatives to reference price waiver books observed an increase in volumes following the</w:t>
      </w:r>
      <w:r>
        <w:rPr>
          <w:rFonts w:ascii="Arial" w:hAnsi="Arial" w:cs="Arial"/>
          <w:szCs w:val="22"/>
        </w:rPr>
        <w:t xml:space="preserve"> initial</w:t>
      </w:r>
      <w:r w:rsidRPr="006424E1">
        <w:rPr>
          <w:rFonts w:ascii="Arial" w:hAnsi="Arial" w:cs="Arial"/>
          <w:szCs w:val="22"/>
        </w:rPr>
        <w:t xml:space="preserve"> implementation of the SVC — including closing auctions, FBAs and SIs. As with previous volume cap interventions, this demonstrates that restrictions on one mechanism do not trigger a transfer of activity into CLOBs. Flow migrates instead to the next-best alternative that meets the same underlying investor need — in this case, mid-point execution.</w:t>
      </w:r>
    </w:p>
    <w:p w14:paraId="10217154" w14:textId="217A278B" w:rsidR="007F5B1B" w:rsidRPr="006424E1" w:rsidRDefault="007F5B1B" w:rsidP="007F5B1B">
      <w:pPr>
        <w:spacing w:after="160" w:line="278" w:lineRule="auto"/>
        <w:rPr>
          <w:rFonts w:ascii="Arial" w:hAnsi="Arial" w:cs="Arial"/>
          <w:szCs w:val="22"/>
        </w:rPr>
      </w:pPr>
      <w:r w:rsidRPr="006424E1">
        <w:rPr>
          <w:rFonts w:ascii="Arial" w:hAnsi="Arial" w:cs="Arial"/>
          <w:szCs w:val="22"/>
        </w:rPr>
        <w:t xml:space="preserve">Furthermore, once participants are directed toward </w:t>
      </w:r>
      <w:r w:rsidR="00FE32C2">
        <w:rPr>
          <w:rFonts w:ascii="Arial" w:hAnsi="Arial" w:cs="Arial"/>
          <w:szCs w:val="22"/>
        </w:rPr>
        <w:t>FBA</w:t>
      </w:r>
      <w:r w:rsidRPr="006424E1">
        <w:rPr>
          <w:rFonts w:ascii="Arial" w:hAnsi="Arial" w:cs="Arial"/>
          <w:szCs w:val="22"/>
        </w:rPr>
        <w:t>s, many come to appreciate their positive qualities and recalibrate their algorithms to use them more effectively. It is also worth noting that FBAs have performed as well or better in the UK</w:t>
      </w:r>
      <w:r w:rsidR="006D7094">
        <w:rPr>
          <w:rFonts w:ascii="Arial" w:hAnsi="Arial" w:cs="Arial"/>
          <w:szCs w:val="22"/>
        </w:rPr>
        <w:t xml:space="preserve"> (during May 2026 FBAs represented c. 5% of on-venue volume in both the UK and EU)</w:t>
      </w:r>
      <w:r w:rsidRPr="006424E1">
        <w:rPr>
          <w:rFonts w:ascii="Arial" w:hAnsi="Arial" w:cs="Arial"/>
          <w:szCs w:val="22"/>
        </w:rPr>
        <w:t>, where there are no caps on reference price waiver trading, which further demonstrates that caps are not necessary to maintain the viability of lit continuous markets.</w:t>
      </w:r>
    </w:p>
    <w:p w14:paraId="368930A1" w14:textId="3F1F7C0D" w:rsidR="003A33E5" w:rsidRDefault="007F5B1B" w:rsidP="007F5B1B">
      <w:r w:rsidRPr="006424E1">
        <w:rPr>
          <w:rFonts w:ascii="Arial" w:hAnsi="Arial" w:cs="Arial"/>
          <w:szCs w:val="22"/>
        </w:rPr>
        <w:t xml:space="preserve">The SVC regime was designed to constrain genuinely dark, off-venue trading. Its application to </w:t>
      </w:r>
      <w:r w:rsidR="00FE32C2">
        <w:rPr>
          <w:rFonts w:ascii="Arial" w:hAnsi="Arial" w:cs="Arial"/>
          <w:szCs w:val="22"/>
        </w:rPr>
        <w:t>FBA</w:t>
      </w:r>
      <w:r w:rsidRPr="006424E1">
        <w:rPr>
          <w:rFonts w:ascii="Arial" w:hAnsi="Arial" w:cs="Arial"/>
          <w:szCs w:val="22"/>
        </w:rPr>
        <w:t xml:space="preserve">s would be a significant policy error. </w:t>
      </w:r>
      <w:r w:rsidR="00FE32C2">
        <w:rPr>
          <w:rFonts w:ascii="Arial" w:hAnsi="Arial" w:cs="Arial"/>
          <w:szCs w:val="22"/>
        </w:rPr>
        <w:t>FBA</w:t>
      </w:r>
      <w:r w:rsidRPr="006424E1">
        <w:rPr>
          <w:rFonts w:ascii="Arial" w:hAnsi="Arial" w:cs="Arial"/>
          <w:szCs w:val="22"/>
        </w:rPr>
        <w:t xml:space="preserve">s are fully lit, on-venue mechanisms operating under </w:t>
      </w:r>
      <w:proofErr w:type="spellStart"/>
      <w:r w:rsidRPr="006424E1">
        <w:rPr>
          <w:rFonts w:ascii="Arial" w:hAnsi="Arial" w:cs="Arial"/>
          <w:szCs w:val="22"/>
        </w:rPr>
        <w:t>MiFIR</w:t>
      </w:r>
      <w:proofErr w:type="spellEnd"/>
      <w:r w:rsidRPr="006424E1">
        <w:rPr>
          <w:rFonts w:ascii="Arial" w:hAnsi="Arial" w:cs="Arial"/>
          <w:szCs w:val="22"/>
        </w:rPr>
        <w:t xml:space="preserve"> pre-trade transparency requirements — they display an indicative uncrossing </w:t>
      </w:r>
      <w:r w:rsidRPr="006424E1">
        <w:rPr>
          <w:rFonts w:ascii="Arial" w:hAnsi="Arial" w:cs="Arial"/>
          <w:szCs w:val="22"/>
        </w:rPr>
        <w:lastRenderedPageBreak/>
        <w:t xml:space="preserve">price and volume throughout the call period, in exactly the same manner as closing auctions. They are not dark pools and should not be treated as such under any volume cap framework. Where SVC-type restrictions have been applied, the empirical evidence is unambiguous: flow does not migrate into CLOBs. Adopting SVC-type restrictions for </w:t>
      </w:r>
      <w:r w:rsidR="00FE32C2">
        <w:rPr>
          <w:rFonts w:ascii="Arial" w:hAnsi="Arial" w:cs="Arial"/>
          <w:szCs w:val="22"/>
        </w:rPr>
        <w:t>FBA</w:t>
      </w:r>
      <w:r w:rsidRPr="006424E1">
        <w:rPr>
          <w:rFonts w:ascii="Arial" w:hAnsi="Arial" w:cs="Arial"/>
          <w:szCs w:val="22"/>
        </w:rPr>
        <w:t>s would therefore achieve no regulatory objective while imposing material costs on investors.</w:t>
      </w: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435B918E" w14:textId="77777777" w:rsidR="007F5B1B" w:rsidRPr="006424E1" w:rsidRDefault="007F5B1B" w:rsidP="007F5B1B">
      <w:pPr>
        <w:spacing w:after="160" w:line="278" w:lineRule="auto"/>
        <w:rPr>
          <w:rFonts w:ascii="Arial" w:hAnsi="Arial" w:cs="Arial"/>
          <w:szCs w:val="22"/>
        </w:rPr>
      </w:pPr>
      <w:permStart w:id="174423608" w:edGrp="everyone"/>
      <w:r w:rsidRPr="006424E1">
        <w:rPr>
          <w:rFonts w:ascii="Arial" w:hAnsi="Arial" w:cs="Arial"/>
          <w:szCs w:val="22"/>
        </w:rPr>
        <w:t>The most significant emerging structural shift warranting closer monitoring is the continued migration of institutional flow from continuous multilateral trading toward periodic mechanisms — in particular closing auctions — and bilateral SI/OTC execution. While some of this reflects genuine investor preferences and legitimate execution optimisation, it raises questions about the long-term resilience and informativeness of intraday price formation.</w:t>
      </w:r>
    </w:p>
    <w:p w14:paraId="66BD8025" w14:textId="2AEBCB94" w:rsidR="0023496C" w:rsidRDefault="007F5B1B" w:rsidP="007F5B1B">
      <w:r w:rsidRPr="006424E1">
        <w:rPr>
          <w:rFonts w:ascii="Arial" w:hAnsi="Arial" w:cs="Arial"/>
          <w:szCs w:val="22"/>
        </w:rPr>
        <w:t>In addition, the growth of algorithmic and systematic strategies specifically designed to interact with closing auctions or SIs rather than contributing to continuous price discovery deserves ongoing attention. Regulators should also monitor the development of extended hours trading and any associated fragmentation of the reference pricing process. Finally, the increasing concentration of closing auction volumes on primary exchange mechanisms warrants scrutiny from a systemic resilience perspective, given the operational risk implications of any disruption to a single dominant pricing event.</w:t>
      </w:r>
    </w:p>
    <w:permEnd w:id="174423608"/>
    <w:p w14:paraId="6AE3F885" w14:textId="73177A58"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0C4BFF30" w14:textId="2A076416" w:rsidR="007F5B1B" w:rsidRPr="006424E1" w:rsidRDefault="007F5B1B" w:rsidP="007F5B1B">
      <w:pPr>
        <w:spacing w:after="160" w:line="278" w:lineRule="auto"/>
        <w:rPr>
          <w:rFonts w:ascii="Arial" w:hAnsi="Arial" w:cs="Arial"/>
          <w:szCs w:val="22"/>
        </w:rPr>
      </w:pPr>
      <w:permStart w:id="1672904074" w:edGrp="everyone"/>
      <w:r w:rsidRPr="006424E1">
        <w:rPr>
          <w:rFonts w:ascii="Arial" w:hAnsi="Arial" w:cs="Arial"/>
          <w:szCs w:val="22"/>
        </w:rPr>
        <w:t>ESMA should not adopt a blanket classification of all FBAs as price-forming or non-price-forming. Assessment should be conducted on a case-by-case basis, based on the specific mechanics of the FBA in question and with reference to measurable indicators including multilateral participation rates, broker preferencing levels, off-midpoint order incidence and price distribution relative to prevailing spreads.</w:t>
      </w:r>
    </w:p>
    <w:p w14:paraId="2747B1A9" w14:textId="1854A0C4" w:rsidR="00215418" w:rsidRPr="00215418" w:rsidRDefault="007F5B1B" w:rsidP="00215418">
      <w:pPr>
        <w:rPr>
          <w:rFonts w:ascii="Arial" w:hAnsi="Arial" w:cs="Arial"/>
          <w:szCs w:val="22"/>
        </w:rPr>
      </w:pPr>
      <w:proofErr w:type="spellStart"/>
      <w:r w:rsidRPr="006424E1">
        <w:rPr>
          <w:rFonts w:ascii="Arial" w:hAnsi="Arial" w:cs="Arial"/>
          <w:szCs w:val="22"/>
        </w:rPr>
        <w:t>Cboe's</w:t>
      </w:r>
      <w:proofErr w:type="spellEnd"/>
      <w:r w:rsidRPr="006424E1">
        <w:rPr>
          <w:rFonts w:ascii="Arial" w:hAnsi="Arial" w:cs="Arial"/>
          <w:szCs w:val="22"/>
        </w:rPr>
        <w:t xml:space="preserve"> data demonstrates that, assessed against these criteria, its </w:t>
      </w:r>
      <w:r w:rsidR="00FE32C2">
        <w:rPr>
          <w:rFonts w:ascii="Arial" w:hAnsi="Arial" w:cs="Arial"/>
          <w:szCs w:val="22"/>
        </w:rPr>
        <w:t>FBA</w:t>
      </w:r>
      <w:r w:rsidRPr="006424E1">
        <w:rPr>
          <w:rFonts w:ascii="Arial" w:hAnsi="Arial" w:cs="Arial"/>
          <w:szCs w:val="22"/>
        </w:rPr>
        <w:t xml:space="preserve"> is unambiguously price-forming. </w:t>
      </w:r>
    </w:p>
    <w:tbl>
      <w:tblPr>
        <w:tblStyle w:val="PlainTable4"/>
        <w:tblW w:w="0" w:type="auto"/>
        <w:tblLook w:val="04A0" w:firstRow="1" w:lastRow="0" w:firstColumn="1" w:lastColumn="0" w:noHBand="0" w:noVBand="1"/>
      </w:tblPr>
      <w:tblGrid>
        <w:gridCol w:w="2628"/>
        <w:gridCol w:w="3216"/>
        <w:gridCol w:w="3228"/>
      </w:tblGrid>
      <w:tr w:rsidR="00215418" w14:paraId="32A5957C" w14:textId="77777777" w:rsidTr="002154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4776AF4" w14:textId="77777777" w:rsidR="00215418" w:rsidRPr="00215418" w:rsidRDefault="00215418" w:rsidP="0025168D">
            <w:pPr>
              <w:jc w:val="center"/>
              <w:rPr>
                <w:color w:val="auto"/>
              </w:rPr>
            </w:pPr>
            <w:r w:rsidRPr="00215418">
              <w:rPr>
                <w:rFonts w:ascii="Arial" w:hAnsi="Arial"/>
                <w:color w:val="auto"/>
                <w:sz w:val="18"/>
              </w:rPr>
              <w:t>Indicator</w:t>
            </w:r>
          </w:p>
        </w:tc>
        <w:tc>
          <w:tcPr>
            <w:tcW w:w="3600" w:type="dxa"/>
          </w:tcPr>
          <w:p w14:paraId="744EBBD9" w14:textId="77777777" w:rsidR="00215418" w:rsidRPr="00215418" w:rsidRDefault="00215418" w:rsidP="0025168D">
            <w:pPr>
              <w:jc w:val="center"/>
              <w:cnfStyle w:val="100000000000" w:firstRow="1" w:lastRow="0" w:firstColumn="0" w:lastColumn="0" w:oddVBand="0" w:evenVBand="0" w:oddHBand="0" w:evenHBand="0" w:firstRowFirstColumn="0" w:firstRowLastColumn="0" w:lastRowFirstColumn="0" w:lastRowLastColumn="0"/>
              <w:rPr>
                <w:color w:val="auto"/>
              </w:rPr>
            </w:pPr>
            <w:r w:rsidRPr="00215418">
              <w:rPr>
                <w:rFonts w:ascii="Arial" w:hAnsi="Arial"/>
                <w:color w:val="auto"/>
                <w:sz w:val="18"/>
              </w:rPr>
              <w:t>Data Point</w:t>
            </w:r>
          </w:p>
        </w:tc>
        <w:tc>
          <w:tcPr>
            <w:tcW w:w="3600" w:type="dxa"/>
          </w:tcPr>
          <w:p w14:paraId="0B89704B" w14:textId="77777777" w:rsidR="00215418" w:rsidRPr="00215418" w:rsidRDefault="00215418" w:rsidP="0025168D">
            <w:pPr>
              <w:jc w:val="center"/>
              <w:cnfStyle w:val="100000000000" w:firstRow="1" w:lastRow="0" w:firstColumn="0" w:lastColumn="0" w:oddVBand="0" w:evenVBand="0" w:oddHBand="0" w:evenHBand="0" w:firstRowFirstColumn="0" w:firstRowLastColumn="0" w:lastRowFirstColumn="0" w:lastRowLastColumn="0"/>
              <w:rPr>
                <w:color w:val="auto"/>
              </w:rPr>
            </w:pPr>
            <w:r w:rsidRPr="00215418">
              <w:rPr>
                <w:rFonts w:ascii="Arial" w:hAnsi="Arial"/>
                <w:color w:val="auto"/>
                <w:sz w:val="18"/>
              </w:rPr>
              <w:t>Significance</w:t>
            </w:r>
          </w:p>
        </w:tc>
      </w:tr>
      <w:tr w:rsidR="00215418" w14:paraId="0698C363" w14:textId="77777777" w:rsidTr="00215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5647E48" w14:textId="77777777" w:rsidR="00215418" w:rsidRDefault="00215418" w:rsidP="0025168D">
            <w:pPr>
              <w:jc w:val="center"/>
            </w:pPr>
            <w:r>
              <w:rPr>
                <w:rFonts w:ascii="Arial" w:hAnsi="Arial"/>
                <w:sz w:val="18"/>
              </w:rPr>
              <w:t>Multilateral participation</w:t>
            </w:r>
          </w:p>
        </w:tc>
        <w:tc>
          <w:tcPr>
            <w:tcW w:w="3600" w:type="dxa"/>
          </w:tcPr>
          <w:p w14:paraId="4B4D4787" w14:textId="77777777" w:rsidR="00215418" w:rsidRDefault="00215418" w:rsidP="0025168D">
            <w:pPr>
              <w:jc w:val="center"/>
              <w:cnfStyle w:val="000000100000" w:firstRow="0" w:lastRow="0" w:firstColumn="0" w:lastColumn="0" w:oddVBand="0" w:evenVBand="0" w:oddHBand="1" w:evenHBand="0" w:firstRowFirstColumn="0" w:firstRowLastColumn="0" w:lastRowFirstColumn="0" w:lastRowLastColumn="0"/>
            </w:pPr>
            <w:r>
              <w:rPr>
                <w:rFonts w:ascii="Arial" w:hAnsi="Arial"/>
                <w:sz w:val="18"/>
              </w:rPr>
              <w:t>&gt;37% of auctions (by value) involved 3+ independent orders</w:t>
            </w:r>
          </w:p>
        </w:tc>
        <w:tc>
          <w:tcPr>
            <w:tcW w:w="3600" w:type="dxa"/>
          </w:tcPr>
          <w:p w14:paraId="6EBDE8CC" w14:textId="77777777" w:rsidR="00215418" w:rsidRDefault="00215418" w:rsidP="0025168D">
            <w:pPr>
              <w:jc w:val="center"/>
              <w:cnfStyle w:val="000000100000" w:firstRow="0" w:lastRow="0" w:firstColumn="0" w:lastColumn="0" w:oddVBand="0" w:evenVBand="0" w:oddHBand="1" w:evenHBand="0" w:firstRowFirstColumn="0" w:firstRowLastColumn="0" w:lastRowFirstColumn="0" w:lastRowLastColumn="0"/>
            </w:pPr>
            <w:r>
              <w:rPr>
                <w:rFonts w:ascii="Arial" w:hAnsi="Arial"/>
                <w:sz w:val="18"/>
              </w:rPr>
              <w:t>Genuine competition on price, not bilateral matching</w:t>
            </w:r>
          </w:p>
        </w:tc>
      </w:tr>
      <w:tr w:rsidR="00215418" w14:paraId="0BFF9B61" w14:textId="77777777" w:rsidTr="00215418">
        <w:tc>
          <w:tcPr>
            <w:cnfStyle w:val="001000000000" w:firstRow="0" w:lastRow="0" w:firstColumn="1" w:lastColumn="0" w:oddVBand="0" w:evenVBand="0" w:oddHBand="0" w:evenHBand="0" w:firstRowFirstColumn="0" w:firstRowLastColumn="0" w:lastRowFirstColumn="0" w:lastRowLastColumn="0"/>
            <w:tcW w:w="2880" w:type="dxa"/>
          </w:tcPr>
          <w:p w14:paraId="2D8C6862" w14:textId="77777777" w:rsidR="00215418" w:rsidRDefault="00215418" w:rsidP="0025168D">
            <w:pPr>
              <w:jc w:val="center"/>
            </w:pPr>
            <w:r>
              <w:rPr>
                <w:rFonts w:ascii="Arial" w:hAnsi="Arial"/>
                <w:sz w:val="18"/>
              </w:rPr>
              <w:t>Broker preferencing</w:t>
            </w:r>
          </w:p>
        </w:tc>
        <w:tc>
          <w:tcPr>
            <w:tcW w:w="3600" w:type="dxa"/>
          </w:tcPr>
          <w:p w14:paraId="7E8D5303" w14:textId="77777777" w:rsidR="00215418" w:rsidRDefault="00215418" w:rsidP="0025168D">
            <w:pPr>
              <w:jc w:val="center"/>
              <w:cnfStyle w:val="000000000000" w:firstRow="0" w:lastRow="0" w:firstColumn="0" w:lastColumn="0" w:oddVBand="0" w:evenVBand="0" w:oddHBand="0" w:evenHBand="0" w:firstRowFirstColumn="0" w:firstRowLastColumn="0" w:lastRowFirstColumn="0" w:lastRowLastColumn="0"/>
            </w:pPr>
            <w:r>
              <w:rPr>
                <w:rFonts w:ascii="Arial" w:hAnsi="Arial"/>
                <w:sz w:val="18"/>
              </w:rPr>
              <w:t>5.4% (record low, down from 22.1% in Q3 2021)</w:t>
            </w:r>
          </w:p>
        </w:tc>
        <w:tc>
          <w:tcPr>
            <w:tcW w:w="3600" w:type="dxa"/>
          </w:tcPr>
          <w:p w14:paraId="0EB68B03" w14:textId="77777777" w:rsidR="00215418" w:rsidRDefault="00215418" w:rsidP="0025168D">
            <w:pPr>
              <w:jc w:val="center"/>
              <w:cnfStyle w:val="000000000000" w:firstRow="0" w:lastRow="0" w:firstColumn="0" w:lastColumn="0" w:oddVBand="0" w:evenVBand="0" w:oddHBand="0" w:evenHBand="0" w:firstRowFirstColumn="0" w:firstRowLastColumn="0" w:lastRowFirstColumn="0" w:lastRowLastColumn="0"/>
            </w:pPr>
            <w:r>
              <w:rPr>
                <w:rFonts w:ascii="Arial" w:hAnsi="Arial"/>
                <w:sz w:val="18"/>
              </w:rPr>
              <w:t>Increasing arms-length price competition over time</w:t>
            </w:r>
          </w:p>
        </w:tc>
      </w:tr>
      <w:tr w:rsidR="00215418" w14:paraId="54D566E4" w14:textId="77777777" w:rsidTr="00215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7F88EEF" w14:textId="77777777" w:rsidR="00215418" w:rsidRDefault="00215418" w:rsidP="0025168D">
            <w:pPr>
              <w:jc w:val="center"/>
            </w:pPr>
            <w:r>
              <w:rPr>
                <w:rFonts w:ascii="Arial" w:hAnsi="Arial"/>
                <w:sz w:val="18"/>
              </w:rPr>
              <w:t>Off-midpoint orders</w:t>
            </w:r>
          </w:p>
        </w:tc>
        <w:tc>
          <w:tcPr>
            <w:tcW w:w="3600" w:type="dxa"/>
          </w:tcPr>
          <w:p w14:paraId="45905797" w14:textId="77777777" w:rsidR="00215418" w:rsidRDefault="00215418" w:rsidP="0025168D">
            <w:pPr>
              <w:jc w:val="center"/>
              <w:cnfStyle w:val="000000100000" w:firstRow="0" w:lastRow="0" w:firstColumn="0" w:lastColumn="0" w:oddVBand="0" w:evenVBand="0" w:oddHBand="1" w:evenHBand="0" w:firstRowFirstColumn="0" w:firstRowLastColumn="0" w:lastRowFirstColumn="0" w:lastRowLastColumn="0"/>
            </w:pPr>
            <w:r>
              <w:rPr>
                <w:rFonts w:ascii="Arial" w:hAnsi="Arial"/>
                <w:sz w:val="18"/>
              </w:rPr>
              <w:t>38% of orders (up from 16% in Q1 2021)</w:t>
            </w:r>
          </w:p>
        </w:tc>
        <w:tc>
          <w:tcPr>
            <w:tcW w:w="3600" w:type="dxa"/>
          </w:tcPr>
          <w:p w14:paraId="4D7D23DB" w14:textId="77777777" w:rsidR="00215418" w:rsidRDefault="00215418" w:rsidP="0025168D">
            <w:pPr>
              <w:jc w:val="center"/>
              <w:cnfStyle w:val="000000100000" w:firstRow="0" w:lastRow="0" w:firstColumn="0" w:lastColumn="0" w:oddVBand="0" w:evenVBand="0" w:oddHBand="1" w:evenHBand="0" w:firstRowFirstColumn="0" w:firstRowLastColumn="0" w:lastRowFirstColumn="0" w:lastRowLastColumn="0"/>
            </w:pPr>
            <w:r>
              <w:rPr>
                <w:rFonts w:ascii="Arial" w:hAnsi="Arial"/>
                <w:sz w:val="18"/>
              </w:rPr>
              <w:t>Orders priced away from mid reflect genuine price formation</w:t>
            </w:r>
          </w:p>
        </w:tc>
      </w:tr>
      <w:tr w:rsidR="00215418" w14:paraId="5A93281C" w14:textId="77777777" w:rsidTr="00215418">
        <w:tc>
          <w:tcPr>
            <w:cnfStyle w:val="001000000000" w:firstRow="0" w:lastRow="0" w:firstColumn="1" w:lastColumn="0" w:oddVBand="0" w:evenVBand="0" w:oddHBand="0" w:evenHBand="0" w:firstRowFirstColumn="0" w:firstRowLastColumn="0" w:lastRowFirstColumn="0" w:lastRowLastColumn="0"/>
            <w:tcW w:w="2880" w:type="dxa"/>
          </w:tcPr>
          <w:p w14:paraId="19D92CF8" w14:textId="77777777" w:rsidR="00215418" w:rsidRDefault="00215418" w:rsidP="0025168D">
            <w:pPr>
              <w:jc w:val="center"/>
            </w:pPr>
            <w:r>
              <w:rPr>
                <w:rFonts w:ascii="Arial" w:hAnsi="Arial"/>
                <w:sz w:val="18"/>
              </w:rPr>
              <w:t>Price distribution</w:t>
            </w:r>
          </w:p>
        </w:tc>
        <w:tc>
          <w:tcPr>
            <w:tcW w:w="3600" w:type="dxa"/>
          </w:tcPr>
          <w:p w14:paraId="3B9EEE66" w14:textId="77777777" w:rsidR="00215418" w:rsidRDefault="00215418" w:rsidP="0025168D">
            <w:pPr>
              <w:jc w:val="center"/>
              <w:cnfStyle w:val="000000000000" w:firstRow="0" w:lastRow="0" w:firstColumn="0" w:lastColumn="0" w:oddVBand="0" w:evenVBand="0" w:oddHBand="0" w:evenHBand="0" w:firstRowFirstColumn="0" w:firstRowLastColumn="0" w:lastRowFirstColumn="0" w:lastRowLastColumn="0"/>
            </w:pPr>
            <w:r>
              <w:rPr>
                <w:rFonts w:ascii="Arial" w:hAnsi="Arial"/>
                <w:sz w:val="18"/>
              </w:rPr>
              <w:t>72% at mid, 20% inside spread, 8% at BBO</w:t>
            </w:r>
          </w:p>
        </w:tc>
        <w:tc>
          <w:tcPr>
            <w:tcW w:w="3600" w:type="dxa"/>
          </w:tcPr>
          <w:p w14:paraId="5B2CA3C2" w14:textId="77777777" w:rsidR="00215418" w:rsidRDefault="00215418" w:rsidP="0025168D">
            <w:pPr>
              <w:jc w:val="center"/>
              <w:cnfStyle w:val="000000000000" w:firstRow="0" w:lastRow="0" w:firstColumn="0" w:lastColumn="0" w:oddVBand="0" w:evenVBand="0" w:oddHBand="0" w:evenHBand="0" w:firstRowFirstColumn="0" w:firstRowLastColumn="0" w:lastRowFirstColumn="0" w:lastRowLastColumn="0"/>
            </w:pPr>
            <w:r>
              <w:rPr>
                <w:rFonts w:ascii="Arial" w:hAnsi="Arial"/>
                <w:sz w:val="18"/>
              </w:rPr>
              <w:t>Significant share of executions improve on best prevailing price</w:t>
            </w:r>
          </w:p>
        </w:tc>
      </w:tr>
      <w:tr w:rsidR="00215418" w14:paraId="187F9272" w14:textId="77777777" w:rsidTr="00215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A76A3D2" w14:textId="77777777" w:rsidR="00215418" w:rsidRDefault="00215418" w:rsidP="0025168D">
            <w:pPr>
              <w:jc w:val="center"/>
            </w:pPr>
            <w:r>
              <w:rPr>
                <w:rFonts w:ascii="Arial" w:hAnsi="Arial"/>
                <w:sz w:val="18"/>
              </w:rPr>
              <w:t>Half-tick balance</w:t>
            </w:r>
          </w:p>
        </w:tc>
        <w:tc>
          <w:tcPr>
            <w:tcW w:w="3600" w:type="dxa"/>
          </w:tcPr>
          <w:p w14:paraId="14778D7A" w14:textId="77777777" w:rsidR="00215418" w:rsidRDefault="00215418" w:rsidP="0025168D">
            <w:pPr>
              <w:jc w:val="center"/>
              <w:cnfStyle w:val="000000100000" w:firstRow="0" w:lastRow="0" w:firstColumn="0" w:lastColumn="0" w:oddVBand="0" w:evenVBand="0" w:oddHBand="1" w:evenHBand="0" w:firstRowFirstColumn="0" w:firstRowLastColumn="0" w:lastRowFirstColumn="0" w:lastRowLastColumn="0"/>
            </w:pPr>
            <w:r>
              <w:rPr>
                <w:rFonts w:ascii="Arial" w:hAnsi="Arial"/>
                <w:sz w:val="18"/>
              </w:rPr>
              <w:t>~50/50 split between half-tick and full-tick outcomes</w:t>
            </w:r>
          </w:p>
        </w:tc>
        <w:tc>
          <w:tcPr>
            <w:tcW w:w="3600" w:type="dxa"/>
          </w:tcPr>
          <w:p w14:paraId="497B4129" w14:textId="77777777" w:rsidR="00215418" w:rsidRDefault="00215418" w:rsidP="0025168D">
            <w:pPr>
              <w:jc w:val="center"/>
              <w:cnfStyle w:val="000000100000" w:firstRow="0" w:lastRow="0" w:firstColumn="0" w:lastColumn="0" w:oddVBand="0" w:evenVBand="0" w:oddHBand="1" w:evenHBand="0" w:firstRowFirstColumn="0" w:firstRowLastColumn="0" w:lastRowFirstColumn="0" w:lastRowLastColumn="0"/>
            </w:pPr>
            <w:r>
              <w:rPr>
                <w:rFonts w:ascii="Arial" w:hAnsi="Arial"/>
                <w:sz w:val="18"/>
              </w:rPr>
              <w:t>No systematic exploitation; contrasts sharply with SI data</w:t>
            </w:r>
          </w:p>
        </w:tc>
      </w:tr>
    </w:tbl>
    <w:p w14:paraId="7121DD01" w14:textId="77777777" w:rsidR="00215418" w:rsidRDefault="00215418" w:rsidP="00215418"/>
    <w:p w14:paraId="3B28550B" w14:textId="77777777" w:rsidR="00215418" w:rsidRPr="00215418" w:rsidRDefault="00215418" w:rsidP="00215418">
      <w:pPr>
        <w:spacing w:after="160"/>
        <w:rPr>
          <w:szCs w:val="22"/>
        </w:rPr>
      </w:pPr>
      <w:r w:rsidRPr="00215418">
        <w:rPr>
          <w:rFonts w:ascii="Arial" w:hAnsi="Arial"/>
          <w:color w:val="333333"/>
          <w:szCs w:val="22"/>
        </w:rPr>
        <w:t>The academic basis is also strong. The AMF AHEAD paper (</w:t>
      </w:r>
      <w:proofErr w:type="spellStart"/>
      <w:r w:rsidRPr="00215418">
        <w:rPr>
          <w:rFonts w:ascii="Arial" w:hAnsi="Arial"/>
          <w:color w:val="333333"/>
          <w:szCs w:val="22"/>
        </w:rPr>
        <w:t>Derchu</w:t>
      </w:r>
      <w:proofErr w:type="spellEnd"/>
      <w:r w:rsidRPr="00215418">
        <w:rPr>
          <w:rFonts w:ascii="Arial" w:hAnsi="Arial"/>
          <w:color w:val="333333"/>
          <w:szCs w:val="22"/>
        </w:rPr>
        <w:t xml:space="preserve"> et al., 2020) modelled a FBA-style mechanism and found that rational participants have an incentive to submit orders close to their true valuations — the definition of genuine price formation. The contrast with SI activity is instructive: SI off-tick midpoint trades rose from approximately 10% to ~60–65% of all SI midpoint trades in French and Dutch equities following the March 2024 reform — a systematic preference not observed in FBAs.</w:t>
      </w:r>
    </w:p>
    <w:p w14:paraId="734E8B6C" w14:textId="77777777" w:rsidR="00215418" w:rsidRDefault="00215418" w:rsidP="007F5B1B">
      <w:pPr>
        <w:rPr>
          <w:rFonts w:ascii="Arial" w:hAnsi="Arial" w:cs="Arial"/>
          <w:szCs w:val="22"/>
        </w:rPr>
      </w:pPr>
    </w:p>
    <w:p w14:paraId="127D8A68" w14:textId="44EA8073" w:rsidR="003A33E5" w:rsidRDefault="007F5B1B" w:rsidP="007F5B1B">
      <w:r w:rsidRPr="006424E1">
        <w:rPr>
          <w:rFonts w:ascii="Arial" w:hAnsi="Arial" w:cs="Arial"/>
          <w:szCs w:val="22"/>
        </w:rPr>
        <w:lastRenderedPageBreak/>
        <w:t xml:space="preserve">The same transparency model — displayed indicative price and volume updated in real time — governs closing auctions, which are universally accepted as price-forming. There is no principled basis for treating </w:t>
      </w:r>
      <w:r w:rsidR="00FE32C2">
        <w:rPr>
          <w:rFonts w:ascii="Arial" w:hAnsi="Arial" w:cs="Arial"/>
          <w:szCs w:val="22"/>
        </w:rPr>
        <w:t>FBA</w:t>
      </w:r>
      <w:r w:rsidRPr="006424E1">
        <w:rPr>
          <w:rFonts w:ascii="Arial" w:hAnsi="Arial" w:cs="Arial"/>
          <w:szCs w:val="22"/>
        </w:rPr>
        <w:t>s differently from closing auctions in this regard.</w:t>
      </w: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0C27EB3C" w14:textId="70EB3A1A" w:rsidR="007F5B1B" w:rsidRPr="006424E1" w:rsidRDefault="007F5B1B" w:rsidP="007F5B1B">
      <w:pPr>
        <w:spacing w:after="160" w:line="278" w:lineRule="auto"/>
        <w:rPr>
          <w:rFonts w:ascii="Arial" w:hAnsi="Arial" w:cs="Arial"/>
          <w:szCs w:val="22"/>
        </w:rPr>
      </w:pPr>
      <w:permStart w:id="1032158778" w:edGrp="everyone"/>
      <w:r w:rsidRPr="006424E1">
        <w:rPr>
          <w:rFonts w:ascii="Arial" w:hAnsi="Arial" w:cs="Arial"/>
          <w:szCs w:val="22"/>
        </w:rPr>
        <w:t xml:space="preserve">Our primary concern is that any regulatory restriction on </w:t>
      </w:r>
      <w:r>
        <w:rPr>
          <w:rFonts w:ascii="Arial" w:hAnsi="Arial" w:cs="Arial"/>
          <w:szCs w:val="22"/>
        </w:rPr>
        <w:t>FBAs</w:t>
      </w:r>
      <w:r w:rsidRPr="006424E1">
        <w:rPr>
          <w:rFonts w:ascii="Arial" w:hAnsi="Arial" w:cs="Arial"/>
          <w:szCs w:val="22"/>
        </w:rPr>
        <w:t xml:space="preserve"> would be disproportionate, not evidence-based and contrary to Better Regulation principles. The burden of proof must lie with those proposing restrictions: existing data does not support the proposition that </w:t>
      </w:r>
      <w:r w:rsidR="00FE32C2">
        <w:rPr>
          <w:rFonts w:ascii="Arial" w:hAnsi="Arial" w:cs="Arial"/>
          <w:szCs w:val="22"/>
        </w:rPr>
        <w:t>FBA</w:t>
      </w:r>
      <w:r w:rsidRPr="006424E1">
        <w:rPr>
          <w:rFonts w:ascii="Arial" w:hAnsi="Arial" w:cs="Arial"/>
          <w:szCs w:val="22"/>
        </w:rPr>
        <w:t xml:space="preserve">s harm market quality. Any measure affecting </w:t>
      </w:r>
      <w:r w:rsidR="00FE32C2">
        <w:rPr>
          <w:rFonts w:ascii="Arial" w:hAnsi="Arial" w:cs="Arial"/>
          <w:szCs w:val="22"/>
        </w:rPr>
        <w:t>FBA</w:t>
      </w:r>
      <w:r w:rsidRPr="006424E1">
        <w:rPr>
          <w:rFonts w:ascii="Arial" w:hAnsi="Arial" w:cs="Arial"/>
          <w:szCs w:val="22"/>
        </w:rPr>
        <w:t>s should be subject to a full, published impact assessment before adoption.</w:t>
      </w:r>
    </w:p>
    <w:p w14:paraId="72781451" w14:textId="7FEB7788" w:rsidR="007F5B1B" w:rsidRPr="006424E1" w:rsidRDefault="007F5B1B" w:rsidP="007F5B1B">
      <w:pPr>
        <w:spacing w:after="160" w:line="278" w:lineRule="auto"/>
        <w:rPr>
          <w:rFonts w:ascii="Arial" w:hAnsi="Arial" w:cs="Arial"/>
          <w:szCs w:val="22"/>
        </w:rPr>
      </w:pPr>
      <w:r w:rsidRPr="006424E1">
        <w:rPr>
          <w:rFonts w:ascii="Arial" w:hAnsi="Arial" w:cs="Arial"/>
          <w:szCs w:val="22"/>
        </w:rPr>
        <w:t xml:space="preserve">On tick size, we urge ESMA to ensure consistency of treatment. </w:t>
      </w:r>
      <w:r>
        <w:rPr>
          <w:rFonts w:ascii="Arial" w:hAnsi="Arial" w:cs="Arial"/>
          <w:szCs w:val="22"/>
        </w:rPr>
        <w:t>FBAs</w:t>
      </w:r>
      <w:r w:rsidRPr="006424E1">
        <w:rPr>
          <w:rFonts w:ascii="Arial" w:hAnsi="Arial" w:cs="Arial"/>
          <w:szCs w:val="22"/>
        </w:rPr>
        <w:t xml:space="preserve"> are on-venue, multilateral mechanisms that produce a single clearing price following a competitive call period — they should not be subject to more stringent tick size requirements than closing auctions, which operate on an identical transparency and matching model. Applying a stricter tick size regime to </w:t>
      </w:r>
      <w:r>
        <w:rPr>
          <w:rFonts w:ascii="Arial" w:hAnsi="Arial" w:cs="Arial"/>
          <w:szCs w:val="22"/>
        </w:rPr>
        <w:t>FBA</w:t>
      </w:r>
      <w:r w:rsidRPr="006424E1">
        <w:rPr>
          <w:rFonts w:ascii="Arial" w:hAnsi="Arial" w:cs="Arial"/>
          <w:szCs w:val="22"/>
        </w:rPr>
        <w:t xml:space="preserve"> executions than to closing auction or SI executions would be arbitrary and would disadvantage the most transparent category of midpoint trading.</w:t>
      </w:r>
    </w:p>
    <w:p w14:paraId="7C463076" w14:textId="3AB15A28" w:rsidR="003A33E5" w:rsidRDefault="007F5B1B" w:rsidP="00E3519F">
      <w:r w:rsidRPr="006424E1">
        <w:rPr>
          <w:rFonts w:ascii="Arial" w:hAnsi="Arial" w:cs="Arial"/>
          <w:szCs w:val="22"/>
        </w:rPr>
        <w:t xml:space="preserve">More broadly, we must ensure a level playing field between multilateral venues and SIs. Recent </w:t>
      </w:r>
      <w:proofErr w:type="spellStart"/>
      <w:r w:rsidRPr="006424E1">
        <w:rPr>
          <w:rFonts w:ascii="Arial" w:hAnsi="Arial" w:cs="Arial"/>
          <w:szCs w:val="22"/>
        </w:rPr>
        <w:t>MiFIR</w:t>
      </w:r>
      <w:proofErr w:type="spellEnd"/>
      <w:r w:rsidRPr="006424E1">
        <w:rPr>
          <w:rFonts w:ascii="Arial" w:hAnsi="Arial" w:cs="Arial"/>
          <w:szCs w:val="22"/>
        </w:rPr>
        <w:t xml:space="preserve"> reforms explicitly permitted SIs to execute orders at the midpoint, including where the midpoint falls off-tick. To maintain genuine parity, it is essential that midpoint and half-tick executions are more clearly codified and permitted for MTFs and RMs as well. Any intervention that sought to re-impose restrictions on midpoint executions for SIs would risk merely driving activity to non-EU SIs, undermining both regulatory objectives and market competitiveness.</w:t>
      </w:r>
      <w:r w:rsidR="00E3519F">
        <w:t xml:space="preserve"> </w:t>
      </w: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6BD82662" w14:textId="1726479D" w:rsidR="007F5B1B" w:rsidRPr="006424E1" w:rsidRDefault="007F5B1B" w:rsidP="007F5B1B">
      <w:pPr>
        <w:spacing w:after="160" w:line="278" w:lineRule="auto"/>
        <w:rPr>
          <w:rFonts w:ascii="Arial" w:hAnsi="Arial" w:cs="Arial"/>
          <w:szCs w:val="22"/>
        </w:rPr>
      </w:pPr>
      <w:permStart w:id="529949636" w:edGrp="everyone"/>
      <w:r w:rsidRPr="006424E1">
        <w:rPr>
          <w:rFonts w:ascii="Arial" w:hAnsi="Arial" w:cs="Arial"/>
          <w:szCs w:val="22"/>
        </w:rPr>
        <w:lastRenderedPageBreak/>
        <w:t xml:space="preserve">SI trading on EEA markets has grown substantially since MiFID II came into force, driven by several structural factors. First, the removal of the broker-crossing network model forced internalised flow into the SI framework, significantly expanding the registered SI population. Second, the midpoint execution permissions available to SIs — particularly following recent </w:t>
      </w:r>
      <w:proofErr w:type="spellStart"/>
      <w:r w:rsidRPr="006424E1">
        <w:rPr>
          <w:rFonts w:ascii="Arial" w:hAnsi="Arial" w:cs="Arial"/>
          <w:szCs w:val="22"/>
        </w:rPr>
        <w:t>MiFIR</w:t>
      </w:r>
      <w:proofErr w:type="spellEnd"/>
      <w:r w:rsidRPr="006424E1">
        <w:rPr>
          <w:rFonts w:ascii="Arial" w:hAnsi="Arial" w:cs="Arial"/>
          <w:szCs w:val="22"/>
        </w:rPr>
        <w:t xml:space="preserve"> reforms — have made the SI model attractive for executing institutional orders that would previously have been matched in </w:t>
      </w:r>
      <w:r w:rsidR="00E42DC5">
        <w:rPr>
          <w:rFonts w:ascii="Arial" w:hAnsi="Arial" w:cs="Arial"/>
          <w:szCs w:val="22"/>
        </w:rPr>
        <w:t>multilateral</w:t>
      </w:r>
      <w:r w:rsidRPr="006424E1">
        <w:rPr>
          <w:rFonts w:ascii="Arial" w:hAnsi="Arial" w:cs="Arial"/>
          <w:szCs w:val="22"/>
        </w:rPr>
        <w:t xml:space="preserve"> venues.</w:t>
      </w:r>
    </w:p>
    <w:p w14:paraId="16CC736F" w14:textId="3B7138AD" w:rsidR="003A33E5" w:rsidRDefault="00E42DC5" w:rsidP="007F5B1B">
      <w:r w:rsidRPr="00E42DC5">
        <w:rPr>
          <w:rFonts w:ascii="Arial" w:hAnsi="Arial" w:cs="Arial"/>
          <w:szCs w:val="22"/>
        </w:rPr>
        <w:t>The net effect has been a substantial and growing volume of trading activity subject to different transparency and operational requirements than equivalent multilateral venue activity, which raises important questions about the long-term proportionality of the current framework</w:t>
      </w:r>
      <w:r w:rsidR="007F5B1B" w:rsidRPr="006424E1">
        <w:rPr>
          <w:rFonts w:ascii="Arial" w:hAnsi="Arial" w:cs="Arial"/>
          <w:szCs w:val="22"/>
        </w:rPr>
        <w:t>.</w:t>
      </w:r>
      <w:r w:rsidR="00287264">
        <w:rPr>
          <w:rFonts w:ascii="Arial" w:hAnsi="Arial" w:cs="Arial"/>
          <w:szCs w:val="22"/>
        </w:rPr>
        <w:t xml:space="preserve"> To be clear, in </w:t>
      </w:r>
      <w:proofErr w:type="spellStart"/>
      <w:r w:rsidR="00287264">
        <w:rPr>
          <w:rFonts w:ascii="Arial" w:hAnsi="Arial" w:cs="Arial"/>
          <w:szCs w:val="22"/>
        </w:rPr>
        <w:t>Cboe’s</w:t>
      </w:r>
      <w:proofErr w:type="spellEnd"/>
      <w:r w:rsidR="00287264">
        <w:rPr>
          <w:rFonts w:ascii="Arial" w:hAnsi="Arial" w:cs="Arial"/>
          <w:szCs w:val="22"/>
        </w:rPr>
        <w:t xml:space="preserve"> view, regulatory focus should be on ensuring that multilateral venues are able to compete effectively, rather than artificially restricting choice.</w:t>
      </w:r>
    </w:p>
    <w:permEnd w:id="529949636"/>
    <w:p w14:paraId="3C751F7F" w14:textId="64F5E42A" w:rsidR="003A33E5" w:rsidRDefault="003A33E5" w:rsidP="003A33E5">
      <w:r>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58E6771A" w14:textId="77777777" w:rsidR="007F5B1B" w:rsidRPr="006424E1" w:rsidRDefault="007F5B1B" w:rsidP="007F5B1B">
      <w:pPr>
        <w:spacing w:after="160" w:line="278" w:lineRule="auto"/>
        <w:rPr>
          <w:rFonts w:ascii="Arial" w:hAnsi="Arial" w:cs="Arial"/>
          <w:szCs w:val="22"/>
        </w:rPr>
      </w:pPr>
      <w:permStart w:id="818545257" w:edGrp="everyone"/>
      <w:r w:rsidRPr="006424E1">
        <w:rPr>
          <w:rFonts w:ascii="Arial" w:hAnsi="Arial" w:cs="Arial"/>
          <w:szCs w:val="22"/>
        </w:rPr>
        <w:t>From our perspective as a venue operator observing the overall market structure, SI trading spans a wide range of trade sizes. At smaller sizes, SI activity often represents retail or algorithmic flow being internalised by bank SIs. At larger sizes, SI trading frequently serves institutional clients seeking to execute block orders with reduced market impact and information leakage. These different size profiles reflect fundamentally different business models operating under the same SI label — from bank internalisation engines to agency-style block crossing services.</w:t>
      </w:r>
    </w:p>
    <w:p w14:paraId="41487637" w14:textId="1C73F411" w:rsidR="003A33E5" w:rsidRDefault="007F5B1B" w:rsidP="007F5B1B">
      <w:r w:rsidRPr="006424E1">
        <w:rPr>
          <w:rFonts w:ascii="Arial" w:hAnsi="Arial" w:cs="Arial"/>
          <w:szCs w:val="22"/>
        </w:rPr>
        <w:t>This heterogeneity makes it difficult to assess SI activity in aggregate and strongly supports the case for more granular reporting requirements that allow regulators and market participants to distinguish between different categories of SI business. A one-size-fits-all regulatory treatment of SIs risks being either too restrictive for legitimate block execution or too permissive for high-frequency retail internalisation.</w:t>
      </w:r>
    </w:p>
    <w:permEnd w:id="818545257"/>
    <w:p w14:paraId="13EBFD51" w14:textId="5E33E184"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3DF39E0B" w14:textId="22BC69E2" w:rsidR="003A33E5" w:rsidRDefault="00287264" w:rsidP="007F5B1B">
      <w:permStart w:id="1751220061" w:edGrp="everyone"/>
      <w:r w:rsidRPr="00287264">
        <w:rPr>
          <w:rFonts w:ascii="Arial" w:hAnsi="Arial" w:cs="Arial"/>
          <w:szCs w:val="22"/>
        </w:rPr>
        <w:t xml:space="preserve">As a trading venue operator, Cboe does not execute trades on behalf of clients in an SI capacity and therefore does not have direct experience of applying the </w:t>
      </w:r>
      <w:r>
        <w:rPr>
          <w:rFonts w:ascii="Arial" w:hAnsi="Arial" w:cs="Arial"/>
          <w:szCs w:val="22"/>
        </w:rPr>
        <w:t>RPRI</w:t>
      </w:r>
      <w:r w:rsidRPr="00287264">
        <w:rPr>
          <w:rFonts w:ascii="Arial" w:hAnsi="Arial" w:cs="Arial"/>
          <w:szCs w:val="22"/>
        </w:rPr>
        <w:t xml:space="preserve"> flag. We would note, however, that from a market structure perspective, the consistent and accurate application of the </w:t>
      </w:r>
      <w:r>
        <w:rPr>
          <w:rFonts w:ascii="Arial" w:hAnsi="Arial" w:cs="Arial"/>
          <w:szCs w:val="22"/>
        </w:rPr>
        <w:t>RPRI</w:t>
      </w:r>
      <w:r w:rsidRPr="00287264">
        <w:rPr>
          <w:rFonts w:ascii="Arial" w:hAnsi="Arial" w:cs="Arial"/>
          <w:szCs w:val="22"/>
        </w:rPr>
        <w:t xml:space="preserve"> flag is important for the reliability of any analysis of SI price improvement. We support ESMA reviewing the definition and application criteria for this flag as part of any broader review of SI reporting quality.</w:t>
      </w:r>
    </w:p>
    <w:permEnd w:id="1751220061"/>
    <w:p w14:paraId="4602E310" w14:textId="074495FF"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lastRenderedPageBreak/>
        <w:t>&lt;ESMA_QUESTION_MSEM_2</w:t>
      </w:r>
      <w:r w:rsidR="3B0D5D58">
        <w:t>3</w:t>
      </w:r>
      <w:r>
        <w:t>&gt;</w:t>
      </w:r>
    </w:p>
    <w:p w14:paraId="33ABEBC2" w14:textId="484F9A33" w:rsidR="003A33E5" w:rsidRDefault="007F5B1B" w:rsidP="003A33E5">
      <w:permStart w:id="999231783" w:edGrp="everyone"/>
      <w:r>
        <w:t xml:space="preserve">We support the suggestions made in the response to this call for evidence by </w:t>
      </w:r>
      <w:r w:rsidR="00287264">
        <w:t>FIX</w:t>
      </w:r>
      <w:r>
        <w:t xml:space="preserve"> Protocol Limited</w:t>
      </w:r>
      <w:r w:rsidR="004A0A95">
        <w:t xml:space="preserve">. </w:t>
      </w:r>
      <w:r w:rsidR="008A2A3B">
        <w:t>I</w:t>
      </w:r>
      <w:r w:rsidR="004A0A95" w:rsidRPr="004A0A95">
        <w:t>n particular, we support the recommendation to mandate disclosure of execution methodology via FIX Tag 2405, as set out in detail in our response to Q45.</w:t>
      </w:r>
    </w:p>
    <w:permEnd w:id="999231783"/>
    <w:p w14:paraId="658038BB" w14:textId="7416F273"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5B2ED651" w14:textId="7C083122" w:rsidR="003A33E5" w:rsidRDefault="007F5B1B" w:rsidP="003A33E5">
      <w:permStart w:id="797907736" w:edGrp="everyone"/>
      <w:r>
        <w:t>SI volumes are undoubtedly growing</w:t>
      </w:r>
      <w:r w:rsidR="00287264" w:rsidRPr="00287264">
        <w:t>.</w:t>
      </w:r>
      <w:r w:rsidR="00287264">
        <w:t xml:space="preserve"> </w:t>
      </w:r>
      <w:r w:rsidR="00A576A4">
        <w:t>We would note that retail internalisation has not yet developed to the same extent as it has in the US, with most retail activity taking place on multilateral venues. We would encourage regulatory and supervisory efforts to preserve this.</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473EC826" w14:textId="7F813E0C" w:rsidR="00A576A4" w:rsidRPr="006424E1" w:rsidRDefault="00A576A4" w:rsidP="00A576A4">
      <w:pPr>
        <w:spacing w:after="160" w:line="278" w:lineRule="auto"/>
        <w:rPr>
          <w:rFonts w:ascii="Arial" w:hAnsi="Arial" w:cs="Arial"/>
          <w:szCs w:val="22"/>
        </w:rPr>
      </w:pPr>
      <w:permStart w:id="165951741" w:edGrp="everyone"/>
      <w:r w:rsidRPr="006424E1">
        <w:rPr>
          <w:rFonts w:ascii="Arial" w:hAnsi="Arial" w:cs="Arial"/>
          <w:szCs w:val="22"/>
        </w:rPr>
        <w:t xml:space="preserve">Our principal concern is the competitive asymmetry between SIs and multilateral trading venues. SIs benefit from the ability to execute at the midpoint — including off-tick — while being subject to lighter pre-trade transparency and operational obligations than regulated venues and MTFs. This creates a structural incentive to route flow through the SI channel even where multilateral execution </w:t>
      </w:r>
      <w:r w:rsidR="004A0A95">
        <w:rPr>
          <w:rFonts w:ascii="Arial" w:hAnsi="Arial" w:cs="Arial"/>
          <w:szCs w:val="22"/>
        </w:rPr>
        <w:t>c</w:t>
      </w:r>
      <w:r w:rsidRPr="006424E1">
        <w:rPr>
          <w:rFonts w:ascii="Arial" w:hAnsi="Arial" w:cs="Arial"/>
          <w:szCs w:val="22"/>
        </w:rPr>
        <w:t>ould produce equivalent or better outcomes for end-investors.</w:t>
      </w:r>
    </w:p>
    <w:p w14:paraId="426A709B" w14:textId="7621FCBB" w:rsidR="003A33E5" w:rsidRDefault="00A576A4" w:rsidP="00A576A4">
      <w:r w:rsidRPr="006424E1">
        <w:rPr>
          <w:rFonts w:ascii="Arial" w:hAnsi="Arial" w:cs="Arial"/>
          <w:szCs w:val="22"/>
        </w:rPr>
        <w:t xml:space="preserve">We would support a targeted review of </w:t>
      </w:r>
      <w:r>
        <w:rPr>
          <w:rFonts w:ascii="Arial" w:hAnsi="Arial" w:cs="Arial"/>
          <w:szCs w:val="22"/>
        </w:rPr>
        <w:t>trading venue</w:t>
      </w:r>
      <w:r w:rsidRPr="006424E1">
        <w:rPr>
          <w:rFonts w:ascii="Arial" w:hAnsi="Arial" w:cs="Arial"/>
          <w:szCs w:val="22"/>
        </w:rPr>
        <w:t xml:space="preserve"> obligations </w:t>
      </w:r>
      <w:r>
        <w:rPr>
          <w:rFonts w:ascii="Arial" w:hAnsi="Arial" w:cs="Arial"/>
          <w:szCs w:val="22"/>
        </w:rPr>
        <w:t xml:space="preserve">relative to those applied to SIs, recognising the very different business models, </w:t>
      </w:r>
      <w:r w:rsidRPr="006424E1">
        <w:rPr>
          <w:rFonts w:ascii="Arial" w:hAnsi="Arial" w:cs="Arial"/>
          <w:szCs w:val="22"/>
        </w:rPr>
        <w:t xml:space="preserve">to ensure genuine parity of regulatory treatment between SIs and multilateral venues for equivalent categories of trading activity. </w:t>
      </w:r>
    </w:p>
    <w:permEnd w:id="165951741"/>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lastRenderedPageBreak/>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2B4AF025" w14:textId="77777777" w:rsidR="00217B2B" w:rsidRPr="006424E1" w:rsidRDefault="00217B2B" w:rsidP="00217B2B">
      <w:pPr>
        <w:spacing w:after="160" w:line="278" w:lineRule="auto"/>
        <w:rPr>
          <w:rFonts w:ascii="Arial" w:hAnsi="Arial" w:cs="Arial"/>
          <w:szCs w:val="22"/>
        </w:rPr>
      </w:pPr>
      <w:permStart w:id="1012798389" w:edGrp="everyone"/>
      <w:r w:rsidRPr="006424E1">
        <w:rPr>
          <w:rFonts w:ascii="Arial" w:hAnsi="Arial" w:cs="Arial"/>
          <w:szCs w:val="22"/>
        </w:rPr>
        <w:t>Yes, as a venue operator Cboe has observed an increase in the use of benchmark trades — particularly VWAP and closing price benchmarks — on our platforms. The key drivers are: (</w:t>
      </w:r>
      <w:proofErr w:type="spellStart"/>
      <w:r w:rsidRPr="006424E1">
        <w:rPr>
          <w:rFonts w:ascii="Arial" w:hAnsi="Arial" w:cs="Arial"/>
          <w:szCs w:val="22"/>
        </w:rPr>
        <w:t>i</w:t>
      </w:r>
      <w:proofErr w:type="spellEnd"/>
      <w:r w:rsidRPr="006424E1">
        <w:rPr>
          <w:rFonts w:ascii="Arial" w:hAnsi="Arial" w:cs="Arial"/>
          <w:szCs w:val="22"/>
        </w:rPr>
        <w:t>) the growth of passive and index-tracking investment strategies that require execution at or near benchmark prices; (ii) increased use of algorithmic execution strategies calibrated to participate in benchmark-linked executions; and (iii) the regulatory certainty offered by benchmark trades in demonstrating best execution compliance, since execution at a recognised benchmark price provides a clear and auditable reference point.</w:t>
      </w:r>
    </w:p>
    <w:p w14:paraId="74EB9368" w14:textId="77777777" w:rsidR="00217B2B" w:rsidRPr="006424E1" w:rsidRDefault="00217B2B" w:rsidP="00217B2B">
      <w:pPr>
        <w:spacing w:after="160" w:line="278" w:lineRule="auto"/>
        <w:rPr>
          <w:rFonts w:ascii="Arial" w:hAnsi="Arial" w:cs="Arial"/>
          <w:szCs w:val="22"/>
        </w:rPr>
      </w:pPr>
      <w:r w:rsidRPr="006424E1">
        <w:rPr>
          <w:rFonts w:ascii="Arial" w:hAnsi="Arial" w:cs="Arial"/>
          <w:szCs w:val="22"/>
        </w:rPr>
        <w:t>On SI, the growth of benchmark trading appears to reflect the attractiveness of guaranteed execution at a reference price without the market impact risk associated with on-venue participation, particularly for larger institutional orders.</w:t>
      </w:r>
    </w:p>
    <w:p w14:paraId="62C1FC88" w14:textId="12FDBD11" w:rsidR="003A33E5" w:rsidRDefault="003A33E5" w:rsidP="003A33E5"/>
    <w:permEnd w:id="1012798389"/>
    <w:p w14:paraId="4701DD0D" w14:textId="64EB1F1E" w:rsidR="003A33E5" w:rsidRDefault="003A33E5" w:rsidP="003A33E5">
      <w:r>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6ED5300C" w14:textId="77777777" w:rsidR="00217B2B" w:rsidRPr="006424E1" w:rsidRDefault="00217B2B" w:rsidP="00217B2B">
      <w:pPr>
        <w:spacing w:after="160" w:line="278" w:lineRule="auto"/>
        <w:rPr>
          <w:rFonts w:ascii="Arial" w:hAnsi="Arial" w:cs="Arial"/>
          <w:szCs w:val="22"/>
        </w:rPr>
      </w:pPr>
      <w:permStart w:id="921442006" w:edGrp="everyone"/>
      <w:r w:rsidRPr="006424E1">
        <w:rPr>
          <w:rFonts w:ascii="Arial" w:hAnsi="Arial" w:cs="Arial"/>
          <w:szCs w:val="22"/>
        </w:rPr>
        <w:t>Yes, absolutely. Restricting benchmark calculations to transactions from a single venue would be arbitrary and would systematically disadvantage participants whose activity is spread across multiple venues, while also reducing the statistical robustness of benchmark calculations for less liquid instruments where any single venue may have insufficient transaction volume.</w:t>
      </w:r>
    </w:p>
    <w:p w14:paraId="48272282" w14:textId="65E2283F" w:rsidR="003A33E5" w:rsidRPr="00217B2B" w:rsidRDefault="00217B2B" w:rsidP="00217B2B">
      <w:pPr>
        <w:spacing w:after="160" w:line="278" w:lineRule="auto"/>
        <w:rPr>
          <w:rFonts w:ascii="Arial" w:hAnsi="Arial" w:cs="Arial"/>
          <w:szCs w:val="22"/>
        </w:rPr>
      </w:pPr>
      <w:r w:rsidRPr="006424E1">
        <w:rPr>
          <w:rFonts w:ascii="Arial" w:hAnsi="Arial" w:cs="Arial"/>
          <w:szCs w:val="22"/>
        </w:rPr>
        <w:t xml:space="preserve">The use of transactions from all relevant trading venues — consistent with the consolidated tape vision underpinning </w:t>
      </w:r>
      <w:proofErr w:type="spellStart"/>
      <w:r w:rsidRPr="006424E1">
        <w:rPr>
          <w:rFonts w:ascii="Arial" w:hAnsi="Arial" w:cs="Arial"/>
          <w:szCs w:val="22"/>
        </w:rPr>
        <w:t>MiFIR</w:t>
      </w:r>
      <w:proofErr w:type="spellEnd"/>
      <w:r w:rsidRPr="006424E1">
        <w:rPr>
          <w:rFonts w:ascii="Arial" w:hAnsi="Arial" w:cs="Arial"/>
          <w:szCs w:val="22"/>
        </w:rPr>
        <w:t xml:space="preserve"> — would produce more representative and robust benchmark prices. This is particularly important for instruments where no single venue dominates activity, and where a single-venue benchmark could be materially unrepresentative of the true market price.</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lastRenderedPageBreak/>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19732EC7" w14:textId="77777777" w:rsidR="00217B2B" w:rsidRPr="006424E1" w:rsidRDefault="00217B2B" w:rsidP="00217B2B">
      <w:pPr>
        <w:spacing w:after="160" w:line="278" w:lineRule="auto"/>
        <w:rPr>
          <w:rFonts w:ascii="Arial" w:hAnsi="Arial" w:cs="Arial"/>
          <w:szCs w:val="22"/>
        </w:rPr>
      </w:pPr>
      <w:permStart w:id="2080063835" w:edGrp="everyone"/>
      <w:r w:rsidRPr="006424E1">
        <w:rPr>
          <w:rFonts w:ascii="Arial" w:hAnsi="Arial" w:cs="Arial"/>
          <w:szCs w:val="22"/>
        </w:rPr>
        <w:t>As a trading venue operator, Cboe does not have direct visibility into the number of transactions used by individual firms when calculating benchmark prices for their SI trades. We would recommend that ESMA obtain this data directly from SI operators and executing brokers as part of any targeted data collection exercise.</w:t>
      </w:r>
    </w:p>
    <w:p w14:paraId="311874C9" w14:textId="72D64D26" w:rsidR="003A33E5" w:rsidRDefault="00217B2B" w:rsidP="00217B2B">
      <w:r w:rsidRPr="006424E1">
        <w:rPr>
          <w:rFonts w:ascii="Arial" w:hAnsi="Arial" w:cs="Arial"/>
          <w:szCs w:val="22"/>
        </w:rPr>
        <w:t>In general terms, we would expect the number of transactions used to vary significantly by instrument liquidity. For highly liquid large-cap stocks, benchmark calculations may draw on hundreds of transactions across a brief time window. For illiquid instruments, the available transaction population may be very limited — raising serious questions about the statistical reliability of the resulting benchmark price and underlining the importance of clear minimum standards for benchmark construction.</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040446B1" w14:textId="77777777" w:rsidR="00217B2B" w:rsidRPr="006424E1" w:rsidRDefault="00217B2B" w:rsidP="00217B2B">
      <w:pPr>
        <w:spacing w:after="160" w:line="278" w:lineRule="auto"/>
        <w:rPr>
          <w:rFonts w:ascii="Arial" w:hAnsi="Arial" w:cs="Arial"/>
          <w:szCs w:val="22"/>
        </w:rPr>
      </w:pPr>
      <w:permStart w:id="180496860" w:edGrp="everyone"/>
      <w:r w:rsidRPr="006424E1">
        <w:rPr>
          <w:rFonts w:ascii="Arial" w:hAnsi="Arial" w:cs="Arial"/>
          <w:szCs w:val="22"/>
        </w:rPr>
        <w:t xml:space="preserve">As a trading venue operator, Cboe does not operate as an SI and therefore does not have direct data on the use of Article 15(3) of </w:t>
      </w:r>
      <w:proofErr w:type="spellStart"/>
      <w:r w:rsidRPr="006424E1">
        <w:rPr>
          <w:rFonts w:ascii="Arial" w:hAnsi="Arial" w:cs="Arial"/>
          <w:szCs w:val="22"/>
        </w:rPr>
        <w:t>MiFIR</w:t>
      </w:r>
      <w:proofErr w:type="spellEnd"/>
      <w:r w:rsidRPr="006424E1">
        <w:rPr>
          <w:rFonts w:ascii="Arial" w:hAnsi="Arial" w:cs="Arial"/>
          <w:szCs w:val="22"/>
        </w:rPr>
        <w:t>, which permits SIs to adjust their quotes for large orders upon client request. The prevalence of this provision is difficult to assess from public data given current reporting standards, which do not require its use to be specifically flagged.</w:t>
      </w:r>
    </w:p>
    <w:p w14:paraId="29A2A271" w14:textId="7B192943" w:rsidR="003A33E5" w:rsidRPr="00217B2B" w:rsidRDefault="00217B2B" w:rsidP="00217B2B">
      <w:pPr>
        <w:spacing w:after="160" w:line="278" w:lineRule="auto"/>
        <w:rPr>
          <w:rFonts w:ascii="Arial" w:hAnsi="Arial" w:cs="Arial"/>
          <w:szCs w:val="22"/>
        </w:rPr>
      </w:pPr>
      <w:r w:rsidRPr="006424E1">
        <w:rPr>
          <w:rFonts w:ascii="Arial" w:hAnsi="Arial" w:cs="Arial"/>
          <w:szCs w:val="22"/>
        </w:rPr>
        <w:t>We would support a targeted data request to SI operators to understand the frequency and scale of Article 15(3) usage, as this has significant implications for the effective pre-trade transparency of SI quotes and the meaningfulness of SI quoting obligations more generally. Without such data, it is not possible to assess whether Article 15(3) is being used as intended or whether it is being exploited to circumvent quoting obligations in ways that disadvantage other market participants.</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lastRenderedPageBreak/>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433E3F11" w14:textId="61D8F6D4" w:rsidR="00FE32C2" w:rsidRPr="000D3BE3" w:rsidRDefault="00A975DC" w:rsidP="00FE32C2">
      <w:pPr>
        <w:spacing w:after="0"/>
      </w:pPr>
      <w:permStart w:id="1316118649" w:edGrp="everyone"/>
      <w:r>
        <w:t>Y</w:t>
      </w:r>
      <w:r w:rsidR="00AD676E">
        <w:t>es. However, w</w:t>
      </w:r>
      <w:r w:rsidR="00FE32C2">
        <w:t>e</w:t>
      </w:r>
      <w:r w:rsidR="00FE32C2" w:rsidRPr="000D3BE3">
        <w:t xml:space="preserve"> believe that </w:t>
      </w:r>
      <w:r w:rsidR="00AD676E">
        <w:t>any guidance should</w:t>
      </w:r>
      <w:r w:rsidR="00FE32C2" w:rsidRPr="000D3BE3">
        <w:t xml:space="preserve"> allow the VWAP duration period to be determined by the venue based on liquidity metrics</w:t>
      </w:r>
      <w:r w:rsidR="00AD676E">
        <w:t>,</w:t>
      </w:r>
      <w:r w:rsidR="00FE32C2" w:rsidRPr="000D3BE3">
        <w:t xml:space="preserve"> but set a floor for the minimum duration. </w:t>
      </w:r>
    </w:p>
    <w:p w14:paraId="460644AB" w14:textId="77777777" w:rsidR="00FE32C2" w:rsidRPr="000D3BE3" w:rsidRDefault="00FE32C2" w:rsidP="00FE32C2">
      <w:pPr>
        <w:spacing w:after="0"/>
      </w:pPr>
    </w:p>
    <w:p w14:paraId="7985379F" w14:textId="77777777" w:rsidR="00FE32C2" w:rsidRPr="000D3BE3" w:rsidRDefault="00FE32C2" w:rsidP="00FE32C2">
      <w:pPr>
        <w:spacing w:after="0"/>
      </w:pPr>
      <w:r w:rsidRPr="000D3BE3">
        <w:t>For example, in the most liquid securities in each blue</w:t>
      </w:r>
      <w:r>
        <w:t>-</w:t>
      </w:r>
      <w:r w:rsidRPr="000D3BE3">
        <w:t xml:space="preserve">chip index we believe there are sufficient contributing trades to allow for the VWAP cycle </w:t>
      </w:r>
      <w:r w:rsidRPr="00C56137">
        <w:t>to be three minutes, with a minimum of two</w:t>
      </w:r>
      <w:r w:rsidRPr="000D3BE3">
        <w:t xml:space="preserve"> contributing trades. Using the same time period Cboe looked at the number of contributing trades during each minute of the trading day and compared them to the VWAP-X executions on Cboe UK. We found that for those executions over 99.97% of the VWAP-X trades would have still executed due to the liquidity of the underlying markets.</w:t>
      </w:r>
    </w:p>
    <w:p w14:paraId="06B3D75C" w14:textId="77777777" w:rsidR="00FE32C2" w:rsidRPr="000D3BE3" w:rsidRDefault="00FE32C2" w:rsidP="00FE32C2">
      <w:pPr>
        <w:spacing w:after="0"/>
      </w:pPr>
    </w:p>
    <w:p w14:paraId="3C599CFE" w14:textId="77777777" w:rsidR="00FE32C2" w:rsidRPr="000D3BE3" w:rsidRDefault="00FE32C2" w:rsidP="00FE32C2">
      <w:pPr>
        <w:spacing w:after="0"/>
      </w:pPr>
      <w:r w:rsidRPr="000D3BE3">
        <w:t>For less liquid securities the venue would then apply a longer time period, e.g. five minutes. We believe this would allow for a venue model that is more representative of the wider market activity and how brokers execute client VWAP orders today.</w:t>
      </w:r>
    </w:p>
    <w:p w14:paraId="46E0C115" w14:textId="5EECF34A" w:rsidR="003A33E5" w:rsidRDefault="003A33E5" w:rsidP="00217B2B"/>
    <w:permEnd w:id="1316118649"/>
    <w:p w14:paraId="375C0B3C" w14:textId="6A980FE0"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787A55CB" w14:textId="149FF632" w:rsidR="003A33E5" w:rsidRDefault="008427F6" w:rsidP="003A33E5">
      <w:permStart w:id="1195064322" w:edGrp="everyone"/>
      <w:r w:rsidRPr="006424E1">
        <w:rPr>
          <w:rFonts w:ascii="Arial" w:hAnsi="Arial" w:cs="Arial"/>
          <w:szCs w:val="22"/>
        </w:rPr>
        <w:t>Not in our experience. Member preferencing can be useful in encouraging business that would otherwise be internalised onto multilateral markets, and can play a legitimate role in seeding new platforms — a positive outcome for market structure. Furthermore, in our experience as a venue operator, overall levels of preferencing subsequently decline as platforms mature and liquidity becomes self-sustaining, suggesting it is a transitional tool rather than a permanent distortion. We are not aware of evidence demonstrating that member preferencing, as currently practiced on multilateral venues, generates systematically unfair outcomes for end-investors.</w:t>
      </w:r>
    </w:p>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lastRenderedPageBreak/>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76960526" w14:textId="44B6EBC6" w:rsidR="003A33E5" w:rsidRPr="008427F6" w:rsidRDefault="008427F6" w:rsidP="008427F6">
      <w:pPr>
        <w:spacing w:after="160" w:line="278" w:lineRule="auto"/>
        <w:rPr>
          <w:rFonts w:ascii="Arial" w:hAnsi="Arial" w:cs="Arial"/>
          <w:szCs w:val="22"/>
        </w:rPr>
      </w:pPr>
      <w:permStart w:id="1218795063" w:edGrp="everyone"/>
      <w:r w:rsidRPr="006424E1">
        <w:rPr>
          <w:rFonts w:ascii="Arial" w:hAnsi="Arial" w:cs="Arial"/>
          <w:szCs w:val="22"/>
        </w:rPr>
        <w:t>In our experience as a venue operator, we have not observed systematic evidence of member preferencing extending to violations of price priority principles. The concern around preferencing is primarily one of time priority</w:t>
      </w:r>
      <w:r>
        <w:rPr>
          <w:rFonts w:ascii="Arial" w:hAnsi="Arial" w:cs="Arial"/>
          <w:szCs w:val="22"/>
        </w:rPr>
        <w:t>,</w:t>
      </w:r>
      <w:r w:rsidRPr="006424E1">
        <w:rPr>
          <w:rFonts w:ascii="Arial" w:hAnsi="Arial" w:cs="Arial"/>
          <w:szCs w:val="22"/>
        </w:rPr>
        <w:t xml:space="preserve"> rather than price priority, which in our view remains robustly enforced through matching engine design and venue rule books.</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2FAED16D" w14:textId="77777777" w:rsidR="008427F6" w:rsidRPr="006424E1" w:rsidRDefault="008427F6" w:rsidP="008427F6">
      <w:pPr>
        <w:spacing w:after="160" w:line="278" w:lineRule="auto"/>
        <w:rPr>
          <w:rFonts w:ascii="Arial" w:hAnsi="Arial" w:cs="Arial"/>
          <w:szCs w:val="22"/>
        </w:rPr>
      </w:pPr>
      <w:permStart w:id="1697063566" w:edGrp="everyone"/>
      <w:r w:rsidRPr="006424E1">
        <w:rPr>
          <w:rFonts w:ascii="Arial" w:hAnsi="Arial" w:cs="Arial"/>
          <w:szCs w:val="22"/>
        </w:rPr>
        <w:t>We do not support outright prohibition (option a). Prohibition would risk deterring investment in new platforms and reducing the incentive for firms to bring internalised flow onto multilateral venues — outcomes directly contrary to the objectives of market structure regulation.</w:t>
      </w:r>
    </w:p>
    <w:p w14:paraId="00D63C9A" w14:textId="7BCBD75D" w:rsidR="003A33E5" w:rsidRPr="008427F6" w:rsidRDefault="008427F6" w:rsidP="008427F6">
      <w:pPr>
        <w:spacing w:after="160" w:line="278" w:lineRule="auto"/>
        <w:rPr>
          <w:rFonts w:ascii="Arial" w:hAnsi="Arial" w:cs="Arial"/>
          <w:szCs w:val="22"/>
        </w:rPr>
      </w:pPr>
      <w:r w:rsidRPr="006424E1">
        <w:rPr>
          <w:rFonts w:ascii="Arial" w:hAnsi="Arial" w:cs="Arial"/>
          <w:szCs w:val="22"/>
        </w:rPr>
        <w:t>We support option (b): targeted rules ensuring that member preferencing operates transparently and does not override price priority. Specifically, we would suggest: (</w:t>
      </w:r>
      <w:proofErr w:type="spellStart"/>
      <w:r w:rsidRPr="006424E1">
        <w:rPr>
          <w:rFonts w:ascii="Arial" w:hAnsi="Arial" w:cs="Arial"/>
          <w:szCs w:val="22"/>
        </w:rPr>
        <w:t>i</w:t>
      </w:r>
      <w:proofErr w:type="spellEnd"/>
      <w:r w:rsidRPr="006424E1">
        <w:rPr>
          <w:rFonts w:ascii="Arial" w:hAnsi="Arial" w:cs="Arial"/>
          <w:szCs w:val="22"/>
        </w:rPr>
        <w:t xml:space="preserve">) mandatory public disclosure of all preferencing arrangements in venue rule books; (ii) prohibition of arrangements that explicitly override price priority; and (iii) </w:t>
      </w:r>
      <w:r w:rsidR="00F160B5">
        <w:rPr>
          <w:rFonts w:ascii="Arial" w:hAnsi="Arial" w:cs="Arial"/>
          <w:szCs w:val="22"/>
        </w:rPr>
        <w:t>periodic</w:t>
      </w:r>
      <w:r w:rsidRPr="006424E1">
        <w:rPr>
          <w:rFonts w:ascii="Arial" w:hAnsi="Arial" w:cs="Arial"/>
          <w:szCs w:val="22"/>
        </w:rPr>
        <w:t xml:space="preserve"> review by competent authorities of the impact of preferencing on overall execution quality outcomes for participants not party to preferencing arrangements. This approach preserves the legitimate uses of preferencing while addressing the most significant competitive fairness concerns.</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57D79339" w14:textId="68970697" w:rsidR="008427F6" w:rsidRPr="006424E1" w:rsidRDefault="008427F6" w:rsidP="008427F6">
      <w:pPr>
        <w:spacing w:after="160" w:line="278" w:lineRule="auto"/>
        <w:rPr>
          <w:rFonts w:ascii="Arial" w:hAnsi="Arial" w:cs="Arial"/>
          <w:szCs w:val="22"/>
        </w:rPr>
      </w:pPr>
      <w:permStart w:id="1084183535" w:edGrp="everyone"/>
      <w:r w:rsidRPr="006424E1">
        <w:rPr>
          <w:rFonts w:ascii="Arial" w:hAnsi="Arial" w:cs="Arial"/>
          <w:szCs w:val="22"/>
        </w:rPr>
        <w:t xml:space="preserve">Prohibiting member preferencing would likely reduce the incentive for firms to bring internalised flow onto multilateral venues. In the absence of preferencing, firms that currently route flow to venues where their own orders receive priority treatment would instead </w:t>
      </w:r>
      <w:r>
        <w:rPr>
          <w:rFonts w:ascii="Arial" w:hAnsi="Arial" w:cs="Arial"/>
          <w:szCs w:val="22"/>
        </w:rPr>
        <w:t xml:space="preserve">seek to </w:t>
      </w:r>
      <w:r w:rsidRPr="006424E1">
        <w:rPr>
          <w:rFonts w:ascii="Arial" w:hAnsi="Arial" w:cs="Arial"/>
          <w:szCs w:val="22"/>
        </w:rPr>
        <w:t xml:space="preserve">internalise that </w:t>
      </w:r>
      <w:r w:rsidRPr="006424E1">
        <w:rPr>
          <w:rFonts w:ascii="Arial" w:hAnsi="Arial" w:cs="Arial"/>
          <w:szCs w:val="22"/>
        </w:rPr>
        <w:lastRenderedPageBreak/>
        <w:t>flow bilaterally — a clearly inferior outcome from a market structure perspective. The net effect would likely be a reduction in on-venue volume, reduced multilateral competition for execution and worse average outcomes for end-investors who depend on the price formation generated by competitive multilateral markets.</w:t>
      </w:r>
    </w:p>
    <w:p w14:paraId="5516576E" w14:textId="0437D1C5" w:rsidR="003A33E5" w:rsidRDefault="008427F6" w:rsidP="008427F6">
      <w:r w:rsidRPr="006424E1">
        <w:rPr>
          <w:rFonts w:ascii="Arial" w:hAnsi="Arial" w:cs="Arial"/>
          <w:szCs w:val="22"/>
        </w:rPr>
        <w:t>We would encourage ESMA to solicit data from venues that have operated both with and without preferencing arrangements in order to quantify this effect before proceeding with any prohibition. The burden of proof should lie with those proposing restrictions, and the evidence base should be established before regulatory action is taken.</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09CCA71A" w14:textId="45625318" w:rsidR="003A33E5" w:rsidRDefault="008427F6" w:rsidP="003A33E5">
      <w:permStart w:id="1454133558" w:edGrp="everyone"/>
      <w:r w:rsidRPr="006424E1">
        <w:rPr>
          <w:rFonts w:ascii="Arial" w:hAnsi="Arial" w:cs="Arial"/>
          <w:szCs w:val="22"/>
        </w:rPr>
        <w:t>Yes. Single market maker exchange models — where a designated market maker has an exclusive or quasi-exclusive role in providing liquidity for a given instrument — are a significant and underappreciated concern. In these structures, there is no competition for the execution of incoming orders: investors are effectively required to transact against a single counterparty at that counterparty's quoted price, without the benefit of the competitive price improvement that would arise from a genuinely multilateral order book. This model is most prevalent in markets for smaller and mid-cap stocks, where the economics of market making are less attractive and some exchanges have evolved toward exclusive designated market maker frameworks. The result is materially worse execution prices for investors compared to what would be achievable under genuine multilateral competition.</w:t>
      </w:r>
    </w:p>
    <w:permEnd w:id="1454133558"/>
    <w:p w14:paraId="0B3333F7" w14:textId="61C0F782" w:rsidR="003A33E5" w:rsidRDefault="003A33E5" w:rsidP="003A33E5">
      <w:r>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16B877AC" w14:textId="4848D3E6" w:rsidR="00751FE7" w:rsidRPr="003809AB" w:rsidRDefault="00751FE7" w:rsidP="00751FE7">
      <w:pPr>
        <w:spacing w:after="160" w:line="278" w:lineRule="auto"/>
        <w:rPr>
          <w:rFonts w:ascii="Arial" w:hAnsi="Arial" w:cs="Arial"/>
          <w:szCs w:val="22"/>
        </w:rPr>
      </w:pPr>
      <w:permStart w:id="1509051285" w:edGrp="everyone"/>
      <w:r w:rsidRPr="003809AB">
        <w:rPr>
          <w:rFonts w:ascii="Arial" w:hAnsi="Arial" w:cs="Arial"/>
          <w:szCs w:val="22"/>
        </w:rPr>
        <w:t xml:space="preserve">We </w:t>
      </w:r>
      <w:r>
        <w:rPr>
          <w:rFonts w:ascii="Arial" w:hAnsi="Arial" w:cs="Arial"/>
          <w:szCs w:val="22"/>
        </w:rPr>
        <w:t xml:space="preserve">support the FIX Protocol Limited response (which Cboe contributed to) on this matter and </w:t>
      </w:r>
      <w:r w:rsidRPr="003809AB">
        <w:rPr>
          <w:rFonts w:ascii="Arial" w:hAnsi="Arial" w:cs="Arial"/>
          <w:szCs w:val="22"/>
        </w:rPr>
        <w:t>believe ESMA's proposed concept of addressability would be better served by separating it into two distinct concepts: </w:t>
      </w:r>
      <w:r w:rsidRPr="008A2A3B">
        <w:rPr>
          <w:rFonts w:ascii="Arial" w:hAnsi="Arial" w:cs="Arial"/>
          <w:szCs w:val="22"/>
        </w:rPr>
        <w:t>price formation and accessibility</w:t>
      </w:r>
      <w:r w:rsidRPr="003809AB">
        <w:rPr>
          <w:rFonts w:ascii="Arial" w:hAnsi="Arial" w:cs="Arial"/>
          <w:szCs w:val="22"/>
        </w:rPr>
        <w:t>. This approach provides a clearer and more analytically rigorous framework, particularly for transactions executed subject to conditions other than the prevailing market price.</w:t>
      </w:r>
    </w:p>
    <w:p w14:paraId="3DD3B7CF" w14:textId="77777777" w:rsidR="00751FE7" w:rsidRPr="003809AB" w:rsidRDefault="00751FE7" w:rsidP="00751FE7">
      <w:pPr>
        <w:spacing w:after="160" w:line="278" w:lineRule="auto"/>
        <w:rPr>
          <w:rFonts w:ascii="Arial" w:hAnsi="Arial" w:cs="Arial"/>
          <w:szCs w:val="22"/>
        </w:rPr>
      </w:pPr>
      <w:r w:rsidRPr="003809AB">
        <w:rPr>
          <w:rFonts w:ascii="Arial" w:hAnsi="Arial" w:cs="Arial"/>
          <w:i/>
          <w:iCs/>
          <w:szCs w:val="22"/>
        </w:rPr>
        <w:lastRenderedPageBreak/>
        <w:t>Price Formation:</w:t>
      </w:r>
      <w:r w:rsidRPr="003809AB">
        <w:rPr>
          <w:rFonts w:ascii="Arial" w:hAnsi="Arial" w:cs="Arial"/>
          <w:szCs w:val="22"/>
        </w:rPr>
        <w:t> Price-forming transactions should be defined as transactions that transfer economic interest between a buyer and a seller in a manner that contributes to market supply, demand, and valuation. Intragroup transactions and OBOE NPFT transactions should be considered technical in nature — they do not meet this definition and should therefore be excluded from post-trade transparency requirements, while remaining subject to transaction reporting obligations. OTC-XOFF and contingent trades (executed via OBOE, SI or OTC) should continue to be classified as price-forming and remain within the scope of post-trade transparency.</w:t>
      </w:r>
    </w:p>
    <w:p w14:paraId="7E3F4E1F" w14:textId="30DB65A7" w:rsidR="00751FE7" w:rsidRPr="003809AB" w:rsidRDefault="00751FE7" w:rsidP="00751FE7">
      <w:pPr>
        <w:spacing w:after="160" w:line="278" w:lineRule="auto"/>
        <w:rPr>
          <w:rFonts w:ascii="Arial" w:hAnsi="Arial" w:cs="Arial"/>
          <w:szCs w:val="22"/>
        </w:rPr>
      </w:pPr>
      <w:r w:rsidRPr="003809AB">
        <w:rPr>
          <w:rFonts w:ascii="Arial" w:hAnsi="Arial" w:cs="Arial"/>
          <w:i/>
          <w:iCs/>
          <w:szCs w:val="22"/>
        </w:rPr>
        <w:t>Accessibility:</w:t>
      </w:r>
      <w:r w:rsidRPr="003809AB">
        <w:rPr>
          <w:rFonts w:ascii="Arial" w:hAnsi="Arial" w:cs="Arial"/>
          <w:szCs w:val="22"/>
        </w:rPr>
        <w:t> Accessibility should focus on the information necessary for investors to assess how relevant a particular price-forming transaction is to them. This requires the consistent and accurate application of flags describing: (</w:t>
      </w:r>
      <w:proofErr w:type="spellStart"/>
      <w:r w:rsidRPr="003809AB">
        <w:rPr>
          <w:rFonts w:ascii="Arial" w:hAnsi="Arial" w:cs="Arial"/>
          <w:szCs w:val="22"/>
        </w:rPr>
        <w:t>i</w:t>
      </w:r>
      <w:proofErr w:type="spellEnd"/>
      <w:r w:rsidRPr="003809AB">
        <w:rPr>
          <w:rFonts w:ascii="Arial" w:hAnsi="Arial" w:cs="Arial"/>
          <w:szCs w:val="22"/>
        </w:rPr>
        <w:t>) the nature of the transaction (e.g. benchmark, at-the-close, portfolio, contingent); (ii) the level of automation involved (FIX Tag 2405); and (iii) the timing of execution (open, intraday, close, or out-of-hours).</w:t>
      </w:r>
    </w:p>
    <w:p w14:paraId="752F84C6" w14:textId="5DA4F7DE" w:rsidR="003A33E5" w:rsidRDefault="00751FE7" w:rsidP="00751FE7">
      <w:r w:rsidRPr="003809AB">
        <w:rPr>
          <w:rFonts w:ascii="Arial" w:hAnsi="Arial" w:cs="Arial"/>
          <w:szCs w:val="22"/>
        </w:rPr>
        <w:t>Transactions flagged as Benchmark, Portfolio, Contingent, and At The Close (if such a flag is introduced) remain price-forming, but their accessibility may be lower than that of standard market transactions. Distinguishing between price formation and accessibility allows these transactions to remain visible for transparency purposes while giving investors the context needed to assess their relevance.</w:t>
      </w:r>
    </w:p>
    <w:permEnd w:id="1509051285"/>
    <w:p w14:paraId="3B05926C" w14:textId="7373E645"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6B74C9FC" w14:textId="77777777" w:rsidR="00584E7A" w:rsidRPr="003809AB" w:rsidRDefault="00584E7A" w:rsidP="00584E7A">
      <w:pPr>
        <w:spacing w:after="160" w:line="278" w:lineRule="auto"/>
        <w:rPr>
          <w:rFonts w:ascii="Arial" w:hAnsi="Arial" w:cs="Arial"/>
          <w:szCs w:val="22"/>
        </w:rPr>
      </w:pPr>
      <w:permStart w:id="164585938" w:edGrp="everyone"/>
      <w:r w:rsidRPr="003809AB">
        <w:rPr>
          <w:rFonts w:ascii="Arial" w:hAnsi="Arial" w:cs="Arial"/>
          <w:szCs w:val="22"/>
        </w:rPr>
        <w:t>Notwithstanding our answer to Q36, and consistent with the framework set out there, we agree that trades marked as NPFT are non-addressable and non-price-forming. Such trades do not represent real economic interest — they are technical in nature, consisting predominantly of clearing and settlement activity for off-venue executions already published at execution time.</w:t>
      </w:r>
    </w:p>
    <w:p w14:paraId="7A75BD6F" w14:textId="77777777" w:rsidR="00584E7A" w:rsidRPr="003809AB" w:rsidRDefault="00584E7A" w:rsidP="00584E7A">
      <w:pPr>
        <w:spacing w:after="160" w:line="278" w:lineRule="auto"/>
        <w:rPr>
          <w:rFonts w:ascii="Arial" w:hAnsi="Arial" w:cs="Arial"/>
          <w:szCs w:val="22"/>
        </w:rPr>
      </w:pPr>
      <w:r w:rsidRPr="003809AB">
        <w:rPr>
          <w:rFonts w:ascii="Arial" w:hAnsi="Arial" w:cs="Arial"/>
          <w:szCs w:val="22"/>
        </w:rPr>
        <w:t>Accordingly, we strongly recommend that NPFT transactions be exempt from post-trade transparency requirements and removed from the consolidated tape. Specifically, we recommend extending the PTT exemption under Article 13 of RTS 1 to include transactions reported on a trading venue as off-book on-exchange for settlement purposes. This would ensure that NPFT transactions related to clearing and settlement activities — such as SFT, collateral, novation and clearing — are removed from the tape, as they carry no real informational value for trading purposes.</w:t>
      </w:r>
    </w:p>
    <w:p w14:paraId="1B9FC3EF" w14:textId="68191097" w:rsidR="003A33E5" w:rsidRDefault="00584E7A" w:rsidP="008A2A3B">
      <w:pPr>
        <w:spacing w:after="160" w:line="278" w:lineRule="auto"/>
      </w:pPr>
      <w:r w:rsidRPr="003809AB">
        <w:rPr>
          <w:rFonts w:ascii="Arial" w:hAnsi="Arial" w:cs="Arial"/>
          <w:szCs w:val="22"/>
        </w:rPr>
        <w:lastRenderedPageBreak/>
        <w:t xml:space="preserve">We </w:t>
      </w:r>
      <w:r w:rsidR="00E42DC5">
        <w:rPr>
          <w:rFonts w:ascii="Arial" w:hAnsi="Arial" w:cs="Arial"/>
          <w:szCs w:val="22"/>
        </w:rPr>
        <w:t>would also emphasise</w:t>
      </w:r>
      <w:r w:rsidRPr="003809AB">
        <w:rPr>
          <w:rFonts w:ascii="Arial" w:hAnsi="Arial" w:cs="Arial"/>
          <w:szCs w:val="22"/>
        </w:rPr>
        <w:t xml:space="preserve"> that this classification must apply consistently across all lit on-venue mechanisms operating with full pre-trade transparency, including </w:t>
      </w:r>
      <w:r w:rsidR="00FE32C2">
        <w:rPr>
          <w:rFonts w:ascii="Arial" w:hAnsi="Arial" w:cs="Arial"/>
          <w:szCs w:val="22"/>
        </w:rPr>
        <w:t>FBA</w:t>
      </w:r>
      <w:r w:rsidRPr="003809AB">
        <w:rPr>
          <w:rFonts w:ascii="Arial" w:hAnsi="Arial" w:cs="Arial"/>
          <w:szCs w:val="22"/>
        </w:rPr>
        <w:t>s and closing auctions, which operate on functionally identical transparency standards.</w:t>
      </w:r>
    </w:p>
    <w:permEnd w:id="164585938"/>
    <w:p w14:paraId="5B2C589A" w14:textId="5E581229"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316C8DE3" w14:textId="77777777" w:rsidR="00584E7A" w:rsidRPr="003809AB" w:rsidRDefault="00584E7A" w:rsidP="00584E7A">
      <w:pPr>
        <w:spacing w:after="160" w:line="278" w:lineRule="auto"/>
        <w:rPr>
          <w:rFonts w:ascii="Arial" w:hAnsi="Arial" w:cs="Arial"/>
          <w:szCs w:val="22"/>
        </w:rPr>
      </w:pPr>
      <w:permStart w:id="1475570857" w:edGrp="everyone"/>
      <w:r w:rsidRPr="003809AB">
        <w:rPr>
          <w:rFonts w:ascii="Arial" w:hAnsi="Arial" w:cs="Arial"/>
          <w:szCs w:val="22"/>
        </w:rPr>
        <w:t>We agree that RFMD give-ups should be considered both non-addressable and non-price-forming, as they represent post-trade administrative transfers rather than genuine market-facing executions.</w:t>
      </w:r>
    </w:p>
    <w:p w14:paraId="2C8C14E8" w14:textId="77777777" w:rsidR="00584E7A" w:rsidRPr="003809AB" w:rsidRDefault="00584E7A" w:rsidP="00584E7A">
      <w:pPr>
        <w:spacing w:after="160" w:line="278" w:lineRule="auto"/>
        <w:rPr>
          <w:rFonts w:ascii="Arial" w:hAnsi="Arial" w:cs="Arial"/>
          <w:szCs w:val="22"/>
        </w:rPr>
      </w:pPr>
      <w:r w:rsidRPr="003809AB">
        <w:rPr>
          <w:rFonts w:ascii="Arial" w:hAnsi="Arial" w:cs="Arial"/>
          <w:szCs w:val="22"/>
        </w:rPr>
        <w:t xml:space="preserve">However, </w:t>
      </w:r>
      <w:r w:rsidRPr="00584E7A">
        <w:rPr>
          <w:rFonts w:ascii="Arial" w:hAnsi="Arial" w:cs="Arial"/>
          <w:szCs w:val="22"/>
        </w:rPr>
        <w:t>we disagree with ESMA's classification of BENC, PORT and CONT trades as non-addressable. We believe all three should be considered addressable and price-forming.</w:t>
      </w:r>
    </w:p>
    <w:p w14:paraId="150AE126" w14:textId="77777777" w:rsidR="00584E7A" w:rsidRPr="003809AB" w:rsidRDefault="00584E7A" w:rsidP="00584E7A">
      <w:pPr>
        <w:spacing w:after="160" w:line="278" w:lineRule="auto"/>
        <w:rPr>
          <w:rFonts w:ascii="Arial" w:hAnsi="Arial" w:cs="Arial"/>
          <w:szCs w:val="22"/>
        </w:rPr>
      </w:pPr>
      <w:r w:rsidRPr="003809AB">
        <w:rPr>
          <w:rFonts w:ascii="Arial" w:hAnsi="Arial" w:cs="Arial"/>
          <w:szCs w:val="22"/>
        </w:rPr>
        <w:t>On addressability: each of these flags represents a trade with real economic interest — it is not a technical trade. The fact that the price is determined by reference to a benchmark, a portfolio or a contingent event does not remove the trade's economic substance or its accessibility to market participants who have chosen to transact on those terms.</w:t>
      </w:r>
    </w:p>
    <w:p w14:paraId="41C88A47" w14:textId="5D6C329D" w:rsidR="003A33E5" w:rsidRDefault="00584E7A" w:rsidP="00584E7A">
      <w:r w:rsidRPr="003809AB">
        <w:rPr>
          <w:rFonts w:ascii="Arial" w:hAnsi="Arial" w:cs="Arial"/>
          <w:szCs w:val="22"/>
        </w:rPr>
        <w:t>On price formation: price formation does not occur solely through the setting of the EBBO. Every trade executed under these flags — regardless of execution mechanism — validates that the price at which it is executed is an acceptable market price. For example, a trade executed at a 5-minute VWAP using the BENC waiver is price-forming because it confirms that VWAP price as a valid and accepted level. To exclude such trades from the price-forming category would be to mischaracterise their informational contribution to the market.</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4E5757B6" w14:textId="77777777" w:rsidR="00584E7A" w:rsidRPr="003809AB" w:rsidRDefault="00584E7A" w:rsidP="00584E7A">
      <w:pPr>
        <w:spacing w:after="160" w:line="278" w:lineRule="auto"/>
        <w:rPr>
          <w:rFonts w:ascii="Arial" w:hAnsi="Arial" w:cs="Arial"/>
          <w:szCs w:val="22"/>
        </w:rPr>
      </w:pPr>
      <w:permStart w:id="1523399739" w:edGrp="everyone"/>
      <w:r w:rsidRPr="003809AB">
        <w:rPr>
          <w:rFonts w:ascii="Arial" w:hAnsi="Arial" w:cs="Arial"/>
          <w:szCs w:val="22"/>
        </w:rPr>
        <w:t>Consistent with our answer to Q38, we believe that </w:t>
      </w:r>
      <w:r w:rsidRPr="003809AB">
        <w:rPr>
          <w:rFonts w:ascii="Arial" w:hAnsi="Arial" w:cs="Arial"/>
          <w:b/>
          <w:bCs/>
          <w:szCs w:val="22"/>
        </w:rPr>
        <w:t>all benchmark trades have real economic interest and are therefore addressable and price-forming</w:t>
      </w:r>
      <w:r w:rsidRPr="003809AB">
        <w:rPr>
          <w:rFonts w:ascii="Arial" w:hAnsi="Arial" w:cs="Arial"/>
          <w:szCs w:val="22"/>
        </w:rPr>
        <w:t xml:space="preserve">. We do not consider </w:t>
      </w:r>
      <w:r w:rsidRPr="003809AB">
        <w:rPr>
          <w:rFonts w:ascii="Arial" w:hAnsi="Arial" w:cs="Arial"/>
          <w:szCs w:val="22"/>
        </w:rPr>
        <w:lastRenderedPageBreak/>
        <w:t>that any benchmark transaction should be classified as non-addressable or non-price-forming on the basis of its pricing mechanism alone.</w:t>
      </w:r>
    </w:p>
    <w:p w14:paraId="07CCB830" w14:textId="77777777" w:rsidR="00584E7A" w:rsidRPr="003809AB" w:rsidRDefault="00584E7A" w:rsidP="00584E7A">
      <w:pPr>
        <w:spacing w:after="160" w:line="278" w:lineRule="auto"/>
        <w:rPr>
          <w:rFonts w:ascii="Arial" w:hAnsi="Arial" w:cs="Arial"/>
          <w:szCs w:val="22"/>
        </w:rPr>
      </w:pPr>
      <w:r w:rsidRPr="003809AB">
        <w:rPr>
          <w:rFonts w:ascii="Arial" w:hAnsi="Arial" w:cs="Arial"/>
          <w:szCs w:val="22"/>
        </w:rPr>
        <w:t>However, we recognise that benchmark trades vary significantly in their degree of </w:t>
      </w:r>
      <w:r w:rsidRPr="003809AB">
        <w:rPr>
          <w:rFonts w:ascii="Arial" w:hAnsi="Arial" w:cs="Arial"/>
          <w:b/>
          <w:bCs/>
          <w:szCs w:val="22"/>
        </w:rPr>
        <w:t>accessibility</w:t>
      </w:r>
      <w:r w:rsidRPr="003809AB">
        <w:rPr>
          <w:rFonts w:ascii="Arial" w:hAnsi="Arial" w:cs="Arial"/>
          <w:szCs w:val="22"/>
        </w:rPr>
        <w:t>. For example, a guaranteed VWAP trade executed manually with an SI's programme trading desk may be materially less accessible than a trade executed on a trajectory cross facility operated systematically by an exchange or SI. The appropriate distinction to draw is therefore not between price-forming and non-price-forming, but between transactions of different accessibility profiles.</w:t>
      </w:r>
    </w:p>
    <w:p w14:paraId="0922E03D" w14:textId="53C2BF76" w:rsidR="003A33E5" w:rsidRDefault="00584E7A" w:rsidP="00584E7A">
      <w:r w:rsidRPr="003809AB">
        <w:rPr>
          <w:rFonts w:ascii="Arial" w:hAnsi="Arial" w:cs="Arial"/>
          <w:szCs w:val="22"/>
        </w:rPr>
        <w:t>Consistent with our responses to Q1, Q23, Q30, Q36 and Q45, we believe that the adoption of a manual/automated execution indicator (FIX Tag 2405) would be the most effective tool for separating these use cases, enabling investors and regulators to assess accessibility without mischaracterising economically substantive transactions as non-price-forming.</w:t>
      </w:r>
    </w:p>
    <w:permEnd w:id="1523399739"/>
    <w:p w14:paraId="1A013012" w14:textId="31BF458C" w:rsidR="003A33E5" w:rsidRDefault="003A33E5" w:rsidP="003A33E5">
      <w:r>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529B51C4" w14:textId="77777777" w:rsidR="001E600C" w:rsidRPr="003809AB" w:rsidRDefault="001E600C" w:rsidP="001E600C">
      <w:pPr>
        <w:spacing w:after="160" w:line="278" w:lineRule="auto"/>
        <w:rPr>
          <w:rFonts w:ascii="Arial" w:hAnsi="Arial" w:cs="Arial"/>
          <w:szCs w:val="22"/>
        </w:rPr>
      </w:pPr>
      <w:permStart w:id="1013530916" w:edGrp="everyone"/>
      <w:r w:rsidRPr="003809AB">
        <w:rPr>
          <w:rFonts w:ascii="Arial" w:hAnsi="Arial" w:cs="Arial"/>
          <w:szCs w:val="22"/>
        </w:rPr>
        <w:t>We agree that trades marked as RFPT, NLIQ and OILQ should be considered </w:t>
      </w:r>
      <w:r w:rsidRPr="003809AB">
        <w:rPr>
          <w:rFonts w:ascii="Arial" w:hAnsi="Arial" w:cs="Arial"/>
          <w:b/>
          <w:bCs/>
          <w:szCs w:val="22"/>
        </w:rPr>
        <w:t>addressable</w:t>
      </w:r>
      <w:r w:rsidRPr="003809AB">
        <w:rPr>
          <w:rFonts w:ascii="Arial" w:hAnsi="Arial" w:cs="Arial"/>
          <w:szCs w:val="22"/>
        </w:rPr>
        <w:t>. Consistent with our answer to Q38, as these trades carry real economic interest, we consider them to be </w:t>
      </w:r>
      <w:r w:rsidRPr="003809AB">
        <w:rPr>
          <w:rFonts w:ascii="Arial" w:hAnsi="Arial" w:cs="Arial"/>
          <w:b/>
          <w:bCs/>
          <w:szCs w:val="22"/>
        </w:rPr>
        <w:t>price-forming</w:t>
      </w:r>
      <w:r w:rsidRPr="003809AB">
        <w:rPr>
          <w:rFonts w:ascii="Arial" w:hAnsi="Arial" w:cs="Arial"/>
          <w:szCs w:val="22"/>
        </w:rPr>
        <w:t>.</w:t>
      </w:r>
    </w:p>
    <w:p w14:paraId="2B9C9EDA" w14:textId="77777777" w:rsidR="001E600C" w:rsidRPr="003809AB" w:rsidRDefault="001E600C" w:rsidP="001E600C">
      <w:pPr>
        <w:spacing w:after="160" w:line="278" w:lineRule="auto"/>
        <w:rPr>
          <w:rFonts w:ascii="Arial" w:hAnsi="Arial" w:cs="Arial"/>
          <w:szCs w:val="22"/>
        </w:rPr>
      </w:pPr>
      <w:r w:rsidRPr="003809AB">
        <w:rPr>
          <w:rFonts w:ascii="Arial" w:hAnsi="Arial" w:cs="Arial"/>
          <w:szCs w:val="22"/>
        </w:rPr>
        <w:t>In the case of RFPT, the fact that the trade references another price is not relevant to its price-forming status — the important point is that by executing at that price, the parties are validating it as an acceptable market level, thereby contributing to price formation. The same logic applies to NLIQ and OILQ trades, which represent genuine market-facing transactions in instruments where liquidity is limited but economic interest is real.</w:t>
      </w:r>
    </w:p>
    <w:p w14:paraId="49205781" w14:textId="110DEA21" w:rsidR="003A33E5" w:rsidRPr="001E600C" w:rsidRDefault="001E600C" w:rsidP="001E600C">
      <w:pPr>
        <w:spacing w:after="160" w:line="278" w:lineRule="auto"/>
        <w:rPr>
          <w:rFonts w:ascii="Arial" w:hAnsi="Arial" w:cs="Arial"/>
          <w:szCs w:val="22"/>
        </w:rPr>
      </w:pPr>
      <w:r w:rsidRPr="003809AB">
        <w:rPr>
          <w:rFonts w:ascii="Arial" w:hAnsi="Arial" w:cs="Arial"/>
          <w:szCs w:val="22"/>
        </w:rPr>
        <w:t>Regarding the LRGS flag: we do not believe that the presence of the LRGS flag alone indicates that a trade is either addressable or non-addressable. Trades carrying the LRGS flag should therefore be treated in the same way as trades without any flag — i.e. addressable and price-forming — with classification driven by any other flags present on the trade.</w:t>
      </w:r>
    </w:p>
    <w:permEnd w:id="1013530916"/>
    <w:p w14:paraId="78C9C581" w14:textId="3BB478B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lastRenderedPageBreak/>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7C0037E9" w14:textId="77777777" w:rsidR="001E600C" w:rsidRPr="003809AB" w:rsidRDefault="001E600C" w:rsidP="0025168D">
      <w:pPr>
        <w:spacing w:after="160" w:line="278" w:lineRule="auto"/>
        <w:rPr>
          <w:rFonts w:ascii="Arial" w:hAnsi="Arial" w:cs="Arial"/>
          <w:szCs w:val="22"/>
        </w:rPr>
      </w:pPr>
      <w:permStart w:id="374162036" w:edGrp="everyone"/>
      <w:r w:rsidRPr="003809AB">
        <w:rPr>
          <w:rFonts w:ascii="Arial" w:hAnsi="Arial" w:cs="Arial"/>
          <w:szCs w:val="22"/>
        </w:rPr>
        <w:t>Yes, we agree that all transactions without a flag should be considered addressable liquidity and price-forming. This is consistent with the principle that transactions without a qualifying flag represent standard market-facing activity with real economic interest and no conditions that would limit their accessibility.</w:t>
      </w:r>
    </w:p>
    <w:p w14:paraId="7A4C762F" w14:textId="77777777" w:rsidR="001E600C" w:rsidRDefault="001E600C" w:rsidP="003A33E5">
      <w:pPr>
        <w:rPr>
          <w:rFonts w:ascii="Arial" w:hAnsi="Arial" w:cs="Arial"/>
          <w:szCs w:val="22"/>
        </w:rPr>
      </w:pPr>
      <w:r w:rsidRPr="003809AB">
        <w:rPr>
          <w:rFonts w:ascii="Arial" w:hAnsi="Arial" w:cs="Arial"/>
          <w:szCs w:val="22"/>
        </w:rPr>
        <w:t xml:space="preserve">We would also note, consistent with our answer to Q36, that our preferred framing is to define the core category of liquidity as trades </w:t>
      </w:r>
      <w:r w:rsidRPr="001E600C">
        <w:rPr>
          <w:rFonts w:ascii="Arial" w:hAnsi="Arial" w:cs="Arial"/>
          <w:szCs w:val="22"/>
        </w:rPr>
        <w:t>with real economic interest</w:t>
      </w:r>
      <w:r w:rsidRPr="003809AB">
        <w:rPr>
          <w:rFonts w:ascii="Arial" w:hAnsi="Arial" w:cs="Arial"/>
          <w:szCs w:val="22"/>
        </w:rPr>
        <w:t>, with the unflagged category being the clearest instance of that definition. Accessibility qualifiers — where relevant — are best conveyed through the addition of appropriate flags rather than through removal from the price-forming category.</w:t>
      </w:r>
    </w:p>
    <w:permEnd w:id="374162036"/>
    <w:p w14:paraId="4B24482E" w14:textId="3D7CDD8E" w:rsidR="003A33E5" w:rsidRDefault="003A33E5" w:rsidP="003A33E5">
      <w:r>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2161A02C" w14:textId="77777777" w:rsidR="001E600C" w:rsidRPr="003809AB" w:rsidRDefault="001E600C" w:rsidP="001E600C">
      <w:pPr>
        <w:spacing w:after="160" w:line="278" w:lineRule="auto"/>
        <w:rPr>
          <w:rFonts w:ascii="Arial" w:hAnsi="Arial" w:cs="Arial"/>
          <w:szCs w:val="22"/>
        </w:rPr>
      </w:pPr>
      <w:permStart w:id="1323904635" w:edGrp="everyone"/>
      <w:r w:rsidRPr="003809AB">
        <w:rPr>
          <w:rFonts w:ascii="Arial" w:hAnsi="Arial" w:cs="Arial"/>
          <w:szCs w:val="22"/>
        </w:rPr>
        <w:t>We agree. The presence of the SDIV or ALGO flags does not, in itself, indicate that a trade is either addressable or non-addressable. Consistent with our answer to Q41, such trades should be treated in the same way as trades without any flag — i.e. </w:t>
      </w:r>
      <w:r w:rsidRPr="003809AB">
        <w:rPr>
          <w:rFonts w:ascii="Arial" w:hAnsi="Arial" w:cs="Arial"/>
          <w:b/>
          <w:bCs/>
          <w:szCs w:val="22"/>
        </w:rPr>
        <w:t>addressable and price-forming</w:t>
      </w:r>
      <w:r w:rsidRPr="003809AB">
        <w:rPr>
          <w:rFonts w:ascii="Arial" w:hAnsi="Arial" w:cs="Arial"/>
          <w:szCs w:val="22"/>
        </w:rPr>
        <w:t> — with categorisation driven solely by any other flags present on the trade.</w:t>
      </w:r>
    </w:p>
    <w:p w14:paraId="374410F2" w14:textId="394A8071" w:rsidR="003A33E5" w:rsidRDefault="001E600C" w:rsidP="001E600C">
      <w:r w:rsidRPr="003809AB">
        <w:rPr>
          <w:rFonts w:ascii="Arial" w:hAnsi="Arial" w:cs="Arial"/>
          <w:szCs w:val="22"/>
        </w:rPr>
        <w:t>The ALGO flag reflects the mechanism of execution, not the economic character of the trade. Similarly, the SDIV flag identifies a specific corporate event context, not a condition that removes economic substance. Neither flag is therefore an appropriate basis for reclassifying a trade's addressability or price-forming status.</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5147A6E5" w14:textId="77777777" w:rsidR="001E600C" w:rsidRPr="003809AB" w:rsidRDefault="001E600C" w:rsidP="001E600C">
      <w:pPr>
        <w:spacing w:after="160" w:line="278" w:lineRule="auto"/>
        <w:rPr>
          <w:rFonts w:ascii="Arial" w:hAnsi="Arial" w:cs="Arial"/>
          <w:szCs w:val="22"/>
        </w:rPr>
      </w:pPr>
      <w:permStart w:id="1265007552" w:edGrp="everyone"/>
      <w:r w:rsidRPr="003809AB">
        <w:rPr>
          <w:rFonts w:ascii="Arial" w:hAnsi="Arial" w:cs="Arial"/>
          <w:szCs w:val="22"/>
        </w:rPr>
        <w:lastRenderedPageBreak/>
        <w:t>As per our answer to Q36, we would prefer the core definition of liquidity to reference trades with </w:t>
      </w:r>
      <w:r w:rsidRPr="001E600C">
        <w:rPr>
          <w:rFonts w:ascii="Arial" w:hAnsi="Arial" w:cs="Arial"/>
          <w:szCs w:val="22"/>
        </w:rPr>
        <w:t>real economic interest</w:t>
      </w:r>
      <w:r w:rsidRPr="003809AB">
        <w:rPr>
          <w:rFonts w:ascii="Arial" w:hAnsi="Arial" w:cs="Arial"/>
          <w:szCs w:val="22"/>
        </w:rPr>
        <w:t>, rather than 'addressable liquidity' as framed by ESMA. However, assuming these two concepts are treated as equivalent, we broadly agree with the approach on flag combinations, subject to the following specific exceptions:</w:t>
      </w:r>
    </w:p>
    <w:p w14:paraId="44DA883E" w14:textId="77777777" w:rsidR="001E600C" w:rsidRPr="003809AB" w:rsidRDefault="001E600C" w:rsidP="001E600C">
      <w:pPr>
        <w:numPr>
          <w:ilvl w:val="0"/>
          <w:numId w:val="17"/>
        </w:numPr>
        <w:spacing w:after="160" w:line="278" w:lineRule="auto"/>
        <w:jc w:val="left"/>
        <w:rPr>
          <w:rFonts w:ascii="Arial" w:hAnsi="Arial" w:cs="Arial"/>
          <w:szCs w:val="22"/>
        </w:rPr>
      </w:pPr>
      <w:r w:rsidRPr="003809AB">
        <w:rPr>
          <w:rFonts w:ascii="Arial" w:hAnsi="Arial" w:cs="Arial"/>
          <w:b/>
          <w:bCs/>
          <w:szCs w:val="22"/>
        </w:rPr>
        <w:t>CONT flag:</w:t>
      </w:r>
      <w:r w:rsidRPr="003809AB">
        <w:rPr>
          <w:rFonts w:ascii="Arial" w:hAnsi="Arial" w:cs="Arial"/>
          <w:szCs w:val="22"/>
        </w:rPr>
        <w:t> Consistent with our answer to Q38, we disagree that trades flagged as CONT are not addressable. Contingent trades have real economic interest and should be treated as addressable. We would also note the internal inconsistency in ESMA's proposed table: it is unclear why a combination of CONT and SDIV is classified as addressable if all other combinations of CONT are not. If the CONT flag is the relevant factor, the treatment should be consistent regardless of whether SDIV is also present.</w:t>
      </w:r>
    </w:p>
    <w:p w14:paraId="0EA97F54" w14:textId="77777777" w:rsidR="001E600C" w:rsidRPr="003809AB" w:rsidRDefault="001E600C" w:rsidP="001E600C">
      <w:pPr>
        <w:numPr>
          <w:ilvl w:val="0"/>
          <w:numId w:val="17"/>
        </w:numPr>
        <w:spacing w:after="160" w:line="278" w:lineRule="auto"/>
        <w:jc w:val="left"/>
        <w:rPr>
          <w:rFonts w:ascii="Arial" w:hAnsi="Arial" w:cs="Arial"/>
          <w:szCs w:val="22"/>
        </w:rPr>
      </w:pPr>
      <w:r w:rsidRPr="003809AB">
        <w:rPr>
          <w:rFonts w:ascii="Arial" w:hAnsi="Arial" w:cs="Arial"/>
          <w:b/>
          <w:bCs/>
          <w:szCs w:val="22"/>
        </w:rPr>
        <w:t>NPFT combinations:</w:t>
      </w:r>
      <w:r w:rsidRPr="003809AB">
        <w:rPr>
          <w:rFonts w:ascii="Arial" w:hAnsi="Arial" w:cs="Arial"/>
          <w:szCs w:val="22"/>
        </w:rPr>
        <w:t> We do not see why a combination of PORT or CONT with NPFT should not be possible, when the combination of BENC with NPFT is included in the table. We would note, however, that we have not identified any real-world scenarios in which BENC, PORT or CONT would be combined with NPFT. More fundamentally, as stated in our responses to Q37 and Q45, we believe that trades flagged as NPFT should be removed from post-trade transparency entirely, which would resolve this question practically.</w:t>
      </w:r>
    </w:p>
    <w:p w14:paraId="358423F7" w14:textId="178673F6" w:rsidR="003A33E5" w:rsidRDefault="001E600C" w:rsidP="001E600C">
      <w:r w:rsidRPr="003809AB">
        <w:rPr>
          <w:rFonts w:ascii="Arial" w:hAnsi="Arial" w:cs="Arial"/>
          <w:b/>
          <w:bCs/>
          <w:szCs w:val="22"/>
        </w:rPr>
        <w:t>LRGS and SDIV flags:</w:t>
      </w:r>
      <w:r w:rsidRPr="003809AB">
        <w:rPr>
          <w:rFonts w:ascii="Arial" w:hAnsi="Arial" w:cs="Arial"/>
          <w:szCs w:val="22"/>
        </w:rPr>
        <w:t> Consistent with our answers to Q40 and Q42, we do not believe the presence of either the LRGS or SDIV flag alone indicates that a trade is addressable or non-addressable. Categorisation should be driven solely by the other flags present.</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6A73A600" w14:textId="77777777" w:rsidR="001E600C" w:rsidRPr="001E600C" w:rsidRDefault="001E600C" w:rsidP="001E600C">
      <w:pPr>
        <w:spacing w:after="160" w:line="278" w:lineRule="auto"/>
        <w:rPr>
          <w:rFonts w:ascii="Arial" w:hAnsi="Arial" w:cs="Arial"/>
          <w:szCs w:val="22"/>
        </w:rPr>
      </w:pPr>
      <w:permStart w:id="78797142" w:edGrp="everyone"/>
      <w:r w:rsidRPr="003809AB">
        <w:rPr>
          <w:rFonts w:ascii="Arial" w:hAnsi="Arial" w:cs="Arial"/>
          <w:szCs w:val="22"/>
        </w:rPr>
        <w:t>We believe that </w:t>
      </w:r>
      <w:r w:rsidRPr="001E600C">
        <w:rPr>
          <w:rFonts w:ascii="Arial" w:hAnsi="Arial" w:cs="Arial"/>
          <w:szCs w:val="22"/>
        </w:rPr>
        <w:t>certain, but not all, intragroup activity is non-addressable and non-price-forming. Consistent with the approach taken by the FCA, we draw a distinction based on the purpose of the intragroup activity.</w:t>
      </w:r>
    </w:p>
    <w:p w14:paraId="71B43759" w14:textId="77777777" w:rsidR="001E600C" w:rsidRPr="003809AB" w:rsidRDefault="001E600C" w:rsidP="001E600C">
      <w:pPr>
        <w:spacing w:after="160" w:line="278" w:lineRule="auto"/>
        <w:rPr>
          <w:rFonts w:ascii="Arial" w:hAnsi="Arial" w:cs="Arial"/>
          <w:szCs w:val="22"/>
        </w:rPr>
      </w:pPr>
      <w:r w:rsidRPr="001E600C">
        <w:rPr>
          <w:rFonts w:ascii="Arial" w:hAnsi="Arial" w:cs="Arial"/>
          <w:szCs w:val="22"/>
        </w:rPr>
        <w:t>Intragroup transactions conducted purely for position and risk management purposes — for example, moving inventory between</w:t>
      </w:r>
      <w:r w:rsidRPr="003809AB">
        <w:rPr>
          <w:rFonts w:ascii="Arial" w:hAnsi="Arial" w:cs="Arial"/>
          <w:szCs w:val="22"/>
        </w:rPr>
        <w:t xml:space="preserve"> group entities to facilitate client orders — do not constitute addressable liquidity and should not be classified as price-forming. Such transactions inflate </w:t>
      </w:r>
      <w:r w:rsidRPr="003809AB">
        <w:rPr>
          <w:rFonts w:ascii="Arial" w:hAnsi="Arial" w:cs="Arial"/>
          <w:szCs w:val="22"/>
        </w:rPr>
        <w:lastRenderedPageBreak/>
        <w:t>volume calculations and provide no price discovery value. We support either: (</w:t>
      </w:r>
      <w:proofErr w:type="spellStart"/>
      <w:r w:rsidRPr="003809AB">
        <w:rPr>
          <w:rFonts w:ascii="Arial" w:hAnsi="Arial" w:cs="Arial"/>
          <w:szCs w:val="22"/>
        </w:rPr>
        <w:t>i</w:t>
      </w:r>
      <w:proofErr w:type="spellEnd"/>
      <w:r w:rsidRPr="003809AB">
        <w:rPr>
          <w:rFonts w:ascii="Arial" w:hAnsi="Arial" w:cs="Arial"/>
          <w:szCs w:val="22"/>
        </w:rPr>
        <w:t>) exempting these transactions from post-trade transparency entirely, aligning with FCA practice; or (ii) mandating an explicit regulatory flag (we suggest </w:t>
      </w:r>
      <w:r w:rsidRPr="003809AB">
        <w:rPr>
          <w:rFonts w:ascii="Arial" w:hAnsi="Arial" w:cs="Arial"/>
          <w:b/>
          <w:bCs/>
          <w:szCs w:val="22"/>
        </w:rPr>
        <w:t>IGRP</w:t>
      </w:r>
      <w:r w:rsidRPr="003809AB">
        <w:rPr>
          <w:rFonts w:ascii="Arial" w:hAnsi="Arial" w:cs="Arial"/>
          <w:szCs w:val="22"/>
        </w:rPr>
        <w:t>) within RTS 1 Table 4 to allow for their systematic identification and exclusion. We have previously encouraged industry participants to use the IGRP flag on a voluntary basis in the absence of a regulatory mandate.</w:t>
      </w:r>
    </w:p>
    <w:p w14:paraId="29BC3A02" w14:textId="77777777" w:rsidR="001E600C" w:rsidRPr="003809AB" w:rsidRDefault="001E600C" w:rsidP="001E600C">
      <w:pPr>
        <w:spacing w:after="160" w:line="278" w:lineRule="auto"/>
        <w:rPr>
          <w:rFonts w:ascii="Arial" w:hAnsi="Arial" w:cs="Arial"/>
          <w:szCs w:val="22"/>
        </w:rPr>
      </w:pPr>
      <w:r w:rsidRPr="003809AB">
        <w:rPr>
          <w:rFonts w:ascii="Arial" w:hAnsi="Arial" w:cs="Arial"/>
          <w:szCs w:val="22"/>
        </w:rPr>
        <w:t xml:space="preserve">However, other types of activity may take place </w:t>
      </w:r>
      <w:r w:rsidRPr="001E600C">
        <w:rPr>
          <w:rFonts w:ascii="Arial" w:hAnsi="Arial" w:cs="Arial"/>
          <w:szCs w:val="22"/>
        </w:rPr>
        <w:t>between group entities that is economically equivalent to arm's-length activity — for example,</w:t>
      </w:r>
      <w:r w:rsidRPr="003809AB">
        <w:rPr>
          <w:rFonts w:ascii="Arial" w:hAnsi="Arial" w:cs="Arial"/>
          <w:szCs w:val="22"/>
        </w:rPr>
        <w:t xml:space="preserve"> where one entity within a group is acting on behalf of an external client and the intragroup leg is simply part of the execution chain. Such transactions carry real economic interest and should continue to be treated as addressable and price-forming. A blanket exclusion of all intragroup activity would therefore risk removing genuinely market-relevant transactions from the transparency framework.</w:t>
      </w:r>
    </w:p>
    <w:p w14:paraId="5441D0E0" w14:textId="5E6F2F3A" w:rsidR="003A33E5" w:rsidRDefault="003A33E5" w:rsidP="003A33E5"/>
    <w:permEnd w:id="78797142"/>
    <w:p w14:paraId="7BF6F2E5" w14:textId="746E1B4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60101D22" w14:textId="707B65C1" w:rsidR="009B6C66" w:rsidRPr="003809AB" w:rsidRDefault="009B6C66" w:rsidP="009B6C66">
      <w:pPr>
        <w:spacing w:after="160" w:line="278" w:lineRule="auto"/>
        <w:rPr>
          <w:rFonts w:ascii="Arial" w:hAnsi="Arial" w:cs="Arial"/>
          <w:szCs w:val="22"/>
        </w:rPr>
      </w:pPr>
      <w:permStart w:id="1195269664" w:edGrp="everyone"/>
      <w:r w:rsidRPr="003809AB">
        <w:rPr>
          <w:rFonts w:ascii="Arial" w:hAnsi="Arial" w:cs="Arial"/>
          <w:szCs w:val="22"/>
        </w:rPr>
        <w:t xml:space="preserve">Yes. We </w:t>
      </w:r>
      <w:r>
        <w:rPr>
          <w:rFonts w:ascii="Arial" w:hAnsi="Arial" w:cs="Arial"/>
          <w:szCs w:val="22"/>
        </w:rPr>
        <w:t xml:space="preserve">support the </w:t>
      </w:r>
      <w:proofErr w:type="spellStart"/>
      <w:r>
        <w:rPr>
          <w:rFonts w:ascii="Arial" w:hAnsi="Arial" w:cs="Arial"/>
          <w:szCs w:val="22"/>
        </w:rPr>
        <w:t>the</w:t>
      </w:r>
      <w:proofErr w:type="spellEnd"/>
      <w:r>
        <w:rPr>
          <w:rFonts w:ascii="Arial" w:hAnsi="Arial" w:cs="Arial"/>
          <w:szCs w:val="22"/>
        </w:rPr>
        <w:t xml:space="preserve"> letter submitted by FIX Protocol Limited dated 16 June and </w:t>
      </w:r>
      <w:r w:rsidRPr="003809AB">
        <w:rPr>
          <w:rFonts w:ascii="Arial" w:hAnsi="Arial" w:cs="Arial"/>
          <w:szCs w:val="22"/>
        </w:rPr>
        <w:t xml:space="preserve">believe significant gaps in the current post-trade transparency (PTT) framework result in data quality degradation, duplicative reporting, addressable volume miscalculations and the publication of technical trades with no economic interest. These gaps collectively lead to a misrepresentation of the true size and character of European equity markets. We </w:t>
      </w:r>
      <w:r>
        <w:rPr>
          <w:rFonts w:ascii="Arial" w:hAnsi="Arial" w:cs="Arial"/>
          <w:szCs w:val="22"/>
        </w:rPr>
        <w:t xml:space="preserve">summarise </w:t>
      </w:r>
      <w:r w:rsidR="00E42DC5">
        <w:rPr>
          <w:rFonts w:ascii="Arial" w:hAnsi="Arial" w:cs="Arial"/>
          <w:szCs w:val="22"/>
        </w:rPr>
        <w:t xml:space="preserve">the points made in that letter </w:t>
      </w:r>
      <w:r w:rsidRPr="003809AB">
        <w:rPr>
          <w:rFonts w:ascii="Arial" w:hAnsi="Arial" w:cs="Arial"/>
          <w:szCs w:val="22"/>
        </w:rPr>
        <w:t>below</w:t>
      </w:r>
      <w:r w:rsidR="00E42DC5">
        <w:rPr>
          <w:rFonts w:ascii="Arial" w:hAnsi="Arial" w:cs="Arial"/>
          <w:szCs w:val="22"/>
        </w:rPr>
        <w:t>. W</w:t>
      </w:r>
      <w:r w:rsidRPr="003809AB">
        <w:rPr>
          <w:rFonts w:ascii="Arial" w:hAnsi="Arial" w:cs="Arial"/>
          <w:szCs w:val="22"/>
        </w:rPr>
        <w:t xml:space="preserve">e believe </w:t>
      </w:r>
      <w:r w:rsidR="00E42DC5">
        <w:rPr>
          <w:rFonts w:ascii="Arial" w:hAnsi="Arial" w:cs="Arial"/>
          <w:szCs w:val="22"/>
        </w:rPr>
        <w:t xml:space="preserve">these recommendations </w:t>
      </w:r>
      <w:r w:rsidRPr="003809AB">
        <w:rPr>
          <w:rFonts w:ascii="Arial" w:hAnsi="Arial" w:cs="Arial"/>
          <w:szCs w:val="22"/>
        </w:rPr>
        <w:t>are essential to accurate market assessment and should be implemented through targeted amendments to RTS 1 and updated Level 3 guidance.</w:t>
      </w:r>
    </w:p>
    <w:p w14:paraId="653A81B5" w14:textId="77777777" w:rsidR="009B6C66" w:rsidRPr="003809AB" w:rsidRDefault="009B6C66" w:rsidP="009B6C66">
      <w:pPr>
        <w:spacing w:after="160" w:line="278" w:lineRule="auto"/>
        <w:rPr>
          <w:rFonts w:ascii="Arial" w:hAnsi="Arial" w:cs="Arial"/>
          <w:szCs w:val="22"/>
        </w:rPr>
      </w:pPr>
      <w:r w:rsidRPr="003809AB">
        <w:rPr>
          <w:rFonts w:ascii="Arial" w:hAnsi="Arial" w:cs="Arial"/>
          <w:b/>
          <w:bCs/>
          <w:szCs w:val="22"/>
        </w:rPr>
        <w:t>1. Suppression of Non-Informational, Technical and Duplicative Transactions</w:t>
      </w:r>
    </w:p>
    <w:p w14:paraId="108EED39" w14:textId="48FB850A" w:rsidR="009B6C66" w:rsidRPr="003809AB" w:rsidRDefault="009B6C66" w:rsidP="009B6C66">
      <w:pPr>
        <w:spacing w:after="160" w:line="278" w:lineRule="auto"/>
        <w:rPr>
          <w:rFonts w:ascii="Arial" w:hAnsi="Arial" w:cs="Arial"/>
          <w:szCs w:val="22"/>
        </w:rPr>
      </w:pPr>
      <w:r w:rsidRPr="003809AB">
        <w:rPr>
          <w:rFonts w:ascii="Arial" w:hAnsi="Arial" w:cs="Arial"/>
          <w:i/>
          <w:iCs/>
          <w:szCs w:val="22"/>
        </w:rPr>
        <w:t>(a) NPFT transactions:</w:t>
      </w:r>
      <w:r w:rsidRPr="003809AB">
        <w:rPr>
          <w:rFonts w:ascii="Arial" w:hAnsi="Arial" w:cs="Arial"/>
          <w:szCs w:val="22"/>
        </w:rPr>
        <w:t> NPFT transactions — representing approximately 18% of average daily reported volume — are technical in nature and the majority consist of clearing activity for off-venue executions already published at execution time. We recommend extending the PTT exemption under Article 13 of RTS 1 to include transactions reported on a trading venue as off-book on-exchange for settlement purposes (SFT, collateral, novation and clearing). These carry no real informational value for trading purposes and should be removed from the tape.</w:t>
      </w:r>
    </w:p>
    <w:p w14:paraId="562F6FD5" w14:textId="77777777" w:rsidR="009B6C66" w:rsidRPr="003809AB" w:rsidRDefault="009B6C66" w:rsidP="009B6C66">
      <w:pPr>
        <w:spacing w:after="160" w:line="278" w:lineRule="auto"/>
        <w:rPr>
          <w:rFonts w:ascii="Arial" w:hAnsi="Arial" w:cs="Arial"/>
          <w:szCs w:val="22"/>
        </w:rPr>
      </w:pPr>
      <w:r w:rsidRPr="003809AB">
        <w:rPr>
          <w:rFonts w:ascii="Arial" w:hAnsi="Arial" w:cs="Arial"/>
          <w:i/>
          <w:iCs/>
          <w:szCs w:val="22"/>
        </w:rPr>
        <w:lastRenderedPageBreak/>
        <w:t>(b) Cross-border duplicative transactions (XBDT flag):</w:t>
      </w:r>
      <w:r w:rsidRPr="003809AB">
        <w:rPr>
          <w:rFonts w:ascii="Arial" w:hAnsi="Arial" w:cs="Arial"/>
          <w:szCs w:val="22"/>
        </w:rPr>
        <w:t> Post-Brexit regulatory divergence has created unnecessary duplication of trade reports for off-venue cross-border transactions, artificially inflating SI and OTC volume calculations. Our primary recommendation is for ESMA to recognise UK RTS 1 PTT as equivalent, which would remove the need for duplicative reports. As a second-best option, we recommend mandating the </w:t>
      </w:r>
      <w:r w:rsidRPr="003809AB">
        <w:rPr>
          <w:rFonts w:ascii="Arial" w:hAnsi="Arial" w:cs="Arial"/>
          <w:b/>
          <w:bCs/>
          <w:szCs w:val="22"/>
        </w:rPr>
        <w:t>XBDT</w:t>
      </w:r>
      <w:r w:rsidRPr="003809AB">
        <w:rPr>
          <w:rFonts w:ascii="Arial" w:hAnsi="Arial" w:cs="Arial"/>
          <w:szCs w:val="22"/>
        </w:rPr>
        <w:t> flag for trades reported across both jurisdictions, allowing for systematic filtering and elimination of double counting. For example, where a client order received in the EU is routed to a UK SI — triggering both a UK SINT and an EU XOFF report — the XBDT flag would apply to the second (EU) report to mark it as cross-border duplicative.</w:t>
      </w:r>
    </w:p>
    <w:p w14:paraId="74E22D32" w14:textId="77777777" w:rsidR="009B6C66" w:rsidRPr="003809AB" w:rsidRDefault="009B6C66" w:rsidP="009B6C66">
      <w:pPr>
        <w:spacing w:after="160" w:line="278" w:lineRule="auto"/>
        <w:rPr>
          <w:rFonts w:ascii="Arial" w:hAnsi="Arial" w:cs="Arial"/>
          <w:szCs w:val="22"/>
        </w:rPr>
      </w:pPr>
      <w:r w:rsidRPr="003809AB">
        <w:rPr>
          <w:rFonts w:ascii="Arial" w:hAnsi="Arial" w:cs="Arial"/>
          <w:i/>
          <w:iCs/>
          <w:szCs w:val="22"/>
        </w:rPr>
        <w:t>(c) Intragroup risk management transactions (IGRP flag):</w:t>
      </w:r>
      <w:r w:rsidRPr="003809AB">
        <w:rPr>
          <w:rFonts w:ascii="Arial" w:hAnsi="Arial" w:cs="Arial"/>
          <w:szCs w:val="22"/>
        </w:rPr>
        <w:t> Consistent with our answer to Q44, we recommend that intragroup transactions conducted for position and risk management purposes be exempted from PTT requirements (aligning with FCA practice), or — as a second-best option — mandated to carry the </w:t>
      </w:r>
      <w:r w:rsidRPr="003809AB">
        <w:rPr>
          <w:rFonts w:ascii="Arial" w:hAnsi="Arial" w:cs="Arial"/>
          <w:b/>
          <w:bCs/>
          <w:szCs w:val="22"/>
        </w:rPr>
        <w:t>IGRP</w:t>
      </w:r>
      <w:r w:rsidRPr="003809AB">
        <w:rPr>
          <w:rFonts w:ascii="Arial" w:hAnsi="Arial" w:cs="Arial"/>
          <w:szCs w:val="22"/>
        </w:rPr>
        <w:t> flag within RTS 1 Table 4 to enable systematic identification and exclusion from addressable liquidity calculations.</w:t>
      </w:r>
    </w:p>
    <w:p w14:paraId="23ECC9CE" w14:textId="77777777" w:rsidR="009B6C66" w:rsidRPr="003809AB" w:rsidRDefault="009B6C66" w:rsidP="009B6C66">
      <w:pPr>
        <w:spacing w:after="160" w:line="278" w:lineRule="auto"/>
        <w:rPr>
          <w:rFonts w:ascii="Arial" w:hAnsi="Arial" w:cs="Arial"/>
          <w:szCs w:val="22"/>
        </w:rPr>
      </w:pPr>
      <w:r w:rsidRPr="003809AB">
        <w:rPr>
          <w:rFonts w:ascii="Arial" w:hAnsi="Arial" w:cs="Arial"/>
          <w:i/>
          <w:iCs/>
          <w:szCs w:val="22"/>
        </w:rPr>
        <w:t>(d) ETF NAV trade deferrals (PNDG flag):</w:t>
      </w:r>
      <w:r w:rsidRPr="003809AB">
        <w:rPr>
          <w:rFonts w:ascii="Arial" w:hAnsi="Arial" w:cs="Arial"/>
          <w:szCs w:val="22"/>
        </w:rPr>
        <w:t> Current ETF NAV reporting requires three separate reports (pending, cancellation, amendment) for a single transaction, creating unnecessary operational costs and data complexity. We recommend introducing a deferral mechanism for ETF NAV trades, aligning with FCA practice, to reduce reporting burden and improve data clarity.</w:t>
      </w:r>
    </w:p>
    <w:p w14:paraId="4E06BA61" w14:textId="77777777" w:rsidR="009B6C66" w:rsidRPr="003809AB" w:rsidRDefault="009B6C66" w:rsidP="009B6C66">
      <w:pPr>
        <w:spacing w:after="160" w:line="278" w:lineRule="auto"/>
        <w:rPr>
          <w:rFonts w:ascii="Arial" w:hAnsi="Arial" w:cs="Arial"/>
          <w:szCs w:val="22"/>
        </w:rPr>
      </w:pPr>
      <w:r w:rsidRPr="003809AB">
        <w:rPr>
          <w:rFonts w:ascii="Arial" w:hAnsi="Arial" w:cs="Arial"/>
          <w:b/>
          <w:bCs/>
          <w:szCs w:val="22"/>
        </w:rPr>
        <w:t>2. Regulatory Adoption of FIX Trade Flags</w:t>
      </w:r>
    </w:p>
    <w:p w14:paraId="7328ED35" w14:textId="77777777" w:rsidR="009B6C66" w:rsidRPr="003809AB" w:rsidRDefault="009B6C66" w:rsidP="009B6C66">
      <w:pPr>
        <w:spacing w:after="160" w:line="278" w:lineRule="auto"/>
        <w:rPr>
          <w:rFonts w:ascii="Arial" w:hAnsi="Arial" w:cs="Arial"/>
          <w:szCs w:val="22"/>
        </w:rPr>
      </w:pPr>
      <w:r w:rsidRPr="003809AB">
        <w:rPr>
          <w:rFonts w:ascii="Arial" w:hAnsi="Arial" w:cs="Arial"/>
          <w:i/>
          <w:iCs/>
          <w:szCs w:val="22"/>
        </w:rPr>
        <w:t>(a) Market closing price flag (CLSE):</w:t>
      </w:r>
      <w:r w:rsidRPr="003809AB">
        <w:rPr>
          <w:rFonts w:ascii="Arial" w:hAnsi="Arial" w:cs="Arial"/>
          <w:szCs w:val="22"/>
        </w:rPr>
        <w:t> Current benchmark trade definitions inadequately capture market closing price activity, estimated at approximately 20% of market activity. We recommend aligning with FCA practice and expanding benchmark trade definitions to include market closing prices through introduction of the </w:t>
      </w:r>
      <w:r w:rsidRPr="003809AB">
        <w:rPr>
          <w:rFonts w:ascii="Arial" w:hAnsi="Arial" w:cs="Arial"/>
          <w:b/>
          <w:bCs/>
          <w:szCs w:val="22"/>
        </w:rPr>
        <w:t>CLSE</w:t>
      </w:r>
      <w:r w:rsidRPr="003809AB">
        <w:rPr>
          <w:rFonts w:ascii="Arial" w:hAnsi="Arial" w:cs="Arial"/>
          <w:szCs w:val="22"/>
        </w:rPr>
        <w:t> flag, with corresponding updates to RTS 22. This flag is already mandated in the UK and adopted by many international participants, making implementation straightforward.</w:t>
      </w:r>
    </w:p>
    <w:p w14:paraId="0420FF85" w14:textId="1B3FE28E" w:rsidR="009B6C66" w:rsidRPr="003809AB" w:rsidRDefault="009B6C66" w:rsidP="009B6C66">
      <w:pPr>
        <w:spacing w:after="160" w:line="278" w:lineRule="auto"/>
        <w:rPr>
          <w:rFonts w:ascii="Arial" w:hAnsi="Arial" w:cs="Arial"/>
          <w:szCs w:val="22"/>
        </w:rPr>
      </w:pPr>
      <w:r w:rsidRPr="003809AB">
        <w:rPr>
          <w:rFonts w:ascii="Arial" w:hAnsi="Arial" w:cs="Arial"/>
          <w:i/>
          <w:iCs/>
          <w:szCs w:val="22"/>
        </w:rPr>
        <w:t xml:space="preserve">(b) Execution method flag (FIX Tag 2405 / </w:t>
      </w:r>
      <w:proofErr w:type="spellStart"/>
      <w:r w:rsidRPr="003809AB">
        <w:rPr>
          <w:rFonts w:ascii="Arial" w:hAnsi="Arial" w:cs="Arial"/>
          <w:i/>
          <w:iCs/>
          <w:szCs w:val="22"/>
        </w:rPr>
        <w:t>ExecMethod</w:t>
      </w:r>
      <w:proofErr w:type="spellEnd"/>
      <w:r w:rsidRPr="003809AB">
        <w:rPr>
          <w:rFonts w:ascii="Arial" w:hAnsi="Arial" w:cs="Arial"/>
          <w:i/>
          <w:iCs/>
          <w:szCs w:val="22"/>
        </w:rPr>
        <w:t>):</w:t>
      </w:r>
      <w:r w:rsidRPr="003809AB">
        <w:rPr>
          <w:rFonts w:ascii="Arial" w:hAnsi="Arial" w:cs="Arial"/>
          <w:szCs w:val="22"/>
        </w:rPr>
        <w:t> As noted in our responses to Q36 and Q39, understanding whether a trade is executed manually or automatically is critical to assessing its accessibility profile. We recommend mandating disclosure of execution methodology (manual vs. automated) through the </w:t>
      </w:r>
      <w:r w:rsidRPr="003809AB">
        <w:rPr>
          <w:rFonts w:ascii="Arial" w:hAnsi="Arial" w:cs="Arial"/>
          <w:b/>
          <w:bCs/>
          <w:szCs w:val="22"/>
        </w:rPr>
        <w:t xml:space="preserve">FIX </w:t>
      </w:r>
      <w:proofErr w:type="spellStart"/>
      <w:r w:rsidRPr="003809AB">
        <w:rPr>
          <w:rFonts w:ascii="Arial" w:hAnsi="Arial" w:cs="Arial"/>
          <w:b/>
          <w:bCs/>
          <w:szCs w:val="22"/>
        </w:rPr>
        <w:t>ExecMethod</w:t>
      </w:r>
      <w:proofErr w:type="spellEnd"/>
      <w:r w:rsidRPr="003809AB">
        <w:rPr>
          <w:rFonts w:ascii="Arial" w:hAnsi="Arial" w:cs="Arial"/>
          <w:b/>
          <w:bCs/>
          <w:szCs w:val="22"/>
        </w:rPr>
        <w:t xml:space="preserve"> flag (Tag 2405)</w:t>
      </w:r>
      <w:r w:rsidRPr="003809AB">
        <w:rPr>
          <w:rFonts w:ascii="Arial" w:hAnsi="Arial" w:cs="Arial"/>
          <w:szCs w:val="22"/>
        </w:rPr>
        <w:t> for all off-venue trade reports, consistent with the ALGO flag already mandated for on-venue activity.</w:t>
      </w:r>
    </w:p>
    <w:p w14:paraId="00F74F23" w14:textId="77777777" w:rsidR="009B6C66" w:rsidRPr="003809AB" w:rsidRDefault="009B6C66" w:rsidP="009B6C66">
      <w:pPr>
        <w:spacing w:after="160" w:line="278" w:lineRule="auto"/>
        <w:rPr>
          <w:rFonts w:ascii="Arial" w:hAnsi="Arial" w:cs="Arial"/>
          <w:szCs w:val="22"/>
        </w:rPr>
      </w:pPr>
      <w:r w:rsidRPr="003809AB">
        <w:rPr>
          <w:rFonts w:ascii="Arial" w:hAnsi="Arial" w:cs="Arial"/>
          <w:b/>
          <w:bCs/>
          <w:szCs w:val="22"/>
        </w:rPr>
        <w:t>3. Clarification of Reporting Obligations</w:t>
      </w:r>
    </w:p>
    <w:p w14:paraId="2AA39F93" w14:textId="77777777" w:rsidR="009B6C66" w:rsidRPr="003809AB" w:rsidRDefault="009B6C66" w:rsidP="009B6C66">
      <w:pPr>
        <w:spacing w:after="160" w:line="278" w:lineRule="auto"/>
        <w:rPr>
          <w:rFonts w:ascii="Arial" w:hAnsi="Arial" w:cs="Arial"/>
          <w:szCs w:val="22"/>
        </w:rPr>
      </w:pPr>
      <w:r w:rsidRPr="003809AB">
        <w:rPr>
          <w:rFonts w:ascii="Arial" w:hAnsi="Arial" w:cs="Arial"/>
          <w:i/>
          <w:iCs/>
          <w:szCs w:val="22"/>
        </w:rPr>
        <w:t>(a) Chains of counterparties:</w:t>
      </w:r>
      <w:r w:rsidRPr="003809AB">
        <w:rPr>
          <w:rFonts w:ascii="Arial" w:hAnsi="Arial" w:cs="Arial"/>
          <w:szCs w:val="22"/>
        </w:rPr>
        <w:t> When chains of counterparties are involved in a trade, the applicable reporting logic is not always clear. We recommend that ESMA clarify via regulatory guidelines that the trade report should be performed by either the executing counterparty or its direct counterparty.</w:t>
      </w:r>
    </w:p>
    <w:p w14:paraId="622D842C" w14:textId="77777777" w:rsidR="009B6C66" w:rsidRPr="003809AB" w:rsidRDefault="009B6C66" w:rsidP="009B6C66">
      <w:pPr>
        <w:spacing w:after="160" w:line="278" w:lineRule="auto"/>
        <w:rPr>
          <w:rFonts w:ascii="Arial" w:hAnsi="Arial" w:cs="Arial"/>
          <w:szCs w:val="22"/>
        </w:rPr>
      </w:pPr>
      <w:r w:rsidRPr="003809AB">
        <w:rPr>
          <w:rFonts w:ascii="Arial" w:hAnsi="Arial" w:cs="Arial"/>
          <w:i/>
          <w:iCs/>
          <w:szCs w:val="22"/>
        </w:rPr>
        <w:lastRenderedPageBreak/>
        <w:t>(b) Cross-border reporting:</w:t>
      </w:r>
      <w:r w:rsidRPr="003809AB">
        <w:rPr>
          <w:rFonts w:ascii="Arial" w:hAnsi="Arial" w:cs="Arial"/>
          <w:szCs w:val="22"/>
        </w:rPr>
        <w:t> For off-book cross-border transactions, ESMA should clarify that the trade report should be performed by the first investment firm to receive the trade within the EU. This recommendation would not be necessary if our primary recommendation — recognition of UK RTS 1 PTT as equivalent — were adopted.</w:t>
      </w:r>
    </w:p>
    <w:p w14:paraId="6CF38F88" w14:textId="7CE324A5" w:rsidR="003A33E5" w:rsidRPr="009B6C66" w:rsidRDefault="009B6C66" w:rsidP="009B6C66">
      <w:pPr>
        <w:spacing w:after="160" w:line="278" w:lineRule="auto"/>
        <w:rPr>
          <w:rFonts w:ascii="Arial" w:hAnsi="Arial" w:cs="Arial"/>
          <w:szCs w:val="22"/>
        </w:rPr>
      </w:pPr>
      <w:r w:rsidRPr="003809AB">
        <w:rPr>
          <w:rFonts w:ascii="Arial" w:hAnsi="Arial" w:cs="Arial"/>
          <w:szCs w:val="22"/>
        </w:rPr>
        <w:t>We believe these changes can be implemented without significant difficulty by most market participants. The CLSE flag is already in use in the UK; FIX Tag 2405 follows the same functional principles as on-venue execution flags; and suppression of NPFT-type transactions was the norm prior to MiFID II. We encourage ESMA and NCAs to issue updated PTT implementation guidance as a fast-track step while formal RTS amendments proceed through standard legislative channels.</w:t>
      </w:r>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C6A5D" w14:textId="77777777" w:rsidR="0091268A" w:rsidRDefault="0091268A" w:rsidP="007E7997">
      <w:pPr>
        <w:spacing w:line="240" w:lineRule="auto"/>
      </w:pPr>
      <w:r>
        <w:separator/>
      </w:r>
    </w:p>
  </w:endnote>
  <w:endnote w:type="continuationSeparator" w:id="0">
    <w:p w14:paraId="69706900" w14:textId="77777777" w:rsidR="0091268A" w:rsidRDefault="0091268A" w:rsidP="007E7997">
      <w:pPr>
        <w:spacing w:line="240" w:lineRule="auto"/>
      </w:pPr>
      <w:r>
        <w:continuationSeparator/>
      </w:r>
    </w:p>
  </w:endnote>
  <w:endnote w:type="continuationNotice" w:id="1">
    <w:p w14:paraId="789E0431" w14:textId="77777777" w:rsidR="0091268A" w:rsidRDefault="00912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94590" w14:textId="77777777" w:rsidR="0091268A" w:rsidRDefault="0091268A" w:rsidP="007E7997">
      <w:pPr>
        <w:spacing w:line="240" w:lineRule="auto"/>
      </w:pPr>
      <w:r>
        <w:separator/>
      </w:r>
    </w:p>
  </w:footnote>
  <w:footnote w:type="continuationSeparator" w:id="0">
    <w:p w14:paraId="73A9E8D4" w14:textId="77777777" w:rsidR="0091268A" w:rsidRDefault="0091268A" w:rsidP="007E7997">
      <w:pPr>
        <w:spacing w:line="240" w:lineRule="auto"/>
      </w:pPr>
      <w:r>
        <w:continuationSeparator/>
      </w:r>
    </w:p>
  </w:footnote>
  <w:footnote w:type="continuationNotice" w:id="1">
    <w:p w14:paraId="764EE5A5" w14:textId="77777777" w:rsidR="0091268A" w:rsidRDefault="009126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Header"/>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9EC0968"/>
    <w:multiLevelType w:val="multilevel"/>
    <w:tmpl w:val="F508C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2"/>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3"/>
  </w:num>
  <w:num w:numId="8" w16cid:durableId="806780153">
    <w:abstractNumId w:val="2"/>
  </w:num>
  <w:num w:numId="9" w16cid:durableId="1677002603">
    <w:abstractNumId w:val="11"/>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 w:numId="17" w16cid:durableId="147660918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759"/>
    <w:rsid w:val="00024CAF"/>
    <w:rsid w:val="00025363"/>
    <w:rsid w:val="00025631"/>
    <w:rsid w:val="00025A7F"/>
    <w:rsid w:val="00025C8C"/>
    <w:rsid w:val="00026016"/>
    <w:rsid w:val="0002607B"/>
    <w:rsid w:val="00026CEC"/>
    <w:rsid w:val="000271F8"/>
    <w:rsid w:val="000275A0"/>
    <w:rsid w:val="000275BD"/>
    <w:rsid w:val="00027779"/>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564"/>
    <w:rsid w:val="0009498D"/>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9F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AC6"/>
    <w:rsid w:val="000F1AF5"/>
    <w:rsid w:val="000F25B7"/>
    <w:rsid w:val="000F3148"/>
    <w:rsid w:val="000F3473"/>
    <w:rsid w:val="000F4074"/>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001"/>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BC9"/>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59DE"/>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51D"/>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B2B"/>
    <w:rsid w:val="001B5DCD"/>
    <w:rsid w:val="001B6AE1"/>
    <w:rsid w:val="001B7063"/>
    <w:rsid w:val="001B73E7"/>
    <w:rsid w:val="001B767E"/>
    <w:rsid w:val="001B7F20"/>
    <w:rsid w:val="001C0461"/>
    <w:rsid w:val="001C088C"/>
    <w:rsid w:val="001C0ACA"/>
    <w:rsid w:val="001C13FA"/>
    <w:rsid w:val="001C1457"/>
    <w:rsid w:val="001C15C6"/>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4A4"/>
    <w:rsid w:val="001D07B9"/>
    <w:rsid w:val="001D090B"/>
    <w:rsid w:val="001D0A90"/>
    <w:rsid w:val="001D0F87"/>
    <w:rsid w:val="001D1701"/>
    <w:rsid w:val="001D1AA0"/>
    <w:rsid w:val="001D1B5D"/>
    <w:rsid w:val="001D21CE"/>
    <w:rsid w:val="001D2613"/>
    <w:rsid w:val="001D261E"/>
    <w:rsid w:val="001D2AB5"/>
    <w:rsid w:val="001D380E"/>
    <w:rsid w:val="001D3811"/>
    <w:rsid w:val="001D3B3F"/>
    <w:rsid w:val="001D4D39"/>
    <w:rsid w:val="001D4FAA"/>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356"/>
    <w:rsid w:val="001E36EC"/>
    <w:rsid w:val="001E49F9"/>
    <w:rsid w:val="001E49FD"/>
    <w:rsid w:val="001E4E68"/>
    <w:rsid w:val="001E5253"/>
    <w:rsid w:val="001E599B"/>
    <w:rsid w:val="001E5BDC"/>
    <w:rsid w:val="001E600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040"/>
    <w:rsid w:val="00206205"/>
    <w:rsid w:val="0020622B"/>
    <w:rsid w:val="00206A7B"/>
    <w:rsid w:val="00207A39"/>
    <w:rsid w:val="00207CA6"/>
    <w:rsid w:val="002101FB"/>
    <w:rsid w:val="002104E5"/>
    <w:rsid w:val="0021101C"/>
    <w:rsid w:val="00211384"/>
    <w:rsid w:val="002115A9"/>
    <w:rsid w:val="00211CF5"/>
    <w:rsid w:val="00212030"/>
    <w:rsid w:val="00212FED"/>
    <w:rsid w:val="00213569"/>
    <w:rsid w:val="002138C3"/>
    <w:rsid w:val="00213CDC"/>
    <w:rsid w:val="002142BB"/>
    <w:rsid w:val="002146B3"/>
    <w:rsid w:val="002152F9"/>
    <w:rsid w:val="00215418"/>
    <w:rsid w:val="00215527"/>
    <w:rsid w:val="00215BE1"/>
    <w:rsid w:val="00216141"/>
    <w:rsid w:val="0021622E"/>
    <w:rsid w:val="00217155"/>
    <w:rsid w:val="00217772"/>
    <w:rsid w:val="00217848"/>
    <w:rsid w:val="00217B2B"/>
    <w:rsid w:val="002209C3"/>
    <w:rsid w:val="00220A3B"/>
    <w:rsid w:val="00220B54"/>
    <w:rsid w:val="00220D26"/>
    <w:rsid w:val="00221728"/>
    <w:rsid w:val="0022181F"/>
    <w:rsid w:val="002218C3"/>
    <w:rsid w:val="00221B56"/>
    <w:rsid w:val="0022214D"/>
    <w:rsid w:val="002227CF"/>
    <w:rsid w:val="002236FA"/>
    <w:rsid w:val="00224440"/>
    <w:rsid w:val="00224639"/>
    <w:rsid w:val="00224667"/>
    <w:rsid w:val="002247AF"/>
    <w:rsid w:val="0022488F"/>
    <w:rsid w:val="00224ABF"/>
    <w:rsid w:val="002255A5"/>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96C"/>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264"/>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B4C"/>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4C9F"/>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1D3"/>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E9E"/>
    <w:rsid w:val="002D7205"/>
    <w:rsid w:val="002D750A"/>
    <w:rsid w:val="002D772D"/>
    <w:rsid w:val="002E0065"/>
    <w:rsid w:val="002E04A9"/>
    <w:rsid w:val="002E064A"/>
    <w:rsid w:val="002E12EF"/>
    <w:rsid w:val="002E135A"/>
    <w:rsid w:val="002E1BB9"/>
    <w:rsid w:val="002E1C11"/>
    <w:rsid w:val="002E1DF2"/>
    <w:rsid w:val="002E207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07ADB"/>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3A0"/>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1BC"/>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7B3"/>
    <w:rsid w:val="0044299D"/>
    <w:rsid w:val="00442FCD"/>
    <w:rsid w:val="004432CF"/>
    <w:rsid w:val="00444272"/>
    <w:rsid w:val="00444295"/>
    <w:rsid w:val="00444714"/>
    <w:rsid w:val="004448AC"/>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C7B"/>
    <w:rsid w:val="0046083D"/>
    <w:rsid w:val="00460AF8"/>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829"/>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97BE0"/>
    <w:rsid w:val="004A0308"/>
    <w:rsid w:val="004A0372"/>
    <w:rsid w:val="004A03BF"/>
    <w:rsid w:val="004A05B9"/>
    <w:rsid w:val="004A0A25"/>
    <w:rsid w:val="004A0A95"/>
    <w:rsid w:val="004A0C51"/>
    <w:rsid w:val="004A125F"/>
    <w:rsid w:val="004A166D"/>
    <w:rsid w:val="004A18BB"/>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3F79"/>
    <w:rsid w:val="004B4014"/>
    <w:rsid w:val="004B41CC"/>
    <w:rsid w:val="004B42A5"/>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A58"/>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A6"/>
    <w:rsid w:val="004F3BEE"/>
    <w:rsid w:val="004F4117"/>
    <w:rsid w:val="004F4161"/>
    <w:rsid w:val="004F4296"/>
    <w:rsid w:val="004F4339"/>
    <w:rsid w:val="004F452E"/>
    <w:rsid w:val="004F45B3"/>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A81"/>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0FD3"/>
    <w:rsid w:val="005413DF"/>
    <w:rsid w:val="0054184A"/>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56F4"/>
    <w:rsid w:val="005666CD"/>
    <w:rsid w:val="00566A02"/>
    <w:rsid w:val="00566C49"/>
    <w:rsid w:val="00566EC5"/>
    <w:rsid w:val="00566F99"/>
    <w:rsid w:val="0056727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7A2"/>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4E7A"/>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C75"/>
    <w:rsid w:val="005B1D17"/>
    <w:rsid w:val="005B1EFA"/>
    <w:rsid w:val="005B219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C7ABD"/>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73C"/>
    <w:rsid w:val="00604890"/>
    <w:rsid w:val="006057B4"/>
    <w:rsid w:val="00605A19"/>
    <w:rsid w:val="00605D4D"/>
    <w:rsid w:val="006064CF"/>
    <w:rsid w:val="006067B5"/>
    <w:rsid w:val="00606BC7"/>
    <w:rsid w:val="00606C6D"/>
    <w:rsid w:val="006073F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2B77"/>
    <w:rsid w:val="00663072"/>
    <w:rsid w:val="006630E0"/>
    <w:rsid w:val="006631EB"/>
    <w:rsid w:val="00663691"/>
    <w:rsid w:val="00663F4C"/>
    <w:rsid w:val="006644F7"/>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094"/>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6A"/>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7A"/>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E18"/>
    <w:rsid w:val="0071141B"/>
    <w:rsid w:val="007118DF"/>
    <w:rsid w:val="00711E12"/>
    <w:rsid w:val="00712300"/>
    <w:rsid w:val="00713061"/>
    <w:rsid w:val="00713399"/>
    <w:rsid w:val="00713FB1"/>
    <w:rsid w:val="007140FD"/>
    <w:rsid w:val="007144DA"/>
    <w:rsid w:val="007147A4"/>
    <w:rsid w:val="00715098"/>
    <w:rsid w:val="007151BF"/>
    <w:rsid w:val="00715FE1"/>
    <w:rsid w:val="007161B4"/>
    <w:rsid w:val="00716342"/>
    <w:rsid w:val="007164BF"/>
    <w:rsid w:val="0071654F"/>
    <w:rsid w:val="007165A5"/>
    <w:rsid w:val="00716759"/>
    <w:rsid w:val="007167DE"/>
    <w:rsid w:val="0071779F"/>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4FD2"/>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9E7"/>
    <w:rsid w:val="00750BE1"/>
    <w:rsid w:val="0075129A"/>
    <w:rsid w:val="00751FE7"/>
    <w:rsid w:val="007520A8"/>
    <w:rsid w:val="00752244"/>
    <w:rsid w:val="007529E5"/>
    <w:rsid w:val="00752BC1"/>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2967"/>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1079"/>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BF0"/>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057"/>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5B1B"/>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038"/>
    <w:rsid w:val="00803117"/>
    <w:rsid w:val="00803188"/>
    <w:rsid w:val="008032D7"/>
    <w:rsid w:val="00803502"/>
    <w:rsid w:val="0080379B"/>
    <w:rsid w:val="00804763"/>
    <w:rsid w:val="00804C6F"/>
    <w:rsid w:val="00804F09"/>
    <w:rsid w:val="00805030"/>
    <w:rsid w:val="008051D7"/>
    <w:rsid w:val="008053EC"/>
    <w:rsid w:val="008054C6"/>
    <w:rsid w:val="008057E7"/>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957"/>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5E0"/>
    <w:rsid w:val="00834649"/>
    <w:rsid w:val="0083488C"/>
    <w:rsid w:val="008348FD"/>
    <w:rsid w:val="0083548F"/>
    <w:rsid w:val="00835949"/>
    <w:rsid w:val="00835A34"/>
    <w:rsid w:val="00835ACD"/>
    <w:rsid w:val="00836218"/>
    <w:rsid w:val="008362DC"/>
    <w:rsid w:val="0083690E"/>
    <w:rsid w:val="00836A88"/>
    <w:rsid w:val="00836F20"/>
    <w:rsid w:val="00840278"/>
    <w:rsid w:val="00840408"/>
    <w:rsid w:val="0084040C"/>
    <w:rsid w:val="008405FB"/>
    <w:rsid w:val="00840658"/>
    <w:rsid w:val="00840EC8"/>
    <w:rsid w:val="00840ED9"/>
    <w:rsid w:val="00840F06"/>
    <w:rsid w:val="008416BF"/>
    <w:rsid w:val="008417A5"/>
    <w:rsid w:val="00841A54"/>
    <w:rsid w:val="00842412"/>
    <w:rsid w:val="008427F6"/>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6980"/>
    <w:rsid w:val="00877086"/>
    <w:rsid w:val="00877147"/>
    <w:rsid w:val="008776F1"/>
    <w:rsid w:val="0087782A"/>
    <w:rsid w:val="00877B8A"/>
    <w:rsid w:val="00877D19"/>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3F94"/>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6FA9"/>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3B"/>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135"/>
    <w:rsid w:val="008D2642"/>
    <w:rsid w:val="008D3190"/>
    <w:rsid w:val="008D38E9"/>
    <w:rsid w:val="008D3FBB"/>
    <w:rsid w:val="008D402B"/>
    <w:rsid w:val="008D413C"/>
    <w:rsid w:val="008D4264"/>
    <w:rsid w:val="008D4358"/>
    <w:rsid w:val="008D4CDF"/>
    <w:rsid w:val="008D5790"/>
    <w:rsid w:val="008D5C28"/>
    <w:rsid w:val="008D60F2"/>
    <w:rsid w:val="008D6386"/>
    <w:rsid w:val="008D6716"/>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900"/>
    <w:rsid w:val="008E7DF7"/>
    <w:rsid w:val="008F05CB"/>
    <w:rsid w:val="008F076D"/>
    <w:rsid w:val="008F0D64"/>
    <w:rsid w:val="008F121A"/>
    <w:rsid w:val="008F19D7"/>
    <w:rsid w:val="008F29DA"/>
    <w:rsid w:val="008F2D5D"/>
    <w:rsid w:val="008F3010"/>
    <w:rsid w:val="008F3070"/>
    <w:rsid w:val="008F3364"/>
    <w:rsid w:val="008F35EC"/>
    <w:rsid w:val="008F39FB"/>
    <w:rsid w:val="008F3D0D"/>
    <w:rsid w:val="008F3D56"/>
    <w:rsid w:val="008F4C8C"/>
    <w:rsid w:val="008F54C4"/>
    <w:rsid w:val="008F591C"/>
    <w:rsid w:val="008F59AE"/>
    <w:rsid w:val="008F5C27"/>
    <w:rsid w:val="008F6926"/>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D0B"/>
    <w:rsid w:val="00907F26"/>
    <w:rsid w:val="00907FD9"/>
    <w:rsid w:val="00910591"/>
    <w:rsid w:val="009109D2"/>
    <w:rsid w:val="009112EF"/>
    <w:rsid w:val="00911732"/>
    <w:rsid w:val="00911828"/>
    <w:rsid w:val="00911AC6"/>
    <w:rsid w:val="00911F2E"/>
    <w:rsid w:val="0091204F"/>
    <w:rsid w:val="009121C2"/>
    <w:rsid w:val="0091268A"/>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04A"/>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2F7A"/>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1F"/>
    <w:rsid w:val="009B5AB2"/>
    <w:rsid w:val="009B60DC"/>
    <w:rsid w:val="009B6352"/>
    <w:rsid w:val="009B67A6"/>
    <w:rsid w:val="009B69DE"/>
    <w:rsid w:val="009B6C66"/>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0A9"/>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0E1D"/>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475"/>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5AF"/>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6A4"/>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460A"/>
    <w:rsid w:val="00A851A6"/>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5DC"/>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6C2"/>
    <w:rsid w:val="00AD676E"/>
    <w:rsid w:val="00AD694C"/>
    <w:rsid w:val="00AD6CD5"/>
    <w:rsid w:val="00AE0E18"/>
    <w:rsid w:val="00AE0F32"/>
    <w:rsid w:val="00AE24F3"/>
    <w:rsid w:val="00AE2CC4"/>
    <w:rsid w:val="00AE2F10"/>
    <w:rsid w:val="00AE33F4"/>
    <w:rsid w:val="00AE3D96"/>
    <w:rsid w:val="00AE3FDC"/>
    <w:rsid w:val="00AE4B6D"/>
    <w:rsid w:val="00AE4FC7"/>
    <w:rsid w:val="00AE5271"/>
    <w:rsid w:val="00AE5433"/>
    <w:rsid w:val="00AE5481"/>
    <w:rsid w:val="00AE74C9"/>
    <w:rsid w:val="00AF0116"/>
    <w:rsid w:val="00AF0498"/>
    <w:rsid w:val="00AF0D15"/>
    <w:rsid w:val="00AF0ECE"/>
    <w:rsid w:val="00AF0F6F"/>
    <w:rsid w:val="00AF14D5"/>
    <w:rsid w:val="00AF172D"/>
    <w:rsid w:val="00AF18A1"/>
    <w:rsid w:val="00AF1E9D"/>
    <w:rsid w:val="00AF1FC7"/>
    <w:rsid w:val="00AF2260"/>
    <w:rsid w:val="00AF297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1EB1"/>
    <w:rsid w:val="00B0252D"/>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990"/>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13E"/>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F6A"/>
    <w:rsid w:val="00B925DE"/>
    <w:rsid w:val="00B92666"/>
    <w:rsid w:val="00B92A6C"/>
    <w:rsid w:val="00B92B26"/>
    <w:rsid w:val="00B92B32"/>
    <w:rsid w:val="00B93F96"/>
    <w:rsid w:val="00B94380"/>
    <w:rsid w:val="00B947F8"/>
    <w:rsid w:val="00B94E13"/>
    <w:rsid w:val="00B94F5C"/>
    <w:rsid w:val="00B95298"/>
    <w:rsid w:val="00B9534D"/>
    <w:rsid w:val="00B95418"/>
    <w:rsid w:val="00B9569C"/>
    <w:rsid w:val="00B9580D"/>
    <w:rsid w:val="00B960C3"/>
    <w:rsid w:val="00B966FC"/>
    <w:rsid w:val="00B966FE"/>
    <w:rsid w:val="00B96738"/>
    <w:rsid w:val="00B96AE1"/>
    <w:rsid w:val="00B96D24"/>
    <w:rsid w:val="00B970E3"/>
    <w:rsid w:val="00B97689"/>
    <w:rsid w:val="00BA134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A6B"/>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5EA"/>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37DAD"/>
    <w:rsid w:val="00C40219"/>
    <w:rsid w:val="00C40992"/>
    <w:rsid w:val="00C40A9C"/>
    <w:rsid w:val="00C40CD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13A"/>
    <w:rsid w:val="00C53656"/>
    <w:rsid w:val="00C537F4"/>
    <w:rsid w:val="00C53E27"/>
    <w:rsid w:val="00C54278"/>
    <w:rsid w:val="00C5447E"/>
    <w:rsid w:val="00C5469A"/>
    <w:rsid w:val="00C554B4"/>
    <w:rsid w:val="00C5552D"/>
    <w:rsid w:val="00C55B06"/>
    <w:rsid w:val="00C56137"/>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7017B"/>
    <w:rsid w:val="00C702A3"/>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AA8"/>
    <w:rsid w:val="00C96B99"/>
    <w:rsid w:val="00C96D26"/>
    <w:rsid w:val="00C96EBD"/>
    <w:rsid w:val="00C97198"/>
    <w:rsid w:val="00C97F26"/>
    <w:rsid w:val="00C97F55"/>
    <w:rsid w:val="00CA003E"/>
    <w:rsid w:val="00CA048D"/>
    <w:rsid w:val="00CA04B9"/>
    <w:rsid w:val="00CA06B3"/>
    <w:rsid w:val="00CA0A1F"/>
    <w:rsid w:val="00CA162D"/>
    <w:rsid w:val="00CA322F"/>
    <w:rsid w:val="00CA3531"/>
    <w:rsid w:val="00CA3536"/>
    <w:rsid w:val="00CA3737"/>
    <w:rsid w:val="00CA391E"/>
    <w:rsid w:val="00CA42B1"/>
    <w:rsid w:val="00CA49C0"/>
    <w:rsid w:val="00CA49CA"/>
    <w:rsid w:val="00CA49D4"/>
    <w:rsid w:val="00CA4B60"/>
    <w:rsid w:val="00CA4BF2"/>
    <w:rsid w:val="00CA4E75"/>
    <w:rsid w:val="00CA5589"/>
    <w:rsid w:val="00CA565A"/>
    <w:rsid w:val="00CA679E"/>
    <w:rsid w:val="00CA6D98"/>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28C8"/>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2F73"/>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69"/>
    <w:rsid w:val="00D14D77"/>
    <w:rsid w:val="00D15374"/>
    <w:rsid w:val="00D162F7"/>
    <w:rsid w:val="00D1679C"/>
    <w:rsid w:val="00D16D25"/>
    <w:rsid w:val="00D17302"/>
    <w:rsid w:val="00D177EC"/>
    <w:rsid w:val="00D203BF"/>
    <w:rsid w:val="00D206B3"/>
    <w:rsid w:val="00D207E0"/>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4BC2"/>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9BA"/>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BCC"/>
    <w:rsid w:val="00D81D03"/>
    <w:rsid w:val="00D82000"/>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31D3"/>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A7C26"/>
    <w:rsid w:val="00DB0218"/>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472"/>
    <w:rsid w:val="00DD3CF8"/>
    <w:rsid w:val="00DD430B"/>
    <w:rsid w:val="00DD4AB8"/>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3EAC"/>
    <w:rsid w:val="00E1413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1EA"/>
    <w:rsid w:val="00E33A79"/>
    <w:rsid w:val="00E33B6C"/>
    <w:rsid w:val="00E33B86"/>
    <w:rsid w:val="00E33C03"/>
    <w:rsid w:val="00E33D2D"/>
    <w:rsid w:val="00E341E9"/>
    <w:rsid w:val="00E3456B"/>
    <w:rsid w:val="00E34731"/>
    <w:rsid w:val="00E34F5E"/>
    <w:rsid w:val="00E3519F"/>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2DC5"/>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58"/>
    <w:rsid w:val="00E536A8"/>
    <w:rsid w:val="00E53EFF"/>
    <w:rsid w:val="00E54A3A"/>
    <w:rsid w:val="00E54B51"/>
    <w:rsid w:val="00E55700"/>
    <w:rsid w:val="00E558E9"/>
    <w:rsid w:val="00E55BB9"/>
    <w:rsid w:val="00E55E8A"/>
    <w:rsid w:val="00E55ECB"/>
    <w:rsid w:val="00E56436"/>
    <w:rsid w:val="00E56968"/>
    <w:rsid w:val="00E56E36"/>
    <w:rsid w:val="00E571C5"/>
    <w:rsid w:val="00E57810"/>
    <w:rsid w:val="00E578D4"/>
    <w:rsid w:val="00E57E2D"/>
    <w:rsid w:val="00E60185"/>
    <w:rsid w:val="00E60BA2"/>
    <w:rsid w:val="00E61047"/>
    <w:rsid w:val="00E618E2"/>
    <w:rsid w:val="00E61979"/>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5C1"/>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40A"/>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6D0"/>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604B"/>
    <w:rsid w:val="00F160B5"/>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27BCA"/>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35"/>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B53"/>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63D"/>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3E31"/>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DC2"/>
    <w:rsid w:val="00FD4E39"/>
    <w:rsid w:val="00FD5262"/>
    <w:rsid w:val="00FD52E8"/>
    <w:rsid w:val="00FD567F"/>
    <w:rsid w:val="00FD6398"/>
    <w:rsid w:val="00FD66C4"/>
    <w:rsid w:val="00FD68EA"/>
    <w:rsid w:val="00FD696E"/>
    <w:rsid w:val="00FD7328"/>
    <w:rsid w:val="00FD772F"/>
    <w:rsid w:val="00FD77AF"/>
    <w:rsid w:val="00FE0364"/>
    <w:rsid w:val="00FE0EB1"/>
    <w:rsid w:val="00FE1327"/>
    <w:rsid w:val="00FE17B0"/>
    <w:rsid w:val="00FE17F0"/>
    <w:rsid w:val="00FE1DDC"/>
    <w:rsid w:val="00FE2071"/>
    <w:rsid w:val="00FE2356"/>
    <w:rsid w:val="00FE2578"/>
    <w:rsid w:val="00FE2F18"/>
    <w:rsid w:val="00FE32C2"/>
    <w:rsid w:val="00FE3BD9"/>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 w:type="character" w:customStyle="1" w:styleId="normaltextrun">
    <w:name w:val="normaltextrun"/>
    <w:basedOn w:val="DefaultParagraphFont"/>
    <w:rsid w:val="00F60040"/>
  </w:style>
  <w:style w:type="table" w:styleId="PlainTable4">
    <w:name w:val="Plain Table 4"/>
    <w:basedOn w:val="TableNormal"/>
    <w:uiPriority w:val="44"/>
    <w:rsid w:val="002154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3E3" w:themeFill="background1" w:themeFillShade="F2"/>
      </w:tcPr>
    </w:tblStylePr>
    <w:tblStylePr w:type="band1Horz">
      <w:tblPr/>
      <w:tcPr>
        <w:shd w:val="clear" w:color="auto" w:fill="E3E3E3"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PlaceholderText"/>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PlaceholderText"/>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82948"/>
    <w:rsid w:val="00092732"/>
    <w:rsid w:val="000B5175"/>
    <w:rsid w:val="000C0B68"/>
    <w:rsid w:val="001213CC"/>
    <w:rsid w:val="001359BA"/>
    <w:rsid w:val="0015768C"/>
    <w:rsid w:val="002536E7"/>
    <w:rsid w:val="00254E75"/>
    <w:rsid w:val="0034145D"/>
    <w:rsid w:val="00372212"/>
    <w:rsid w:val="00422AF8"/>
    <w:rsid w:val="004E4CF9"/>
    <w:rsid w:val="004F4339"/>
    <w:rsid w:val="005D66AB"/>
    <w:rsid w:val="006320FF"/>
    <w:rsid w:val="00663894"/>
    <w:rsid w:val="006954E6"/>
    <w:rsid w:val="006D3543"/>
    <w:rsid w:val="00701E25"/>
    <w:rsid w:val="0071141B"/>
    <w:rsid w:val="007C0405"/>
    <w:rsid w:val="00813189"/>
    <w:rsid w:val="008134C9"/>
    <w:rsid w:val="008222A0"/>
    <w:rsid w:val="00836D47"/>
    <w:rsid w:val="008A367F"/>
    <w:rsid w:val="009522B0"/>
    <w:rsid w:val="009B6B9C"/>
    <w:rsid w:val="009F25FD"/>
    <w:rsid w:val="00A804C7"/>
    <w:rsid w:val="00A93A1C"/>
    <w:rsid w:val="00AD66C2"/>
    <w:rsid w:val="00B07345"/>
    <w:rsid w:val="00B11B3A"/>
    <w:rsid w:val="00B22006"/>
    <w:rsid w:val="00B46CAE"/>
    <w:rsid w:val="00CA74DD"/>
    <w:rsid w:val="00D207E0"/>
    <w:rsid w:val="00D52831"/>
    <w:rsid w:val="00D63E3A"/>
    <w:rsid w:val="00DC3796"/>
    <w:rsid w:val="00DC4211"/>
    <w:rsid w:val="00DD3472"/>
    <w:rsid w:val="00E023D2"/>
    <w:rsid w:val="00E41C46"/>
    <w:rsid w:val="00E71C44"/>
    <w:rsid w:val="00EE3D34"/>
    <w:rsid w:val="00F81463"/>
    <w:rsid w:val="00FA063D"/>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ansversal Document" ma:contentTypeID="0x0101008D9E5D2C101BA04B85C7EB08C6516E400301003A88A8099168AB429D81F28EE5DE6471" ma:contentTypeVersion="17" ma:contentTypeDescription="" ma:contentTypeScope="" ma:versionID="0246b927f3a9a1d025b8b903cd2ca644">
  <xsd:schema xmlns:xsd="http://www.w3.org/2001/XMLSchema" xmlns:xs="http://www.w3.org/2001/XMLSchema" xmlns:p="http://schemas.microsoft.com/office/2006/metadata/properties" xmlns:ns2="d0fb0f98-34f9-4d57-9559-eb8efd17aa5e" xmlns:ns3="138e4d26-21cc-4287-9ef6-0fc0b47e5a14" targetNamespace="http://schemas.microsoft.com/office/2006/metadata/properties" ma:root="true" ma:fieldsID="9feeb980a68d389cad5a6a7686c6af06" ns2:_="" ns3:_="">
    <xsd:import namespace="d0fb0f98-34f9-4d57-9559-eb8efd17aa5e"/>
    <xsd:import namespace="138e4d26-21cc-4287-9ef6-0fc0b47e5a14"/>
    <xsd:element name="properties">
      <xsd:complexType>
        <xsd:sequence>
          <xsd:element name="documentManagement">
            <xsd:complexType>
              <xsd:all>
                <xsd:element ref="ns2:Year"/>
                <xsd:element ref="ns2:MeetingDate" minOccurs="0"/>
                <xsd:element ref="ns2:TaxCatchAll" minOccurs="0"/>
                <xsd:element ref="ns2:TaxCatchAllLabel" minOccurs="0"/>
                <xsd:element ref="ns2:caa5aeb1a6644849b60fbe2335e12657" minOccurs="0"/>
                <xsd:element ref="ns2:n644e5dfaa29486bad4a4fc019c6d2df" minOccurs="0"/>
                <xsd:element ref="ns2:eed0a0b2ea6941718a34434e243f3d8f" minOccurs="0"/>
                <xsd:element ref="ns2:j69a081f486747f6ac8a5aeed63facfd" minOccurs="0"/>
                <xsd:element ref="ns2:a9b3b1dad23b4ba58c3f3e36a96e1d9c" minOccurs="0"/>
                <xsd:element ref="ns2:bce29119141747ccb9ac7d87218ed4a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3"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18" nillable="true" ma:taxonomy="true" ma:internalName="caa5aeb1a6644849b60fbe2335e12657" ma:taxonomyFieldName="Topic" ma:displayName="Topic" ma:readOnly="false" ma:fieldId="{caa5aeb1-a664-4849-b60f-be2335e12657}" ma:sspId="d4b01e31-ead0-4f68-a8e9-2aaca35f2e62"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9" nillable="true" ma:taxonomy="true" ma:internalName="n644e5dfaa29486bad4a4fc019c6d2df" ma:taxonomyFieldName="SubTopic" ma:displayName="Sub Topic" ma:readOnly="false" ma:fieldId="{7644e5df-aa29-486b-ad4a-4fc019c6d2df}" ma:sspId="d4b01e31-ead0-4f68-a8e9-2aaca35f2e62"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20"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2"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3"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8e4d26-21cc-4287-9ef6-0fc0b47e5a14"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1277</Value>
      <Value>282</Value>
      <Value>8</Value>
    </TaxCatchAll>
    <_dlc_DocId xmlns="d0fb0f98-34f9-4d57-9559-eb8efd17aa5e">ESMA74-1119406008-1622</_dlc_DocId>
    <_dlc_DocIdUrl xmlns="d0fb0f98-34f9-4d57-9559-eb8efd17aa5e">
      <Url>https://securitiesandmarketsauth.sharepoint.com/sites/sherpa-trdu/_layouts/15/DocIdRedir.aspx?ID=ESMA74-1119406008-1622</Url>
      <Description>ESMA74-1119406008-1622</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Transversal - Market structure</TermName>
          <TermId xmlns="http://schemas.microsoft.com/office/infopath/2007/PartnerControls">424e799c-12dd-4169-aca9-d32a106818c7</TermId>
        </TermInfo>
      </Terms>
    </caa5aeb1a6644849b60fbe2335e12657>
  </documentManagement>
</p:properties>
</file>

<file path=customXml/itemProps1.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2.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3.xml><?xml version="1.0" encoding="utf-8"?>
<ds:datastoreItem xmlns:ds="http://schemas.openxmlformats.org/officeDocument/2006/customXml" ds:itemID="{22C8E168-7D45-49B0-909E-E82A2F9D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38e4d26-21cc-4287-9ef6-0fc0b47e5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5.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docMetadata/LabelInfo.xml><?xml version="1.0" encoding="utf-8"?>
<clbl:labelList xmlns:clbl="http://schemas.microsoft.com/office/2020/mipLabelMetadata">
  <clbl:label id="{97fc4263-1457-426b-8f86-27e8fe5c208c}" enabled="0" method="" siteId="{97fc4263-1457-426b-8f86-27e8fe5c208c}" removed="1"/>
</clbl:labelList>
</file>

<file path=docProps/app.xml><?xml version="1.0" encoding="utf-8"?>
<Properties xmlns="http://schemas.openxmlformats.org/officeDocument/2006/extended-properties" xmlns:vt="http://schemas.openxmlformats.org/officeDocument/2006/docPropsVTypes">
  <Template>Normal</Template>
  <TotalTime>0</TotalTime>
  <Pages>34</Pages>
  <Words>9709</Words>
  <Characters>52623</Characters>
  <Application>Microsoft Office Word</Application>
  <DocSecurity>8</DocSecurity>
  <Lines>1195</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Dutton, Nick</cp:lastModifiedBy>
  <cp:revision>21</cp:revision>
  <cp:lastPrinted>2023-09-09T09:53:00Z</cp:lastPrinted>
  <dcterms:created xsi:type="dcterms:W3CDTF">2026-06-30T16:48:00Z</dcterms:created>
  <dcterms:modified xsi:type="dcterms:W3CDTF">2026-06-30T18:15:00Z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0x0101008D9E5D2C101BA04B85C7EB08C6516E400301003A88A8099168AB429D81F28EE5DE6471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Sensitivity">
    <vt:lpwstr>Regular</vt:lpwstr>
  </property>
  <property fmtid="{D5CDD505-2E9C-101B-9397-08002B2CF9AE}" pid="25" name="docLang">
    <vt:lpwstr>en</vt:lpwstr>
  </property>
</Properties>
</file>