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el"/>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el"/>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el"/>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el"/>
            <w:tabs>
              <w:tab w:val="center" w:pos="4536"/>
            </w:tabs>
          </w:pPr>
          <w:r>
            <w:t xml:space="preserve">Reply </w:t>
          </w:r>
          <w:r w:rsidR="00DD03DC">
            <w:t>F</w:t>
          </w:r>
          <w:r>
            <w:t>orm</w:t>
          </w:r>
          <w:r w:rsidR="00FA1BF6">
            <w:tab/>
          </w:r>
        </w:p>
        <w:p w14:paraId="031F2108" w14:textId="042F6D9B" w:rsidR="007E7997" w:rsidRPr="00C01571" w:rsidRDefault="005B1C75" w:rsidP="00D77369">
          <w:pPr>
            <w:pStyle w:val="Untertitel"/>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t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nabsatz"/>
            <w:rPr>
              <w:lang w:val="en-GB"/>
            </w:rPr>
          </w:pPr>
          <w:r w:rsidRPr="00DB2FD6">
            <w:rPr>
              <w:lang w:val="en-GB"/>
            </w:rPr>
            <w:t>respond to the question stated;</w:t>
          </w:r>
        </w:p>
        <w:p w14:paraId="72FD40F6" w14:textId="77777777" w:rsidR="002533FC" w:rsidRPr="00DB2FD6" w:rsidRDefault="002533FC" w:rsidP="00EC6066">
          <w:pPr>
            <w:pStyle w:val="Listenabsatz"/>
            <w:rPr>
              <w:lang w:val="en-GB"/>
            </w:rPr>
          </w:pPr>
          <w:r w:rsidRPr="00DB2FD6">
            <w:rPr>
              <w:lang w:val="en-GB"/>
            </w:rPr>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DB2FD6" w:rsidRDefault="002533FC" w:rsidP="00EC6066">
          <w:pPr>
            <w:pStyle w:val="Listenabsatz"/>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3784145F" w:rsidR="00E40D2C" w:rsidRPr="00557BD2" w:rsidRDefault="0057202C">
                <w:r>
                  <w:t xml:space="preserve">BVI </w:t>
                </w:r>
                <w:r w:rsidRPr="0057202C">
                  <w:t>German Investment Funds Association</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446160EC" w:rsidR="00E40D2C" w:rsidRDefault="0057202C">
                <w:r>
                  <w:t>Asset manager</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permStart w:id="1385105873" w:edGrp="everyone" w:displacedByCustomXml="prev"/>
            <w:tc>
              <w:tcPr>
                <w:tcW w:w="4531" w:type="dxa"/>
                <w:vAlign w:val="center"/>
              </w:tcPr>
              <w:p w14:paraId="7AB9C082" w14:textId="592228B1" w:rsidR="002262FA" w:rsidRDefault="0057202C"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5F0D1B50" w:rsidR="00E40D2C" w:rsidRPr="00557BD2" w:rsidRDefault="0057202C">
                <w:r>
                  <w:t>Germany</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berschrift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3DDF525C" w14:textId="1A9FB685" w:rsidR="0057202C" w:rsidRDefault="0057202C" w:rsidP="0057202C">
      <w:pPr>
        <w:pStyle w:val="Standa1"/>
        <w:spacing w:after="0" w:line="288" w:lineRule="auto"/>
        <w:rPr>
          <w:rFonts w:ascii="Arial" w:hAnsi="Arial" w:cs="Arial"/>
          <w:sz w:val="20"/>
          <w:szCs w:val="20"/>
          <w:lang w:val="en-GB"/>
        </w:rPr>
      </w:pPr>
      <w:permStart w:id="1150511936" w:edGrp="everyone"/>
      <w:r w:rsidRPr="00511E45">
        <w:rPr>
          <w:rFonts w:ascii="Arial" w:hAnsi="Arial" w:cs="Arial"/>
          <w:sz w:val="20"/>
          <w:szCs w:val="20"/>
          <w:lang w:val="en-GB"/>
        </w:rPr>
        <w:t>Yes, we agree with the description of the market structure.</w:t>
      </w:r>
      <w:r>
        <w:rPr>
          <w:rFonts w:ascii="Arial" w:hAnsi="Arial" w:cs="Arial"/>
          <w:sz w:val="20"/>
          <w:szCs w:val="20"/>
          <w:lang w:val="en-GB"/>
        </w:rPr>
        <w:t xml:space="preserve"> According to our observations,</w:t>
      </w:r>
      <w:r w:rsidRPr="00A81692">
        <w:rPr>
          <w:rFonts w:ascii="Arial" w:hAnsi="Arial" w:cs="Arial"/>
          <w:sz w:val="20"/>
          <w:szCs w:val="20"/>
          <w:lang w:val="en-GB"/>
        </w:rPr>
        <w:t xml:space="preserve"> overall liquidity conditions in European equity markets have</w:t>
      </w:r>
      <w:r>
        <w:rPr>
          <w:rFonts w:ascii="Arial" w:hAnsi="Arial" w:cs="Arial"/>
          <w:sz w:val="20"/>
          <w:szCs w:val="20"/>
          <w:lang w:val="en-GB"/>
        </w:rPr>
        <w:t xml:space="preserve"> clearly</w:t>
      </w:r>
      <w:r w:rsidRPr="00A81692">
        <w:rPr>
          <w:rFonts w:ascii="Arial" w:hAnsi="Arial" w:cs="Arial"/>
          <w:sz w:val="20"/>
          <w:szCs w:val="20"/>
          <w:lang w:val="en-GB"/>
        </w:rPr>
        <w:t xml:space="preserve"> improved in recent years, both for institutional and retail investors. For institutions, available liquidity and execution quality have strengthened</w:t>
      </w:r>
      <w:r>
        <w:rPr>
          <w:rFonts w:ascii="Arial" w:hAnsi="Arial" w:cs="Arial"/>
          <w:sz w:val="20"/>
          <w:szCs w:val="20"/>
          <w:lang w:val="en-GB"/>
        </w:rPr>
        <w:t xml:space="preserve">. Furthermore, we consider the methodical </w:t>
      </w:r>
      <w:r w:rsidRPr="00657D5B">
        <w:rPr>
          <w:rFonts w:ascii="Arial" w:hAnsi="Arial" w:cs="Arial"/>
          <w:sz w:val="20"/>
          <w:szCs w:val="20"/>
          <w:lang w:val="en-GB"/>
        </w:rPr>
        <w:t xml:space="preserve">framework (addressable vs non-addressable; or price-forming vs non price-forming) </w:t>
      </w:r>
      <w:r>
        <w:rPr>
          <w:rFonts w:ascii="Arial" w:hAnsi="Arial" w:cs="Arial"/>
          <w:sz w:val="20"/>
          <w:szCs w:val="20"/>
          <w:lang w:val="en-GB"/>
        </w:rPr>
        <w:t xml:space="preserve">designed by ESMA </w:t>
      </w:r>
      <w:r w:rsidRPr="00657D5B">
        <w:rPr>
          <w:rFonts w:ascii="Arial" w:hAnsi="Arial" w:cs="Arial"/>
          <w:sz w:val="20"/>
          <w:szCs w:val="20"/>
          <w:lang w:val="en-GB"/>
        </w:rPr>
        <w:t>is a very useful model</w:t>
      </w:r>
      <w:r>
        <w:rPr>
          <w:rFonts w:ascii="Arial" w:hAnsi="Arial" w:cs="Arial"/>
          <w:sz w:val="20"/>
          <w:szCs w:val="20"/>
          <w:lang w:val="en-GB"/>
        </w:rPr>
        <w:t xml:space="preserve"> which should not be used as a starting point for regulatory interventions </w:t>
      </w:r>
      <w:r w:rsidRPr="00657D5B">
        <w:rPr>
          <w:rFonts w:ascii="Arial" w:hAnsi="Arial" w:cs="Arial"/>
          <w:sz w:val="20"/>
          <w:szCs w:val="20"/>
          <w:lang w:val="en-GB"/>
        </w:rPr>
        <w:t xml:space="preserve">to justify </w:t>
      </w:r>
      <w:r>
        <w:rPr>
          <w:rFonts w:ascii="Arial" w:hAnsi="Arial" w:cs="Arial"/>
          <w:sz w:val="20"/>
          <w:szCs w:val="20"/>
          <w:lang w:val="en-GB"/>
        </w:rPr>
        <w:t xml:space="preserve">any </w:t>
      </w:r>
      <w:r w:rsidRPr="00657D5B">
        <w:rPr>
          <w:rFonts w:ascii="Arial" w:hAnsi="Arial" w:cs="Arial"/>
          <w:sz w:val="20"/>
          <w:szCs w:val="20"/>
          <w:lang w:val="en-GB"/>
        </w:rPr>
        <w:t>restrictions</w:t>
      </w:r>
      <w:r>
        <w:rPr>
          <w:rFonts w:ascii="Arial" w:hAnsi="Arial" w:cs="Arial"/>
          <w:sz w:val="20"/>
          <w:szCs w:val="20"/>
          <w:lang w:val="en-GB"/>
        </w:rPr>
        <w:t xml:space="preserve"> for the choice of trading for investor’s</w:t>
      </w:r>
      <w:r w:rsidRPr="00657D5B">
        <w:rPr>
          <w:rFonts w:ascii="Arial" w:hAnsi="Arial" w:cs="Arial"/>
          <w:sz w:val="20"/>
          <w:szCs w:val="20"/>
          <w:lang w:val="en-GB"/>
        </w:rPr>
        <w:t>, that would be counterproductive.</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68454533" w14:textId="5F867887" w:rsidR="0057202C" w:rsidRPr="00511E45" w:rsidRDefault="0057202C" w:rsidP="0057202C">
      <w:pPr>
        <w:pStyle w:val="Standa1"/>
        <w:spacing w:after="0" w:line="288" w:lineRule="auto"/>
        <w:rPr>
          <w:rFonts w:ascii="Arial" w:hAnsi="Arial" w:cs="Arial"/>
          <w:sz w:val="20"/>
          <w:szCs w:val="20"/>
          <w:lang w:val="en-GB"/>
        </w:rPr>
      </w:pPr>
      <w:permStart w:id="1720911874" w:edGrp="everyone"/>
      <w:r w:rsidRPr="00511E45">
        <w:rPr>
          <w:rFonts w:ascii="Arial" w:hAnsi="Arial" w:cs="Arial"/>
          <w:sz w:val="20"/>
          <w:szCs w:val="20"/>
          <w:lang w:val="en-GB"/>
        </w:rPr>
        <w:t>.</w:t>
      </w:r>
      <w:r w:rsidR="00C96042" w:rsidRPr="00C96042">
        <w:rPr>
          <w:rFonts w:ascii="Arial" w:hAnsi="Arial" w:cs="Arial"/>
          <w:sz w:val="20"/>
          <w:szCs w:val="20"/>
          <w:lang w:val="en-GB"/>
        </w:rPr>
        <w:t>We have no comments. We would, however, like to stress that a very large number of EU equity investors -about 42% - are from abroad. They need – like our members – SIs to be able to implement transactions with minimal market impact.</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2297129C" w14:textId="3EAE7BE6" w:rsidR="0057202C" w:rsidRPr="00511E45" w:rsidRDefault="0057202C" w:rsidP="0057202C">
      <w:pPr>
        <w:pStyle w:val="Standa1"/>
        <w:spacing w:after="0" w:line="288" w:lineRule="auto"/>
        <w:rPr>
          <w:rFonts w:ascii="Arial" w:hAnsi="Arial" w:cs="Arial"/>
          <w:sz w:val="20"/>
          <w:szCs w:val="20"/>
          <w:lang w:val="en-GB"/>
        </w:rPr>
      </w:pPr>
      <w:permStart w:id="1070029581" w:edGrp="everyone"/>
      <w:r w:rsidRPr="00511E45">
        <w:rPr>
          <w:rFonts w:ascii="Arial" w:hAnsi="Arial" w:cs="Arial"/>
          <w:sz w:val="20"/>
          <w:szCs w:val="20"/>
          <w:lang w:val="en-GB"/>
        </w:rPr>
        <w:t>We agree with the analyses presented by ESMA. The analyses concludes that the share of addressable liquidity in Europe has remained stable at 85% of total traded volume. On-venue trading has also been relatively stable, accounting for ca 75% - 80% of traded volume. A further 14% occurs in auctions run by these same venues. Therefore, less than 10% of trades happen on so-called “dark pools” or off-venue. Despite the claims of exchange representatives in the context of the Market Integration and Supervisory Package (MISP), national exchanges</w:t>
      </w:r>
      <w:r w:rsidR="00834563">
        <w:rPr>
          <w:rFonts w:ascii="Arial" w:hAnsi="Arial" w:cs="Arial"/>
          <w:sz w:val="20"/>
          <w:szCs w:val="20"/>
          <w:lang w:val="en-GB"/>
        </w:rPr>
        <w:t xml:space="preserve"> are and</w:t>
      </w:r>
      <w:r w:rsidRPr="00511E45">
        <w:rPr>
          <w:rFonts w:ascii="Arial" w:hAnsi="Arial" w:cs="Arial"/>
          <w:sz w:val="20"/>
          <w:szCs w:val="20"/>
          <w:lang w:val="en-GB"/>
        </w:rPr>
        <w:t xml:space="preserve"> remain</w:t>
      </w:r>
      <w:r w:rsidR="00C96042">
        <w:rPr>
          <w:rFonts w:ascii="Arial" w:hAnsi="Arial" w:cs="Arial"/>
          <w:sz w:val="20"/>
          <w:szCs w:val="20"/>
          <w:lang w:val="en-GB"/>
        </w:rPr>
        <w:t xml:space="preserve"> </w:t>
      </w:r>
      <w:r w:rsidRPr="00511E45">
        <w:rPr>
          <w:rFonts w:ascii="Arial" w:hAnsi="Arial" w:cs="Arial"/>
          <w:sz w:val="20"/>
          <w:szCs w:val="20"/>
          <w:lang w:val="en-GB"/>
        </w:rPr>
        <w:t>the dominant trading location across EU markets.</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530A5550" w14:textId="566D493A" w:rsidR="008F2EC9" w:rsidRPr="008F2EC9" w:rsidRDefault="0057202C" w:rsidP="008F2EC9">
      <w:pPr>
        <w:pStyle w:val="Standa1"/>
        <w:spacing w:after="0" w:line="288" w:lineRule="auto"/>
        <w:rPr>
          <w:rFonts w:ascii="Arial" w:hAnsi="Arial" w:cs="Arial"/>
          <w:sz w:val="20"/>
          <w:szCs w:val="20"/>
          <w:lang w:val="en-GB"/>
        </w:rPr>
      </w:pPr>
      <w:permStart w:id="856752782" w:edGrp="everyone"/>
      <w:r w:rsidRPr="00511E45">
        <w:rPr>
          <w:rFonts w:ascii="Arial" w:hAnsi="Arial" w:cs="Arial"/>
          <w:sz w:val="20"/>
          <w:szCs w:val="20"/>
          <w:lang w:val="en-GB"/>
        </w:rPr>
        <w:t>.</w:t>
      </w:r>
      <w:r w:rsidR="008F2EC9" w:rsidRPr="008F2EC9">
        <w:rPr>
          <w:rFonts w:ascii="Arial" w:hAnsi="Arial" w:cs="Arial"/>
          <w:sz w:val="20"/>
          <w:szCs w:val="20"/>
          <w:lang w:val="en-GB"/>
        </w:rPr>
        <w:t>Please see our answer to Question 3 and 5. We believe that also auctions conducted on trading venues clearly contribute to the price formation process and should not be ignored in the discussion on price formation and liquidity.</w:t>
      </w:r>
    </w:p>
    <w:p w14:paraId="4E77CD41" w14:textId="77777777" w:rsidR="008F2EC9" w:rsidRPr="008F2EC9" w:rsidRDefault="008F2EC9" w:rsidP="008F2EC9">
      <w:pPr>
        <w:pStyle w:val="Standa1"/>
        <w:spacing w:after="0" w:line="288" w:lineRule="auto"/>
        <w:rPr>
          <w:rFonts w:ascii="Arial" w:hAnsi="Arial" w:cs="Arial"/>
          <w:sz w:val="20"/>
          <w:szCs w:val="20"/>
          <w:lang w:val="en-GB"/>
        </w:rPr>
      </w:pPr>
    </w:p>
    <w:p w14:paraId="291E8BB0" w14:textId="650A25BB" w:rsidR="0057202C" w:rsidRPr="00511E45" w:rsidRDefault="008F2EC9" w:rsidP="008F2EC9">
      <w:pPr>
        <w:pStyle w:val="Standa1"/>
        <w:spacing w:after="0" w:line="288" w:lineRule="auto"/>
        <w:rPr>
          <w:rFonts w:ascii="Arial" w:hAnsi="Arial" w:cs="Arial"/>
          <w:sz w:val="20"/>
          <w:szCs w:val="20"/>
          <w:lang w:val="en-GB"/>
        </w:rPr>
      </w:pPr>
      <w:r w:rsidRPr="008F2EC9">
        <w:rPr>
          <w:rFonts w:ascii="Arial" w:hAnsi="Arial" w:cs="Arial"/>
          <w:sz w:val="20"/>
          <w:szCs w:val="20"/>
          <w:lang w:val="en-GB"/>
        </w:rPr>
        <w:t xml:space="preserve">Furthermore, we would like to highlight the fact that a large majority of the trading volume of EU shares in the UK is the result of technical trades for clearing and settlement purposes via off-book on-exchange mechanisms. While there is some OTC &amp; SI activity in the UK of EU shares, this is very limited given the EU share trading obligation (STO) acts as a legal limit to this activity. We hear that majority of such reported trades is non-price forming and non-addressable. The issue is duplicate post-trade reporting which currently occurs for UK branches of EEA investment firms when they execute transactions outside a trading venue with non-EEA investors or firms and report those transactions to a non-EEA Approved Publication Arrangement (APA).  Therefore, the same trade is reported twice for the same purpose. The concern is that this duplication distorts the data, a distortion that is amplified when the consolidated tapes are combined (i.e. in the form of a commercial CT of a CT product currently contemplated by CTP providers). This results in an inaccurate and misleading reflection of EU market activity, liquidity and volumes, thereby devaluing the usefulness of the consolidated tape. Third country trading venues are granted an exemption, however, third country APAs are currently not. For trades executed outside of trading venues between non-EEA clients and </w:t>
      </w:r>
      <w:r w:rsidRPr="008F2EC9">
        <w:rPr>
          <w:rFonts w:ascii="Arial" w:hAnsi="Arial" w:cs="Arial"/>
          <w:sz w:val="20"/>
          <w:szCs w:val="20"/>
          <w:lang w:val="en-GB"/>
        </w:rPr>
        <w:lastRenderedPageBreak/>
        <w:t>the non-EEA branches of EEA firms situated in the UK, where publication is made through third country APAs should be considered a reporting exemption.</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65804A5D" w14:textId="77777777" w:rsidR="0057202C" w:rsidRPr="00511E45" w:rsidRDefault="0057202C" w:rsidP="0057202C">
      <w:pPr>
        <w:pStyle w:val="Default"/>
        <w:spacing w:line="288" w:lineRule="auto"/>
        <w:rPr>
          <w:color w:val="auto"/>
          <w:sz w:val="20"/>
          <w:szCs w:val="20"/>
          <w:lang w:val="en-GB"/>
        </w:rPr>
      </w:pPr>
      <w:permStart w:id="617826185" w:edGrp="everyone"/>
      <w:r w:rsidRPr="00511E45">
        <w:rPr>
          <w:sz w:val="20"/>
          <w:szCs w:val="20"/>
          <w:lang w:val="en-GB"/>
        </w:rPr>
        <w:t xml:space="preserve">The </w:t>
      </w:r>
      <w:r w:rsidRPr="00511E45">
        <w:rPr>
          <w:color w:val="auto"/>
          <w:sz w:val="20"/>
          <w:szCs w:val="20"/>
          <w:lang w:val="en-GB"/>
        </w:rPr>
        <w:t>EU equity market structure have evolved significantly since MiFID reforms opened the market to new trading mechanisms, fostering greater competition and innovation. This more diverse market ecosystem and the increased choice of trading facilities have contributed to improved execution outcomes and lower trading costs for investors and the Buy-Side. Therefore, trading diversity is of fundamental importance for the German buy-side. A diverse and competitive trading landscape ensures access to multiple liquidity pools, execution venues, and pricing mechanisms, which is essential for achieving best execution on behalf of end investors.</w:t>
      </w:r>
    </w:p>
    <w:p w14:paraId="05B1CBFF" w14:textId="77777777" w:rsidR="0057202C" w:rsidRPr="00511E45" w:rsidRDefault="0057202C" w:rsidP="0057202C">
      <w:pPr>
        <w:pStyle w:val="Default"/>
        <w:spacing w:line="288" w:lineRule="auto"/>
        <w:rPr>
          <w:color w:val="auto"/>
          <w:sz w:val="20"/>
          <w:szCs w:val="20"/>
          <w:lang w:val="en-GB"/>
        </w:rPr>
      </w:pPr>
    </w:p>
    <w:p w14:paraId="10EBB2EE" w14:textId="5F77E393" w:rsidR="0057202C" w:rsidRPr="00511E45" w:rsidRDefault="0057202C" w:rsidP="0057202C">
      <w:pPr>
        <w:pStyle w:val="Default"/>
        <w:spacing w:line="288" w:lineRule="auto"/>
        <w:rPr>
          <w:color w:val="auto"/>
          <w:sz w:val="20"/>
          <w:szCs w:val="20"/>
          <w:lang w:val="en-GB"/>
        </w:rPr>
      </w:pPr>
      <w:r w:rsidRPr="00511E45">
        <w:rPr>
          <w:color w:val="auto"/>
          <w:sz w:val="20"/>
          <w:szCs w:val="20"/>
          <w:lang w:val="en-GB"/>
        </w:rPr>
        <w:t>Wh</w:t>
      </w:r>
      <w:r w:rsidR="008F2EC9">
        <w:rPr>
          <w:color w:val="auto"/>
          <w:sz w:val="20"/>
          <w:szCs w:val="20"/>
          <w:lang w:val="en-GB"/>
        </w:rPr>
        <w:t>at could</w:t>
      </w:r>
      <w:r w:rsidRPr="00511E45">
        <w:rPr>
          <w:color w:val="auto"/>
          <w:sz w:val="20"/>
          <w:szCs w:val="20"/>
          <w:lang w:val="en-GB"/>
        </w:rPr>
        <w:t xml:space="preserve"> </w:t>
      </w:r>
      <w:r w:rsidR="008F2EC9">
        <w:rPr>
          <w:color w:val="auto"/>
          <w:sz w:val="20"/>
          <w:szCs w:val="20"/>
          <w:lang w:val="en-GB"/>
        </w:rPr>
        <w:t xml:space="preserve">be </w:t>
      </w:r>
      <w:r w:rsidRPr="00511E45">
        <w:rPr>
          <w:color w:val="auto"/>
          <w:sz w:val="20"/>
          <w:szCs w:val="20"/>
          <w:lang w:val="en-GB"/>
        </w:rPr>
        <w:t>described as “fragmentation” is actually diversity of how trading is executed - reflecting the different needs of investors. While lit venues play an essential role, they are not always the most effective option for every trade. Access to a broader set of trading mechanisms allows investors to tap into significantly deeper pools of liquidity than are available on exchanges alone.</w:t>
      </w:r>
    </w:p>
    <w:p w14:paraId="3D3C1E44" w14:textId="77777777" w:rsidR="0057202C" w:rsidRPr="00511E45" w:rsidRDefault="0057202C" w:rsidP="0057202C">
      <w:pPr>
        <w:pStyle w:val="Default"/>
        <w:spacing w:line="288" w:lineRule="auto"/>
        <w:rPr>
          <w:color w:val="auto"/>
          <w:sz w:val="20"/>
          <w:szCs w:val="20"/>
          <w:lang w:val="en-GB"/>
        </w:rPr>
      </w:pPr>
    </w:p>
    <w:p w14:paraId="4661ED52" w14:textId="77777777" w:rsidR="0057202C" w:rsidRDefault="0057202C" w:rsidP="0057202C">
      <w:pPr>
        <w:pStyle w:val="Default"/>
        <w:spacing w:line="288" w:lineRule="auto"/>
        <w:rPr>
          <w:lang w:val="en-GB"/>
        </w:rPr>
      </w:pPr>
      <w:r w:rsidRPr="00511E45">
        <w:rPr>
          <w:color w:val="auto"/>
          <w:sz w:val="20"/>
          <w:szCs w:val="20"/>
          <w:lang w:val="en-GB"/>
        </w:rPr>
        <w:t>These different models coexist because they serve different purposes. Together, they contribute to deeper, more competitive and more efficient markets. As ESMA’s recent study shows, most trades take place on lit continuous order books. A further 14% happens in auctions run by these same venues. By contrast less than 10% of trades happen on so-called “dark pools” or off-venue. In other words, despite the headlines, national exchanges remain the dominant trading location across EU markets.</w:t>
      </w:r>
      <w:r w:rsidRPr="001554D9">
        <w:rPr>
          <w:lang w:val="en-GB"/>
        </w:rPr>
        <w:t xml:space="preserve"> </w:t>
      </w:r>
    </w:p>
    <w:p w14:paraId="35DA3BBB" w14:textId="77777777" w:rsidR="0057202C" w:rsidRDefault="0057202C" w:rsidP="0057202C">
      <w:pPr>
        <w:pStyle w:val="Default"/>
        <w:spacing w:line="288" w:lineRule="auto"/>
        <w:rPr>
          <w:lang w:val="en-GB"/>
        </w:rPr>
      </w:pPr>
    </w:p>
    <w:p w14:paraId="10323FB7" w14:textId="2F71C294" w:rsidR="0057202C" w:rsidRPr="00511E45" w:rsidRDefault="0057202C" w:rsidP="0057202C">
      <w:pPr>
        <w:pStyle w:val="Default"/>
        <w:spacing w:line="288" w:lineRule="auto"/>
        <w:rPr>
          <w:color w:val="auto"/>
          <w:sz w:val="20"/>
          <w:szCs w:val="20"/>
          <w:lang w:val="en-GB"/>
        </w:rPr>
      </w:pPr>
      <w:r w:rsidRPr="001554D9">
        <w:rPr>
          <w:color w:val="auto"/>
          <w:sz w:val="20"/>
          <w:szCs w:val="20"/>
          <w:lang w:val="en-GB"/>
        </w:rPr>
        <w:t xml:space="preserve">Historical experience suggests that </w:t>
      </w:r>
      <w:r w:rsidR="00822CA3">
        <w:rPr>
          <w:color w:val="auto"/>
          <w:sz w:val="20"/>
          <w:szCs w:val="20"/>
          <w:lang w:val="en-GB"/>
        </w:rPr>
        <w:t xml:space="preserve">diversity </w:t>
      </w:r>
      <w:r w:rsidRPr="001554D9">
        <w:rPr>
          <w:color w:val="auto"/>
          <w:sz w:val="20"/>
          <w:szCs w:val="20"/>
          <w:lang w:val="en-GB"/>
        </w:rPr>
        <w:t xml:space="preserve">in itself is not </w:t>
      </w:r>
      <w:r>
        <w:rPr>
          <w:color w:val="auto"/>
          <w:sz w:val="20"/>
          <w:szCs w:val="20"/>
          <w:lang w:val="en-GB"/>
        </w:rPr>
        <w:t xml:space="preserve">a </w:t>
      </w:r>
      <w:r w:rsidRPr="001554D9">
        <w:rPr>
          <w:color w:val="auto"/>
          <w:sz w:val="20"/>
          <w:szCs w:val="20"/>
          <w:lang w:val="en-GB"/>
        </w:rPr>
        <w:t>bad</w:t>
      </w:r>
      <w:r>
        <w:rPr>
          <w:color w:val="auto"/>
          <w:sz w:val="20"/>
          <w:szCs w:val="20"/>
          <w:lang w:val="en-GB"/>
        </w:rPr>
        <w:t xml:space="preserve"> thing. </w:t>
      </w:r>
      <w:r w:rsidRPr="001554D9">
        <w:rPr>
          <w:color w:val="auto"/>
          <w:sz w:val="20"/>
          <w:szCs w:val="20"/>
          <w:lang w:val="en-GB"/>
        </w:rPr>
        <w:t xml:space="preserve"> </w:t>
      </w:r>
      <w:r>
        <w:rPr>
          <w:color w:val="auto"/>
          <w:sz w:val="20"/>
          <w:szCs w:val="20"/>
          <w:lang w:val="en-GB"/>
        </w:rPr>
        <w:t xml:space="preserve">For example, </w:t>
      </w:r>
      <w:r w:rsidRPr="001554D9">
        <w:rPr>
          <w:color w:val="auto"/>
          <w:sz w:val="20"/>
          <w:szCs w:val="20"/>
          <w:lang w:val="en-GB"/>
        </w:rPr>
        <w:t>the US is substantially more fragmented than Europe in venue count, still provides deep liquidity and a successful listing environment.</w:t>
      </w:r>
    </w:p>
    <w:p w14:paraId="72C30D98" w14:textId="77777777" w:rsidR="0057202C" w:rsidRPr="00511E45" w:rsidRDefault="0057202C" w:rsidP="0057202C">
      <w:pPr>
        <w:pStyle w:val="Default"/>
        <w:spacing w:line="288" w:lineRule="auto"/>
        <w:rPr>
          <w:color w:val="auto"/>
          <w:sz w:val="20"/>
          <w:szCs w:val="20"/>
          <w:lang w:val="en-GB"/>
        </w:rPr>
      </w:pPr>
    </w:p>
    <w:p w14:paraId="3FED7050" w14:textId="77777777" w:rsidR="0057202C" w:rsidRPr="00511E45" w:rsidRDefault="0057202C" w:rsidP="0057202C">
      <w:pPr>
        <w:pStyle w:val="Default"/>
        <w:spacing w:line="288" w:lineRule="auto"/>
        <w:rPr>
          <w:color w:val="auto"/>
          <w:sz w:val="20"/>
          <w:szCs w:val="20"/>
          <w:lang w:val="en-GB"/>
        </w:rPr>
      </w:pPr>
      <w:r w:rsidRPr="00511E45">
        <w:rPr>
          <w:color w:val="auto"/>
          <w:sz w:val="20"/>
          <w:szCs w:val="20"/>
          <w:lang w:val="en-GB"/>
        </w:rPr>
        <w:t>Reducing diversity would not simplify markets - it would reduce choice and thereby competition, increase costs, and ultimately make European capital markets less attractive. Analysis by ESMA clearly shows that equity with trading activity spread across different types of venues tend to have tighter bid-ask spreads. This is a key indicator of healthy markets, suggesting that competition between trading mechanisms can improve pricing rather than weaken it.</w:t>
      </w:r>
    </w:p>
    <w:p w14:paraId="12FA7CB7" w14:textId="77777777" w:rsidR="0057202C" w:rsidRPr="00511E45" w:rsidRDefault="0057202C" w:rsidP="0057202C">
      <w:pPr>
        <w:pStyle w:val="Default"/>
        <w:spacing w:line="288" w:lineRule="auto"/>
        <w:rPr>
          <w:color w:val="auto"/>
          <w:sz w:val="20"/>
          <w:szCs w:val="20"/>
          <w:lang w:val="en-GB"/>
        </w:rPr>
      </w:pPr>
    </w:p>
    <w:p w14:paraId="2E8F2F2E" w14:textId="77777777" w:rsidR="0057202C" w:rsidRPr="00511E45" w:rsidRDefault="0057202C" w:rsidP="0057202C">
      <w:pPr>
        <w:pStyle w:val="Default"/>
        <w:spacing w:line="288" w:lineRule="auto"/>
        <w:rPr>
          <w:color w:val="auto"/>
          <w:sz w:val="20"/>
          <w:szCs w:val="20"/>
          <w:lang w:val="en-GB"/>
        </w:rPr>
      </w:pPr>
      <w:r w:rsidRPr="00511E45">
        <w:rPr>
          <w:color w:val="auto"/>
          <w:sz w:val="20"/>
          <w:szCs w:val="20"/>
          <w:lang w:val="en-GB"/>
        </w:rPr>
        <w:lastRenderedPageBreak/>
        <w:t>The European equity market has evolved into a highly fragmented ecosystem, shaped by regulatory reforms such as MiFID II and MiFIR. This fragmentation has led to the emergence of a broad range of trading models, including regulated markets, multilateral trading facilities (MTFs), organised trading facilities (OTFs), systematic internalisers (SIs), periodic auctions, and other alternative execution mechanisms. For the buy-side, this diversity is not merely a by-product of regulation, but a critical enabler of efficient execution strategies.</w:t>
      </w:r>
    </w:p>
    <w:p w14:paraId="4611C21D" w14:textId="77777777" w:rsidR="0057202C" w:rsidRPr="00511E45" w:rsidRDefault="0057202C" w:rsidP="0057202C">
      <w:pPr>
        <w:pStyle w:val="Default"/>
        <w:spacing w:line="288" w:lineRule="auto"/>
        <w:rPr>
          <w:color w:val="auto"/>
          <w:sz w:val="20"/>
          <w:szCs w:val="20"/>
          <w:lang w:val="en-GB"/>
        </w:rPr>
      </w:pPr>
    </w:p>
    <w:p w14:paraId="3250BA89" w14:textId="77777777" w:rsidR="0057202C" w:rsidRPr="00511E45" w:rsidRDefault="0057202C" w:rsidP="0057202C">
      <w:pPr>
        <w:pStyle w:val="Default"/>
        <w:spacing w:line="288" w:lineRule="auto"/>
        <w:rPr>
          <w:color w:val="auto"/>
          <w:sz w:val="20"/>
          <w:szCs w:val="20"/>
          <w:lang w:val="en-GB"/>
        </w:rPr>
      </w:pPr>
      <w:r w:rsidRPr="00511E45">
        <w:rPr>
          <w:color w:val="auto"/>
          <w:sz w:val="20"/>
          <w:szCs w:val="20"/>
          <w:lang w:val="en-GB"/>
        </w:rPr>
        <w:t>From an investor perspective, trading diversity enhances competition among trading venues and liquidity providers. This competition supports tighter spreads, improved price formation, and continuous innovation in execution services. In particular, the availability of different execution channels allows asset managers to tailor their trading strategies to specific circumstances - such as large block trades, illiquid instruments, or volatility-sensitive environments</w:t>
      </w:r>
      <w:r>
        <w:rPr>
          <w:color w:val="auto"/>
          <w:sz w:val="20"/>
          <w:szCs w:val="20"/>
          <w:lang w:val="en-GB"/>
        </w:rPr>
        <w:t xml:space="preserve"> - </w:t>
      </w:r>
      <w:r w:rsidRPr="00511E45">
        <w:rPr>
          <w:color w:val="auto"/>
          <w:sz w:val="20"/>
          <w:szCs w:val="20"/>
          <w:lang w:val="en-GB"/>
        </w:rPr>
        <w:t>thereby reducing market impact and overall transaction costs.</w:t>
      </w:r>
    </w:p>
    <w:p w14:paraId="5E10F81A" w14:textId="77777777" w:rsidR="0057202C" w:rsidRPr="00511E45" w:rsidRDefault="0057202C" w:rsidP="0057202C">
      <w:pPr>
        <w:pStyle w:val="Default"/>
        <w:spacing w:line="288" w:lineRule="auto"/>
        <w:rPr>
          <w:color w:val="auto"/>
          <w:sz w:val="20"/>
          <w:szCs w:val="20"/>
          <w:lang w:val="en-GB"/>
        </w:rPr>
      </w:pPr>
    </w:p>
    <w:p w14:paraId="4C0AF195" w14:textId="77777777" w:rsidR="0057202C" w:rsidRPr="00511E45" w:rsidRDefault="0057202C" w:rsidP="0057202C">
      <w:pPr>
        <w:pStyle w:val="Default"/>
        <w:spacing w:line="288" w:lineRule="auto"/>
        <w:rPr>
          <w:color w:val="auto"/>
          <w:sz w:val="20"/>
          <w:szCs w:val="20"/>
          <w:lang w:val="en-GB"/>
        </w:rPr>
      </w:pPr>
      <w:r w:rsidRPr="00511E45">
        <w:rPr>
          <w:color w:val="auto"/>
          <w:sz w:val="20"/>
          <w:szCs w:val="20"/>
          <w:lang w:val="en-GB"/>
        </w:rPr>
        <w:t>At the same time, different liquidity pools serve distinct and complementary functions. Transparent order books are essential for price discovery, while bilateral and off-venue trading</w:t>
      </w:r>
      <w:r>
        <w:rPr>
          <w:color w:val="auto"/>
          <w:sz w:val="20"/>
          <w:szCs w:val="20"/>
          <w:lang w:val="en-GB"/>
        </w:rPr>
        <w:t xml:space="preserve"> - </w:t>
      </w:r>
      <w:r w:rsidRPr="00511E45">
        <w:rPr>
          <w:color w:val="auto"/>
          <w:sz w:val="20"/>
          <w:szCs w:val="20"/>
          <w:lang w:val="en-GB"/>
        </w:rPr>
        <w:t>such as via SIs</w:t>
      </w:r>
      <w:r>
        <w:rPr>
          <w:color w:val="auto"/>
          <w:sz w:val="20"/>
          <w:szCs w:val="20"/>
          <w:lang w:val="en-GB"/>
        </w:rPr>
        <w:t xml:space="preserve"> - </w:t>
      </w:r>
      <w:r w:rsidRPr="00511E45">
        <w:rPr>
          <w:color w:val="auto"/>
          <w:sz w:val="20"/>
          <w:szCs w:val="20"/>
          <w:lang w:val="en-GB"/>
        </w:rPr>
        <w:t>can provide valuable liquidity for smaller orders or less liquid instruments. Periodic auctions and closing auctions play an increasingly important role as reference prices for portfolios, benchmarks, and valuation processes. Preserving this functional diversity is therefore crucial to maintaining a resilient and efficient market structure.</w:t>
      </w:r>
    </w:p>
    <w:p w14:paraId="5AE2CFCC" w14:textId="77777777" w:rsidR="0057202C" w:rsidRPr="00511E45" w:rsidRDefault="0057202C" w:rsidP="0057202C">
      <w:pPr>
        <w:pStyle w:val="Default"/>
        <w:spacing w:line="288" w:lineRule="auto"/>
        <w:rPr>
          <w:color w:val="auto"/>
          <w:sz w:val="20"/>
          <w:szCs w:val="20"/>
          <w:lang w:val="en-GB"/>
        </w:rPr>
      </w:pPr>
    </w:p>
    <w:p w14:paraId="4A4AA9D0" w14:textId="77777777" w:rsidR="0057202C" w:rsidRPr="00511E45" w:rsidRDefault="0057202C" w:rsidP="0057202C">
      <w:pPr>
        <w:pStyle w:val="Default"/>
        <w:spacing w:line="288" w:lineRule="auto"/>
        <w:rPr>
          <w:color w:val="auto"/>
          <w:sz w:val="20"/>
          <w:szCs w:val="20"/>
          <w:lang w:val="en-GB"/>
        </w:rPr>
      </w:pPr>
      <w:r w:rsidRPr="00511E45">
        <w:rPr>
          <w:color w:val="auto"/>
          <w:sz w:val="20"/>
          <w:szCs w:val="20"/>
          <w:lang w:val="en-GB"/>
        </w:rPr>
        <w:t>However, the increasing complexity of the market structure also gives rise to challenges. Market participants face higher operational and analytical burdens when monitoring multiple execution venues and liquidity sources. Moreover, insufficient transparency</w:t>
      </w:r>
      <w:r>
        <w:rPr>
          <w:color w:val="auto"/>
          <w:sz w:val="20"/>
          <w:szCs w:val="20"/>
          <w:lang w:val="en-GB"/>
        </w:rPr>
        <w:t xml:space="preserve"> - </w:t>
      </w:r>
      <w:r w:rsidRPr="00511E45">
        <w:rPr>
          <w:color w:val="auto"/>
          <w:sz w:val="20"/>
          <w:szCs w:val="20"/>
          <w:lang w:val="en-GB"/>
        </w:rPr>
        <w:t>particularly in post-trade data</w:t>
      </w:r>
      <w:r>
        <w:rPr>
          <w:color w:val="auto"/>
          <w:sz w:val="20"/>
          <w:szCs w:val="20"/>
          <w:lang w:val="en-GB"/>
        </w:rPr>
        <w:t xml:space="preserve"> - </w:t>
      </w:r>
      <w:r w:rsidRPr="00511E45">
        <w:rPr>
          <w:color w:val="auto"/>
          <w:sz w:val="20"/>
          <w:szCs w:val="20"/>
          <w:lang w:val="en-GB"/>
        </w:rPr>
        <w:t>can limit the ability of the buy-side to effectively assess execution quality across venues.</w:t>
      </w:r>
    </w:p>
    <w:p w14:paraId="2D616F33" w14:textId="77777777" w:rsidR="0057202C" w:rsidRPr="00511E45" w:rsidRDefault="0057202C" w:rsidP="0057202C">
      <w:pPr>
        <w:pStyle w:val="Default"/>
        <w:spacing w:line="288" w:lineRule="auto"/>
        <w:rPr>
          <w:color w:val="auto"/>
          <w:sz w:val="20"/>
          <w:szCs w:val="20"/>
          <w:lang w:val="en-GB"/>
        </w:rPr>
      </w:pPr>
    </w:p>
    <w:p w14:paraId="0DF3BAD1" w14:textId="77777777" w:rsidR="0057202C" w:rsidRPr="00511E45" w:rsidRDefault="0057202C" w:rsidP="0057202C">
      <w:pPr>
        <w:pStyle w:val="Default"/>
        <w:spacing w:line="288" w:lineRule="auto"/>
        <w:rPr>
          <w:color w:val="auto"/>
          <w:sz w:val="20"/>
          <w:szCs w:val="20"/>
          <w:lang w:val="en-GB"/>
        </w:rPr>
      </w:pPr>
      <w:r w:rsidRPr="00511E45">
        <w:rPr>
          <w:color w:val="auto"/>
          <w:sz w:val="20"/>
          <w:szCs w:val="20"/>
          <w:lang w:val="en-GB"/>
        </w:rPr>
        <w:t>Against this backdrop, the ongoing MiFID/MiFIR review in the context of MISP should carefully balance two objectives: enhancing transparency and simplifying access to market data, while preserving the benefits of trading diversity. Measures such as the development of a robust and cost-efficient consolidated tape have the potential to significantly improve market transparency and comparability across venues. At the same time, regulatory interventions should avoid unintended consequences that could concentrate liquidity or favour specific trading models at the expense of others.</w:t>
      </w:r>
    </w:p>
    <w:p w14:paraId="5A529BBF" w14:textId="77777777" w:rsidR="0057202C" w:rsidRPr="00511E45" w:rsidRDefault="0057202C" w:rsidP="0057202C">
      <w:pPr>
        <w:pStyle w:val="Default"/>
        <w:spacing w:line="288" w:lineRule="auto"/>
        <w:rPr>
          <w:color w:val="auto"/>
          <w:sz w:val="20"/>
          <w:szCs w:val="20"/>
          <w:lang w:val="en-GB"/>
        </w:rPr>
      </w:pPr>
    </w:p>
    <w:p w14:paraId="2E2DD497" w14:textId="77777777" w:rsidR="0057202C" w:rsidRPr="00511E45" w:rsidRDefault="0057202C" w:rsidP="0057202C">
      <w:pPr>
        <w:pStyle w:val="Default"/>
        <w:spacing w:line="288" w:lineRule="auto"/>
        <w:rPr>
          <w:color w:val="auto"/>
          <w:sz w:val="20"/>
          <w:szCs w:val="20"/>
          <w:lang w:val="en-GB"/>
        </w:rPr>
      </w:pPr>
      <w:r w:rsidRPr="00511E45">
        <w:rPr>
          <w:color w:val="auto"/>
          <w:sz w:val="20"/>
          <w:szCs w:val="20"/>
          <w:lang w:val="en-GB"/>
        </w:rPr>
        <w:t>In particular, it is important that the regulatory framework remains technology-neutral and principle-based, allowing market participants to adapt to evolving trading practices and innovations. Overly prescriptive rules or restrictions on specific execution venues could reduce competition, limit access to liquidity, and ultimately harm end investors.</w:t>
      </w:r>
    </w:p>
    <w:p w14:paraId="2F417568" w14:textId="77777777" w:rsidR="0057202C" w:rsidRPr="00511E45" w:rsidRDefault="0057202C" w:rsidP="0057202C">
      <w:pPr>
        <w:pStyle w:val="Default"/>
        <w:spacing w:line="288" w:lineRule="auto"/>
        <w:rPr>
          <w:color w:val="auto"/>
          <w:sz w:val="20"/>
          <w:szCs w:val="20"/>
          <w:lang w:val="en-GB"/>
        </w:rPr>
      </w:pPr>
    </w:p>
    <w:p w14:paraId="7D41D45E" w14:textId="77777777" w:rsidR="0057202C" w:rsidRPr="00511E45" w:rsidRDefault="0057202C" w:rsidP="0057202C">
      <w:pPr>
        <w:pStyle w:val="Default"/>
        <w:spacing w:line="288" w:lineRule="auto"/>
        <w:rPr>
          <w:color w:val="auto"/>
          <w:sz w:val="20"/>
          <w:szCs w:val="20"/>
          <w:lang w:val="en-GB"/>
        </w:rPr>
      </w:pPr>
      <w:r w:rsidRPr="00511E45">
        <w:rPr>
          <w:color w:val="auto"/>
          <w:sz w:val="20"/>
          <w:szCs w:val="20"/>
          <w:lang w:val="en-GB"/>
        </w:rPr>
        <w:t>For the buy-side, flexibility in selecting execution venues and liquidity sources is a core requirement for fulfilling fiduciary duties under MiFID, especially with regard to best execution obligations. Any policy approach that constrains this flexibility risks undermining the ability of asset managers to act in the best interests of their clients.</w:t>
      </w:r>
    </w:p>
    <w:p w14:paraId="617D2630" w14:textId="77777777" w:rsidR="0057202C" w:rsidRPr="00511E45" w:rsidRDefault="0057202C" w:rsidP="0057202C">
      <w:pPr>
        <w:pStyle w:val="Default"/>
        <w:spacing w:line="288" w:lineRule="auto"/>
        <w:rPr>
          <w:color w:val="auto"/>
          <w:sz w:val="20"/>
          <w:szCs w:val="20"/>
          <w:lang w:val="en-GB"/>
        </w:rPr>
      </w:pPr>
    </w:p>
    <w:p w14:paraId="192EEC03" w14:textId="77777777" w:rsidR="0057202C" w:rsidRPr="00511E45" w:rsidRDefault="0057202C" w:rsidP="0057202C">
      <w:pPr>
        <w:pStyle w:val="Default"/>
        <w:spacing w:line="288" w:lineRule="auto"/>
        <w:rPr>
          <w:color w:val="auto"/>
          <w:sz w:val="20"/>
          <w:szCs w:val="20"/>
          <w:lang w:val="en-GB"/>
        </w:rPr>
      </w:pPr>
      <w:r w:rsidRPr="00511E45">
        <w:rPr>
          <w:color w:val="auto"/>
          <w:sz w:val="20"/>
          <w:szCs w:val="20"/>
          <w:lang w:val="en-GB"/>
        </w:rPr>
        <w:t>In conclusion, trading diversity should be recognised as a fundamental strength of European capital markets. A well-functioning market structure requires a balanced ecosystem of trading venues and execution mechanisms, supported by high-quality data, fair competition, and proportionate regulation. Safeguarding this diversity</w:t>
      </w:r>
      <w:r>
        <w:rPr>
          <w:color w:val="auto"/>
          <w:sz w:val="20"/>
          <w:szCs w:val="20"/>
          <w:lang w:val="en-GB"/>
        </w:rPr>
        <w:t xml:space="preserve"> - </w:t>
      </w:r>
      <w:r w:rsidRPr="00511E45">
        <w:rPr>
          <w:color w:val="auto"/>
          <w:sz w:val="20"/>
          <w:szCs w:val="20"/>
          <w:lang w:val="en-GB"/>
        </w:rPr>
        <w:t>while improving transparency and efficiency</w:t>
      </w:r>
      <w:r>
        <w:rPr>
          <w:color w:val="auto"/>
          <w:sz w:val="20"/>
          <w:szCs w:val="20"/>
          <w:lang w:val="en-GB"/>
        </w:rPr>
        <w:t xml:space="preserve"> - </w:t>
      </w:r>
      <w:r w:rsidRPr="00511E45">
        <w:rPr>
          <w:color w:val="auto"/>
          <w:sz w:val="20"/>
          <w:szCs w:val="20"/>
          <w:lang w:val="en-GB"/>
        </w:rPr>
        <w:t>must remain a key priority in the ongoing evolution of the MiFID framework.</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76131E70" w14:textId="77777777" w:rsidR="0057202C" w:rsidRDefault="0057202C" w:rsidP="0057202C">
      <w:pPr>
        <w:pStyle w:val="Standa1"/>
        <w:spacing w:after="0" w:line="288" w:lineRule="auto"/>
        <w:rPr>
          <w:rFonts w:ascii="Arial" w:hAnsi="Arial" w:cs="Arial"/>
          <w:sz w:val="20"/>
          <w:szCs w:val="20"/>
          <w:lang w:val="en-GB"/>
        </w:rPr>
      </w:pPr>
      <w:permStart w:id="1898151376" w:edGrp="everyone"/>
      <w:r w:rsidRPr="00511E45">
        <w:rPr>
          <w:rFonts w:ascii="Arial" w:hAnsi="Arial" w:cs="Arial"/>
          <w:sz w:val="20"/>
          <w:szCs w:val="20"/>
          <w:lang w:val="en-GB"/>
        </w:rPr>
        <w:t>Asset managers typically rely on their own dedicated trading desk to execute investment decisions in financial markets. Once a portfolio manager has made an investment decision</w:t>
      </w:r>
      <w:r>
        <w:rPr>
          <w:rFonts w:ascii="Arial" w:hAnsi="Arial" w:cs="Arial"/>
          <w:sz w:val="20"/>
          <w:szCs w:val="20"/>
          <w:lang w:val="en-GB"/>
        </w:rPr>
        <w:t xml:space="preserve"> - </w:t>
      </w:r>
      <w:r w:rsidRPr="00511E45">
        <w:rPr>
          <w:rFonts w:ascii="Arial" w:hAnsi="Arial" w:cs="Arial"/>
          <w:sz w:val="20"/>
          <w:szCs w:val="20"/>
          <w:lang w:val="en-GB"/>
        </w:rPr>
        <w:t>such as buying or selling equities</w:t>
      </w:r>
      <w:r>
        <w:rPr>
          <w:rFonts w:ascii="Arial" w:hAnsi="Arial" w:cs="Arial"/>
          <w:sz w:val="20"/>
          <w:szCs w:val="20"/>
          <w:lang w:val="en-GB"/>
        </w:rPr>
        <w:t xml:space="preserve"> - </w:t>
      </w:r>
      <w:r w:rsidRPr="00511E45">
        <w:rPr>
          <w:rFonts w:ascii="Arial" w:hAnsi="Arial" w:cs="Arial"/>
          <w:sz w:val="20"/>
          <w:szCs w:val="20"/>
          <w:lang w:val="en-GB"/>
        </w:rPr>
        <w:t>the order is transmitted to the trading desk, which is responsible for managing and executing the trade in the market, usually with the help of dealers/brokers and their algorithmic trading systems.</w:t>
      </w:r>
    </w:p>
    <w:p w14:paraId="5683B09D" w14:textId="77777777" w:rsidR="0057202C" w:rsidRPr="00511E45" w:rsidRDefault="0057202C" w:rsidP="0057202C">
      <w:pPr>
        <w:pStyle w:val="Standa1"/>
        <w:spacing w:after="0" w:line="288" w:lineRule="auto"/>
        <w:rPr>
          <w:rFonts w:ascii="Arial" w:hAnsi="Arial" w:cs="Arial"/>
          <w:sz w:val="20"/>
          <w:szCs w:val="20"/>
          <w:lang w:val="en-GB"/>
        </w:rPr>
      </w:pPr>
    </w:p>
    <w:p w14:paraId="151B4FAE" w14:textId="77777777" w:rsidR="0057202C" w:rsidRPr="00511E45" w:rsidRDefault="0057202C" w:rsidP="0057202C">
      <w:pPr>
        <w:pStyle w:val="Standa1"/>
        <w:spacing w:after="0" w:line="288" w:lineRule="auto"/>
        <w:rPr>
          <w:rFonts w:ascii="Arial" w:hAnsi="Arial" w:cs="Arial"/>
          <w:sz w:val="20"/>
          <w:szCs w:val="20"/>
          <w:lang w:val="en-GB"/>
        </w:rPr>
      </w:pPr>
      <w:r w:rsidRPr="00511E45">
        <w:rPr>
          <w:rFonts w:ascii="Arial" w:hAnsi="Arial" w:cs="Arial"/>
          <w:sz w:val="20"/>
          <w:szCs w:val="20"/>
          <w:lang w:val="en-GB"/>
        </w:rPr>
        <w:t>The trading desk acts as an intermediary between the asset manager and the market. In the case of equity transactions, traders usually do not execute the order directly on an exchange but instead route it to one or more brokers which have to adhere to the MiFID best execution requirements. These brokers, as part of the sell-side, provide access to different trading venues and liquidity pools (e,g. systematic internaliser) and are responsible for carrying out the execution of the order.</w:t>
      </w:r>
    </w:p>
    <w:p w14:paraId="53CC751D" w14:textId="77777777" w:rsidR="0057202C" w:rsidRPr="00511E45" w:rsidRDefault="0057202C" w:rsidP="0057202C">
      <w:pPr>
        <w:pStyle w:val="Standa1"/>
        <w:spacing w:after="0" w:line="288" w:lineRule="auto"/>
        <w:rPr>
          <w:rFonts w:ascii="Arial" w:hAnsi="Arial" w:cs="Arial"/>
          <w:sz w:val="20"/>
          <w:szCs w:val="20"/>
          <w:lang w:val="en-GB"/>
        </w:rPr>
      </w:pPr>
    </w:p>
    <w:p w14:paraId="65B5CE7F" w14:textId="77777777" w:rsidR="0057202C" w:rsidRPr="00511E45" w:rsidRDefault="0057202C" w:rsidP="0057202C">
      <w:pPr>
        <w:pStyle w:val="Standa1"/>
        <w:spacing w:after="0" w:line="288" w:lineRule="auto"/>
        <w:rPr>
          <w:rFonts w:ascii="Arial" w:hAnsi="Arial" w:cs="Arial"/>
          <w:sz w:val="20"/>
          <w:szCs w:val="20"/>
          <w:lang w:val="en-GB"/>
        </w:rPr>
      </w:pPr>
      <w:r w:rsidRPr="00511E45">
        <w:rPr>
          <w:rFonts w:ascii="Arial" w:hAnsi="Arial" w:cs="Arial"/>
          <w:sz w:val="20"/>
          <w:szCs w:val="20"/>
          <w:lang w:val="en-GB"/>
        </w:rPr>
        <w:t>The selection of dealer/brokers by the German buy-side is based on a number of important criteria, for instance measures and controls to protect the companies’ clients’ interests, financial stability and credit worthiness (check for liquidity and solvency risks), knowledge of the markets and the respective regulatory environment, quality and consistency in the execution of trading orders, access to liquidity sources and the ability to provide transaction cost analysis (TCA). The broker selection also considers trading algorithms provided by this broker for the execution of trading orders.</w:t>
      </w:r>
    </w:p>
    <w:p w14:paraId="0ABFCCBC" w14:textId="77777777" w:rsidR="0057202C" w:rsidRPr="00511E45" w:rsidRDefault="0057202C" w:rsidP="0057202C">
      <w:pPr>
        <w:pStyle w:val="Standa1"/>
        <w:spacing w:after="0" w:line="288" w:lineRule="auto"/>
        <w:rPr>
          <w:rFonts w:ascii="Arial" w:hAnsi="Arial" w:cs="Arial"/>
          <w:sz w:val="20"/>
          <w:szCs w:val="20"/>
          <w:lang w:val="en-GB"/>
        </w:rPr>
      </w:pPr>
    </w:p>
    <w:p w14:paraId="7B1DFFAA" w14:textId="39CDA295" w:rsidR="0057202C" w:rsidRPr="00511E45" w:rsidRDefault="0057202C" w:rsidP="0057202C">
      <w:pPr>
        <w:spacing w:line="288" w:lineRule="auto"/>
        <w:jc w:val="left"/>
        <w:rPr>
          <w:rFonts w:eastAsia="Cambria" w:cs="Arial"/>
          <w:sz w:val="20"/>
        </w:rPr>
      </w:pPr>
      <w:r w:rsidRPr="00511E45">
        <w:rPr>
          <w:rFonts w:eastAsia="Cambria" w:cs="Arial"/>
          <w:sz w:val="20"/>
        </w:rPr>
        <w:t xml:space="preserve">The German Buy-Side firms use only algorithms provided by the brokers. Asset managers </w:t>
      </w:r>
      <w:r w:rsidR="00FA073E">
        <w:rPr>
          <w:rFonts w:eastAsia="Cambria" w:cs="Arial"/>
          <w:sz w:val="20"/>
        </w:rPr>
        <w:t xml:space="preserve"> rarely </w:t>
      </w:r>
      <w:r w:rsidRPr="00511E45">
        <w:rPr>
          <w:rFonts w:eastAsia="Cambria" w:cs="Arial"/>
          <w:sz w:val="20"/>
        </w:rPr>
        <w:t>use self-developed algorithms. Fund managers also do not use high-frequency trading strategies to execute as many transactions as possible for their own account in a very short period. Investment funds do not engage in transactions using high-frequency trading strategies that could jeopardize the stability and integrity of the financial markets or create harmful incentives for financial market participants. The venue selection of regulated markets (e.g. exchanges, MTFs, OTFs) relies on the competitiveness of prices, liquidity pool/access and relative volatility of the market, speed and probability of execution, financial stability and creditworthiness of the execution venue and on the quality, costs and arrangements to support settlement and clearing. As illustrated above, the German Buy-Side relies generally on the market infrastructure and the best execution provided by the Sell-Side. Therefore, the EU Buy-Side needs strongly the trading diversity to obtain the best outcome for the (institutional) investors.</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lastRenderedPageBreak/>
        <w:t>If you are an issuer, how do you see these market developments? Do you consider this an attractive environment for listing? If not, why?</w:t>
      </w:r>
    </w:p>
    <w:p w14:paraId="3DA0F11E" w14:textId="32ACDC18" w:rsidR="1DD76949" w:rsidRDefault="1DD76949">
      <w:r>
        <w:t>&lt;ESMA_QUESTION_MSEM_7&gt;</w:t>
      </w:r>
    </w:p>
    <w:p w14:paraId="45A3FC17" w14:textId="77777777" w:rsidR="0057202C" w:rsidRPr="00511E45" w:rsidRDefault="0057202C" w:rsidP="0057202C">
      <w:pPr>
        <w:pStyle w:val="Standa1"/>
        <w:spacing w:after="0" w:line="288" w:lineRule="auto"/>
        <w:rPr>
          <w:rFonts w:ascii="Arial" w:hAnsi="Arial" w:cs="Arial"/>
          <w:sz w:val="20"/>
          <w:szCs w:val="20"/>
          <w:lang w:val="en-GB"/>
        </w:rPr>
      </w:pPr>
      <w:permStart w:id="1102657477" w:edGrp="everyone"/>
      <w:r w:rsidRPr="00511E45">
        <w:rPr>
          <w:rFonts w:ascii="Arial" w:hAnsi="Arial" w:cs="Arial"/>
          <w:sz w:val="20"/>
          <w:szCs w:val="20"/>
          <w:lang w:val="en-GB"/>
        </w:rPr>
        <w:t>We have no comments.</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570CE364" w14:textId="77777777" w:rsidR="0057202C" w:rsidRPr="00511E45" w:rsidRDefault="0057202C" w:rsidP="0057202C">
      <w:pPr>
        <w:pStyle w:val="Standa1"/>
        <w:spacing w:after="0" w:line="288" w:lineRule="auto"/>
        <w:rPr>
          <w:rFonts w:ascii="Arial" w:hAnsi="Arial" w:cs="Arial"/>
          <w:sz w:val="20"/>
          <w:szCs w:val="20"/>
          <w:lang w:val="en-GB"/>
        </w:rPr>
      </w:pPr>
      <w:permStart w:id="1746406015" w:edGrp="everyone"/>
      <w:r w:rsidRPr="00511E45">
        <w:rPr>
          <w:rFonts w:ascii="Arial" w:hAnsi="Arial" w:cs="Arial"/>
          <w:sz w:val="20"/>
          <w:szCs w:val="20"/>
          <w:lang w:val="en-GB"/>
        </w:rPr>
        <w:t>We would like to highlight the fact that a large majority of the trading volume of EU shares in the UK is the result of technical trades for clearing and settlement purposes via off-book on-exchange mechanisms. While there is some OTC &amp; SI activity in the UK of EU shares, this is very limited given the EU STO acts as a legal limit to this activity. The vast majority (&gt;80%) is non-price forming and non-addressable. Please see also our response to Q 8 above.</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282B0B4E" w14:textId="4B41C01C" w:rsidR="0057202C" w:rsidRPr="00511E45" w:rsidRDefault="0057202C" w:rsidP="0057202C">
      <w:pPr>
        <w:pStyle w:val="Standa1"/>
        <w:spacing w:after="0" w:line="288" w:lineRule="auto"/>
        <w:rPr>
          <w:rFonts w:ascii="Arial" w:hAnsi="Arial" w:cs="Arial"/>
          <w:sz w:val="20"/>
          <w:szCs w:val="20"/>
          <w:lang w:val="en-GB"/>
        </w:rPr>
      </w:pPr>
      <w:permStart w:id="648821160" w:edGrp="everyone"/>
      <w:r w:rsidRPr="00511E45">
        <w:rPr>
          <w:rFonts w:ascii="Arial" w:hAnsi="Arial" w:cs="Arial"/>
          <w:sz w:val="20"/>
          <w:szCs w:val="20"/>
          <w:lang w:val="en-GB"/>
        </w:rPr>
        <w:t>Principally, we agree with the assessment made by ESMA on the evolution of dark trading. Usually, investment fund management companies execute equities orders on regulated and transparent markets</w:t>
      </w:r>
      <w:r w:rsidR="00FA073E">
        <w:rPr>
          <w:rFonts w:ascii="Arial" w:hAnsi="Arial" w:cs="Arial"/>
          <w:sz w:val="20"/>
          <w:szCs w:val="20"/>
          <w:lang w:val="en-GB"/>
        </w:rPr>
        <w:t xml:space="preserve">, especially </w:t>
      </w:r>
      <w:r w:rsidRPr="00511E45">
        <w:rPr>
          <w:rFonts w:ascii="Arial" w:hAnsi="Arial" w:cs="Arial"/>
          <w:sz w:val="20"/>
          <w:szCs w:val="20"/>
          <w:lang w:val="en-GB"/>
        </w:rPr>
        <w:t xml:space="preserve"> MTFs. However, asset managers executing large equity orders are typically concerned about information leakage and market impact. To mitigate these risks, they often split a large parent order into multiple smaller “child orders” and execute them over time using for instance algorithmic strategies. One important execution channel for these orders is the use of Systematic Internalisers (SIs). SIs allow trades to be executed bilaterally, outside of traditional lit markets such as regulated exchanges or multilateral trading facilities (MTFs). This structure offers several advantages in the context of large order execution:</w:t>
      </w:r>
    </w:p>
    <w:p w14:paraId="165D8462" w14:textId="77777777" w:rsidR="0057202C" w:rsidRPr="00511E45" w:rsidRDefault="0057202C" w:rsidP="0057202C">
      <w:pPr>
        <w:pStyle w:val="Standa1"/>
        <w:spacing w:after="0" w:line="288" w:lineRule="auto"/>
        <w:rPr>
          <w:rFonts w:ascii="Arial" w:hAnsi="Arial" w:cs="Arial"/>
          <w:sz w:val="20"/>
          <w:szCs w:val="20"/>
          <w:lang w:val="en-GB"/>
        </w:rPr>
      </w:pPr>
    </w:p>
    <w:p w14:paraId="1CAC5D4D" w14:textId="77777777" w:rsidR="0057202C" w:rsidRPr="00511E45" w:rsidRDefault="0057202C" w:rsidP="0057202C">
      <w:pPr>
        <w:pStyle w:val="Standa1"/>
        <w:numPr>
          <w:ilvl w:val="0"/>
          <w:numId w:val="17"/>
        </w:numPr>
        <w:spacing w:after="0" w:line="288" w:lineRule="auto"/>
        <w:rPr>
          <w:rFonts w:ascii="Arial" w:hAnsi="Arial" w:cs="Arial"/>
          <w:sz w:val="20"/>
          <w:szCs w:val="20"/>
          <w:lang w:val="en-GB"/>
        </w:rPr>
      </w:pPr>
      <w:r w:rsidRPr="00511E45">
        <w:rPr>
          <w:rFonts w:ascii="Arial" w:hAnsi="Arial" w:cs="Arial"/>
          <w:sz w:val="20"/>
          <w:szCs w:val="20"/>
          <w:lang w:val="en-GB"/>
        </w:rPr>
        <w:t>Reduced pre-trade transparency: Unlike lit venues, SIs do not display full order books. This limits the visibility of trading intentions to the broader market if large orders are executed.</w:t>
      </w:r>
    </w:p>
    <w:p w14:paraId="1B840135" w14:textId="77777777" w:rsidR="0057202C" w:rsidRPr="00511E45" w:rsidRDefault="0057202C" w:rsidP="0057202C">
      <w:pPr>
        <w:pStyle w:val="Standa1"/>
        <w:numPr>
          <w:ilvl w:val="0"/>
          <w:numId w:val="17"/>
        </w:numPr>
        <w:spacing w:after="0" w:line="288" w:lineRule="auto"/>
        <w:rPr>
          <w:rFonts w:ascii="Arial" w:hAnsi="Arial" w:cs="Arial"/>
          <w:sz w:val="20"/>
          <w:szCs w:val="20"/>
          <w:lang w:val="en-GB"/>
        </w:rPr>
      </w:pPr>
      <w:r w:rsidRPr="00511E45">
        <w:rPr>
          <w:rFonts w:ascii="Arial" w:hAnsi="Arial" w:cs="Arial"/>
          <w:sz w:val="20"/>
          <w:szCs w:val="20"/>
          <w:lang w:val="en-GB"/>
        </w:rPr>
        <w:t>Lower signaling risk: By avoiding public order books, asset managers reduce the likelihood that high-frequency traders (HFTs) or other market participants detect patterns indicating a large underlying orders which would work against them.</w:t>
      </w:r>
    </w:p>
    <w:p w14:paraId="322F0481" w14:textId="77777777" w:rsidR="0057202C" w:rsidRPr="00511E45" w:rsidRDefault="0057202C" w:rsidP="0057202C">
      <w:pPr>
        <w:pStyle w:val="Standa1"/>
        <w:numPr>
          <w:ilvl w:val="0"/>
          <w:numId w:val="17"/>
        </w:numPr>
        <w:spacing w:after="0" w:line="288" w:lineRule="auto"/>
        <w:rPr>
          <w:rFonts w:ascii="Arial" w:hAnsi="Arial" w:cs="Arial"/>
          <w:sz w:val="20"/>
          <w:szCs w:val="20"/>
          <w:lang w:val="en-GB"/>
        </w:rPr>
      </w:pPr>
      <w:r w:rsidRPr="00511E45">
        <w:rPr>
          <w:rFonts w:ascii="Arial" w:hAnsi="Arial" w:cs="Arial"/>
          <w:sz w:val="20"/>
          <w:szCs w:val="20"/>
          <w:lang w:val="en-GB"/>
        </w:rPr>
        <w:t>Minimized adverse price moves: If large orders become visible, other participants may trade ahead (“front-run”) or adjust quotes, increasing execution costs. Using SIs helps mitigate this by keeping execution more discreet.</w:t>
      </w:r>
    </w:p>
    <w:p w14:paraId="50CC8FD2" w14:textId="77777777" w:rsidR="0057202C" w:rsidRPr="00511E45" w:rsidRDefault="0057202C" w:rsidP="0057202C">
      <w:pPr>
        <w:pStyle w:val="Standa1"/>
        <w:spacing w:after="0" w:line="288" w:lineRule="auto"/>
        <w:rPr>
          <w:rFonts w:ascii="Arial" w:hAnsi="Arial" w:cs="Arial"/>
          <w:sz w:val="20"/>
          <w:szCs w:val="20"/>
          <w:lang w:val="en-GB"/>
        </w:rPr>
      </w:pPr>
    </w:p>
    <w:p w14:paraId="52B645A7" w14:textId="77777777" w:rsidR="0057202C" w:rsidRPr="00511E45" w:rsidRDefault="0057202C" w:rsidP="0057202C">
      <w:pPr>
        <w:pStyle w:val="Standa1"/>
        <w:spacing w:after="0" w:line="288" w:lineRule="auto"/>
        <w:rPr>
          <w:rFonts w:ascii="Arial" w:hAnsi="Arial" w:cs="Arial"/>
          <w:sz w:val="20"/>
          <w:szCs w:val="20"/>
          <w:lang w:val="en-GB"/>
        </w:rPr>
      </w:pPr>
      <w:r w:rsidRPr="00511E45">
        <w:rPr>
          <w:rFonts w:ascii="Arial" w:hAnsi="Arial" w:cs="Arial"/>
          <w:sz w:val="20"/>
          <w:szCs w:val="20"/>
          <w:lang w:val="en-GB"/>
        </w:rPr>
        <w:t>From a market microstructure perspective, SIs therefore act as an important complement to lit venues. They provide an execution environment that is particularly well suited for liquidity sourcing without revealing trading intentions for large orders, which is critical when managing large institutional flows.</w:t>
      </w:r>
    </w:p>
    <w:p w14:paraId="359AF3C1" w14:textId="77777777" w:rsidR="0057202C" w:rsidRPr="00511E45" w:rsidRDefault="0057202C" w:rsidP="0057202C">
      <w:pPr>
        <w:pStyle w:val="Standa1"/>
        <w:spacing w:after="0" w:line="288" w:lineRule="auto"/>
        <w:rPr>
          <w:rFonts w:ascii="Arial" w:hAnsi="Arial" w:cs="Arial"/>
          <w:sz w:val="20"/>
          <w:szCs w:val="20"/>
          <w:lang w:val="en-GB"/>
        </w:rPr>
      </w:pPr>
    </w:p>
    <w:p w14:paraId="14861606" w14:textId="77777777" w:rsidR="0057202C" w:rsidRPr="00511E45" w:rsidRDefault="0057202C" w:rsidP="0057202C">
      <w:pPr>
        <w:pStyle w:val="Standa1"/>
        <w:spacing w:after="0" w:line="288" w:lineRule="auto"/>
        <w:rPr>
          <w:rFonts w:ascii="Arial" w:hAnsi="Arial" w:cs="Arial"/>
          <w:sz w:val="20"/>
          <w:szCs w:val="20"/>
          <w:lang w:val="en-GB"/>
        </w:rPr>
      </w:pPr>
      <w:r w:rsidRPr="00511E45">
        <w:rPr>
          <w:rFonts w:ascii="Arial" w:hAnsi="Arial" w:cs="Arial"/>
          <w:sz w:val="20"/>
          <w:szCs w:val="20"/>
          <w:lang w:val="en-GB"/>
        </w:rPr>
        <w:t>Therefore, Exchanges should be required in MiFID to offer products and services which cater to the needs of institutional investors to allow them to implement large trades without creating too much market impact as certain MTFs and SIs already do today. While lit venues play an essential role, they are not always the most effective option for every trade. Access to a broader set of trading mechanisms allows investors to tap into significantly deeper pools of liquidity than are available on exchanges alone.</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lastRenderedPageBreak/>
        <w:t>&lt;ESMA_QUESTION_MSEM_</w:t>
      </w:r>
      <w:r w:rsidR="5B9AD059">
        <w:t>10</w:t>
      </w:r>
      <w:r>
        <w:t>&gt;</w:t>
      </w:r>
    </w:p>
    <w:p w14:paraId="6434458F" w14:textId="57FF10ED" w:rsidR="0057202C" w:rsidRPr="00511E45" w:rsidRDefault="0057202C" w:rsidP="0057202C">
      <w:pPr>
        <w:pStyle w:val="Standa1"/>
        <w:spacing w:after="0" w:line="288" w:lineRule="auto"/>
        <w:rPr>
          <w:rFonts w:ascii="Arial" w:hAnsi="Arial" w:cs="Arial"/>
          <w:sz w:val="20"/>
          <w:szCs w:val="20"/>
          <w:lang w:val="en-GB"/>
        </w:rPr>
      </w:pPr>
      <w:permStart w:id="733371525" w:edGrp="everyone"/>
      <w:r w:rsidRPr="00511E45">
        <w:rPr>
          <w:rFonts w:ascii="Arial" w:hAnsi="Arial" w:cs="Arial"/>
          <w:sz w:val="20"/>
          <w:szCs w:val="20"/>
          <w:lang w:val="en-GB"/>
        </w:rPr>
        <w:t>Please see our answer to Question 2</w:t>
      </w:r>
      <w:r w:rsidR="009A5C6F">
        <w:rPr>
          <w:rFonts w:ascii="Arial" w:hAnsi="Arial" w:cs="Arial"/>
          <w:sz w:val="20"/>
          <w:szCs w:val="20"/>
          <w:lang w:val="en-GB"/>
        </w:rPr>
        <w:t>1</w:t>
      </w:r>
      <w:r w:rsidRPr="00511E45">
        <w:rPr>
          <w:rFonts w:ascii="Arial" w:hAnsi="Arial" w:cs="Arial"/>
          <w:sz w:val="20"/>
          <w:szCs w:val="20"/>
          <w:lang w:val="en-GB"/>
        </w:rPr>
        <w:t xml:space="preserve"> below.</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3564EA8D" w14:textId="77777777" w:rsidR="0057202C" w:rsidRPr="00511E45" w:rsidRDefault="0057202C" w:rsidP="0057202C">
      <w:pPr>
        <w:pStyle w:val="Standa1"/>
        <w:spacing w:after="0" w:line="288" w:lineRule="auto"/>
        <w:rPr>
          <w:rFonts w:ascii="Arial" w:hAnsi="Arial" w:cs="Arial"/>
          <w:sz w:val="20"/>
          <w:szCs w:val="20"/>
          <w:lang w:val="en-GB"/>
        </w:rPr>
      </w:pPr>
      <w:permStart w:id="14425139" w:edGrp="everyone"/>
      <w:r w:rsidRPr="00511E45">
        <w:rPr>
          <w:rFonts w:ascii="Arial" w:hAnsi="Arial" w:cs="Arial"/>
          <w:sz w:val="20"/>
          <w:szCs w:val="20"/>
          <w:lang w:val="en-GB"/>
        </w:rPr>
        <w:t>We agree with ESMA assessment made in para 60, as the closing auction price carries significant importance for EU fund managers, particularly those managing passive funds or portfolios benchmarked to indices. These portfolio managers often need to transact at the official closing price to minimise tracking error and ensure that their portfolios reflect index levels accurately. As such, the closing auction price is for our members (also on the active side) a critical reference point for efficient portfolio management.</w:t>
      </w:r>
    </w:p>
    <w:p w14:paraId="7B86F737" w14:textId="77777777" w:rsidR="0057202C" w:rsidRPr="00511E45" w:rsidRDefault="0057202C" w:rsidP="0057202C">
      <w:pPr>
        <w:pStyle w:val="Standa1"/>
        <w:spacing w:after="0" w:line="288" w:lineRule="auto"/>
        <w:rPr>
          <w:rFonts w:ascii="Arial" w:hAnsi="Arial" w:cs="Arial"/>
          <w:sz w:val="20"/>
          <w:szCs w:val="20"/>
          <w:lang w:val="en-GB"/>
        </w:rPr>
      </w:pPr>
    </w:p>
    <w:p w14:paraId="03C6EA93" w14:textId="77777777" w:rsidR="0057202C" w:rsidRPr="00511E45" w:rsidRDefault="0057202C" w:rsidP="0057202C">
      <w:pPr>
        <w:pStyle w:val="Standa1"/>
        <w:spacing w:after="0" w:line="288" w:lineRule="auto"/>
        <w:rPr>
          <w:rFonts w:ascii="Arial" w:hAnsi="Arial" w:cs="Arial"/>
          <w:sz w:val="20"/>
          <w:szCs w:val="20"/>
          <w:lang w:val="en-GB"/>
        </w:rPr>
      </w:pPr>
      <w:r w:rsidRPr="00511E45">
        <w:rPr>
          <w:rFonts w:ascii="Arial" w:hAnsi="Arial" w:cs="Arial"/>
          <w:sz w:val="20"/>
          <w:szCs w:val="20"/>
          <w:lang w:val="en-GB"/>
        </w:rPr>
        <w:t xml:space="preserve">Furthermore, we consider all kind of auctions as price forming and should therefore </w:t>
      </w:r>
      <w:r>
        <w:rPr>
          <w:rFonts w:ascii="Arial" w:hAnsi="Arial" w:cs="Arial"/>
          <w:sz w:val="20"/>
          <w:szCs w:val="20"/>
          <w:lang w:val="en-GB"/>
        </w:rPr>
        <w:t xml:space="preserve">be </w:t>
      </w:r>
      <w:r w:rsidRPr="00511E45">
        <w:rPr>
          <w:rFonts w:ascii="Arial" w:hAnsi="Arial" w:cs="Arial"/>
          <w:sz w:val="20"/>
          <w:szCs w:val="20"/>
          <w:lang w:val="en-GB"/>
        </w:rPr>
        <w:t>maintained.</w:t>
      </w:r>
    </w:p>
    <w:p w14:paraId="0121CAF8" w14:textId="77777777" w:rsidR="0057202C" w:rsidRPr="00511E45" w:rsidRDefault="0057202C" w:rsidP="0057202C">
      <w:pPr>
        <w:pStyle w:val="Standa1"/>
        <w:spacing w:after="0" w:line="288" w:lineRule="auto"/>
        <w:rPr>
          <w:rFonts w:ascii="Arial" w:hAnsi="Arial" w:cs="Arial"/>
          <w:sz w:val="20"/>
          <w:szCs w:val="20"/>
          <w:lang w:val="en-GB"/>
        </w:rPr>
      </w:pPr>
    </w:p>
    <w:p w14:paraId="08743D1A" w14:textId="77777777" w:rsidR="0057202C" w:rsidRPr="00511E45" w:rsidRDefault="0057202C" w:rsidP="0057202C">
      <w:pPr>
        <w:pStyle w:val="Standa1"/>
        <w:spacing w:after="0" w:line="288" w:lineRule="auto"/>
        <w:rPr>
          <w:rFonts w:ascii="Arial" w:hAnsi="Arial" w:cs="Arial"/>
          <w:sz w:val="20"/>
          <w:szCs w:val="20"/>
          <w:lang w:val="en-GB"/>
        </w:rPr>
      </w:pPr>
      <w:r w:rsidRPr="00511E45">
        <w:rPr>
          <w:rFonts w:ascii="Arial" w:hAnsi="Arial" w:cs="Arial"/>
          <w:sz w:val="20"/>
          <w:szCs w:val="20"/>
          <w:lang w:val="en-GB"/>
        </w:rPr>
        <w:t>We support in principle the dissemination of the volume-weighted closing price as stipulated in Article (36b) (a) (iiia) of MiFIR, included in the Market Integration Package, which results from the closing auctions of all trading venues, through the provider of the CT for shares and ETFs. However, we are concerned that implementing the volume-weighted closing price (VWCP) will be difficult in practice, particularly for trading purposes as it will enhance complexity with a volume weighted closing price derived product (e.g. derivatives).</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5866ACF2" w14:textId="77777777" w:rsidR="0057202C" w:rsidRPr="00511E45" w:rsidRDefault="0057202C" w:rsidP="0057202C">
      <w:pPr>
        <w:pStyle w:val="Standa1"/>
        <w:spacing w:after="0" w:line="288" w:lineRule="auto"/>
        <w:rPr>
          <w:rFonts w:ascii="Arial" w:hAnsi="Arial" w:cs="Arial"/>
          <w:sz w:val="20"/>
          <w:szCs w:val="20"/>
          <w:lang w:val="en-GB"/>
        </w:rPr>
      </w:pPr>
      <w:permStart w:id="230633778" w:edGrp="everyone"/>
      <w:r w:rsidRPr="00511E45">
        <w:rPr>
          <w:rFonts w:ascii="Arial" w:hAnsi="Arial" w:cs="Arial"/>
          <w:sz w:val="20"/>
          <w:szCs w:val="20"/>
          <w:lang w:val="en-GB"/>
        </w:rPr>
        <w:t>FBA and other periodic auctions are useful and should not be limited as they are price forming.</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547799FC" w14:textId="77777777" w:rsidR="0057202C" w:rsidRPr="00511E45" w:rsidRDefault="0057202C" w:rsidP="0057202C">
      <w:pPr>
        <w:pStyle w:val="Standa1"/>
        <w:spacing w:after="0" w:line="288" w:lineRule="auto"/>
        <w:rPr>
          <w:rFonts w:ascii="Arial" w:hAnsi="Arial" w:cs="Arial"/>
          <w:sz w:val="20"/>
          <w:szCs w:val="20"/>
          <w:lang w:val="en-GB"/>
        </w:rPr>
      </w:pPr>
      <w:permStart w:id="834536465" w:edGrp="everyone"/>
      <w:r w:rsidRPr="00511E45">
        <w:rPr>
          <w:rFonts w:ascii="Arial" w:hAnsi="Arial" w:cs="Arial"/>
          <w:sz w:val="20"/>
          <w:szCs w:val="20"/>
          <w:lang w:val="en-GB"/>
        </w:rPr>
        <w:t>We currently do not see the necessity to extend the trading hours as the liquidity, especially for the institutional flow, will be very thin the late evening or during the night.</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45BF7331" w14:textId="77777777" w:rsidR="0057202C" w:rsidRPr="00511E45" w:rsidRDefault="0057202C" w:rsidP="0057202C">
      <w:pPr>
        <w:spacing w:line="288" w:lineRule="auto"/>
        <w:jc w:val="left"/>
        <w:rPr>
          <w:rFonts w:eastAsia="Cambria" w:cs="Arial"/>
          <w:sz w:val="20"/>
        </w:rPr>
      </w:pPr>
      <w:permStart w:id="54361316" w:edGrp="everyone"/>
      <w:r w:rsidRPr="00511E45">
        <w:rPr>
          <w:rFonts w:eastAsia="Cambria" w:cs="Arial"/>
          <w:sz w:val="20"/>
        </w:rPr>
        <w:t>Please see our answer to Questions 11 - 12.</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700EE4CE" w14:textId="77777777" w:rsidR="0057202C" w:rsidRPr="00511E45" w:rsidRDefault="0057202C" w:rsidP="0057202C">
      <w:pPr>
        <w:spacing w:line="288" w:lineRule="auto"/>
        <w:jc w:val="left"/>
        <w:rPr>
          <w:rFonts w:eastAsia="Cambria" w:cs="Arial"/>
          <w:sz w:val="20"/>
        </w:rPr>
      </w:pPr>
      <w:permStart w:id="1032677898" w:edGrp="everyone"/>
      <w:r w:rsidRPr="00511E45">
        <w:rPr>
          <w:rFonts w:eastAsia="Cambria" w:cs="Arial"/>
          <w:sz w:val="20"/>
        </w:rPr>
        <w:t>FBA and other periodic auctions are useful and should not be limited as they are price forming.</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64AB52BD" w14:textId="77777777" w:rsidR="0057202C" w:rsidRPr="00511E45" w:rsidRDefault="0057202C" w:rsidP="0057202C">
      <w:pPr>
        <w:spacing w:line="288" w:lineRule="auto"/>
        <w:jc w:val="left"/>
        <w:rPr>
          <w:rFonts w:eastAsia="Cambria" w:cs="Arial"/>
          <w:sz w:val="20"/>
        </w:rPr>
      </w:pPr>
      <w:permStart w:id="2057074625" w:edGrp="everyone"/>
      <w:r w:rsidRPr="00511E45">
        <w:rPr>
          <w:rFonts w:eastAsia="Cambria" w:cs="Arial"/>
          <w:sz w:val="20"/>
        </w:rPr>
        <w:t>We have no comments.</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F774FB0" w14:textId="77777777" w:rsidR="0057202C" w:rsidRPr="00511E45" w:rsidRDefault="0057202C" w:rsidP="0057202C">
      <w:pPr>
        <w:spacing w:line="288" w:lineRule="auto"/>
        <w:jc w:val="left"/>
        <w:rPr>
          <w:rFonts w:eastAsia="Cambria" w:cs="Arial"/>
          <w:sz w:val="20"/>
        </w:rPr>
      </w:pPr>
      <w:permStart w:id="174423608" w:edGrp="everyone"/>
      <w:r w:rsidRPr="00511E45">
        <w:rPr>
          <w:rFonts w:eastAsia="Cambria" w:cs="Arial"/>
          <w:sz w:val="20"/>
        </w:rPr>
        <w:t>We have no comments.</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07398B6A" w14:textId="77777777" w:rsidR="0057202C" w:rsidRPr="00511E45" w:rsidRDefault="0057202C" w:rsidP="0057202C">
      <w:pPr>
        <w:spacing w:line="288" w:lineRule="auto"/>
        <w:jc w:val="left"/>
        <w:rPr>
          <w:rFonts w:eastAsia="Cambria" w:cs="Arial"/>
          <w:sz w:val="20"/>
        </w:rPr>
      </w:pPr>
      <w:permStart w:id="1672904074" w:edGrp="everyone"/>
      <w:r w:rsidRPr="00511E45">
        <w:rPr>
          <w:rFonts w:eastAsia="Cambria" w:cs="Arial"/>
          <w:sz w:val="20"/>
        </w:rPr>
        <w:t>Please see our answer to Question 12. FBA and other periodic auctions are an integral part of the equity market structure and should be maintained. Essentially periodic auctions a viable tool to execute buy side orders with minimal market impact which should be used further on.</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3BCA15FC" w14:textId="77777777" w:rsidR="0057202C" w:rsidRPr="00511E45" w:rsidRDefault="0057202C" w:rsidP="0057202C">
      <w:pPr>
        <w:spacing w:line="288" w:lineRule="auto"/>
        <w:jc w:val="left"/>
        <w:rPr>
          <w:rFonts w:eastAsia="Cambria" w:cs="Arial"/>
          <w:sz w:val="20"/>
        </w:rPr>
      </w:pPr>
      <w:permStart w:id="1032158778" w:edGrp="everyone"/>
      <w:r w:rsidRPr="00511E45">
        <w:rPr>
          <w:rFonts w:eastAsia="Cambria" w:cs="Arial"/>
          <w:sz w:val="20"/>
        </w:rPr>
        <w:t>We have no comments.</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51C949D4" w14:textId="77777777" w:rsidR="0057202C" w:rsidRPr="00511E45" w:rsidRDefault="0057202C" w:rsidP="0057202C">
      <w:pPr>
        <w:spacing w:line="288" w:lineRule="auto"/>
        <w:jc w:val="left"/>
        <w:rPr>
          <w:rFonts w:eastAsia="Cambria" w:cs="Arial"/>
          <w:sz w:val="20"/>
        </w:rPr>
      </w:pPr>
      <w:permStart w:id="529949636" w:edGrp="everyone"/>
      <w:r w:rsidRPr="00511E45">
        <w:rPr>
          <w:rFonts w:eastAsia="Cambria" w:cs="Arial"/>
          <w:sz w:val="20"/>
        </w:rPr>
        <w:t>We have no comments.</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2C21F3FD" w14:textId="77777777" w:rsidR="0057202C" w:rsidRPr="00511E45" w:rsidRDefault="0057202C" w:rsidP="0057202C">
      <w:pPr>
        <w:spacing w:line="288" w:lineRule="auto"/>
        <w:jc w:val="left"/>
        <w:rPr>
          <w:rFonts w:eastAsia="Cambria" w:cs="Arial"/>
          <w:sz w:val="20"/>
        </w:rPr>
      </w:pPr>
      <w:permStart w:id="818545257" w:edGrp="everyone"/>
      <w:r w:rsidRPr="00511E45">
        <w:rPr>
          <w:rFonts w:eastAsia="Cambria" w:cs="Arial"/>
          <w:sz w:val="20"/>
        </w:rPr>
        <w:t>Pease see our answer to Question 9. Principally we agree with the observation. However, we strongly disagree with ESMA`s analysis in para 80 that a significant proportion of SI activity is comprised of relatively small sized trades, which reflect retail orders typical of on-venue trading. We do not share this assessment. As we cannot present concrete figures, we believe that trade sizes in SIs are small because they take large buy-side orders and cut them into smaller trades. The smaller the trade; the lower the market impact and costs for our members. As a result, we encourage ESMA to move away from this idea that small trades equate to retail orders. Small trades in SIs are likely institutional investor flows.</w:t>
      </w:r>
    </w:p>
    <w:p w14:paraId="2D9A0A14" w14:textId="77777777" w:rsidR="0057202C" w:rsidRPr="00511E45" w:rsidRDefault="0057202C" w:rsidP="0057202C">
      <w:pPr>
        <w:spacing w:line="288" w:lineRule="auto"/>
        <w:jc w:val="left"/>
        <w:rPr>
          <w:rFonts w:eastAsia="Cambria" w:cs="Arial"/>
          <w:sz w:val="20"/>
        </w:rPr>
      </w:pPr>
    </w:p>
    <w:p w14:paraId="09815A97" w14:textId="77777777" w:rsidR="0057202C" w:rsidRPr="00511E45" w:rsidRDefault="0057202C" w:rsidP="0057202C">
      <w:pPr>
        <w:spacing w:line="288" w:lineRule="auto"/>
        <w:jc w:val="left"/>
        <w:rPr>
          <w:rFonts w:eastAsia="Cambria" w:cs="Arial"/>
          <w:sz w:val="20"/>
        </w:rPr>
      </w:pPr>
      <w:r w:rsidRPr="00511E45">
        <w:rPr>
          <w:rFonts w:eastAsia="Cambria" w:cs="Arial"/>
          <w:sz w:val="20"/>
        </w:rPr>
        <w:t>Furthermore, we strongly support ESMA`s view in para 89 that most of the SI trading is subject to pre-trade transparency. This is important because the exchanges say there is no pre-trade transparency in Sis.</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76E9FADE" w14:textId="77777777" w:rsidR="0057202C" w:rsidRPr="00511E45" w:rsidRDefault="0057202C" w:rsidP="0057202C">
      <w:pPr>
        <w:spacing w:line="288" w:lineRule="auto"/>
        <w:jc w:val="left"/>
        <w:rPr>
          <w:rFonts w:eastAsia="Cambria" w:cs="Arial"/>
          <w:sz w:val="20"/>
        </w:rPr>
      </w:pPr>
      <w:permStart w:id="1751220061" w:edGrp="everyone"/>
      <w:r w:rsidRPr="00511E45">
        <w:rPr>
          <w:rFonts w:eastAsia="Cambria" w:cs="Arial"/>
          <w:sz w:val="20"/>
        </w:rPr>
        <w:t>SI trading without the requirement to apply the tick size regime at midpoint execution should be maintained. Our members fear that any requirement to apply tick size prize improvement while on the face of it is a benefit for investors will in practice limit the order execution as the sell-side will be less willing to provide quotes, especially on large trades.</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3F86216A" w14:textId="2715FD7C" w:rsidR="0057202C" w:rsidRPr="00511E45" w:rsidRDefault="0057202C" w:rsidP="0057202C">
      <w:pPr>
        <w:spacing w:line="288" w:lineRule="auto"/>
        <w:jc w:val="left"/>
        <w:rPr>
          <w:rFonts w:eastAsia="Cambria" w:cs="Arial"/>
          <w:sz w:val="20"/>
        </w:rPr>
      </w:pPr>
      <w:permStart w:id="999231783" w:edGrp="everyone"/>
      <w:r w:rsidRPr="00511E45">
        <w:rPr>
          <w:rFonts w:eastAsia="Cambria" w:cs="Arial"/>
          <w:sz w:val="20"/>
        </w:rPr>
        <w:lastRenderedPageBreak/>
        <w:t>We would support a flagging of true retail orders going forward instead of a differentiation which is based on size and/or counterparties. A size based identification requirement would lead to the execution of institutional child orders on the lit venues with negative signalling effects as large parent orders could be</w:t>
      </w:r>
      <w:r w:rsidR="00EA3DB2">
        <w:rPr>
          <w:rFonts w:eastAsia="Cambria" w:cs="Arial"/>
          <w:sz w:val="20"/>
        </w:rPr>
        <w:t xml:space="preserve"> inadvertently </w:t>
      </w:r>
      <w:r w:rsidRPr="00511E45">
        <w:rPr>
          <w:rFonts w:eastAsia="Cambria" w:cs="Arial"/>
          <w:sz w:val="20"/>
        </w:rPr>
        <w:t>disclosed.</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03231860" w14:textId="77777777" w:rsidR="0057202C" w:rsidRPr="00511E45" w:rsidRDefault="0057202C" w:rsidP="0057202C">
      <w:pPr>
        <w:spacing w:line="288" w:lineRule="auto"/>
        <w:jc w:val="left"/>
        <w:rPr>
          <w:rFonts w:eastAsia="Cambria" w:cs="Arial"/>
          <w:sz w:val="20"/>
        </w:rPr>
      </w:pPr>
      <w:permStart w:id="797907736" w:edGrp="everyone"/>
      <w:r w:rsidRPr="00511E45">
        <w:rPr>
          <w:rFonts w:eastAsia="Cambria" w:cs="Arial"/>
          <w:sz w:val="20"/>
        </w:rPr>
        <w:t>Please see our answer to Question Q21.</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3175C3A5" w14:textId="77777777" w:rsidR="0057202C" w:rsidRPr="00511E45" w:rsidRDefault="0057202C" w:rsidP="0057202C">
      <w:pPr>
        <w:spacing w:line="288" w:lineRule="auto"/>
        <w:jc w:val="left"/>
        <w:rPr>
          <w:rFonts w:eastAsia="Cambria" w:cs="Arial"/>
          <w:sz w:val="20"/>
        </w:rPr>
      </w:pPr>
      <w:permStart w:id="165951741" w:edGrp="everyone"/>
      <w:r w:rsidRPr="00511E45">
        <w:rPr>
          <w:rFonts w:eastAsia="Cambria" w:cs="Arial"/>
          <w:sz w:val="20"/>
        </w:rPr>
        <w:t>We would like to highlight the requirement that SIs should not be legally obliged to publish beyond prices/volumes of executed trades any kind of individual SI MIC codes as soon as possible. This could lead to distortion of the market as SIs may not be able to maintain or willing to continue their current trade offers. If not impairing the SI product offering, disclosing of the individual SI MIC could follow different criteria. It could either be based on standardised deferral periods of several months or according to the liquidity profile of an equity.</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D017827" w14:textId="77777777" w:rsidR="0057202C" w:rsidRPr="00511E45" w:rsidRDefault="0057202C" w:rsidP="0057202C">
      <w:pPr>
        <w:spacing w:line="288" w:lineRule="auto"/>
        <w:jc w:val="left"/>
        <w:rPr>
          <w:rFonts w:eastAsia="Cambria" w:cs="Arial"/>
          <w:sz w:val="20"/>
        </w:rPr>
      </w:pPr>
      <w:permStart w:id="1012798389" w:edGrp="everyone"/>
      <w:r w:rsidRPr="00511E45">
        <w:rPr>
          <w:rFonts w:eastAsia="Cambria" w:cs="Arial"/>
          <w:sz w:val="20"/>
        </w:rPr>
        <w:t>Yes, our members have witnessed an increased use of benchmark trades since more than one year.</w:t>
      </w:r>
    </w:p>
    <w:permEnd w:id="1012798389"/>
    <w:p w14:paraId="4701DD0D" w14:textId="64EB1F1E" w:rsidR="003A33E5" w:rsidRDefault="003A33E5" w:rsidP="003A33E5">
      <w:r>
        <w:lastRenderedPageBreak/>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2C2208CF" w14:textId="77777777" w:rsidR="0057202C" w:rsidRPr="00511E45" w:rsidRDefault="0057202C" w:rsidP="0057202C">
      <w:pPr>
        <w:spacing w:line="288" w:lineRule="auto"/>
        <w:jc w:val="left"/>
        <w:rPr>
          <w:rFonts w:eastAsia="Cambria" w:cs="Arial"/>
          <w:sz w:val="20"/>
        </w:rPr>
      </w:pPr>
      <w:permStart w:id="921442006" w:edGrp="everyone"/>
      <w:r w:rsidRPr="00511E45">
        <w:rPr>
          <w:rFonts w:eastAsia="Cambria" w:cs="Arial"/>
          <w:sz w:val="20"/>
        </w:rPr>
        <w:t>We have no comments.</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570F79DC" w14:textId="77777777" w:rsidR="0057202C" w:rsidRPr="00511E45" w:rsidRDefault="0057202C" w:rsidP="0057202C">
      <w:pPr>
        <w:spacing w:line="288" w:lineRule="auto"/>
        <w:jc w:val="left"/>
        <w:rPr>
          <w:rFonts w:eastAsia="Cambria" w:cs="Arial"/>
          <w:sz w:val="20"/>
        </w:rPr>
      </w:pPr>
      <w:permStart w:id="2080063835" w:edGrp="everyone"/>
      <w:r w:rsidRPr="00511E45">
        <w:rPr>
          <w:rFonts w:eastAsia="Cambria" w:cs="Arial"/>
          <w:sz w:val="20"/>
        </w:rPr>
        <w:t>We have no comments.</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422FBF59" w14:textId="77777777" w:rsidR="0057202C" w:rsidRPr="00511E45" w:rsidRDefault="0057202C" w:rsidP="0057202C">
      <w:pPr>
        <w:spacing w:line="288" w:lineRule="auto"/>
        <w:jc w:val="left"/>
        <w:rPr>
          <w:rFonts w:eastAsia="Cambria" w:cs="Arial"/>
          <w:sz w:val="20"/>
        </w:rPr>
      </w:pPr>
      <w:permStart w:id="180496860" w:edGrp="everyone"/>
      <w:r w:rsidRPr="00511E45">
        <w:rPr>
          <w:rFonts w:eastAsia="Cambria" w:cs="Arial"/>
          <w:sz w:val="20"/>
        </w:rPr>
        <w:t>We have no comments.</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1E56CED8" w14:textId="77777777" w:rsidR="0057202C" w:rsidRPr="00511E45" w:rsidRDefault="0057202C" w:rsidP="0057202C">
      <w:pPr>
        <w:spacing w:line="288" w:lineRule="auto"/>
        <w:jc w:val="left"/>
        <w:rPr>
          <w:rFonts w:eastAsia="Cambria" w:cs="Arial"/>
          <w:sz w:val="20"/>
        </w:rPr>
      </w:pPr>
      <w:permStart w:id="1316118649" w:edGrp="everyone"/>
      <w:r w:rsidRPr="00511E45">
        <w:rPr>
          <w:rFonts w:eastAsia="Cambria" w:cs="Arial"/>
          <w:sz w:val="20"/>
        </w:rPr>
        <w:lastRenderedPageBreak/>
        <w:t>We are of the view that benchmark trades should be flagged as it is currently not so easy to separate benchmark trades from normal equity transactions.</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10786A54" w14:textId="77777777" w:rsidR="0057202C" w:rsidRPr="00511E45" w:rsidRDefault="0057202C" w:rsidP="0057202C">
      <w:pPr>
        <w:spacing w:line="288" w:lineRule="auto"/>
        <w:jc w:val="left"/>
        <w:rPr>
          <w:rFonts w:eastAsia="Cambria" w:cs="Arial"/>
          <w:sz w:val="20"/>
        </w:rPr>
      </w:pPr>
      <w:permStart w:id="1195064322" w:edGrp="everyone"/>
      <w:r w:rsidRPr="00511E45">
        <w:rPr>
          <w:rFonts w:eastAsia="Cambria" w:cs="Arial"/>
          <w:sz w:val="20"/>
        </w:rPr>
        <w:t>We have no comments.</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29B920AC" w14:textId="77777777" w:rsidR="0057202C" w:rsidRPr="00511E45" w:rsidRDefault="0057202C" w:rsidP="0057202C">
      <w:pPr>
        <w:spacing w:line="288" w:lineRule="auto"/>
        <w:jc w:val="left"/>
        <w:rPr>
          <w:rFonts w:eastAsia="Cambria" w:cs="Arial"/>
          <w:sz w:val="20"/>
        </w:rPr>
      </w:pPr>
      <w:permStart w:id="1218795063" w:edGrp="everyone"/>
      <w:r w:rsidRPr="00511E45">
        <w:rPr>
          <w:rFonts w:eastAsia="Cambria" w:cs="Arial"/>
          <w:sz w:val="20"/>
        </w:rPr>
        <w:t>We have no comments.</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75C051C9" w14:textId="77777777" w:rsidR="0057202C" w:rsidRPr="00511E45" w:rsidRDefault="0057202C" w:rsidP="0057202C">
      <w:pPr>
        <w:spacing w:line="288" w:lineRule="auto"/>
        <w:jc w:val="left"/>
        <w:rPr>
          <w:rFonts w:eastAsia="Cambria" w:cs="Arial"/>
          <w:sz w:val="20"/>
        </w:rPr>
      </w:pPr>
      <w:permStart w:id="1697063566" w:edGrp="everyone"/>
      <w:r w:rsidRPr="00511E45">
        <w:rPr>
          <w:rFonts w:eastAsia="Cambria" w:cs="Arial"/>
          <w:sz w:val="20"/>
        </w:rPr>
        <w:t>We have no comments.</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2EE1773" w14:textId="77777777" w:rsidR="0057202C" w:rsidRPr="00511E45" w:rsidRDefault="0057202C" w:rsidP="0057202C">
      <w:pPr>
        <w:spacing w:line="288" w:lineRule="auto"/>
        <w:jc w:val="left"/>
        <w:rPr>
          <w:rFonts w:eastAsia="Cambria" w:cs="Arial"/>
          <w:sz w:val="20"/>
        </w:rPr>
      </w:pPr>
      <w:permStart w:id="1084183535" w:edGrp="everyone"/>
      <w:r w:rsidRPr="00511E45">
        <w:rPr>
          <w:rFonts w:eastAsia="Cambria" w:cs="Arial"/>
          <w:sz w:val="20"/>
        </w:rPr>
        <w:t>We have no comments.</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35E1D8DB" w14:textId="77777777" w:rsidR="0057202C" w:rsidRPr="00511E45" w:rsidRDefault="0057202C" w:rsidP="0057202C">
      <w:pPr>
        <w:spacing w:line="288" w:lineRule="auto"/>
        <w:jc w:val="left"/>
        <w:rPr>
          <w:rFonts w:eastAsia="Cambria" w:cs="Arial"/>
          <w:sz w:val="20"/>
        </w:rPr>
      </w:pPr>
      <w:permStart w:id="1454133558" w:edGrp="everyone"/>
      <w:r w:rsidRPr="00511E45">
        <w:rPr>
          <w:rFonts w:eastAsia="Cambria" w:cs="Arial"/>
          <w:sz w:val="20"/>
        </w:rPr>
        <w:t>We have no comments.</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02D13896" w14:textId="77777777" w:rsidR="0057202C" w:rsidRPr="00511E45" w:rsidRDefault="0057202C" w:rsidP="0057202C">
      <w:pPr>
        <w:spacing w:line="288" w:lineRule="auto"/>
        <w:jc w:val="left"/>
        <w:rPr>
          <w:rFonts w:eastAsia="Cambria" w:cs="Arial"/>
          <w:sz w:val="20"/>
        </w:rPr>
      </w:pPr>
      <w:permStart w:id="1509051285" w:edGrp="everyone"/>
      <w:r w:rsidRPr="00511E45">
        <w:rPr>
          <w:rFonts w:eastAsia="Cambria" w:cs="Arial"/>
          <w:sz w:val="20"/>
        </w:rPr>
        <w:t>We have no comments.</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639EBB29" w14:textId="77777777" w:rsidR="0057202C" w:rsidRPr="00511E45" w:rsidRDefault="0057202C" w:rsidP="0057202C">
      <w:pPr>
        <w:spacing w:line="288" w:lineRule="auto"/>
        <w:jc w:val="left"/>
        <w:rPr>
          <w:rFonts w:eastAsia="Cambria" w:cs="Arial"/>
          <w:sz w:val="20"/>
        </w:rPr>
      </w:pPr>
      <w:permStart w:id="164585938" w:edGrp="everyone"/>
      <w:r w:rsidRPr="00511E45">
        <w:rPr>
          <w:rFonts w:eastAsia="Cambria" w:cs="Arial"/>
          <w:sz w:val="20"/>
        </w:rPr>
        <w:t>We have no comments.</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5DB71F4C" w14:textId="77777777" w:rsidR="0057202C" w:rsidRPr="00511E45" w:rsidRDefault="0057202C" w:rsidP="0057202C">
      <w:pPr>
        <w:spacing w:line="288" w:lineRule="auto"/>
        <w:jc w:val="left"/>
        <w:rPr>
          <w:rFonts w:eastAsia="Cambria" w:cs="Arial"/>
          <w:sz w:val="20"/>
        </w:rPr>
      </w:pPr>
      <w:permStart w:id="1475570857" w:edGrp="everyone"/>
      <w:r w:rsidRPr="00511E45">
        <w:rPr>
          <w:rFonts w:eastAsia="Cambria" w:cs="Arial"/>
          <w:sz w:val="20"/>
        </w:rPr>
        <w:t>We have no comments.</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6E74C764" w14:textId="77777777" w:rsidR="0057202C" w:rsidRPr="00511E45" w:rsidRDefault="0057202C" w:rsidP="0057202C">
      <w:pPr>
        <w:spacing w:line="288" w:lineRule="auto"/>
        <w:jc w:val="left"/>
        <w:rPr>
          <w:rFonts w:eastAsia="Cambria" w:cs="Arial"/>
          <w:sz w:val="20"/>
        </w:rPr>
      </w:pPr>
      <w:permStart w:id="1523399739" w:edGrp="everyone"/>
      <w:r w:rsidRPr="00511E45">
        <w:rPr>
          <w:rFonts w:eastAsia="Cambria" w:cs="Arial"/>
          <w:sz w:val="20"/>
        </w:rPr>
        <w:t>We have no comments.</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lastRenderedPageBreak/>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2FBE5724" w14:textId="77777777" w:rsidR="0057202C" w:rsidRPr="00511E45" w:rsidRDefault="0057202C" w:rsidP="0057202C">
      <w:pPr>
        <w:spacing w:line="288" w:lineRule="auto"/>
        <w:jc w:val="left"/>
        <w:rPr>
          <w:rFonts w:eastAsia="Cambria" w:cs="Arial"/>
          <w:sz w:val="20"/>
        </w:rPr>
      </w:pPr>
      <w:permStart w:id="1013530916" w:edGrp="everyone"/>
      <w:r w:rsidRPr="00511E45">
        <w:rPr>
          <w:rFonts w:eastAsia="Cambria" w:cs="Arial"/>
          <w:sz w:val="20"/>
        </w:rPr>
        <w:t>We have no comments.</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213DE0AD" w14:textId="77777777" w:rsidR="0057202C" w:rsidRPr="00511E45" w:rsidRDefault="0057202C" w:rsidP="0057202C">
      <w:pPr>
        <w:spacing w:line="288" w:lineRule="auto"/>
        <w:jc w:val="left"/>
        <w:rPr>
          <w:rFonts w:eastAsia="Cambria" w:cs="Arial"/>
          <w:sz w:val="20"/>
        </w:rPr>
      </w:pPr>
      <w:permStart w:id="374162036" w:edGrp="everyone"/>
      <w:r w:rsidRPr="00511E45">
        <w:rPr>
          <w:rFonts w:eastAsia="Cambria" w:cs="Arial"/>
          <w:sz w:val="20"/>
        </w:rPr>
        <w:t>We have no comments.</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12A92F2C" w14:textId="77777777" w:rsidR="0057202C" w:rsidRPr="00511E45" w:rsidRDefault="0057202C" w:rsidP="0057202C">
      <w:pPr>
        <w:spacing w:line="288" w:lineRule="auto"/>
        <w:jc w:val="left"/>
        <w:rPr>
          <w:rFonts w:eastAsia="Cambria" w:cs="Arial"/>
          <w:sz w:val="20"/>
        </w:rPr>
      </w:pPr>
      <w:permStart w:id="1323904635" w:edGrp="everyone"/>
      <w:r w:rsidRPr="00511E45">
        <w:rPr>
          <w:rFonts w:eastAsia="Cambria" w:cs="Arial"/>
          <w:sz w:val="20"/>
        </w:rPr>
        <w:t>We have no comments.</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9D9FC7D" w14:textId="77777777" w:rsidR="0057202C" w:rsidRPr="00511E45" w:rsidRDefault="0057202C" w:rsidP="0057202C">
      <w:pPr>
        <w:spacing w:line="288" w:lineRule="auto"/>
        <w:jc w:val="left"/>
        <w:rPr>
          <w:rFonts w:eastAsia="Cambria" w:cs="Arial"/>
          <w:sz w:val="20"/>
        </w:rPr>
      </w:pPr>
      <w:permStart w:id="1265007552" w:edGrp="everyone"/>
      <w:r w:rsidRPr="00511E45">
        <w:rPr>
          <w:rFonts w:eastAsia="Cambria" w:cs="Arial"/>
          <w:sz w:val="20"/>
        </w:rPr>
        <w:t>We have no comments.</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 xml:space="preserve">Do you agree that intragroup transactions executed by SIs should not constitute addressable liquidity and therefore, could be flagged (i.e. a new flag </w:t>
      </w:r>
      <w:r>
        <w:lastRenderedPageBreak/>
        <w:t>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40DDDAC2" w14:textId="77777777" w:rsidR="0057202C" w:rsidRPr="00511E45" w:rsidRDefault="0057202C" w:rsidP="0057202C">
      <w:pPr>
        <w:spacing w:line="288" w:lineRule="auto"/>
        <w:jc w:val="left"/>
        <w:rPr>
          <w:rFonts w:eastAsia="Cambria" w:cs="Arial"/>
          <w:sz w:val="20"/>
        </w:rPr>
      </w:pPr>
      <w:permStart w:id="78797142" w:edGrp="everyone"/>
      <w:r w:rsidRPr="00511E45">
        <w:rPr>
          <w:rFonts w:eastAsia="Cambria" w:cs="Arial"/>
          <w:sz w:val="20"/>
        </w:rPr>
        <w:t>We have no comments.</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09B30B9E" w14:textId="77777777" w:rsidR="0057202C" w:rsidRPr="00511E45" w:rsidRDefault="0057202C" w:rsidP="0057202C">
      <w:pPr>
        <w:spacing w:line="288" w:lineRule="auto"/>
        <w:jc w:val="left"/>
        <w:rPr>
          <w:rFonts w:eastAsia="Cambria" w:cs="Arial"/>
          <w:sz w:val="20"/>
        </w:rPr>
      </w:pPr>
      <w:permStart w:id="1195269664" w:edGrp="everyone"/>
      <w:r w:rsidRPr="00511E45">
        <w:rPr>
          <w:rFonts w:eastAsia="Cambria" w:cs="Arial"/>
          <w:sz w:val="20"/>
        </w:rPr>
        <w:t>We have no comments.</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0AFB" w14:textId="77777777" w:rsidR="005B6351" w:rsidRDefault="005B6351" w:rsidP="007E7997">
      <w:pPr>
        <w:spacing w:line="240" w:lineRule="auto"/>
      </w:pPr>
      <w:r>
        <w:separator/>
      </w:r>
    </w:p>
  </w:endnote>
  <w:endnote w:type="continuationSeparator" w:id="0">
    <w:p w14:paraId="6DCDDC42" w14:textId="77777777" w:rsidR="005B6351" w:rsidRDefault="005B6351" w:rsidP="007E7997">
      <w:pPr>
        <w:spacing w:line="240" w:lineRule="auto"/>
      </w:pPr>
      <w:r>
        <w:continuationSeparator/>
      </w:r>
    </w:p>
  </w:endnote>
  <w:endnote w:type="continuationNotice" w:id="1">
    <w:p w14:paraId="29F1D86F" w14:textId="77777777" w:rsidR="005B6351" w:rsidRDefault="005B6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51D76" w14:textId="77777777" w:rsidR="005B6351" w:rsidRDefault="005B6351" w:rsidP="007E7997">
      <w:pPr>
        <w:spacing w:line="240" w:lineRule="auto"/>
      </w:pPr>
      <w:r>
        <w:separator/>
      </w:r>
    </w:p>
  </w:footnote>
  <w:footnote w:type="continuationSeparator" w:id="0">
    <w:p w14:paraId="2E8C8A41" w14:textId="77777777" w:rsidR="005B6351" w:rsidRDefault="005B6351" w:rsidP="007E7997">
      <w:pPr>
        <w:spacing w:line="240" w:lineRule="auto"/>
      </w:pPr>
      <w:r>
        <w:continuationSeparator/>
      </w:r>
    </w:p>
  </w:footnote>
  <w:footnote w:type="continuationNotice" w:id="1">
    <w:p w14:paraId="0C8ADBC5" w14:textId="77777777" w:rsidR="005B6351" w:rsidRDefault="005B63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Kopfzeile"/>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783544"/>
    <w:multiLevelType w:val="hybridMultilevel"/>
    <w:tmpl w:val="4F1E92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EA61840"/>
    <w:multiLevelType w:val="hybridMultilevel"/>
    <w:tmpl w:val="6624CD50"/>
    <w:lvl w:ilvl="0" w:tplc="30EC5BE8">
      <w:start w:val="1"/>
      <w:numFmt w:val="bullet"/>
      <w:pStyle w:val="Listenabsatz"/>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4"/>
  </w:num>
  <w:num w:numId="3" w16cid:durableId="1675497260">
    <w:abstractNumId w:val="10"/>
  </w:num>
  <w:num w:numId="4" w16cid:durableId="1146706333">
    <w:abstractNumId w:val="3"/>
  </w:num>
  <w:num w:numId="5" w16cid:durableId="1502348752">
    <w:abstractNumId w:val="0"/>
  </w:num>
  <w:num w:numId="6" w16cid:durableId="1544101585">
    <w:abstractNumId w:val="5"/>
  </w:num>
  <w:num w:numId="7" w16cid:durableId="896626050">
    <w:abstractNumId w:val="13"/>
  </w:num>
  <w:num w:numId="8" w16cid:durableId="806780153">
    <w:abstractNumId w:val="2"/>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 w:numId="17" w16cid:durableId="15840258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808"/>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C7F38"/>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814"/>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02C"/>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351"/>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534"/>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4F"/>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CA3"/>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63"/>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9A"/>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2EC9"/>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9A8"/>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5C6F"/>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5C04"/>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B4D"/>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042"/>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B2"/>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73E"/>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FD6"/>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para">
    <w:name w:val="para"/>
    <w:basedOn w:val="Listenabsatz"/>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Absatz-Standardschriftart"/>
    <w:link w:val="para"/>
    <w:rsid w:val="00641F03"/>
    <w:rPr>
      <w:bCs/>
      <w:iCs/>
      <w:color w:val="181818" w:themeColor="background1" w:themeShade="1A"/>
      <w:sz w:val="22"/>
      <w:lang w:val="en-GB"/>
    </w:rPr>
  </w:style>
  <w:style w:type="character" w:customStyle="1" w:styleId="normaltextrun">
    <w:name w:val="normaltextrun"/>
    <w:basedOn w:val="Absatz-Standardschriftart"/>
    <w:rsid w:val="00F60040"/>
  </w:style>
  <w:style w:type="paragraph" w:customStyle="1" w:styleId="Standa1">
    <w:name w:val="Standa1"/>
    <w:uiPriority w:val="99"/>
    <w:rsid w:val="0057202C"/>
    <w:pPr>
      <w:spacing w:after="200" w:line="240" w:lineRule="auto"/>
    </w:pPr>
    <w:rPr>
      <w:rFonts w:ascii="Cambria" w:eastAsia="Cambria" w:hAnsi="Cambria" w:cs="Times New Roman"/>
      <w:sz w:val="24"/>
      <w:szCs w:val="24"/>
      <w:lang w:val="de-DE"/>
    </w:rPr>
  </w:style>
  <w:style w:type="paragraph" w:customStyle="1" w:styleId="Default">
    <w:name w:val="Default"/>
    <w:rsid w:val="0057202C"/>
    <w:pPr>
      <w:autoSpaceDE w:val="0"/>
      <w:autoSpaceDN w:val="0"/>
      <w:adjustRightInd w:val="0"/>
      <w:spacing w:after="0" w:line="240" w:lineRule="auto"/>
    </w:pPr>
    <w:rPr>
      <w:rFonts w:ascii="Arial" w:eastAsia="Cambria"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394819006">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588995701">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tzhalt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tzhalt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536E7"/>
    <w:rsid w:val="00254E75"/>
    <w:rsid w:val="0034145D"/>
    <w:rsid w:val="00372212"/>
    <w:rsid w:val="004E4CF9"/>
    <w:rsid w:val="004F4339"/>
    <w:rsid w:val="005D66AB"/>
    <w:rsid w:val="006320FF"/>
    <w:rsid w:val="00644AD6"/>
    <w:rsid w:val="00663894"/>
    <w:rsid w:val="006954E6"/>
    <w:rsid w:val="006C4534"/>
    <w:rsid w:val="006D3543"/>
    <w:rsid w:val="00701E25"/>
    <w:rsid w:val="0071141B"/>
    <w:rsid w:val="007C0405"/>
    <w:rsid w:val="00813189"/>
    <w:rsid w:val="008134C9"/>
    <w:rsid w:val="008222A0"/>
    <w:rsid w:val="00836D47"/>
    <w:rsid w:val="009522B0"/>
    <w:rsid w:val="009B6B9C"/>
    <w:rsid w:val="009F25A9"/>
    <w:rsid w:val="009F25FD"/>
    <w:rsid w:val="00A804C7"/>
    <w:rsid w:val="00A93A1C"/>
    <w:rsid w:val="00AD66C2"/>
    <w:rsid w:val="00AE5C04"/>
    <w:rsid w:val="00B07345"/>
    <w:rsid w:val="00B11B3A"/>
    <w:rsid w:val="00B22006"/>
    <w:rsid w:val="00B26B4D"/>
    <w:rsid w:val="00B46CAE"/>
    <w:rsid w:val="00CA74DD"/>
    <w:rsid w:val="00D52831"/>
    <w:rsid w:val="00D63E3A"/>
    <w:rsid w:val="00DC3796"/>
    <w:rsid w:val="00DC4211"/>
    <w:rsid w:val="00E023D2"/>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5144</Words>
  <Characters>28141</Characters>
  <Application>Microsoft Office Word</Application>
  <DocSecurity>8</DocSecurity>
  <Lines>493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Felix Ertl</cp:lastModifiedBy>
  <cp:revision>12</cp:revision>
  <cp:lastPrinted>2023-09-09T09:53:00Z</cp:lastPrinted>
  <dcterms:created xsi:type="dcterms:W3CDTF">2026-06-30T16:31:00Z</dcterms:created>
  <dcterms:modified xsi:type="dcterms:W3CDTF">2026-06-30T16:39:00Z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