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re"/>
            <w:tabs>
              <w:tab w:val="center" w:pos="4536"/>
            </w:tabs>
          </w:pPr>
          <w:r>
            <w:t xml:space="preserve">Reply </w:t>
          </w:r>
          <w:r w:rsidR="00DD03DC">
            <w:t>F</w:t>
          </w:r>
          <w:r>
            <w:t>orm</w:t>
          </w:r>
          <w:r w:rsidR="00FA1BF6">
            <w:tab/>
          </w:r>
        </w:p>
        <w:p w14:paraId="031F2108" w14:textId="042F6D9B" w:rsidR="007E7997" w:rsidRPr="00C01571" w:rsidRDefault="005B1C75" w:rsidP="00D77369">
          <w:pPr>
            <w:pStyle w:val="Sous-titr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6A31BBEE" w:rsidR="00E40D2C" w:rsidRPr="00557BD2" w:rsidRDefault="0046692D">
                <w:r>
                  <w:t>L’AFEP</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1290FBB4" w:rsidR="00E40D2C" w:rsidRDefault="0046692D">
                <w:r>
                  <w:t>Other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3E2126DF" w:rsidR="002262FA" w:rsidRDefault="0046692D"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75C13480" w:rsidR="00E40D2C" w:rsidRPr="00557BD2" w:rsidRDefault="0046692D">
                <w:r>
                  <w:t>France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re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4845BAD" w14:textId="5FE40D93" w:rsidR="003A33E5" w:rsidRDefault="00880555" w:rsidP="00880555">
      <w:pPr>
        <w:widowControl w:val="0"/>
      </w:pPr>
      <w:permStart w:id="1150511936" w:edGrp="everyone"/>
      <w:proofErr w:type="spellStart"/>
      <w:r>
        <w:t>L’Afep</w:t>
      </w:r>
      <w:proofErr w:type="spellEnd"/>
      <w:r>
        <w:t xml:space="preserve"> Members agree with the description of the market structure presented by ESMA. Some Members point out to the fact that </w:t>
      </w:r>
      <w:proofErr w:type="spellStart"/>
      <w:r>
        <w:t>MiFIR</w:t>
      </w:r>
      <w:proofErr w:type="spellEnd"/>
      <w:r>
        <w:t xml:space="preserve"> reporting data do not include transactions taking place on non-EU trading venues. Hence ESMA’s study may not give a full picture of the evolution and trends regarding EU equity markets (see also comments in Question 4). </w:t>
      </w:r>
      <w:proofErr w:type="spellStart"/>
      <w:r w:rsidRPr="00E543EC">
        <w:t>L’Afep</w:t>
      </w:r>
      <w:proofErr w:type="spellEnd"/>
      <w:r>
        <w:t xml:space="preserve"> Members</w:t>
      </w:r>
      <w:r w:rsidRPr="00E543EC">
        <w:t xml:space="preserve"> caution against taking regulatory measures based on an incomplete assessment of global flows, as asymmetric regulatory constraints within the EU would further impair the international competitiveness of European listing venues compared to non-EU jurisdictions.</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7C8C198" w14:textId="77777777" w:rsidR="003A33E5" w:rsidRDefault="003A33E5" w:rsidP="003A33E5">
      <w:permStart w:id="1070029581" w:edGrp="everyone"/>
      <w:r>
        <w:t>TYPE YOUR TEXT HERE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6E638C11" w14:textId="77777777" w:rsidR="00DD0E60" w:rsidRPr="00F25C56" w:rsidRDefault="00DD0E60" w:rsidP="00DD0E60">
      <w:pPr>
        <w:widowControl w:val="0"/>
      </w:pPr>
      <w:permStart w:id="856752782" w:edGrp="everyone"/>
      <w:proofErr w:type="spellStart"/>
      <w:r>
        <w:t>L’Afep</w:t>
      </w:r>
      <w:proofErr w:type="spellEnd"/>
      <w:r>
        <w:t xml:space="preserve"> Members are mainly large, listed companies representing around 70% of the French market capitalisation. Their main interest is to take advantage of efficient markets to raise funds at the lowest possible cost. They </w:t>
      </w:r>
      <w:r w:rsidRPr="00F25C56">
        <w:t>agree with the trends identified by ESMA but highlight some points of consideration:</w:t>
      </w:r>
    </w:p>
    <w:p w14:paraId="7C015ABD" w14:textId="77777777" w:rsidR="00DD0E60" w:rsidRPr="00F25C56" w:rsidRDefault="00DD0E60" w:rsidP="00DD0E60">
      <w:pPr>
        <w:widowControl w:val="0"/>
        <w:numPr>
          <w:ilvl w:val="0"/>
          <w:numId w:val="17"/>
        </w:numPr>
        <w:autoSpaceDE w:val="0"/>
        <w:autoSpaceDN w:val="0"/>
        <w:spacing w:after="80" w:line="288" w:lineRule="auto"/>
      </w:pPr>
      <w:r w:rsidRPr="00F25C56">
        <w:t>It is important to clearly understand and define what is reported under the different categories and this must be monitored and enforced.</w:t>
      </w:r>
    </w:p>
    <w:p w14:paraId="5B02FA85" w14:textId="77777777" w:rsidR="00DD0E60" w:rsidRPr="00F25C56" w:rsidRDefault="00DD0E60" w:rsidP="00DD0E60">
      <w:pPr>
        <w:widowControl w:val="0"/>
        <w:numPr>
          <w:ilvl w:val="0"/>
          <w:numId w:val="17"/>
        </w:numPr>
        <w:autoSpaceDE w:val="0"/>
        <w:autoSpaceDN w:val="0"/>
        <w:spacing w:after="80" w:line="288" w:lineRule="auto"/>
      </w:pPr>
      <w:r w:rsidRPr="00F25C56">
        <w:t>The market reality is that it is not binary, between fully lit and fully dark trading, there are execution mechanisms offering various levels of transparency, which should not be reduced simply to lit and dark only.</w:t>
      </w:r>
    </w:p>
    <w:p w14:paraId="1C51B5E2" w14:textId="77777777" w:rsidR="00DD0E60" w:rsidRPr="00F25C56" w:rsidRDefault="00DD0E60" w:rsidP="00DD0E60">
      <w:pPr>
        <w:widowControl w:val="0"/>
        <w:numPr>
          <w:ilvl w:val="0"/>
          <w:numId w:val="17"/>
        </w:numPr>
        <w:autoSpaceDE w:val="0"/>
        <w:autoSpaceDN w:val="0"/>
        <w:spacing w:after="80" w:line="288" w:lineRule="auto"/>
      </w:pPr>
      <w:r w:rsidRPr="00F25C56">
        <w:t>To offer a more accurate picture of market structure, there needs to be a distinction between closing auctions and FBAs and trades at close, as they have very different characteristics.</w:t>
      </w:r>
    </w:p>
    <w:p w14:paraId="05BB525B" w14:textId="77777777" w:rsidR="00DD0E60" w:rsidRPr="00F25C56" w:rsidRDefault="00DD0E60" w:rsidP="00DD0E60">
      <w:pPr>
        <w:widowControl w:val="0"/>
        <w:numPr>
          <w:ilvl w:val="0"/>
          <w:numId w:val="17"/>
        </w:numPr>
        <w:autoSpaceDE w:val="0"/>
        <w:autoSpaceDN w:val="0"/>
        <w:spacing w:after="80" w:line="288" w:lineRule="auto"/>
        <w:ind w:left="357" w:hanging="357"/>
      </w:pPr>
      <w:r w:rsidRPr="00F25C56">
        <w:t>The report exclusively focuses on trading on EEA trading platforms and excludes trading on EEA shares undertaken on UK platforms, which ESMA does recognise as materially significant, notably OTC and on SIs. While we understand the rationale ESMA provides for taking this approach given the constraints they mention, we believe this calls for further investigations to understand how so much trading in EEA stocks can be executed overseas, given the existing Share Trading Obligation and the reverse solicitation rule.</w:t>
      </w:r>
    </w:p>
    <w:p w14:paraId="7E5329D2" w14:textId="77777777" w:rsidR="00DD0E60" w:rsidRPr="00F25C56" w:rsidRDefault="00DD0E60" w:rsidP="00DD0E60">
      <w:pPr>
        <w:rPr>
          <w:rFonts w:eastAsia="Times New Roman" w:cs="Times New Roman"/>
          <w:color w:val="000000"/>
          <w:szCs w:val="24"/>
          <w:lang w:eastAsia="fr-FR"/>
        </w:rPr>
      </w:pPr>
      <w:r w:rsidRPr="00F25C56">
        <w:rPr>
          <w:rFonts w:eastAsia="Times New Roman" w:cs="Times New Roman"/>
          <w:color w:val="000000"/>
          <w:szCs w:val="24"/>
          <w:lang w:eastAsia="fr-FR"/>
        </w:rPr>
        <w:t xml:space="preserve">The decline in lit continuous trading is a strong and persistent trend and has long been a major concern due to the increasing risks it poses to the price formation process and potential impact </w:t>
      </w:r>
      <w:r w:rsidRPr="00F25C56">
        <w:rPr>
          <w:rFonts w:eastAsia="Times New Roman" w:cs="Times New Roman"/>
          <w:color w:val="000000"/>
          <w:szCs w:val="24"/>
          <w:lang w:eastAsia="fr-FR"/>
        </w:rPr>
        <w:lastRenderedPageBreak/>
        <w:t>on deterioration of market quality. In recent months, this risk is no longer purely theoretical but has begun to materialise, as evidenced by the deterioration in market quality on certain MTFs, visible on spread, time at EBBO, depth.</w:t>
      </w:r>
    </w:p>
    <w:p w14:paraId="57786967" w14:textId="4F4EF7E2" w:rsidR="00DD0E60" w:rsidRPr="005C61E9" w:rsidRDefault="00DD0E60" w:rsidP="00DD0E60">
      <w:pPr>
        <w:widowControl w:val="0"/>
      </w:pPr>
      <w:r>
        <w:t xml:space="preserve">Price formation is a process of collecting information regarding traded shares in order to allow investors to take informed decisions. In this regard, </w:t>
      </w:r>
      <w:proofErr w:type="spellStart"/>
      <w:r>
        <w:t>L’Afep</w:t>
      </w:r>
      <w:proofErr w:type="spellEnd"/>
      <w:r>
        <w:t xml:space="preserve"> Members agree that there could be an imbalance in terms of transparency between trading venues and, in particular, between regulated markets and other trading facilities or forms of trading. More balanced rules could be useful to ensure a level-playing field. </w:t>
      </w:r>
      <w:r w:rsidRPr="00E543EC">
        <w:t>While investor choice is important, it should not come at the expense of market integrity and the visibility of issuers over their liquidity. A high level of pre and post-trade transparency on primary venues is a public good that protects the cost of capital for issuers.</w:t>
      </w:r>
      <w:r>
        <w:t xml:space="preserve"> M</w:t>
      </w:r>
      <w:r w:rsidRPr="005C61E9">
        <w:t xml:space="preserve">ore </w:t>
      </w:r>
      <w:r w:rsidRPr="00F25C56">
        <w:t xml:space="preserve">impactful measures could be proposed as part of the MISP that would address this negative trend and rebalance the framework to be </w:t>
      </w:r>
      <w:r w:rsidR="00FE087B" w:rsidRPr="00F25C56">
        <w:t>fairer and more equitable</w:t>
      </w:r>
      <w:r w:rsidRPr="00F25C56">
        <w:t xml:space="preserve"> and improve transparency of markets. More listings and European IPOs are dependent on the existence of a genuinely liquid secondary market</w:t>
      </w:r>
      <w:r>
        <w:t>. M</w:t>
      </w:r>
      <w:r w:rsidRPr="00F25C56">
        <w:t>ore needs to be done to ensure liquidity is more visible and accessible so that companies view the EU market as a preferable place to list where they will achieve</w:t>
      </w:r>
      <w:r w:rsidRPr="005C61E9">
        <w:t xml:space="preserve"> optimal valuations.</w:t>
      </w:r>
    </w:p>
    <w:p w14:paraId="37E368FA" w14:textId="41708808" w:rsidR="003A33E5" w:rsidRDefault="00DD0E60" w:rsidP="00DD0E60">
      <w:r>
        <w:t>However, a robust impact assessment should be carried out before any regulatory initiative. The different existing forms of trading address the different needs of investors, retail and institutional. It would therefore be very detrimental to the attractiveness of EU capital markets to adopt measures reducing the choice for investors and which could eventually drive them away to other financial centres.</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01B0622" w14:textId="77777777" w:rsidR="003A33E5" w:rsidRDefault="003A33E5" w:rsidP="003A33E5">
      <w:permStart w:id="617826185" w:edGrp="everyone"/>
      <w:r>
        <w:t>TYPE YOUR TEXT HERE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77777777" w:rsidR="003A33E5" w:rsidRDefault="003A33E5" w:rsidP="003A33E5">
      <w:permStart w:id="1898151376" w:edGrp="everyone"/>
      <w:r>
        <w:t>TYPE YOUR TEXT HERE</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59D6D002" w14:textId="77777777" w:rsidR="00FE087B" w:rsidRDefault="00FE087B" w:rsidP="00FE087B">
      <w:pPr>
        <w:widowControl w:val="0"/>
      </w:pPr>
      <w:permStart w:id="1102657477" w:edGrp="everyone"/>
      <w:r>
        <w:t xml:space="preserve">The shift from CLOB trading towards less transparent trading venues or forms of trading should be monitored closely. This said, issuers are also concerned by the increase of trading at closing auctions which could negatively impact liquidity during the continuous trading session, </w:t>
      </w:r>
      <w:r w:rsidRPr="00E543EC">
        <w:t>disadvantage retail investors, increase intra-day volatility</w:t>
      </w:r>
      <w:r>
        <w:t xml:space="preserve"> and increase exposure to operational incidents during the closing period. These markets developments however do not seem to be an obstacle for large issuers. In this regard, </w:t>
      </w:r>
      <w:proofErr w:type="spellStart"/>
      <w:r>
        <w:t>L’Afep</w:t>
      </w:r>
      <w:proofErr w:type="spellEnd"/>
      <w:r>
        <w:t xml:space="preserve"> Members insist on other impediments which, as of today, seem to be much more problematic and costly, in particular, reporting requirements. </w:t>
      </w:r>
    </w:p>
    <w:p w14:paraId="7A75D0EE" w14:textId="6B51ED99" w:rsidR="005439CE" w:rsidRDefault="00FE087B" w:rsidP="00FE087B">
      <w:pPr>
        <w:widowControl w:val="0"/>
      </w:pPr>
      <w:r w:rsidRPr="00E543EC">
        <w:t>The cumulative effect of these market structure shifts and the exponential growth of complex reporting requirements create an increasingly adverse ecosystem for public equity. For a growing number of issuers, the rising cost</w:t>
      </w:r>
      <w:r>
        <w:t>s</w:t>
      </w:r>
      <w:r w:rsidRPr="00E543EC">
        <w:t xml:space="preserve"> of compliance, combined with a loss of secondary market visibility during continuous trading, diminish the overall benefits of being publicly listed. To effectively restore and safeguard the attractiveness of EU capital markets, ESMA must actively pursue a simplification and regulatory relief agenda in parallel with its market structure reviews.</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 xml:space="preserve">What conclusions would you draw from the distribution of liquidity across EEA ISINs? Do you identify any policy recommendations in this context, with a view to enhancing price formation while ensuring a level playing field across </w:t>
      </w:r>
      <w:r>
        <w:lastRenderedPageBreak/>
        <w:t>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77777777" w:rsidR="003A33E5" w:rsidRDefault="003A33E5" w:rsidP="003A33E5">
      <w:permStart w:id="14425139" w:edGrp="everyone"/>
      <w:r>
        <w:t>TYPE YOUR TEXT HERE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77777777" w:rsidR="003A33E5" w:rsidRDefault="003A33E5" w:rsidP="003A33E5">
      <w:permStart w:id="834536465" w:edGrp="everyone"/>
      <w:r>
        <w:t>TYPE YOUR TEXT HERE</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77777777" w:rsidR="003A33E5" w:rsidRDefault="003A33E5" w:rsidP="003A33E5">
      <w:permStart w:id="529949636" w:edGrp="everyone"/>
      <w:r>
        <w:t>TYPE 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7777777" w:rsidR="003A33E5" w:rsidRDefault="003A33E5" w:rsidP="003A33E5">
      <w:permStart w:id="797907736" w:edGrp="everyone"/>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77777777" w:rsidR="003A33E5" w:rsidRDefault="003A33E5" w:rsidP="003A33E5">
      <w:permStart w:id="165951741" w:edGrp="everyone"/>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956F" w14:textId="77777777" w:rsidR="00634C03" w:rsidRDefault="00634C03" w:rsidP="007E7997">
      <w:pPr>
        <w:spacing w:line="240" w:lineRule="auto"/>
      </w:pPr>
      <w:r>
        <w:separator/>
      </w:r>
    </w:p>
  </w:endnote>
  <w:endnote w:type="continuationSeparator" w:id="0">
    <w:p w14:paraId="486C4C66" w14:textId="77777777" w:rsidR="00634C03" w:rsidRDefault="00634C03" w:rsidP="007E7997">
      <w:pPr>
        <w:spacing w:line="240" w:lineRule="auto"/>
      </w:pPr>
      <w:r>
        <w:continuationSeparator/>
      </w:r>
    </w:p>
  </w:endnote>
  <w:endnote w:type="continuationNotice" w:id="1">
    <w:p w14:paraId="26048F76" w14:textId="77777777" w:rsidR="00634C03" w:rsidRDefault="00634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3053" w14:textId="77777777" w:rsidR="00634C03" w:rsidRDefault="00634C03" w:rsidP="007E7997">
      <w:pPr>
        <w:spacing w:line="240" w:lineRule="auto"/>
      </w:pPr>
      <w:r>
        <w:separator/>
      </w:r>
    </w:p>
  </w:footnote>
  <w:footnote w:type="continuationSeparator" w:id="0">
    <w:p w14:paraId="4C3D0138" w14:textId="77777777" w:rsidR="00634C03" w:rsidRDefault="00634C03" w:rsidP="007E7997">
      <w:pPr>
        <w:spacing w:line="240" w:lineRule="auto"/>
      </w:pPr>
      <w:r>
        <w:continuationSeparator/>
      </w:r>
    </w:p>
  </w:footnote>
  <w:footnote w:type="continuationNotice" w:id="1">
    <w:p w14:paraId="3D4BEFA0" w14:textId="77777777" w:rsidR="00634C03" w:rsidRDefault="00634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En-tt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965B39"/>
    <w:multiLevelType w:val="multilevel"/>
    <w:tmpl w:val="BD54C998"/>
    <w:lvl w:ilvl="0">
      <w:start w:val="1"/>
      <w:numFmt w:val="bullet"/>
      <w:lvlText w:val="‒"/>
      <w:lvlJc w:val="left"/>
      <w:pPr>
        <w:tabs>
          <w:tab w:val="num" w:pos="360"/>
        </w:tabs>
        <w:ind w:left="360" w:hanging="360"/>
      </w:pPr>
      <w:rPr>
        <w:rFonts w:ascii="Lato" w:hAnsi="Lato"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8428931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92D"/>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C03"/>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555"/>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895"/>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E60"/>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87B"/>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 w:type="character" w:customStyle="1" w:styleId="normaltextrun">
    <w:name w:val="normaltextrun"/>
    <w:basedOn w:val="Policepardfau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xtedelespacerserv"/>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edelespacerserv"/>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4895"/>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 w:val="00FF7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60" ma:contentTypeDescription="Crée un document." ma:contentTypeScope="" ma:versionID="d76a735a0e9e442bf7e81eaf372d0a19">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d6984218844ec30565dc513886e2a9ba"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mb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Nombre" ma:index="30" nillable="true" ma:displayName="Nombre" ma:format="Dropdown" ma:internalName="Nombr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e7585d-2ec8-4eff-8eb0-2a5dae3b3336" xsi:nil="true"/>
    <_dlc_DocId xmlns="b9e7585d-2ec8-4eff-8eb0-2a5dae3b3336">WDPCNM7KEHA6-1418529512-506635</_dlc_DocId>
    <_dlc_DocIdUrl xmlns="b9e7585d-2ec8-4eff-8eb0-2a5dae3b3336">
      <Url>https://lafep.sharepoint.com/sites/AFEP-Partage/_layouts/15/DocIdRedir.aspx?ID=WDPCNM7KEHA6-1418529512-506635</Url>
      <Description>WDPCNM7KEHA6-1418529512-506635</Description>
    </_dlc_DocIdUrl>
    <_dlc_DocIdPersistId xmlns="b9e7585d-2ec8-4eff-8eb0-2a5dae3b3336" xsi:nil="true"/>
    <Nombre xmlns="3a7a7858-319f-4063-9ead-c74d916519b8" xsi:nil="true"/>
    <lcf76f155ced4ddcb4097134ff3c332f xmlns="3a7a7858-319f-4063-9ead-c74d916519b8">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F68206-7162-4549-A79D-2FD5BA7D4054}"/>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3047</Words>
  <Characters>16760</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Lé Quang TRAN VAN</cp:lastModifiedBy>
  <cp:revision>5</cp:revision>
  <cp:lastPrinted>2023-09-09T09:53:00Z</cp:lastPrinted>
  <dcterms:created xsi:type="dcterms:W3CDTF">2026-06-30T16:27:00Z</dcterms:created>
  <dcterms:modified xsi:type="dcterms:W3CDTF">2026-06-30T16:29:00Z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b7d1225e-2f7f-4b66-baf4-3d37fbb676da</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