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olo"/>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olo"/>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olo"/>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olo"/>
            <w:tabs>
              <w:tab w:val="center" w:pos="4536"/>
            </w:tabs>
          </w:pPr>
          <w:r>
            <w:t xml:space="preserve">Reply </w:t>
          </w:r>
          <w:r w:rsidR="00DD03DC">
            <w:t>F</w:t>
          </w:r>
          <w:r>
            <w:t>orm</w:t>
          </w:r>
          <w:r w:rsidR="00FA1BF6">
            <w:tab/>
          </w:r>
        </w:p>
        <w:p w14:paraId="031F2108" w14:textId="042F6D9B" w:rsidR="007E7997" w:rsidRPr="00C01571" w:rsidRDefault="005B1C75" w:rsidP="00D77369">
          <w:pPr>
            <w:pStyle w:val="Sottotitolo"/>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ottotitolo"/>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Paragrafoelenco"/>
            <w:rPr>
              <w:lang w:val="en-GB"/>
            </w:rPr>
          </w:pPr>
          <w:r w:rsidRPr="00DB2FD6">
            <w:rPr>
              <w:lang w:val="en-GB"/>
            </w:rPr>
            <w:t>respond to the question stated;</w:t>
          </w:r>
        </w:p>
        <w:p w14:paraId="72FD40F6" w14:textId="77777777" w:rsidR="002533FC" w:rsidRPr="00DB2FD6" w:rsidRDefault="002533FC" w:rsidP="00EC6066">
          <w:pPr>
            <w:pStyle w:val="Paragrafoelenco"/>
            <w:rPr>
              <w:lang w:val="en-GB"/>
            </w:rPr>
          </w:pPr>
          <w:r w:rsidRPr="00DB2FD6">
            <w:rPr>
              <w:lang w:val="en-GB"/>
            </w:rPr>
            <w:t>indicate the specific question to which the comment relates;</w:t>
          </w:r>
        </w:p>
        <w:p w14:paraId="78B206B7" w14:textId="77777777" w:rsidR="002533FC" w:rsidRPr="00E13D25" w:rsidRDefault="002533FC" w:rsidP="00EC6066">
          <w:pPr>
            <w:pStyle w:val="Paragrafoelenco"/>
          </w:pPr>
          <w:r w:rsidRPr="00E13D25">
            <w:t>contain a clear rationale; and</w:t>
          </w:r>
        </w:p>
        <w:p w14:paraId="60B8834E" w14:textId="77777777" w:rsidR="002533FC" w:rsidRPr="00DB2FD6" w:rsidRDefault="002533FC" w:rsidP="00EC6066">
          <w:pPr>
            <w:pStyle w:val="Paragrafoelenco"/>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Collegamentoipertestuale"/>
              </w:rPr>
              <w:t>www.esma.europa.eu</w:t>
            </w:r>
          </w:hyperlink>
          <w:r w:rsidRPr="005B6B12">
            <w:t xml:space="preserve"> under the heading ‘Your input - Consultations’. </w:t>
          </w:r>
        </w:p>
        <w:p w14:paraId="5E44C845" w14:textId="77777777" w:rsidR="00EC6066" w:rsidRPr="0026459D" w:rsidRDefault="00EC6066" w:rsidP="00EC6066">
          <w:pPr>
            <w:pStyle w:val="Sottotitolo"/>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Collegamentoipertestuale"/>
              </w:rPr>
              <w:t>www.esma.europa.eu</w:t>
            </w:r>
          </w:hyperlink>
          <w:r w:rsidRPr="005B6B12">
            <w:t xml:space="preserve"> under the heading </w:t>
          </w:r>
          <w:r w:rsidRPr="00025A7F">
            <w:rPr>
              <w:rStyle w:val="Collegamentoipertestuale"/>
            </w:rPr>
            <w:t>‘</w:t>
          </w:r>
          <w:hyperlink r:id="rId17" w:history="1">
            <w:r>
              <w:rPr>
                <w:rStyle w:val="Collegamentoipertestuale"/>
              </w:rPr>
              <w:t>Data protection</w:t>
            </w:r>
          </w:hyperlink>
          <w:r>
            <w:rPr>
              <w:rStyle w:val="Collegamentoipertestuale"/>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Titolo1"/>
        <w:rPr>
          <w:lang w:val="fr-BE"/>
        </w:rPr>
      </w:pPr>
      <w:r>
        <w:rPr>
          <w:lang w:val="fr-BE"/>
        </w:rPr>
        <w:lastRenderedPageBreak/>
        <w:t xml:space="preserve">General information about </w:t>
      </w:r>
      <w:r w:rsidRPr="00501EF4">
        <w:t>respondent</w:t>
      </w:r>
    </w:p>
    <w:tbl>
      <w:tblPr>
        <w:tblStyle w:val="Grigliatabella"/>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tc>
          <w:tcPr>
            <w:tcW w:w="4531" w:type="dxa"/>
          </w:tcPr>
          <w:p w14:paraId="5C8A6928" w14:textId="1F9322CD" w:rsidR="00E40D2C" w:rsidRPr="00557BD2" w:rsidRDefault="002556A4">
            <w:sdt>
              <w:sdtPr>
                <w:id w:val="925615268"/>
                <w:placeholder>
                  <w:docPart w:val="BB304192735D4F2E9B95179F2819F853"/>
                </w:placeholder>
              </w:sdtPr>
              <w:sdtEndPr/>
              <w:sdtContent>
                <w:r w:rsidR="0092787D">
                  <w:t>Italian Banking Association</w:t>
                </w:r>
                <w:r w:rsidR="00BB377C">
                  <w:t xml:space="preserve"> (ABI)</w:t>
                </w:r>
              </w:sdtContent>
            </w:sdt>
          </w:p>
        </w:tc>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EndPr/>
          <w:sdtContent>
            <w:tc>
              <w:tcPr>
                <w:tcW w:w="4531" w:type="dxa"/>
              </w:tcPr>
              <w:p w14:paraId="22ECE1B6" w14:textId="616A5818" w:rsidR="00E40D2C" w:rsidRDefault="009A38FA">
                <w:r>
                  <w:t>Other</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permStart w:id="1385105873" w:edGrp="everyone" w:displacedByCustomXml="prev"/>
            <w:tc>
              <w:tcPr>
                <w:tcW w:w="4531" w:type="dxa"/>
                <w:vAlign w:val="center"/>
              </w:tcPr>
              <w:p w14:paraId="7AB9C082" w14:textId="08B55F2B" w:rsidR="002262FA" w:rsidRDefault="009A38FA"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922924511" w:edGrp="everyone" w:displacedByCustomXml="prev"/>
            <w:tc>
              <w:tcPr>
                <w:tcW w:w="4531" w:type="dxa"/>
              </w:tcPr>
              <w:p w14:paraId="5BB12D35" w14:textId="66BFFC3E" w:rsidR="00E40D2C" w:rsidRPr="00557BD2" w:rsidRDefault="009A38FA">
                <w:r>
                  <w:t>Italy</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Titolo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186E952D" w14:textId="02A63EB6" w:rsidR="00847388" w:rsidRPr="00D41CC3" w:rsidRDefault="00847388" w:rsidP="00847388">
      <w:pPr>
        <w:rPr>
          <w:color w:val="0070C0"/>
          <w:szCs w:val="22"/>
        </w:rPr>
      </w:pPr>
      <w:permStart w:id="1150511936" w:edGrp="everyone"/>
      <w:r w:rsidRPr="00D41CC3">
        <w:rPr>
          <w:color w:val="0070C0"/>
          <w:szCs w:val="22"/>
        </w:rPr>
        <w:t xml:space="preserve">In our opinion, the market structure summarized in figure 1 offers a clear view and understanding on how on-book and off-book trading activity is devisable across the various types of auctions (for multilateral venues) and other types of execution venues. We agree that both the subcategories named “OTC-XOFF” (OTC not reported by SIs) and “SI-OTC” (OTC reported by an investments firm which is also an SI) be clustered under “OTC” and matched with the </w:t>
      </w:r>
      <w:r w:rsidRPr="00D41CC3">
        <w:rPr>
          <w:i/>
          <w:iCs/>
          <w:color w:val="0070C0"/>
          <w:szCs w:val="22"/>
        </w:rPr>
        <w:t>non-addressable</w:t>
      </w:r>
      <w:r w:rsidRPr="00D41CC3">
        <w:rPr>
          <w:color w:val="0070C0"/>
          <w:szCs w:val="22"/>
        </w:rPr>
        <w:t xml:space="preserve"> liquidity category.</w:t>
      </w:r>
    </w:p>
    <w:p w14:paraId="74845BAD" w14:textId="71025C92" w:rsidR="003A33E5" w:rsidRDefault="00847388" w:rsidP="00847388">
      <w:r w:rsidRPr="00D41CC3">
        <w:rPr>
          <w:color w:val="0070C0"/>
          <w:szCs w:val="22"/>
        </w:rPr>
        <w:t xml:space="preserve">We also appreciate and value the fact that the analysis is based on transaction reporting data gathered over a sufficiently wide time frame (2022-2025). However, as further explained in the following answers, we would have expected ESMA to use this opportunity to complement the trends (emerging from TR data) with a parallel analysis of </w:t>
      </w:r>
      <w:r w:rsidRPr="00D41CC3">
        <w:rPr>
          <w:color w:val="0070C0"/>
          <w:szCs w:val="22"/>
          <w:u w:val="single"/>
        </w:rPr>
        <w:t>trends</w:t>
      </w:r>
      <w:r w:rsidRPr="00D41CC3">
        <w:rPr>
          <w:color w:val="0070C0"/>
          <w:szCs w:val="22"/>
        </w:rPr>
        <w:t xml:space="preserve"> in market access fees/fee structures. In our opinion, some of the trends identified by ESMA are better explained by the raising trend in the cost of trading on Trading Venues in recent years (as reported by our members) rather than by the mere willingness of market players to trade outside MR and MTF. Also, t</w:t>
      </w:r>
      <w:r w:rsidRPr="00D41CC3">
        <w:rPr>
          <w:rFonts w:cs="Arial"/>
          <w:color w:val="0070C0"/>
          <w:szCs w:val="22"/>
        </w:rPr>
        <w:t>he importance of best execution requires making the most of the various range of trading mechanisms to allow participants to optimise outcomes by selecting the most appropriate method for each order and this might contribute to explain (part of) the slightly decreasing trend in the turnover on MR and MTF</w:t>
      </w:r>
      <w:r>
        <w:rPr>
          <w:rFonts w:cs="Arial"/>
          <w:color w:val="0070C0"/>
          <w:szCs w:val="22"/>
        </w:rPr>
        <w:t>.</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754BE1A4" w14:textId="582084DB" w:rsidR="003A33E5" w:rsidRDefault="00541DB6" w:rsidP="003A33E5">
      <w:permStart w:id="1720911874" w:edGrp="everyone"/>
      <w:r w:rsidRPr="00D41CC3">
        <w:rPr>
          <w:color w:val="0070C0"/>
          <w:szCs w:val="22"/>
        </w:rPr>
        <w:t>We are broadly in line with ESMA’s considerations on “XOFF” transactions as we share the idea that these transactions belong to the category of OTC activity and they are reported (at least to some extent) by an investment firms which are also SIs</w:t>
      </w:r>
      <w:r>
        <w:rPr>
          <w:color w:val="0070C0"/>
          <w:szCs w:val="22"/>
        </w:rPr>
        <w:t>.</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30857A3D" w14:textId="1382754C" w:rsidR="00037561" w:rsidRPr="00D41CC3" w:rsidRDefault="00037561" w:rsidP="00037561">
      <w:pPr>
        <w:spacing w:after="120" w:line="264" w:lineRule="auto"/>
        <w:rPr>
          <w:color w:val="0070C0"/>
          <w:szCs w:val="22"/>
        </w:rPr>
      </w:pPr>
      <w:permStart w:id="1070029581" w:edGrp="everyone"/>
      <w:r w:rsidRPr="00D41CC3">
        <w:rPr>
          <w:color w:val="0070C0"/>
          <w:szCs w:val="22"/>
        </w:rPr>
        <w:t xml:space="preserve">Overall, we agree with the general trends identified by ESMA in terms of i) the overall decrease in continuous lit order book trading (CLOB), ii) the significant growth of other types of on-book trading such as Closing Auctions and FBAs, that offset the above-mentioned decrease of CLOB, iii) the relatively modest increase of the use of LIS and RP waivers (respectively, </w:t>
      </w:r>
      <w:r w:rsidRPr="00D41CC3">
        <w:rPr>
          <w:i/>
          <w:iCs/>
          <w:color w:val="0070C0"/>
          <w:szCs w:val="22"/>
        </w:rPr>
        <w:t xml:space="preserve">large-in-scale </w:t>
      </w:r>
      <w:r w:rsidRPr="00D41CC3">
        <w:rPr>
          <w:color w:val="0070C0"/>
          <w:szCs w:val="22"/>
        </w:rPr>
        <w:t xml:space="preserve">and </w:t>
      </w:r>
      <w:r w:rsidRPr="00D41CC3">
        <w:rPr>
          <w:i/>
          <w:iCs/>
          <w:color w:val="0070C0"/>
          <w:szCs w:val="22"/>
        </w:rPr>
        <w:t>reference price</w:t>
      </w:r>
      <w:r w:rsidRPr="00D41CC3">
        <w:rPr>
          <w:color w:val="0070C0"/>
          <w:szCs w:val="22"/>
        </w:rPr>
        <w:t xml:space="preserve">). </w:t>
      </w:r>
    </w:p>
    <w:p w14:paraId="0BAF3E78" w14:textId="73CDC916" w:rsidR="00037561" w:rsidRPr="00D41CC3" w:rsidRDefault="00037561" w:rsidP="00037561">
      <w:pPr>
        <w:spacing w:after="120" w:line="264" w:lineRule="auto"/>
        <w:rPr>
          <w:color w:val="0070C0"/>
          <w:szCs w:val="22"/>
        </w:rPr>
      </w:pPr>
      <w:r w:rsidRPr="00D41CC3">
        <w:rPr>
          <w:color w:val="0070C0"/>
          <w:szCs w:val="22"/>
        </w:rPr>
        <w:t xml:space="preserve">As it regards the </w:t>
      </w:r>
      <w:r w:rsidRPr="00D41CC3">
        <w:rPr>
          <w:i/>
          <w:iCs/>
          <w:color w:val="0070C0"/>
          <w:szCs w:val="22"/>
        </w:rPr>
        <w:t>on-book trading</w:t>
      </w:r>
      <w:r w:rsidRPr="00D41CC3">
        <w:rPr>
          <w:color w:val="0070C0"/>
          <w:szCs w:val="22"/>
        </w:rPr>
        <w:t>, on the basis of our members’ feedback, we believe that a reallocation between continuous trading and auctions has taken place, rather than a general reduction in multilateral trading per se, as mentioned in ESMA’s paper. Such shifts are part of a long-term structural evolution that is clearly observable over the 2022–2025 timeframe examined by ESMA. However, they have to be framed into a context in which multiple variables play a role in market player decisions when serving their clients at best.</w:t>
      </w:r>
    </w:p>
    <w:p w14:paraId="5CFC3FEF" w14:textId="77777777" w:rsidR="00037561" w:rsidRPr="00D41CC3" w:rsidRDefault="00037561" w:rsidP="00037561">
      <w:pPr>
        <w:spacing w:after="120" w:line="264" w:lineRule="auto"/>
        <w:rPr>
          <w:color w:val="0070C0"/>
          <w:szCs w:val="22"/>
        </w:rPr>
      </w:pPr>
      <w:r w:rsidRPr="00D41CC3">
        <w:rPr>
          <w:color w:val="0070C0"/>
          <w:szCs w:val="22"/>
        </w:rPr>
        <w:t>Finally, ABI shares ESMA’s view that, across the time frame considered, the level of addressable liquidity has not undergone material changes.</w:t>
      </w:r>
    </w:p>
    <w:p w14:paraId="47C8C198" w14:textId="1F142E9C" w:rsidR="003A33E5" w:rsidRDefault="00037561" w:rsidP="00037561">
      <w:r w:rsidRPr="00D41CC3">
        <w:rPr>
          <w:color w:val="0070C0"/>
          <w:szCs w:val="22"/>
        </w:rPr>
        <w:t>As for “other trends”, also in terms of competitive pressure, please refer to our answer to Q.5, as we believe that trends on costs / fees are also important to complement this CfE analysis and conclusions</w:t>
      </w:r>
      <w:r>
        <w:rPr>
          <w:color w:val="0070C0"/>
          <w:szCs w:val="22"/>
        </w:rPr>
        <w:t>.</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2604A528" w14:textId="5E7AB9C5" w:rsidR="00E40612" w:rsidRPr="00D41CC3" w:rsidRDefault="00E40612" w:rsidP="00E40612">
      <w:pPr>
        <w:rPr>
          <w:rFonts w:cs="Arial"/>
          <w:color w:val="0070C0"/>
          <w:szCs w:val="22"/>
        </w:rPr>
      </w:pPr>
      <w:permStart w:id="856752782" w:edGrp="everyone"/>
      <w:r w:rsidRPr="00D41CC3">
        <w:rPr>
          <w:rFonts w:cs="Arial"/>
          <w:color w:val="0070C0"/>
          <w:szCs w:val="22"/>
        </w:rPr>
        <w:t xml:space="preserve">A possible concern relates to the fragmentation of the European trading landscape. This materializes mainly in two ways: liquidity on a single stock can be split across venues and execution channels (‘intra-market fragmentation’) and across borders (‘cross-market fragmentation’). For brokers, such fragmentation implies the </w:t>
      </w:r>
      <w:r w:rsidR="001D773D" w:rsidRPr="00D41CC3">
        <w:rPr>
          <w:rFonts w:cs="Arial"/>
          <w:color w:val="0070C0"/>
          <w:szCs w:val="22"/>
        </w:rPr>
        <w:t>ineludibly</w:t>
      </w:r>
      <w:r w:rsidRPr="00D41CC3">
        <w:rPr>
          <w:rFonts w:cs="Arial"/>
          <w:color w:val="0070C0"/>
          <w:szCs w:val="22"/>
        </w:rPr>
        <w:t xml:space="preserve"> need to have access to a relatively high number of execution venues in order to reach a substantial level of (addressable) liquidity. This, in turn, requires them to withstand significant resources and costs, which may hinder investments in connectivity, product development and innovation. </w:t>
      </w:r>
    </w:p>
    <w:p w14:paraId="1B40A51C" w14:textId="77777777" w:rsidR="00E40612" w:rsidRPr="00D41CC3" w:rsidRDefault="00E40612" w:rsidP="00E40612">
      <w:pPr>
        <w:rPr>
          <w:rFonts w:cs="Arial"/>
          <w:color w:val="0070C0"/>
          <w:szCs w:val="22"/>
        </w:rPr>
      </w:pPr>
      <w:r w:rsidRPr="00D41CC3">
        <w:rPr>
          <w:rFonts w:cs="Arial"/>
          <w:color w:val="0070C0"/>
          <w:szCs w:val="22"/>
        </w:rPr>
        <w:lastRenderedPageBreak/>
        <w:t>That said, we are aware that the existence of a diversified trading ecosystem translates into (or is the result of) a greater and healthy variety of liquidity providers which, indeed, are not features deserving to be automatically considered negative. The choice of execution is led by best execution requirements. Therefore, access to a various range of trading mechanisms allows market participants to optimise outcomes. They can select the most appropriate venues and method for each order, providing bespoke solutions rather than relying on a single model. In the end, concentration of liquidity provisions, variety of liquidity provision, and innovation and competition, will eventually find a balance within the market ecosystem.</w:t>
      </w:r>
    </w:p>
    <w:p w14:paraId="37E368FA" w14:textId="13B0098C" w:rsidR="003A33E5" w:rsidRDefault="00E40612" w:rsidP="00E40612">
      <w:r w:rsidRPr="00D41CC3">
        <w:rPr>
          <w:rFonts w:cs="Arial"/>
          <w:color w:val="0070C0"/>
          <w:szCs w:val="22"/>
        </w:rPr>
        <w:t>In this context, an important role will be performed by the Consolidated Tape (CT), soon to come into operation: an effective, high-quality CT is likely to provide a comprehensive precise view of the available liquidity across different execution methods, thereby fostering more efficient access and routing,  contributing to transparency and supporting price formation</w:t>
      </w:r>
      <w:r>
        <w:rPr>
          <w:rFonts w:cs="Arial"/>
          <w:color w:val="0070C0"/>
          <w:szCs w:val="22"/>
        </w:rPr>
        <w:t>.</w:t>
      </w:r>
    </w:p>
    <w:permEnd w:id="856752782"/>
    <w:p w14:paraId="2A3F17E9" w14:textId="77777777"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1B422BAD" w14:textId="7726A6D2" w:rsidR="001418B1" w:rsidRPr="00D41CC3" w:rsidRDefault="001418B1" w:rsidP="001418B1">
      <w:pPr>
        <w:rPr>
          <w:rFonts w:cs="Arial"/>
          <w:color w:val="0070C0"/>
          <w:szCs w:val="22"/>
        </w:rPr>
      </w:pPr>
      <w:permStart w:id="617826185" w:edGrp="everyone"/>
      <w:r w:rsidRPr="00D41CC3">
        <w:rPr>
          <w:color w:val="0070C0"/>
          <w:szCs w:val="22"/>
        </w:rPr>
        <w:t xml:space="preserve">We welcome this question. Indeed, having consulted our members, we gathered a unanimous view that the decreasing trend in trading activity on </w:t>
      </w:r>
      <w:r w:rsidRPr="00D41CC3">
        <w:rPr>
          <w:i/>
          <w:iCs/>
          <w:color w:val="0070C0"/>
          <w:szCs w:val="22"/>
        </w:rPr>
        <w:t xml:space="preserve">lit venues </w:t>
      </w:r>
      <w:r w:rsidRPr="00D41CC3">
        <w:rPr>
          <w:color w:val="0070C0"/>
          <w:szCs w:val="22"/>
        </w:rPr>
        <w:t>and</w:t>
      </w:r>
      <w:r w:rsidRPr="00D41CC3">
        <w:rPr>
          <w:i/>
          <w:iCs/>
          <w:color w:val="0070C0"/>
          <w:szCs w:val="22"/>
        </w:rPr>
        <w:t xml:space="preserve"> </w:t>
      </w:r>
      <w:r w:rsidRPr="00D41CC3">
        <w:rPr>
          <w:color w:val="0070C0"/>
          <w:szCs w:val="22"/>
        </w:rPr>
        <w:t>on the wider</w:t>
      </w:r>
      <w:r w:rsidRPr="00D41CC3">
        <w:rPr>
          <w:i/>
          <w:iCs/>
          <w:color w:val="0070C0"/>
          <w:szCs w:val="22"/>
        </w:rPr>
        <w:t xml:space="preserve"> on-book trading </w:t>
      </w:r>
      <w:r w:rsidRPr="00D41CC3">
        <w:rPr>
          <w:color w:val="0070C0"/>
          <w:szCs w:val="22"/>
        </w:rPr>
        <w:t xml:space="preserve">steadily observed across recent years is explained by a corresponding steadily increase in the fee structures of such lit venues. Such expensive trend for the admission and trading of equity instruments is the key to explain the (still less-than-) proportionate increase in trading volumes off-book (on other execution venues). Our members emphasise that the cost-profile and trends for MR, MTF and OTF is the main actual </w:t>
      </w:r>
      <w:r w:rsidRPr="00D41CC3">
        <w:rPr>
          <w:i/>
          <w:iCs/>
          <w:color w:val="0070C0"/>
          <w:szCs w:val="22"/>
        </w:rPr>
        <w:t>explanation key</w:t>
      </w:r>
      <w:r w:rsidRPr="00D41CC3">
        <w:rPr>
          <w:color w:val="0070C0"/>
          <w:szCs w:val="22"/>
        </w:rPr>
        <w:t xml:space="preserve"> to understand the development and “success” of Equity Sis. </w:t>
      </w:r>
      <w:r w:rsidR="00EF4820">
        <w:rPr>
          <w:color w:val="0070C0"/>
          <w:szCs w:val="22"/>
        </w:rPr>
        <w:t>F</w:t>
      </w:r>
      <w:r w:rsidRPr="00D41CC3">
        <w:rPr>
          <w:color w:val="0070C0"/>
          <w:szCs w:val="22"/>
        </w:rPr>
        <w:t xml:space="preserve">ees charged by MR/MTF for the most liquid equities are still in the middle of an upward trend initiated around 2020/2021, having reached and overtaken what is considered to be a reasonably costly/expensive level. In addition, non-multilateral execution venues have become increasingly electronic. SIs are also able to offer tighter bid-ask spreads compared to the past, while applying “more proportionate”, and in practice lower, fees). These factors have contributed to the observed increase in volumes by equity SIs, particularly for smaller market users. As we know, </w:t>
      </w:r>
      <w:r w:rsidRPr="00D41CC3">
        <w:rPr>
          <w:rFonts w:cs="Arial"/>
          <w:color w:val="0070C0"/>
          <w:szCs w:val="22"/>
        </w:rPr>
        <w:t xml:space="preserve">execution choices are driven by best execution requirements and based on a number of key factors, i.e. size of the orders, liquidity, market impact, timing and certainty of execution. Therefore, as long as participants are in the position to have access to a relatively various range of trading mechanisms, they can effectively select </w:t>
      </w:r>
      <w:r w:rsidRPr="00D41CC3">
        <w:rPr>
          <w:rFonts w:cs="Arial"/>
          <w:color w:val="0070C0"/>
          <w:szCs w:val="22"/>
        </w:rPr>
        <w:lastRenderedPageBreak/>
        <w:t>the most appropriate one and, therefore, optimize the outcome for their client(s). In this context, bilateral liquidity and SIs (continue to) play a key role where risk transfer, immediacy and reduced information leakage are key. Overall, the variety of execution methods in the EU trading landscape helps providing tailored solutions and better outcomes for various categories of end investors. In particular, the competitive success of alternative execution venues and even of certain RMs and MTFs (those that provide dark equity trading services) is driven, to a material extent, by their capacity to provide customized services at accessible and competitive cost levels.</w:t>
      </w:r>
    </w:p>
    <w:p w14:paraId="549240AC" w14:textId="56BE9C10" w:rsidR="001418B1" w:rsidRPr="00D41CC3" w:rsidRDefault="001418B1" w:rsidP="001418B1">
      <w:pPr>
        <w:rPr>
          <w:color w:val="0070C0"/>
          <w:szCs w:val="22"/>
        </w:rPr>
      </w:pPr>
      <w:r w:rsidRPr="00D41CC3">
        <w:rPr>
          <w:color w:val="0070C0"/>
          <w:szCs w:val="22"/>
        </w:rPr>
        <w:t xml:space="preserve">Exchanges (i.e. the operators of MR and MTF) legitimately respond to shareholders and for-profit logics. However, once a specific MR or MTF reaches stable average trading volumes, the </w:t>
      </w:r>
      <w:r w:rsidR="00E67691">
        <w:rPr>
          <w:color w:val="0070C0"/>
          <w:szCs w:val="22"/>
        </w:rPr>
        <w:t xml:space="preserve">remaining </w:t>
      </w:r>
      <w:r w:rsidRPr="00D41CC3">
        <w:rPr>
          <w:color w:val="0070C0"/>
          <w:szCs w:val="22"/>
        </w:rPr>
        <w:t xml:space="preserve">way to increase profits may be </w:t>
      </w:r>
      <w:r w:rsidR="006F2E2A">
        <w:rPr>
          <w:color w:val="0070C0"/>
          <w:szCs w:val="22"/>
        </w:rPr>
        <w:t>that of leveraging / r</w:t>
      </w:r>
      <w:r w:rsidRPr="00D41CC3">
        <w:rPr>
          <w:color w:val="0070C0"/>
          <w:szCs w:val="22"/>
        </w:rPr>
        <w:t>ais</w:t>
      </w:r>
      <w:r w:rsidR="006F2E2A">
        <w:rPr>
          <w:color w:val="0070C0"/>
          <w:szCs w:val="22"/>
        </w:rPr>
        <w:t>ing</w:t>
      </w:r>
      <w:r w:rsidRPr="00D41CC3">
        <w:rPr>
          <w:color w:val="0070C0"/>
          <w:szCs w:val="22"/>
        </w:rPr>
        <w:t xml:space="preserve"> membership and trading fees. This can be counterproductive and </w:t>
      </w:r>
      <w:r w:rsidR="00314D39">
        <w:rPr>
          <w:color w:val="0070C0"/>
          <w:szCs w:val="22"/>
        </w:rPr>
        <w:t xml:space="preserve">it tends to </w:t>
      </w:r>
      <w:r w:rsidRPr="00D41CC3">
        <w:rPr>
          <w:color w:val="0070C0"/>
          <w:szCs w:val="22"/>
        </w:rPr>
        <w:t>lead markets participants, when executing orders</w:t>
      </w:r>
      <w:r w:rsidR="00314D39">
        <w:rPr>
          <w:color w:val="0070C0"/>
          <w:szCs w:val="22"/>
        </w:rPr>
        <w:t>,</w:t>
      </w:r>
      <w:r w:rsidRPr="00D41CC3">
        <w:rPr>
          <w:color w:val="0070C0"/>
          <w:szCs w:val="22"/>
        </w:rPr>
        <w:t xml:space="preserve"> to route part of the</w:t>
      </w:r>
      <w:r w:rsidR="00314D39">
        <w:rPr>
          <w:color w:val="0070C0"/>
          <w:szCs w:val="22"/>
        </w:rPr>
        <w:t>ir</w:t>
      </w:r>
      <w:r w:rsidRPr="00D41CC3">
        <w:rPr>
          <w:color w:val="0070C0"/>
          <w:szCs w:val="22"/>
        </w:rPr>
        <w:t xml:space="preserve"> order flow</w:t>
      </w:r>
      <w:r w:rsidR="00314D39">
        <w:rPr>
          <w:color w:val="0070C0"/>
          <w:szCs w:val="22"/>
        </w:rPr>
        <w:t>(s)</w:t>
      </w:r>
      <w:r w:rsidRPr="00D41CC3">
        <w:rPr>
          <w:color w:val="0070C0"/>
          <w:szCs w:val="22"/>
        </w:rPr>
        <w:t xml:space="preserve"> away from MR and MTF. </w:t>
      </w:r>
    </w:p>
    <w:p w14:paraId="001B0622" w14:textId="3AF495FD" w:rsidR="003A33E5" w:rsidRDefault="001418B1" w:rsidP="001418B1">
      <w:r w:rsidRPr="00D41CC3">
        <w:rPr>
          <w:color w:val="0070C0"/>
          <w:szCs w:val="22"/>
        </w:rPr>
        <w:t xml:space="preserve">In this respect, the increasing cost of </w:t>
      </w:r>
      <w:r w:rsidRPr="0080084E">
        <w:rPr>
          <w:color w:val="0070C0"/>
          <w:szCs w:val="22"/>
          <w:u w:val="single"/>
        </w:rPr>
        <w:t>market data</w:t>
      </w:r>
      <w:r w:rsidRPr="00D41CC3">
        <w:rPr>
          <w:color w:val="0070C0"/>
          <w:szCs w:val="22"/>
        </w:rPr>
        <w:t xml:space="preserve"> should also be considered as a relevant driver. For banks and investment firms, access to liquidity across multiple venues does not only require membership arrangements and trading connectivity, but also the acquisition, integration and continuous use of high-quality pre- and post-trade market data. The steady increase in </w:t>
      </w:r>
      <w:r w:rsidRPr="00293D15">
        <w:rPr>
          <w:color w:val="0070C0"/>
          <w:szCs w:val="22"/>
          <w:u w:val="single"/>
        </w:rPr>
        <w:t>market data</w:t>
      </w:r>
      <w:r w:rsidRPr="00D41CC3">
        <w:rPr>
          <w:color w:val="0070C0"/>
          <w:szCs w:val="22"/>
        </w:rPr>
        <w:t xml:space="preserve"> fees, together with complex licensing models and audit requirements, raises the </w:t>
      </w:r>
      <w:r w:rsidRPr="00293D15">
        <w:rPr>
          <w:color w:val="0070C0"/>
          <w:szCs w:val="22"/>
          <w:u w:val="single"/>
        </w:rPr>
        <w:t>overall “cost of market access</w:t>
      </w:r>
      <w:r w:rsidRPr="00D41CC3">
        <w:rPr>
          <w:color w:val="0070C0"/>
          <w:szCs w:val="22"/>
        </w:rPr>
        <w:t xml:space="preserve"> and may affect the ability of intermediaries</w:t>
      </w:r>
      <w:r w:rsidR="004F5BF4" w:rsidRPr="00D41CC3">
        <w:rPr>
          <w:color w:val="0070C0"/>
          <w:szCs w:val="22"/>
        </w:rPr>
        <w:t xml:space="preserve"> </w:t>
      </w:r>
      <w:r w:rsidR="004F5BF4">
        <w:rPr>
          <w:color w:val="0070C0"/>
          <w:szCs w:val="22"/>
        </w:rPr>
        <w:t>–</w:t>
      </w:r>
      <w:r w:rsidR="004F5BF4" w:rsidRPr="00D41CC3">
        <w:rPr>
          <w:color w:val="0070C0"/>
          <w:szCs w:val="22"/>
        </w:rPr>
        <w:t xml:space="preserve"> </w:t>
      </w:r>
      <w:r w:rsidRPr="00D41CC3">
        <w:rPr>
          <w:color w:val="0070C0"/>
          <w:szCs w:val="22"/>
        </w:rPr>
        <w:t xml:space="preserve">especially smaller and medium-sized firms </w:t>
      </w:r>
      <w:r w:rsidR="004F5BF4">
        <w:rPr>
          <w:color w:val="0070C0"/>
          <w:szCs w:val="22"/>
        </w:rPr>
        <w:t>–</w:t>
      </w:r>
      <w:r w:rsidRPr="00D41CC3">
        <w:rPr>
          <w:color w:val="0070C0"/>
          <w:szCs w:val="22"/>
        </w:rPr>
        <w:t xml:space="preserve"> to maintain broad venue coverage, invest in innovation and provide competitive execution services to clients.</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2CD6A9B8" w14:textId="00228E23" w:rsidR="00352A5F" w:rsidRPr="00D41CC3" w:rsidRDefault="00352A5F" w:rsidP="00352A5F">
      <w:pPr>
        <w:rPr>
          <w:rFonts w:cs="Arial"/>
          <w:color w:val="0070C0"/>
          <w:szCs w:val="22"/>
        </w:rPr>
      </w:pPr>
      <w:permStart w:id="1898151376" w:edGrp="everyone"/>
      <w:r w:rsidRPr="00D41CC3">
        <w:rPr>
          <w:rFonts w:cs="Arial"/>
          <w:color w:val="0070C0"/>
          <w:szCs w:val="22"/>
        </w:rPr>
        <w:t xml:space="preserve">As indicated in our answer to Q.4 above, for brokers, fragmentation implies the need to have access to a relatively huge number of execution venues in order to have a substantial level of addressable liquidity. This requires significant resources and huge costs can hinder investments in connectivity, product development and innovation. </w:t>
      </w:r>
    </w:p>
    <w:p w14:paraId="539AAB43" w14:textId="4239B67D" w:rsidR="003A33E5" w:rsidRDefault="00352A5F" w:rsidP="00352A5F">
      <w:r w:rsidRPr="00D41CC3">
        <w:rPr>
          <w:rFonts w:cs="Arial"/>
          <w:color w:val="0070C0"/>
          <w:szCs w:val="22"/>
        </w:rPr>
        <w:t>Please, refer to further considerations reported in our answer to Q.4.</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7A75D0EE" w14:textId="3C3C88AF" w:rsidR="005439CE" w:rsidRDefault="005439CE" w:rsidP="005439CE">
      <w:permStart w:id="1102657477" w:edGrp="everyone"/>
      <w:r>
        <w:t>TYPE YOUR TEXT HERE</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1A77713C" w14:textId="77777777" w:rsidR="003A33E5" w:rsidRDefault="003A33E5" w:rsidP="003A33E5">
      <w:permStart w:id="1746406015" w:edGrp="everyone"/>
      <w:r>
        <w:t>TYPE YOUR TEXT HERE</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2F4CC88B" w14:textId="27DC3A8D" w:rsidR="00723108" w:rsidRPr="00D41CC3" w:rsidRDefault="00723108" w:rsidP="00723108">
      <w:pPr>
        <w:rPr>
          <w:color w:val="0070C0"/>
          <w:szCs w:val="22"/>
        </w:rPr>
      </w:pPr>
      <w:permStart w:id="648821160" w:edGrp="everyone"/>
      <w:r w:rsidRPr="00D41CC3">
        <w:rPr>
          <w:color w:val="0070C0"/>
          <w:szCs w:val="22"/>
        </w:rPr>
        <w:t>As for the evolution of dark trading, on the basis of the feedback gathered by our members, we can state that, in terms of transaction size</w:t>
      </w:r>
      <w:r w:rsidR="00AA3309">
        <w:rPr>
          <w:color w:val="0070C0"/>
          <w:szCs w:val="22"/>
        </w:rPr>
        <w:t xml:space="preserve">, </w:t>
      </w:r>
      <w:r w:rsidR="00865731" w:rsidRPr="00604EA1">
        <w:rPr>
          <w:color w:val="0070C0"/>
          <w:szCs w:val="22"/>
        </w:rPr>
        <w:t>those executed as “</w:t>
      </w:r>
      <w:r w:rsidR="00865731" w:rsidRPr="004C1F0A">
        <w:rPr>
          <w:i/>
          <w:iCs/>
          <w:color w:val="0070C0"/>
          <w:szCs w:val="22"/>
        </w:rPr>
        <w:t>dark trading on trading venues</w:t>
      </w:r>
      <w:r w:rsidR="00865731" w:rsidRPr="00604EA1">
        <w:rPr>
          <w:color w:val="0070C0"/>
          <w:szCs w:val="22"/>
        </w:rPr>
        <w:t xml:space="preserve">” </w:t>
      </w:r>
      <w:r w:rsidR="00AB692D">
        <w:rPr>
          <w:color w:val="0070C0"/>
          <w:szCs w:val="22"/>
        </w:rPr>
        <w:t xml:space="preserve">(thanks to </w:t>
      </w:r>
      <w:r w:rsidR="00865731" w:rsidRPr="00604EA1">
        <w:rPr>
          <w:color w:val="0070C0"/>
          <w:szCs w:val="22"/>
        </w:rPr>
        <w:t>the use of waivers</w:t>
      </w:r>
      <w:r w:rsidR="00AB692D">
        <w:rPr>
          <w:color w:val="0070C0"/>
          <w:szCs w:val="22"/>
        </w:rPr>
        <w:t>)</w:t>
      </w:r>
      <w:r w:rsidR="00865731">
        <w:rPr>
          <w:color w:val="0070C0"/>
          <w:szCs w:val="22"/>
        </w:rPr>
        <w:t xml:space="preserve"> </w:t>
      </w:r>
      <w:r w:rsidR="00865731" w:rsidRPr="00604EA1">
        <w:rPr>
          <w:color w:val="0070C0"/>
          <w:szCs w:val="22"/>
        </w:rPr>
        <w:t>are trending to</w:t>
      </w:r>
      <w:r w:rsidR="004C1F0A">
        <w:rPr>
          <w:color w:val="0070C0"/>
          <w:szCs w:val="22"/>
        </w:rPr>
        <w:t>wards</w:t>
      </w:r>
      <w:r w:rsidR="00865731" w:rsidRPr="00604EA1">
        <w:rPr>
          <w:color w:val="0070C0"/>
          <w:szCs w:val="22"/>
        </w:rPr>
        <w:t xml:space="preserve"> smaller sizes in comparison with what it was observed till a few years ago</w:t>
      </w:r>
      <w:r w:rsidRPr="00D41CC3">
        <w:rPr>
          <w:color w:val="0070C0"/>
          <w:szCs w:val="22"/>
        </w:rPr>
        <w:t>. This is witnessed as a structural shift and it could be interesting to monitor for some time to check whether the trend “is landing” towards a given “average size” or it continues by further reducing the sizes.</w:t>
      </w:r>
    </w:p>
    <w:p w14:paraId="2FB65955" w14:textId="77777777" w:rsidR="00723108" w:rsidRPr="00D41CC3" w:rsidRDefault="00723108" w:rsidP="00723108">
      <w:pPr>
        <w:rPr>
          <w:rFonts w:cs="Arial"/>
          <w:color w:val="0070C0"/>
          <w:szCs w:val="22"/>
        </w:rPr>
      </w:pPr>
      <w:r w:rsidRPr="00D41CC3">
        <w:rPr>
          <w:rFonts w:cs="Arial"/>
          <w:color w:val="0070C0"/>
          <w:szCs w:val="22"/>
        </w:rPr>
        <w:t>Hence, in short, we see three main trends possibly explaining the hi</w:t>
      </w:r>
      <w:r w:rsidRPr="00D41CC3">
        <w:rPr>
          <w:color w:val="0070C0"/>
          <w:szCs w:val="22"/>
        </w:rPr>
        <w:t>gh share of OTC trading observed in the ISIN’s of some jurisdictions</w:t>
      </w:r>
      <w:r w:rsidRPr="00D41CC3">
        <w:rPr>
          <w:rFonts w:cs="Arial"/>
          <w:color w:val="0070C0"/>
          <w:szCs w:val="22"/>
        </w:rPr>
        <w:t>.</w:t>
      </w:r>
    </w:p>
    <w:p w14:paraId="018DEDBF" w14:textId="77777777" w:rsidR="00723108" w:rsidRPr="00D41CC3" w:rsidRDefault="00723108" w:rsidP="00723108">
      <w:pPr>
        <w:pStyle w:val="Paragrafoelenco"/>
        <w:numPr>
          <w:ilvl w:val="0"/>
          <w:numId w:val="17"/>
        </w:numPr>
        <w:spacing w:after="160" w:line="259" w:lineRule="auto"/>
        <w:contextualSpacing/>
        <w:rPr>
          <w:rFonts w:cs="Arial"/>
          <w:color w:val="0070C0"/>
        </w:rPr>
      </w:pPr>
      <w:r w:rsidRPr="00D41CC3">
        <w:rPr>
          <w:rFonts w:cs="Arial"/>
          <w:color w:val="0070C0"/>
        </w:rPr>
        <w:t>differently from some years ago, a reduction in the size traded and executed in dark trading segment;</w:t>
      </w:r>
    </w:p>
    <w:p w14:paraId="6CE768F5" w14:textId="77777777" w:rsidR="00A916DC" w:rsidRDefault="00723108" w:rsidP="00723108">
      <w:pPr>
        <w:pStyle w:val="Paragrafoelenco"/>
        <w:numPr>
          <w:ilvl w:val="0"/>
          <w:numId w:val="17"/>
        </w:numPr>
        <w:spacing w:after="120" w:line="264" w:lineRule="auto"/>
        <w:contextualSpacing/>
        <w:jc w:val="left"/>
        <w:rPr>
          <w:rFonts w:cs="Arial"/>
          <w:color w:val="0070C0"/>
        </w:rPr>
      </w:pPr>
      <w:r w:rsidRPr="00D41CC3">
        <w:rPr>
          <w:rFonts w:cs="Arial"/>
          <w:color w:val="0070C0"/>
        </w:rPr>
        <w:t>an expansion of the range of dark equity trading services offered by trading venues;</w:t>
      </w:r>
    </w:p>
    <w:p w14:paraId="6CAB21E8" w14:textId="17B74539" w:rsidR="003A33E5" w:rsidRPr="00A916DC" w:rsidRDefault="00723108" w:rsidP="00723108">
      <w:pPr>
        <w:pStyle w:val="Paragrafoelenco"/>
        <w:numPr>
          <w:ilvl w:val="0"/>
          <w:numId w:val="17"/>
        </w:numPr>
        <w:spacing w:after="120" w:line="264" w:lineRule="auto"/>
        <w:contextualSpacing/>
        <w:jc w:val="left"/>
        <w:rPr>
          <w:rFonts w:cs="Arial"/>
          <w:color w:val="0070C0"/>
        </w:rPr>
      </w:pPr>
      <w:r w:rsidRPr="00A916DC">
        <w:rPr>
          <w:rFonts w:cs="Arial"/>
          <w:color w:val="0070C0"/>
        </w:rPr>
        <w:t>a relative stability in the dark trading volumes taken as a whole.</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170BE8E3" w14:textId="3EC71627" w:rsidR="00C7079E" w:rsidRPr="00D41CC3" w:rsidRDefault="00C7079E" w:rsidP="00C7079E">
      <w:pPr>
        <w:rPr>
          <w:rFonts w:cs="Arial"/>
          <w:color w:val="0070C0"/>
          <w:szCs w:val="22"/>
        </w:rPr>
      </w:pPr>
      <w:permStart w:id="733371525" w:edGrp="everyone"/>
      <w:r w:rsidRPr="00D41CC3">
        <w:rPr>
          <w:rFonts w:cs="Arial"/>
          <w:color w:val="0070C0"/>
          <w:szCs w:val="22"/>
        </w:rPr>
        <w:t xml:space="preserve">We do not see a compelling need at this stage for regulatory interventions. On the contrary, </w:t>
      </w:r>
      <w:r w:rsidR="002F05E6">
        <w:rPr>
          <w:rFonts w:cs="Arial"/>
          <w:color w:val="0070C0"/>
          <w:szCs w:val="22"/>
        </w:rPr>
        <w:t>we</w:t>
      </w:r>
      <w:r w:rsidRPr="00D41CC3">
        <w:rPr>
          <w:rFonts w:cs="Arial"/>
          <w:color w:val="0070C0"/>
          <w:szCs w:val="22"/>
        </w:rPr>
        <w:t xml:space="preserve"> believe that</w:t>
      </w:r>
      <w:r w:rsidR="00404C40">
        <w:rPr>
          <w:rFonts w:cs="Arial"/>
          <w:color w:val="0070C0"/>
          <w:szCs w:val="22"/>
        </w:rPr>
        <w:t>, at this stage,</w:t>
      </w:r>
      <w:r w:rsidRPr="00D41CC3">
        <w:rPr>
          <w:rFonts w:cs="Arial"/>
          <w:color w:val="0070C0"/>
          <w:szCs w:val="22"/>
        </w:rPr>
        <w:t xml:space="preserve"> </w:t>
      </w:r>
      <w:r w:rsidR="00404C40">
        <w:rPr>
          <w:rFonts w:cs="Arial"/>
          <w:color w:val="0070C0"/>
          <w:szCs w:val="22"/>
        </w:rPr>
        <w:t xml:space="preserve">it should be pursued the stability of the </w:t>
      </w:r>
      <w:r w:rsidRPr="00D41CC3">
        <w:rPr>
          <w:rFonts w:cs="Arial"/>
          <w:color w:val="0070C0"/>
          <w:szCs w:val="22"/>
        </w:rPr>
        <w:t>regulatory framework. Targeted supervision may represent a more appropriate option to address the concerns and issues that could arise in future, e.g. reduction of liquidity, increase of costs, difficulties in pursuing execution strategies, obstacle(s) to price formation, harm to market integrity.</w:t>
      </w:r>
    </w:p>
    <w:p w14:paraId="489A7F2C" w14:textId="3EF2191E" w:rsidR="003A33E5" w:rsidRDefault="00C7079E" w:rsidP="00C7079E">
      <w:r w:rsidRPr="00D41CC3">
        <w:rPr>
          <w:rFonts w:cs="Arial"/>
          <w:color w:val="0070C0"/>
          <w:szCs w:val="22"/>
        </w:rPr>
        <w:t>We deem it important to adopt a quantitative, data-driven, proportionate approach to regulation and supervision and extremely important to see which outcomes will be derived by the operationalization of the consolidated tape (which is near to come). So, in short, at this stage, a wait-and-see approach should be favoured.</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02E5A1BB" w14:textId="0B9FEFD8" w:rsidR="00C35644" w:rsidRPr="00D41CC3" w:rsidRDefault="00C35644" w:rsidP="00C35644">
      <w:pPr>
        <w:rPr>
          <w:color w:val="0070C0"/>
          <w:szCs w:val="22"/>
        </w:rPr>
      </w:pPr>
      <w:permStart w:id="14425139" w:edGrp="everyone"/>
      <w:r w:rsidRPr="00D41CC3">
        <w:rPr>
          <w:color w:val="0070C0"/>
          <w:szCs w:val="22"/>
        </w:rPr>
        <w:t>Our members’ feedback confirms:</w:t>
      </w:r>
    </w:p>
    <w:p w14:paraId="3E7A23D4" w14:textId="7AF02FD2" w:rsidR="00C35644" w:rsidRPr="00D41CC3" w:rsidRDefault="00C35644" w:rsidP="00C35644">
      <w:pPr>
        <w:pStyle w:val="Paragrafoelenco"/>
        <w:numPr>
          <w:ilvl w:val="0"/>
          <w:numId w:val="18"/>
        </w:numPr>
        <w:ind w:left="426"/>
        <w:contextualSpacing/>
        <w:rPr>
          <w:color w:val="0070C0"/>
        </w:rPr>
      </w:pPr>
      <w:r w:rsidRPr="00D41CC3">
        <w:rPr>
          <w:color w:val="0070C0"/>
        </w:rPr>
        <w:t>the trend towards an increasing share of trading being executed via closing auctions, which now account</w:t>
      </w:r>
      <w:r w:rsidR="00BD0087">
        <w:rPr>
          <w:color w:val="0070C0"/>
        </w:rPr>
        <w:t>s</w:t>
      </w:r>
      <w:r w:rsidRPr="00D41CC3">
        <w:rPr>
          <w:color w:val="0070C0"/>
        </w:rPr>
        <w:t xml:space="preserve"> for the largest share of daily volume on many instruments;</w:t>
      </w:r>
    </w:p>
    <w:p w14:paraId="5E5E2EAD" w14:textId="77777777" w:rsidR="003C536E" w:rsidRPr="003C536E" w:rsidRDefault="00C35644" w:rsidP="00CA5184">
      <w:pPr>
        <w:pStyle w:val="Paragrafoelenco"/>
        <w:numPr>
          <w:ilvl w:val="0"/>
          <w:numId w:val="18"/>
        </w:numPr>
        <w:ind w:left="426"/>
        <w:contextualSpacing/>
      </w:pPr>
      <w:r w:rsidRPr="003C536E">
        <w:rPr>
          <w:color w:val="0070C0"/>
        </w:rPr>
        <w:t>this growth is largely the result of how investment management is operationally conducted, and reflects a self-reinforcing mechanism</w:t>
      </w:r>
      <w:r w:rsidR="001752F3" w:rsidRPr="003C536E">
        <w:rPr>
          <w:color w:val="0070C0"/>
        </w:rPr>
        <w:t>, i.e.</w:t>
      </w:r>
      <w:r w:rsidRPr="003C536E">
        <w:rPr>
          <w:color w:val="0070C0"/>
        </w:rPr>
        <w:t xml:space="preserve"> as execution algorithms factor-in the fact that the closing auction concentrates the highest available volume, they are increasingly designed to route orders towards that point in time (that auction), which in turn further increases the volume executed at the close. In other words, the market itself is structurally moving in this direction, and algorithmic execution strategies are both a consequence and a driver of this dynamic;</w:t>
      </w:r>
    </w:p>
    <w:p w14:paraId="519514EE" w14:textId="085274F9" w:rsidR="003A33E5" w:rsidRDefault="00C35644" w:rsidP="00CA5184">
      <w:pPr>
        <w:pStyle w:val="Paragrafoelenco"/>
        <w:numPr>
          <w:ilvl w:val="0"/>
          <w:numId w:val="18"/>
        </w:numPr>
        <w:ind w:left="426"/>
        <w:contextualSpacing/>
      </w:pPr>
      <w:r w:rsidRPr="003C536E">
        <w:rPr>
          <w:color w:val="0070C0"/>
        </w:rPr>
        <w:t>it does not expect substantial changes in this respect, i.e. it believes that the share of volumes executed via closing auctions is likely to remain broadly stable, or to continue increasing, rather than reverse.</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455EA8AC" w14:textId="77777777" w:rsidR="003A33E5" w:rsidRDefault="003A33E5" w:rsidP="003A33E5">
      <w:permStart w:id="230633778" w:edGrp="everyone"/>
      <w:r>
        <w:t>TYPE YOUR TEXT HERE</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4D4F73F8" w14:textId="1AF3A596" w:rsidR="003A33E5" w:rsidRDefault="008E2CFF" w:rsidP="003A33E5">
      <w:permStart w:id="834536465" w:edGrp="everyone"/>
      <w:r w:rsidRPr="00D41CC3">
        <w:rPr>
          <w:color w:val="0070C0"/>
          <w:szCs w:val="22"/>
        </w:rPr>
        <w:t>We would not favour 24h / extending trading hours on closing auctions</w:t>
      </w:r>
      <w:r>
        <w:rPr>
          <w:color w:val="0070C0"/>
          <w:szCs w:val="22"/>
        </w:rPr>
        <w:t>.</w:t>
      </w:r>
    </w:p>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47070C2C" w14:textId="7946261E" w:rsidR="00B90BE6" w:rsidRPr="00D41CC3" w:rsidRDefault="00B90BE6" w:rsidP="00B90BE6">
      <w:pPr>
        <w:rPr>
          <w:color w:val="0070C0"/>
          <w:szCs w:val="22"/>
        </w:rPr>
      </w:pPr>
      <w:permStart w:id="54361316" w:edGrp="everyone"/>
      <w:r w:rsidRPr="00D41CC3">
        <w:rPr>
          <w:color w:val="0070C0"/>
          <w:szCs w:val="22"/>
        </w:rPr>
        <w:t xml:space="preserve">We believe that competent authorities should (have) monitor(ed) the trends in fees structures applied by market infrastructures (also in conjunction with this </w:t>
      </w:r>
      <w:r w:rsidRPr="00D41CC3">
        <w:rPr>
          <w:i/>
          <w:iCs/>
          <w:color w:val="0070C0"/>
          <w:szCs w:val="22"/>
        </w:rPr>
        <w:t xml:space="preserve">Call-for-Evidence </w:t>
      </w:r>
      <w:r w:rsidRPr="00D41CC3">
        <w:rPr>
          <w:color w:val="0070C0"/>
          <w:szCs w:val="22"/>
        </w:rPr>
        <w:t xml:space="preserve">exercise). This would (have) allow(ed) an extra layer of information to read </w:t>
      </w:r>
      <w:r w:rsidR="00BD0087">
        <w:rPr>
          <w:color w:val="0070C0"/>
          <w:szCs w:val="22"/>
        </w:rPr>
        <w:t xml:space="preserve">through </w:t>
      </w:r>
      <w:r w:rsidRPr="00D41CC3">
        <w:rPr>
          <w:color w:val="0070C0"/>
          <w:szCs w:val="22"/>
        </w:rPr>
        <w:t>and interpret the reasons underlying the (relatively modest) shift of traded volumes from trading venues to other execution venues.</w:t>
      </w:r>
    </w:p>
    <w:p w14:paraId="0D407B43" w14:textId="1911D24D" w:rsidR="003A33E5" w:rsidRDefault="00B90BE6" w:rsidP="00B90BE6">
      <w:r w:rsidRPr="00D41CC3">
        <w:rPr>
          <w:color w:val="0070C0"/>
          <w:szCs w:val="22"/>
        </w:rPr>
        <w:t>Competent authorities should also closely monitor the evolution of market data fees and licensing practices. Market data is an essential input for investment firms’ best execution, price discovery, risk management and regulatory compliance. Excessive or insufficiently transparent pricing of such data may increase barriers to market access, reinforce competitive asymmetries among intermediaries and ultimately affect the ability of banks and investment firms to serve clients efficiently across fragmented EU markets.</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0E09CBCC" w14:textId="477FC449" w:rsidR="00D1782B" w:rsidRPr="00D41CC3" w:rsidRDefault="00D1782B" w:rsidP="00D1782B">
      <w:pPr>
        <w:rPr>
          <w:rFonts w:cs="Arial"/>
          <w:color w:val="0070C0"/>
          <w:szCs w:val="22"/>
        </w:rPr>
      </w:pPr>
      <w:permStart w:id="1032677898" w:edGrp="everyone"/>
      <w:r w:rsidRPr="00D41CC3">
        <w:rPr>
          <w:rFonts w:cs="Arial"/>
          <w:color w:val="0070C0"/>
          <w:szCs w:val="22"/>
        </w:rPr>
        <w:t>The importance and the recognition of FBAs as execution mechanism within the European trading market structure is progressively growing.</w:t>
      </w:r>
    </w:p>
    <w:p w14:paraId="28DBFC6B" w14:textId="77777777" w:rsidR="00D1782B" w:rsidRPr="00D41CC3" w:rsidRDefault="00D1782B" w:rsidP="00D1782B">
      <w:pPr>
        <w:rPr>
          <w:rFonts w:cs="Arial"/>
          <w:color w:val="0070C0"/>
          <w:szCs w:val="22"/>
        </w:rPr>
      </w:pPr>
      <w:r w:rsidRPr="00D41CC3">
        <w:rPr>
          <w:rFonts w:cs="Arial"/>
          <w:color w:val="0070C0"/>
          <w:szCs w:val="22"/>
        </w:rPr>
        <w:t>Overall, FBAs tend to provide a valid alternative to CLOB. More precisely, they</w:t>
      </w:r>
    </w:p>
    <w:p w14:paraId="1A6F6E43" w14:textId="77777777" w:rsidR="00D1782B" w:rsidRPr="00D41CC3" w:rsidRDefault="00D1782B" w:rsidP="00D1782B">
      <w:pPr>
        <w:pStyle w:val="Paragrafoelenco"/>
        <w:numPr>
          <w:ilvl w:val="0"/>
          <w:numId w:val="19"/>
        </w:numPr>
        <w:contextualSpacing/>
        <w:rPr>
          <w:rFonts w:cs="Arial"/>
          <w:color w:val="0070C0"/>
        </w:rPr>
      </w:pPr>
      <w:r w:rsidRPr="00D41CC3">
        <w:rPr>
          <w:rFonts w:cs="Arial"/>
          <w:color w:val="0070C0"/>
        </w:rPr>
        <w:t>are subject to pre-trade transparency</w:t>
      </w:r>
    </w:p>
    <w:p w14:paraId="3FE5CE91" w14:textId="77777777" w:rsidR="00D1782B" w:rsidRPr="00D41CC3" w:rsidRDefault="00D1782B" w:rsidP="00D1782B">
      <w:pPr>
        <w:pStyle w:val="Paragrafoelenco"/>
        <w:numPr>
          <w:ilvl w:val="0"/>
          <w:numId w:val="19"/>
        </w:numPr>
        <w:contextualSpacing/>
        <w:rPr>
          <w:rFonts w:cs="Arial"/>
          <w:color w:val="0070C0"/>
        </w:rPr>
      </w:pPr>
      <w:r w:rsidRPr="00D41CC3">
        <w:rPr>
          <w:rFonts w:cs="Arial"/>
          <w:color w:val="0070C0"/>
        </w:rPr>
        <w:t>contribute to price formation</w:t>
      </w:r>
    </w:p>
    <w:p w14:paraId="6E325C6D" w14:textId="77777777" w:rsidR="00D1782B" w:rsidRPr="00D41CC3" w:rsidRDefault="00D1782B" w:rsidP="00D1782B">
      <w:pPr>
        <w:pStyle w:val="Paragrafoelenco"/>
        <w:numPr>
          <w:ilvl w:val="0"/>
          <w:numId w:val="19"/>
        </w:numPr>
        <w:contextualSpacing/>
        <w:rPr>
          <w:rFonts w:cs="Arial"/>
          <w:color w:val="0070C0"/>
        </w:rPr>
      </w:pPr>
      <w:r w:rsidRPr="00D41CC3">
        <w:rPr>
          <w:rFonts w:cs="Arial"/>
          <w:color w:val="0070C0"/>
        </w:rPr>
        <w:t>execute at the midpoint of the best bid and best offer only when doing so maximizes tradeable volume, thereby guaranteeing that executions are price-neutral and cannot be predicted at the time when orders are submitted</w:t>
      </w:r>
    </w:p>
    <w:p w14:paraId="1D10B3F1" w14:textId="77777777" w:rsidR="00D1782B" w:rsidRPr="00D41CC3" w:rsidRDefault="00D1782B" w:rsidP="00D1782B">
      <w:pPr>
        <w:pStyle w:val="Paragrafoelenco"/>
        <w:numPr>
          <w:ilvl w:val="0"/>
          <w:numId w:val="19"/>
        </w:numPr>
        <w:contextualSpacing/>
        <w:rPr>
          <w:rFonts w:cs="Arial"/>
          <w:color w:val="0070C0"/>
        </w:rPr>
      </w:pPr>
      <w:r w:rsidRPr="00D41CC3">
        <w:rPr>
          <w:rFonts w:cs="Arial"/>
          <w:color w:val="0070C0"/>
        </w:rPr>
        <w:t xml:space="preserve">eliminate latency arbitrage and enhance execution quality for investors by reducing the advantage of speed-based strategies. </w:t>
      </w:r>
    </w:p>
    <w:p w14:paraId="24D3DF39" w14:textId="77777777" w:rsidR="00D1782B" w:rsidRPr="00D41CC3" w:rsidRDefault="00D1782B" w:rsidP="00D1782B">
      <w:pPr>
        <w:rPr>
          <w:rFonts w:cs="Arial"/>
          <w:color w:val="0070C0"/>
          <w:szCs w:val="22"/>
        </w:rPr>
      </w:pPr>
      <w:r w:rsidRPr="00D41CC3">
        <w:rPr>
          <w:rFonts w:cs="Arial"/>
          <w:color w:val="0070C0"/>
          <w:szCs w:val="22"/>
        </w:rPr>
        <w:t xml:space="preserve">In this respect, it is important to underline that the midpoint represents the most neutral and equitable price for counterparties when neither is demanding liquidity of the other. This principle always holds, irrespective of whether the prevailing spread comprises an odd or even number of ticks. </w:t>
      </w:r>
    </w:p>
    <w:p w14:paraId="6F2749CC" w14:textId="77777777" w:rsidR="00D1782B" w:rsidRPr="00D41CC3" w:rsidRDefault="00D1782B" w:rsidP="00D1782B">
      <w:pPr>
        <w:rPr>
          <w:rFonts w:cs="Arial"/>
          <w:color w:val="0070C0"/>
          <w:szCs w:val="22"/>
        </w:rPr>
      </w:pPr>
      <w:r w:rsidRPr="00D41CC3">
        <w:rPr>
          <w:rFonts w:cs="Arial"/>
          <w:color w:val="0070C0"/>
          <w:szCs w:val="22"/>
        </w:rPr>
        <w:t xml:space="preserve">Pursuant to the MiFIR review, SIs are permitted to execute client orders at the midpoint of current bid and offer prices, even if off-tick. The MiFIR review successfully removed previous volume and size restrictions, giving SIs more flexibility to match trades. As a result, this might have redirected certain trading flows from trading venues to SIs. </w:t>
      </w:r>
    </w:p>
    <w:p w14:paraId="51470ADF" w14:textId="77777777" w:rsidR="00D1782B" w:rsidRPr="00D41CC3" w:rsidRDefault="00D1782B" w:rsidP="00D1782B">
      <w:pPr>
        <w:rPr>
          <w:rFonts w:cs="Arial"/>
          <w:color w:val="0070C0"/>
          <w:szCs w:val="22"/>
        </w:rPr>
      </w:pPr>
      <w:r w:rsidRPr="00D41CC3">
        <w:rPr>
          <w:rFonts w:eastAsia="Times New Roman" w:cs="Arial"/>
          <w:color w:val="0070C0"/>
          <w:szCs w:val="22"/>
          <w:lang w:eastAsia="en-GB"/>
        </w:rPr>
        <w:t xml:space="preserve">A substantial portion of transactions is executed by FBAs “off-tick”. Recently, </w:t>
      </w:r>
      <w:r w:rsidRPr="00D41CC3">
        <w:rPr>
          <w:rFonts w:cs="Arial"/>
          <w:color w:val="0070C0"/>
          <w:szCs w:val="22"/>
        </w:rPr>
        <w:t xml:space="preserve">ESMA deleted a Q&amp;A that required all periodic auctions to strictly follow MiFID II minimum tick sizes. This was done to ensure a level playing field, largely because SIs are permitted to execute orders "off-tick," which (strictly put) placed trading venues at a competitive disadvantage. The repeal directly impacted periodic auctions, but it did not automatically apply to FBAs. Mandatory tick sizes for FBAs remain under regulatory scrutiny. </w:t>
      </w:r>
    </w:p>
    <w:p w14:paraId="1339EF68" w14:textId="2D78FF47" w:rsidR="003A33E5" w:rsidRDefault="00D1782B" w:rsidP="00D1782B">
      <w:r w:rsidRPr="00D41CC3">
        <w:rPr>
          <w:rFonts w:cs="Arial"/>
          <w:color w:val="0070C0"/>
          <w:szCs w:val="22"/>
        </w:rPr>
        <w:t>Tick size rules set the smallest increment by which the quoted price of an asset can change and were designed to prevent trading venue participants from making economically insignificant price updates to jump the queue of orders. Executing a trade at midpoint (the equilibrium between the bid and offer quotes) is a globally practiced execution strategy, allowing both buyer and seller to save half the spread and with minimal market impact.</w:t>
      </w:r>
    </w:p>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073A0039" w14:textId="31A782C5" w:rsidR="00A723CC" w:rsidRPr="00D41CC3" w:rsidRDefault="00A723CC" w:rsidP="00A723CC">
      <w:pPr>
        <w:rPr>
          <w:rFonts w:cs="Arial"/>
          <w:color w:val="0070C0"/>
          <w:szCs w:val="22"/>
        </w:rPr>
      </w:pPr>
      <w:permStart w:id="2057074625" w:edGrp="everyone"/>
      <w:r w:rsidRPr="00D41CC3">
        <w:rPr>
          <w:rFonts w:cs="Arial"/>
          <w:color w:val="0070C0"/>
          <w:szCs w:val="22"/>
        </w:rPr>
        <w:t xml:space="preserve">The repeal of the double volume cap (DVC) and the establishment of the single volume cap (SVC) may have prompted some kind of diversion/relocation of a portion of dark trading volumes towards FBAs. </w:t>
      </w:r>
    </w:p>
    <w:p w14:paraId="572748D2" w14:textId="77777777" w:rsidR="00A723CC" w:rsidRPr="00D41CC3" w:rsidRDefault="00A723CC" w:rsidP="00A723CC">
      <w:pPr>
        <w:rPr>
          <w:rFonts w:cs="Arial"/>
          <w:color w:val="0070C0"/>
          <w:szCs w:val="22"/>
        </w:rPr>
      </w:pPr>
      <w:r w:rsidRPr="00D41CC3">
        <w:rPr>
          <w:rFonts w:cs="Arial"/>
          <w:color w:val="0070C0"/>
          <w:szCs w:val="22"/>
        </w:rPr>
        <w:t>In the aftermath of the entry into force of the MiFIR review, we witnessed considerable diversions/shifts in the flows of transactions. That said, our impression is that the magnitude of such diversions/shifts is progressively diminishing as long as the changes introduced by the MiFIR review have become the “new normal”.</w:t>
      </w:r>
    </w:p>
    <w:p w14:paraId="368930A1" w14:textId="420AB660" w:rsidR="003A33E5" w:rsidRDefault="00A723CC" w:rsidP="00A723CC">
      <w:r w:rsidRPr="00D41CC3">
        <w:rPr>
          <w:rFonts w:cs="Arial"/>
          <w:color w:val="0070C0"/>
          <w:szCs w:val="22"/>
        </w:rPr>
        <w:t xml:space="preserve">In any case, time is still not </w:t>
      </w:r>
      <w:r w:rsidR="00AB65CC">
        <w:rPr>
          <w:rFonts w:cs="Arial"/>
          <w:color w:val="0070C0"/>
          <w:szCs w:val="22"/>
        </w:rPr>
        <w:t>mature</w:t>
      </w:r>
      <w:r w:rsidR="00DC6F19">
        <w:rPr>
          <w:rFonts w:cs="Arial"/>
          <w:color w:val="0070C0"/>
          <w:szCs w:val="22"/>
        </w:rPr>
        <w:t>/ripe</w:t>
      </w:r>
      <w:r w:rsidRPr="00D41CC3">
        <w:rPr>
          <w:rFonts w:cs="Arial"/>
          <w:color w:val="0070C0"/>
          <w:szCs w:val="22"/>
        </w:rPr>
        <w:t xml:space="preserve"> to draw conclusive remarks. Given the relatively short timeframe of reference, additional data and further analysis will be needed in the coming years in order to appropriately assess the magnitude and the robustness of these new trends.</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16CC80F5" w14:textId="042A9376" w:rsidR="000C7783" w:rsidRPr="00D41CC3" w:rsidRDefault="000C7783" w:rsidP="000C7783">
      <w:pPr>
        <w:rPr>
          <w:rFonts w:cs="Arial"/>
          <w:color w:val="0070C0"/>
          <w:szCs w:val="22"/>
        </w:rPr>
      </w:pPr>
      <w:permStart w:id="174423608" w:edGrp="everyone"/>
      <w:r w:rsidRPr="00D41CC3">
        <w:rPr>
          <w:rFonts w:cs="Arial"/>
          <w:color w:val="0070C0"/>
          <w:szCs w:val="22"/>
        </w:rPr>
        <w:t>There are no emerging structural shifts that, in our view, are likely to prompt adverse market outcomes and, thereby, would warrant closer monitoring.</w:t>
      </w:r>
    </w:p>
    <w:p w14:paraId="1F3261F0" w14:textId="7067B5C9" w:rsidR="003A33E5" w:rsidRDefault="000C7783" w:rsidP="000C7783">
      <w:r w:rsidRPr="00D41CC3">
        <w:rPr>
          <w:rFonts w:cs="Arial"/>
          <w:color w:val="0070C0"/>
          <w:szCs w:val="22"/>
        </w:rPr>
        <w:t>That said, it is also noticeable that, as FBAs grow in scale and attract a broader range of participants, there is a risk that some of their most distinctive features, particularly their effectiveness in minimizing market impact, may be gradually eroded. This dynamic, sometimes described as venues becoming “victims of their own success”, warrants monitoring, even in the absence of current evidence of harm</w:t>
      </w:r>
      <w:r>
        <w:rPr>
          <w:rFonts w:cs="Arial"/>
          <w:color w:val="0070C0"/>
          <w:szCs w:val="22"/>
        </w:rPr>
        <w:t>.</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127D8A68" w14:textId="0C41B4F4" w:rsidR="003A33E5" w:rsidRDefault="004176F6" w:rsidP="003A33E5">
      <w:permStart w:id="1672904074" w:edGrp="everyone"/>
      <w:r w:rsidRPr="00D41CC3">
        <w:rPr>
          <w:rFonts w:cs="Arial"/>
          <w:color w:val="0070C0"/>
          <w:szCs w:val="22"/>
        </w:rPr>
        <w:t xml:space="preserve">As indicated in our response to question 15 above, FBAs are subject to pre-trade transparency </w:t>
      </w:r>
      <w:r w:rsidR="00F44745">
        <w:rPr>
          <w:rFonts w:cs="Arial"/>
          <w:color w:val="0070C0"/>
          <w:szCs w:val="22"/>
        </w:rPr>
        <w:t>and</w:t>
      </w:r>
      <w:r w:rsidRPr="00D41CC3">
        <w:rPr>
          <w:rFonts w:cs="Arial"/>
          <w:color w:val="0070C0"/>
          <w:szCs w:val="22"/>
        </w:rPr>
        <w:t xml:space="preserve"> contribute to price formation.</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7C463076" w14:textId="60EEFB33" w:rsidR="003A33E5" w:rsidRDefault="00717AFB" w:rsidP="003A33E5">
      <w:permStart w:id="1032158778" w:edGrp="everyone"/>
      <w:r w:rsidRPr="00D41CC3">
        <w:rPr>
          <w:rFonts w:cs="Arial"/>
          <w:color w:val="0070C0"/>
          <w:szCs w:val="22"/>
        </w:rPr>
        <w:t>We do not see a need for specific regulatory interventions</w:t>
      </w:r>
      <w:r>
        <w:rPr>
          <w:rFonts w:cs="Arial"/>
          <w:color w:val="0070C0"/>
          <w:szCs w:val="22"/>
        </w:rPr>
        <w:t>.</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45AFBB38" w14:textId="465AB48B" w:rsidR="00F3081C" w:rsidRPr="00D41CC3" w:rsidRDefault="00F3081C" w:rsidP="00F3081C">
      <w:pPr>
        <w:rPr>
          <w:rFonts w:cs="Arial"/>
          <w:bCs/>
          <w:color w:val="0070C0"/>
          <w:szCs w:val="22"/>
        </w:rPr>
      </w:pPr>
      <w:permStart w:id="529949636" w:edGrp="everyone"/>
      <w:r w:rsidRPr="00D41CC3">
        <w:rPr>
          <w:rFonts w:cs="Arial"/>
          <w:bCs/>
          <w:color w:val="0070C0"/>
          <w:szCs w:val="22"/>
        </w:rPr>
        <w:t xml:space="preserve">The evolution of trading of SIs on the EEA markets mirrors the trends in the execution models, with particular reference to diversification and variety. </w:t>
      </w:r>
    </w:p>
    <w:p w14:paraId="01AE3308" w14:textId="77777777" w:rsidR="00F3081C" w:rsidRPr="00D41CC3" w:rsidRDefault="00F3081C" w:rsidP="00F3081C">
      <w:pPr>
        <w:rPr>
          <w:rFonts w:cs="Arial"/>
          <w:bCs/>
          <w:color w:val="0070C0"/>
          <w:szCs w:val="22"/>
        </w:rPr>
      </w:pPr>
      <w:r w:rsidRPr="00D41CC3">
        <w:rPr>
          <w:rFonts w:cs="Arial"/>
          <w:bCs/>
          <w:color w:val="0070C0"/>
          <w:szCs w:val="22"/>
        </w:rPr>
        <w:t xml:space="preserve">SIs are execution platforms which allow investors to trade outside a regulated market or multilateral trading facility. SIs use their own capital and balance sheet to facilitate an efficient and bespoke service which leads to better priced investment transactions for its clients. In turn, this benefits end investors (which are also represented by a significant share of savers and pensioners), who entrust their funds to the SI’s clients to obtain the best possible results for them. </w:t>
      </w:r>
    </w:p>
    <w:p w14:paraId="12E86BA9" w14:textId="5CCE6FF8" w:rsidR="00F3081C" w:rsidRPr="00D41CC3" w:rsidRDefault="00F3081C" w:rsidP="00F3081C">
      <w:pPr>
        <w:rPr>
          <w:rFonts w:cs="Arial"/>
          <w:bCs/>
          <w:color w:val="0070C0"/>
          <w:szCs w:val="22"/>
        </w:rPr>
      </w:pPr>
      <w:r w:rsidRPr="00D41CC3">
        <w:rPr>
          <w:rFonts w:cs="Arial"/>
          <w:bCs/>
          <w:color w:val="0070C0"/>
          <w:szCs w:val="22"/>
        </w:rPr>
        <w:lastRenderedPageBreak/>
        <w:t>The bespoke pricing to specific investors depends on their creditworthiness, trading interests as well as on the SI’s internal book and risk management approach. When executing a trade against an SI, an investor is trading bilaterally with an investment firm who operates the SI. The bilateral nature of this relationship means that the S</w:t>
      </w:r>
      <w:r w:rsidR="00A44B24">
        <w:rPr>
          <w:rFonts w:cs="Arial"/>
          <w:bCs/>
          <w:color w:val="0070C0"/>
          <w:szCs w:val="22"/>
        </w:rPr>
        <w:t>I</w:t>
      </w:r>
      <w:r w:rsidRPr="00D41CC3">
        <w:rPr>
          <w:rFonts w:cs="Arial"/>
          <w:bCs/>
          <w:color w:val="0070C0"/>
          <w:szCs w:val="22"/>
        </w:rPr>
        <w:t xml:space="preserve"> is always a counterparty to the transaction</w:t>
      </w:r>
      <w:r w:rsidR="00A44B24">
        <w:rPr>
          <w:rFonts w:cs="Arial"/>
          <w:bCs/>
          <w:color w:val="0070C0"/>
          <w:szCs w:val="22"/>
        </w:rPr>
        <w:t>,</w:t>
      </w:r>
      <w:r w:rsidRPr="00D41CC3">
        <w:rPr>
          <w:rFonts w:cs="Arial"/>
          <w:bCs/>
          <w:color w:val="0070C0"/>
          <w:szCs w:val="22"/>
        </w:rPr>
        <w:t xml:space="preserve"> knows who it is trading against and naturally faces counterparty and market risk.</w:t>
      </w:r>
    </w:p>
    <w:p w14:paraId="7976FD3F" w14:textId="77777777" w:rsidR="00F3081C" w:rsidRPr="00D41CC3" w:rsidRDefault="00F3081C" w:rsidP="00F3081C">
      <w:pPr>
        <w:rPr>
          <w:rFonts w:cs="Arial"/>
          <w:bCs/>
          <w:color w:val="0070C0"/>
          <w:szCs w:val="22"/>
        </w:rPr>
      </w:pPr>
      <w:r w:rsidRPr="00D41CC3">
        <w:rPr>
          <w:rFonts w:cs="Arial"/>
          <w:bCs/>
          <w:color w:val="0070C0"/>
          <w:szCs w:val="22"/>
        </w:rPr>
        <w:t xml:space="preserve">It is important to understand the fundamental difference between multilateral trading venues and bilateral SIs. Multilateral trading venues do not use their own capital and instead offer a platform upon which counterparties can trade. Indeed, in equities, trading venues are expressly prohibited from acting as a counterparty to a transaction. The multilateral nature of trading venues denotes that quotes displayed on the order book can potentially be accessed by all trading participants on that venue. </w:t>
      </w:r>
    </w:p>
    <w:p w14:paraId="64DE5C56" w14:textId="1CCE4392" w:rsidR="00F3081C" w:rsidRPr="00D41CC3" w:rsidRDefault="00F3081C" w:rsidP="00F3081C">
      <w:pPr>
        <w:rPr>
          <w:rFonts w:cs="Arial"/>
          <w:bCs/>
          <w:color w:val="0070C0"/>
          <w:szCs w:val="22"/>
        </w:rPr>
      </w:pPr>
      <w:r w:rsidRPr="00D41CC3">
        <w:rPr>
          <w:rFonts w:cs="Arial"/>
          <w:bCs/>
          <w:color w:val="0070C0"/>
          <w:szCs w:val="22"/>
        </w:rPr>
        <w:t>By comparison, SIs offer bilateral execution services for specific clients which have chosen to connect to and</w:t>
      </w:r>
      <w:r w:rsidR="004554A8">
        <w:rPr>
          <w:rFonts w:cs="Arial"/>
          <w:bCs/>
          <w:color w:val="0070C0"/>
          <w:szCs w:val="22"/>
        </w:rPr>
        <w:t>,</w:t>
      </w:r>
      <w:r w:rsidRPr="00D41CC3">
        <w:rPr>
          <w:rFonts w:cs="Arial"/>
          <w:bCs/>
          <w:color w:val="0070C0"/>
          <w:szCs w:val="22"/>
        </w:rPr>
        <w:t xml:space="preserve"> therefore</w:t>
      </w:r>
      <w:r w:rsidR="004554A8">
        <w:rPr>
          <w:rFonts w:cs="Arial"/>
          <w:bCs/>
          <w:color w:val="0070C0"/>
          <w:szCs w:val="22"/>
        </w:rPr>
        <w:t>,</w:t>
      </w:r>
      <w:r w:rsidRPr="00D41CC3">
        <w:rPr>
          <w:rFonts w:cs="Arial"/>
          <w:bCs/>
          <w:color w:val="0070C0"/>
          <w:szCs w:val="22"/>
        </w:rPr>
        <w:t xml:space="preserve"> have the ability to interact with the quotes made available. </w:t>
      </w:r>
    </w:p>
    <w:p w14:paraId="16CC736F" w14:textId="41893239" w:rsidR="003A33E5" w:rsidRDefault="00F3081C" w:rsidP="00F3081C">
      <w:r w:rsidRPr="00D41CC3">
        <w:rPr>
          <w:rFonts w:cs="Arial"/>
          <w:bCs/>
          <w:color w:val="0070C0"/>
          <w:szCs w:val="22"/>
        </w:rPr>
        <w:t>In the end, it is vital to preserve SIs as part of the EU’s market eco-system in order to ensure that investors’ varying needs can continue to be met.</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41487637" w14:textId="1E34A532" w:rsidR="003A33E5" w:rsidRDefault="00E27079" w:rsidP="003A33E5">
      <w:permStart w:id="818545257" w:edGrp="everyone"/>
      <w:r w:rsidRPr="00D41CC3">
        <w:rPr>
          <w:color w:val="0070C0"/>
          <w:szCs w:val="22"/>
        </w:rPr>
        <w:t>On the basis the feedback gathered, we are substantially in line with ESMA’s consideration: SIs perform a “dual function”, on the basis of the different transaction sizes and the different categories of investors. On the one hand, they enable large institutional trades that drive the bulk of market turnover. On the other hand, they facilitate a large number of smaller transactions, as shown by ESMA’s statistics/data. This strengthens and consolidates the idea of SIs versatility i.e. SIs cater for the needs of a plurality of diverse market participants by offering bespoke execution solutions.</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732A43E9" w14:textId="31AD6A9F" w:rsidR="00524D80" w:rsidRPr="00D41CC3" w:rsidRDefault="00524D80" w:rsidP="00524D80">
      <w:pPr>
        <w:rPr>
          <w:color w:val="0070C0"/>
          <w:szCs w:val="22"/>
        </w:rPr>
      </w:pPr>
      <w:permStart w:id="1751220061" w:edGrp="everyone"/>
      <w:r w:rsidRPr="00D41CC3">
        <w:rPr>
          <w:color w:val="0070C0"/>
          <w:szCs w:val="22"/>
        </w:rPr>
        <w:t xml:space="preserve">We have not gathered much feedback on this specific part. On the basis of our members’ indications, yes, there might be room for recalling the attention of market players, including SI, to the constant and correct use of (post-trade) flags, especially to signal </w:t>
      </w:r>
      <w:r w:rsidRPr="00D41CC3">
        <w:rPr>
          <w:i/>
          <w:iCs/>
          <w:color w:val="0070C0"/>
          <w:szCs w:val="22"/>
        </w:rPr>
        <w:t xml:space="preserve">price improvements </w:t>
      </w:r>
      <w:r w:rsidRPr="00D41CC3">
        <w:rPr>
          <w:color w:val="0070C0"/>
          <w:szCs w:val="22"/>
        </w:rPr>
        <w:t>achieved by SIs</w:t>
      </w:r>
      <w:r w:rsidRPr="00D41CC3">
        <w:rPr>
          <w:i/>
          <w:iCs/>
          <w:color w:val="0070C0"/>
          <w:szCs w:val="22"/>
        </w:rPr>
        <w:t xml:space="preserve">. </w:t>
      </w:r>
      <w:r w:rsidRPr="00D41CC3">
        <w:rPr>
          <w:color w:val="0070C0"/>
          <w:szCs w:val="22"/>
        </w:rPr>
        <w:t xml:space="preserve">Aside from this, SIs might be in conditions to provide clients with price improvement versus / vis-à-vis trading venues. At the same time, SIs differ from other type of venues for being closer to the end-user, yet presenting the protections offered by the </w:t>
      </w:r>
      <w:r w:rsidRPr="00D41CC3">
        <w:rPr>
          <w:i/>
          <w:iCs/>
          <w:color w:val="0070C0"/>
          <w:szCs w:val="22"/>
        </w:rPr>
        <w:t xml:space="preserve">Best Execution Policy </w:t>
      </w:r>
      <w:r w:rsidRPr="00D41CC3">
        <w:rPr>
          <w:color w:val="0070C0"/>
          <w:szCs w:val="22"/>
        </w:rPr>
        <w:t>(which allows to demonstrate that any SIs’ best effort in pursuing the best interests of its clients).</w:t>
      </w:r>
    </w:p>
    <w:p w14:paraId="3DF39E0B" w14:textId="10F31BF9" w:rsidR="003A33E5" w:rsidRDefault="00524D80" w:rsidP="00524D80">
      <w:r w:rsidRPr="00D41CC3">
        <w:rPr>
          <w:color w:val="0070C0"/>
          <w:szCs w:val="22"/>
        </w:rPr>
        <w:t xml:space="preserve">The activities of SIs cannot be narrowed down to the mere provision of minimum tick improvements vis-à-vis the PBBO. </w:t>
      </w:r>
      <w:r w:rsidR="008E70F1">
        <w:rPr>
          <w:color w:val="0070C0"/>
          <w:szCs w:val="22"/>
        </w:rPr>
        <w:t>S</w:t>
      </w:r>
      <w:r w:rsidRPr="00D41CC3">
        <w:rPr>
          <w:color w:val="0070C0"/>
          <w:szCs w:val="22"/>
        </w:rPr>
        <w:t>uch a “reductionist” approach risks not representing how execution decisions are taken and risks jeopardizing SIs ability to achieve optimal outcomes for clients. Actually, SIs provide price improvement as part and parcel of an execution offering that is broader and do solo only when this fits the achievement of best execution for clients. In the end, price is not the only one execution factor; on the contrary, it goes along with a plurality of considerations i.e. market impact, certainty of execution, immediacy.</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33ABEBC2" w14:textId="3ACC6189" w:rsidR="003A33E5" w:rsidRDefault="002959EF" w:rsidP="003A33E5">
      <w:permStart w:id="999231783" w:edGrp="everyone"/>
      <w:r w:rsidRPr="00D41CC3">
        <w:rPr>
          <w:rFonts w:cs="Arial"/>
          <w:color w:val="0070C0"/>
          <w:szCs w:val="22"/>
        </w:rPr>
        <w:t>We do not see major issues that would deserve to be flagged</w:t>
      </w:r>
      <w:r>
        <w:rPr>
          <w:rFonts w:cs="Arial"/>
          <w:color w:val="0070C0"/>
          <w:szCs w:val="22"/>
        </w:rPr>
        <w:t>.</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5B2ED651" w14:textId="4F65ED2C" w:rsidR="003A33E5" w:rsidRDefault="00FB75BB" w:rsidP="003A33E5">
      <w:permStart w:id="797907736" w:edGrp="everyone"/>
      <w:r w:rsidRPr="00D41CC3">
        <w:rPr>
          <w:rFonts w:cs="Arial"/>
          <w:color w:val="0070C0"/>
          <w:szCs w:val="22"/>
        </w:rPr>
        <w:t>We have not identified any structural shift</w:t>
      </w:r>
      <w:r>
        <w:rPr>
          <w:rFonts w:cs="Arial"/>
          <w:color w:val="0070C0"/>
          <w:szCs w:val="22"/>
        </w:rPr>
        <w:t>.</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426A709B" w14:textId="7D3861DA" w:rsidR="003A33E5" w:rsidRDefault="00B53A78" w:rsidP="003A33E5">
      <w:permStart w:id="165951741" w:edGrp="everyone"/>
      <w:r w:rsidRPr="00D41CC3">
        <w:rPr>
          <w:rFonts w:cs="Arial"/>
          <w:color w:val="0070C0"/>
          <w:szCs w:val="22"/>
        </w:rPr>
        <w:t>In line with the feedback gathered by members, we warn about some potential regulatory requirements that might have unintended consequences, i.e. 1) requiring SIs to publicly quote, expanding the scope of such requirements to them; 2) updating the pubic quotes prior to the execution in order to reflect client-specific price improvements; 3) extending trading-venue style requirements to Sis.</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070AD0A1" w14:textId="6D3453C6" w:rsidR="002E420B" w:rsidRPr="00D41CC3" w:rsidRDefault="002E420B" w:rsidP="002E420B">
      <w:pPr>
        <w:rPr>
          <w:rFonts w:cs="Arial"/>
          <w:color w:val="0070C0"/>
          <w:szCs w:val="22"/>
        </w:rPr>
      </w:pPr>
      <w:permStart w:id="1012798389" w:edGrp="everyone"/>
      <w:r w:rsidRPr="00D41CC3">
        <w:rPr>
          <w:rFonts w:cs="Arial"/>
          <w:color w:val="0070C0"/>
          <w:szCs w:val="22"/>
        </w:rPr>
        <w:lastRenderedPageBreak/>
        <w:t>We have witnessed a growing use of benchmark trades, both on trading venues and on SIs. In our view, two main drivers explain this trend. First, the reduction of market impact, as benchmark execution allows large orders to be executed over time without disrupting prevailing prices. Second, the cost efficiency, as operators are able to access execution at a fair, market-referenced price while keeping execution costs contained.</w:t>
      </w:r>
    </w:p>
    <w:p w14:paraId="62C1FC88" w14:textId="44F26C48" w:rsidR="003A33E5" w:rsidRDefault="002E420B" w:rsidP="002E420B">
      <w:r w:rsidRPr="00D41CC3">
        <w:rPr>
          <w:rFonts w:cs="Arial"/>
          <w:color w:val="0070C0"/>
          <w:szCs w:val="22"/>
        </w:rPr>
        <w:t>This trend should be considered in light of a broader concern. The more execution activity migrates towards mechanisms that sit outside the lit order book – and therefore outside the process that primarily contributes to price formation – the greater the potential risk to the robustness and representativeness of lit price data, on which benchmark trades themselves ultimately rely. If the growth of these alternative solutions continues, this could raise a genuine question as to the reliability of the underlying lit price reference.</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48272282" w14:textId="77777777" w:rsidR="003A33E5" w:rsidRDefault="003A33E5" w:rsidP="003A33E5">
      <w:permStart w:id="921442006" w:edGrp="everyone"/>
      <w:r>
        <w:t>TYPE YOUR TEXT HERE</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311874C9" w14:textId="77777777" w:rsidR="003A33E5" w:rsidRDefault="003A33E5" w:rsidP="003A33E5">
      <w:permStart w:id="2080063835" w:edGrp="everyone"/>
      <w:r>
        <w:t>TYPE YOUR TEXT HERE</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lastRenderedPageBreak/>
        <w:t>&lt;ESMA_QUESTION_MSEM_2</w:t>
      </w:r>
      <w:r w:rsidR="39E32746">
        <w:t>9</w:t>
      </w:r>
      <w:r>
        <w:t>&gt;</w:t>
      </w:r>
    </w:p>
    <w:p w14:paraId="29A2A271" w14:textId="77777777" w:rsidR="003A33E5" w:rsidRDefault="003A33E5" w:rsidP="003A33E5">
      <w:permStart w:id="180496860" w:edGrp="everyone"/>
      <w:r>
        <w:t>TYPE YOUR TEXT HERE</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46E0C115" w14:textId="77777777" w:rsidR="003A33E5" w:rsidRDefault="003A33E5" w:rsidP="003A33E5">
      <w:permStart w:id="1316118649" w:edGrp="everyone"/>
      <w:r>
        <w:t>TYPE YOUR TEXT HERE</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787A55CB" w14:textId="00031876" w:rsidR="003A33E5" w:rsidRDefault="00B20E74" w:rsidP="003A33E5">
      <w:permStart w:id="1195064322" w:edGrp="everyone"/>
      <w:r w:rsidRPr="00D41CC3">
        <w:rPr>
          <w:rFonts w:eastAsia="Open Sans SemiBold" w:cs="Arial"/>
          <w:bCs/>
          <w:color w:val="0070C0"/>
          <w:szCs w:val="22"/>
          <w:lang w:eastAsia="en-GB"/>
        </w:rPr>
        <w:t xml:space="preserve">On the basis of our members’ feedback, we understand that </w:t>
      </w:r>
      <w:r w:rsidR="00E246F1">
        <w:rPr>
          <w:rFonts w:eastAsia="Open Sans SemiBold" w:cs="Arial"/>
          <w:bCs/>
          <w:color w:val="0070C0"/>
          <w:szCs w:val="22"/>
          <w:lang w:eastAsia="en-GB"/>
        </w:rPr>
        <w:t>“</w:t>
      </w:r>
      <w:r w:rsidRPr="00D41CC3">
        <w:rPr>
          <w:rFonts w:eastAsia="Open Sans SemiBold" w:cs="Arial"/>
          <w:bCs/>
          <w:color w:val="0070C0"/>
          <w:szCs w:val="22"/>
          <w:lang w:eastAsia="en-GB"/>
        </w:rPr>
        <w:t>member preferen</w:t>
      </w:r>
      <w:r w:rsidR="00E246F1">
        <w:rPr>
          <w:rFonts w:eastAsia="Open Sans SemiBold" w:cs="Arial"/>
          <w:bCs/>
          <w:color w:val="0070C0"/>
          <w:szCs w:val="22"/>
          <w:lang w:eastAsia="en-GB"/>
        </w:rPr>
        <w:t>cing”</w:t>
      </w:r>
      <w:r w:rsidRPr="00D41CC3">
        <w:rPr>
          <w:rFonts w:eastAsia="Open Sans SemiBold" w:cs="Arial"/>
          <w:bCs/>
          <w:color w:val="0070C0"/>
          <w:szCs w:val="22"/>
          <w:lang w:eastAsia="en-GB"/>
        </w:rPr>
        <w:t xml:space="preserve"> </w:t>
      </w:r>
      <w:r w:rsidR="00E246F1">
        <w:rPr>
          <w:rFonts w:eastAsia="Open Sans SemiBold" w:cs="Arial"/>
          <w:bCs/>
          <w:color w:val="0070C0"/>
          <w:szCs w:val="22"/>
          <w:lang w:eastAsia="en-GB"/>
        </w:rPr>
        <w:t xml:space="preserve">is </w:t>
      </w:r>
      <w:r w:rsidRPr="00D41CC3">
        <w:rPr>
          <w:rFonts w:eastAsia="Open Sans SemiBold" w:cs="Arial"/>
          <w:bCs/>
          <w:color w:val="0070C0"/>
          <w:szCs w:val="22"/>
          <w:lang w:eastAsia="en-GB"/>
        </w:rPr>
        <w:t>a solution that already exists and is offered by trading venues. In our view, this should not automatically be regarded as leading to unfair outcomes. On the contrary, by keeping such flows on-venue – rather than diverting them towards bilateral execution via systematic internalisers, where a comparable form of preferencing also exists – member</w:t>
      </w:r>
      <w:r w:rsidR="00EA07C2">
        <w:rPr>
          <w:rFonts w:eastAsia="Open Sans SemiBold" w:cs="Arial"/>
          <w:bCs/>
          <w:color w:val="0070C0"/>
          <w:szCs w:val="22"/>
          <w:lang w:eastAsia="en-GB"/>
        </w:rPr>
        <w:t>s</w:t>
      </w:r>
      <w:r w:rsidRPr="00D41CC3">
        <w:rPr>
          <w:rFonts w:eastAsia="Open Sans SemiBold" w:cs="Arial"/>
          <w:bCs/>
          <w:color w:val="0070C0"/>
          <w:szCs w:val="22"/>
          <w:lang w:eastAsia="en-GB"/>
        </w:rPr>
        <w:t xml:space="preserve"> preferencing helps maintain liquidity on the on-book lit order book, thereby preserving visibility of trading activity for the broader market</w:t>
      </w:r>
      <w:r>
        <w:rPr>
          <w:rFonts w:eastAsia="Open Sans SemiBold" w:cs="Arial"/>
          <w:bCs/>
          <w:color w:val="0070C0"/>
          <w:szCs w:val="22"/>
          <w:lang w:eastAsia="en-GB"/>
        </w:rPr>
        <w:t>.</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77777777" w:rsidR="003A33E5" w:rsidRDefault="003A33E5" w:rsidP="003A33E5">
      <w:permStart w:id="1218795063" w:edGrp="everyone"/>
      <w:r>
        <w:t>TYPE YOUR TEXT HERE</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00D63C9A" w14:textId="77777777" w:rsidR="003A33E5" w:rsidRDefault="003A33E5" w:rsidP="003A33E5">
      <w:permStart w:id="1697063566" w:edGrp="everyone"/>
      <w:r>
        <w:t>TYPE YOUR TEXT HERE</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516576E" w14:textId="77777777" w:rsidR="003A33E5" w:rsidRDefault="003A33E5" w:rsidP="003A33E5">
      <w:permStart w:id="1084183535" w:edGrp="everyone"/>
      <w:r>
        <w:t>TYPE YOUR TEXT HERE</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9CCA71A" w14:textId="77777777" w:rsidR="003A33E5" w:rsidRDefault="003A33E5" w:rsidP="003A33E5">
      <w:permStart w:id="1454133558" w:edGrp="everyone"/>
      <w:r>
        <w:t>TYPE YOUR TEXT HERE</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752F84C6" w14:textId="77777777" w:rsidR="003A33E5" w:rsidRDefault="003A33E5" w:rsidP="003A33E5">
      <w:permStart w:id="1509051285" w:edGrp="everyone"/>
      <w:r>
        <w:t>TYPE YOUR TEXT HERE</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1B9FC3EF" w14:textId="77777777" w:rsidR="003A33E5" w:rsidRDefault="003A33E5" w:rsidP="003A33E5">
      <w:permStart w:id="164585938" w:edGrp="everyone"/>
      <w:r>
        <w:t>TYPE YOUR TEXT HERE</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1C88A47" w14:textId="77777777" w:rsidR="003A33E5" w:rsidRDefault="003A33E5" w:rsidP="003A33E5">
      <w:permStart w:id="1475570857" w:edGrp="everyone"/>
      <w:r>
        <w:t>TYPE YOUR TEXT HERE</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0922E03D" w14:textId="77777777" w:rsidR="003A33E5" w:rsidRDefault="003A33E5" w:rsidP="003A33E5">
      <w:permStart w:id="1523399739" w:edGrp="everyone"/>
      <w:r>
        <w:t>TYPE YOUR TEXT HERE</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lastRenderedPageBreak/>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49205781" w14:textId="77777777" w:rsidR="003A33E5" w:rsidRDefault="003A33E5" w:rsidP="003A33E5">
      <w:permStart w:id="1013530916" w:edGrp="everyone"/>
      <w:r>
        <w:t>TYPE YOUR TEXT HERE</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719FDA4" w14:textId="77777777" w:rsidR="003A33E5" w:rsidRDefault="003A33E5" w:rsidP="003A33E5">
      <w:permStart w:id="374162036" w:edGrp="everyone"/>
      <w:r>
        <w:t>TYPE YOUR TEXT HERE</w:t>
      </w:r>
    </w:p>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74410F2" w14:textId="77777777" w:rsidR="003A33E5" w:rsidRDefault="003A33E5" w:rsidP="003A33E5">
      <w:permStart w:id="1323904635" w:edGrp="everyone"/>
      <w:r>
        <w:t>TYPE YOUR TEXT HERE</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58423F7" w14:textId="77777777" w:rsidR="003A33E5" w:rsidRDefault="003A33E5" w:rsidP="003A33E5">
      <w:permStart w:id="1265007552" w:edGrp="everyone"/>
      <w:r>
        <w:t>TYPE YOUR TEXT HERE</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lastRenderedPageBreak/>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5441D0E0" w14:textId="77777777" w:rsidR="003A33E5" w:rsidRDefault="003A33E5" w:rsidP="003A33E5">
      <w:permStart w:id="78797142" w:edGrp="everyone"/>
      <w:r>
        <w:t>TYPE YOUR TEXT HERE</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6CF38F88" w14:textId="77777777" w:rsidR="003A33E5" w:rsidRDefault="003A33E5" w:rsidP="003A33E5">
      <w:permStart w:id="1195269664" w:edGrp="everyone"/>
      <w:r>
        <w:t>TYPE YOUR TEXT HERE</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7DB4" w14:textId="77777777" w:rsidR="002556A4" w:rsidRDefault="002556A4" w:rsidP="007E7997">
      <w:pPr>
        <w:spacing w:line="240" w:lineRule="auto"/>
      </w:pPr>
      <w:r>
        <w:separator/>
      </w:r>
    </w:p>
  </w:endnote>
  <w:endnote w:type="continuationSeparator" w:id="0">
    <w:p w14:paraId="5BBA5C38" w14:textId="77777777" w:rsidR="002556A4" w:rsidRDefault="002556A4" w:rsidP="007E7997">
      <w:pPr>
        <w:spacing w:line="240" w:lineRule="auto"/>
      </w:pPr>
      <w:r>
        <w:continuationSeparator/>
      </w:r>
    </w:p>
  </w:endnote>
  <w:endnote w:type="continuationNotice" w:id="1">
    <w:p w14:paraId="57A82578" w14:textId="77777777" w:rsidR="002556A4" w:rsidRDefault="00255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dipagin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64B2" w14:textId="77777777" w:rsidR="002556A4" w:rsidRDefault="002556A4" w:rsidP="007E7997">
      <w:pPr>
        <w:spacing w:line="240" w:lineRule="auto"/>
      </w:pPr>
      <w:r>
        <w:separator/>
      </w:r>
    </w:p>
  </w:footnote>
  <w:footnote w:type="continuationSeparator" w:id="0">
    <w:p w14:paraId="02C2EFC3" w14:textId="77777777" w:rsidR="002556A4" w:rsidRDefault="002556A4" w:rsidP="007E7997">
      <w:pPr>
        <w:spacing w:line="240" w:lineRule="auto"/>
      </w:pPr>
      <w:r>
        <w:continuationSeparator/>
      </w:r>
    </w:p>
  </w:footnote>
  <w:footnote w:type="continuationNotice" w:id="1">
    <w:p w14:paraId="180A818B" w14:textId="77777777" w:rsidR="002556A4" w:rsidRDefault="002556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Intestazione"/>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Intestazione"/>
    </w:pPr>
  </w:p>
  <w:p w14:paraId="76D78551" w14:textId="45227A06" w:rsidR="00AD0B10" w:rsidRDefault="00AD0B10" w:rsidP="00AD0B10">
    <w:pPr>
      <w:pStyle w:val="Intestazione"/>
    </w:pPr>
  </w:p>
  <w:p w14:paraId="56B00CEC" w14:textId="77777777" w:rsidR="00AD0B10" w:rsidRPr="0043139E" w:rsidRDefault="00AD0B10" w:rsidP="00AD0B10">
    <w:pPr>
      <w:pStyle w:val="Intestazione"/>
    </w:pPr>
  </w:p>
  <w:p w14:paraId="68227DE6" w14:textId="77777777" w:rsidR="00AD0B10" w:rsidRPr="0043139E" w:rsidRDefault="00AD0B10" w:rsidP="00AD0B10">
    <w:pPr>
      <w:pStyle w:val="Intestazione"/>
    </w:pPr>
  </w:p>
  <w:p w14:paraId="0E44DBD1" w14:textId="77777777" w:rsidR="00AD0B10" w:rsidRPr="0043139E" w:rsidRDefault="00AD0B10" w:rsidP="00AD0B10">
    <w:pPr>
      <w:pStyle w:val="Intestazion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Intestazione"/>
    </w:pPr>
  </w:p>
  <w:p w14:paraId="706EF268" w14:textId="77777777" w:rsidR="00AD0B10" w:rsidRPr="0043139E" w:rsidRDefault="00AD0B10" w:rsidP="00AD0B10">
    <w:pPr>
      <w:pStyle w:val="Intestazione"/>
    </w:pPr>
  </w:p>
  <w:p w14:paraId="6B568202" w14:textId="77777777" w:rsidR="00AD0B10" w:rsidRPr="0043139E" w:rsidRDefault="00AD0B10" w:rsidP="00AD0B10">
    <w:pPr>
      <w:pStyle w:val="Intestazione"/>
    </w:pPr>
  </w:p>
  <w:p w14:paraId="70C66BCD" w14:textId="77777777" w:rsidR="00AD0B10" w:rsidRPr="0043139E" w:rsidRDefault="00AD0B10" w:rsidP="00AD0B10">
    <w:pPr>
      <w:pStyle w:val="Intestazione"/>
    </w:pPr>
  </w:p>
  <w:p w14:paraId="07229907" w14:textId="77777777" w:rsidR="00AD0B10" w:rsidRPr="0043139E" w:rsidRDefault="00AD0B10" w:rsidP="00AD0B10">
    <w:pPr>
      <w:pStyle w:val="Intestazione"/>
    </w:pPr>
  </w:p>
  <w:p w14:paraId="55555744" w14:textId="77777777" w:rsidR="00AD0B10" w:rsidRPr="0043139E" w:rsidRDefault="00AD0B10" w:rsidP="00AD0B10">
    <w:pPr>
      <w:pStyle w:val="Intestazione"/>
    </w:pPr>
  </w:p>
  <w:p w14:paraId="4601AE9C" w14:textId="77777777" w:rsidR="00AD0B10" w:rsidRDefault="00AD0B10" w:rsidP="00AD0B10">
    <w:pPr>
      <w:pStyle w:val="Intestazione"/>
    </w:pPr>
  </w:p>
  <w:p w14:paraId="49946785" w14:textId="77777777" w:rsidR="00AD0B10" w:rsidRPr="0043139E" w:rsidRDefault="00AD0B10" w:rsidP="00AD0B10">
    <w:pPr>
      <w:pStyle w:val="Intestazione"/>
    </w:pPr>
  </w:p>
  <w:p w14:paraId="72BAD19F" w14:textId="77777777" w:rsidR="008858FE" w:rsidRPr="00AD0B10" w:rsidRDefault="008858FE" w:rsidP="00AD0B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41C52"/>
    <w:multiLevelType w:val="hybridMultilevel"/>
    <w:tmpl w:val="3C7AA51A"/>
    <w:lvl w:ilvl="0" w:tplc="1C483C50">
      <w:start w:val="1"/>
      <w:numFmt w:val="decimal"/>
      <w:lvlText w:val="%1."/>
      <w:lvlJc w:val="left"/>
      <w:pPr>
        <w:ind w:left="720" w:hanging="360"/>
      </w:pPr>
      <w:rPr>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Tito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pStyle w:val="Paragrafoelenco"/>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9B15E9D"/>
    <w:multiLevelType w:val="hybridMultilevel"/>
    <w:tmpl w:val="566016E2"/>
    <w:lvl w:ilvl="0" w:tplc="1C483C50">
      <w:start w:val="1"/>
      <w:numFmt w:val="decimal"/>
      <w:lvlText w:val="%1."/>
      <w:lvlJc w:val="left"/>
      <w:pPr>
        <w:ind w:left="720" w:hanging="360"/>
      </w:pPr>
      <w:rPr>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AD1101"/>
    <w:multiLevelType w:val="multilevel"/>
    <w:tmpl w:val="647663A2"/>
    <w:lvl w:ilvl="0">
      <w:start w:val="1"/>
      <w:numFmt w:val="decimal"/>
      <w:pStyle w:val="Titolo1"/>
      <w:lvlText w:val="%1"/>
      <w:lvlJc w:val="left"/>
      <w:pPr>
        <w:ind w:left="4686" w:hanging="432"/>
      </w:pPr>
    </w:lvl>
    <w:lvl w:ilvl="1">
      <w:start w:val="1"/>
      <w:numFmt w:val="decimal"/>
      <w:pStyle w:val="Titolo2"/>
      <w:lvlText w:val="%1.%2"/>
      <w:lvlJc w:val="left"/>
      <w:pPr>
        <w:ind w:left="8230"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4"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2620CC"/>
    <w:multiLevelType w:val="hybridMultilevel"/>
    <w:tmpl w:val="EA02DF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1421525">
    <w:abstractNumId w:val="13"/>
  </w:num>
  <w:num w:numId="2" w16cid:durableId="270287514">
    <w:abstractNumId w:val="5"/>
  </w:num>
  <w:num w:numId="3" w16cid:durableId="1675497260">
    <w:abstractNumId w:val="11"/>
  </w:num>
  <w:num w:numId="4" w16cid:durableId="1146706333">
    <w:abstractNumId w:val="4"/>
  </w:num>
  <w:num w:numId="5" w16cid:durableId="1502348752">
    <w:abstractNumId w:val="0"/>
  </w:num>
  <w:num w:numId="6" w16cid:durableId="1544101585">
    <w:abstractNumId w:val="6"/>
  </w:num>
  <w:num w:numId="7" w16cid:durableId="896626050">
    <w:abstractNumId w:val="14"/>
  </w:num>
  <w:num w:numId="8" w16cid:durableId="806780153">
    <w:abstractNumId w:val="3"/>
  </w:num>
  <w:num w:numId="9" w16cid:durableId="1677002603">
    <w:abstractNumId w:val="12"/>
  </w:num>
  <w:num w:numId="10" w16cid:durableId="22487393">
    <w:abstractNumId w:val="10"/>
  </w:num>
  <w:num w:numId="11" w16cid:durableId="270942799">
    <w:abstractNumId w:val="8"/>
  </w:num>
  <w:num w:numId="12" w16cid:durableId="10230698">
    <w:abstractNumId w:val="8"/>
    <w:lvlOverride w:ilvl="0">
      <w:startOverride w:val="1"/>
    </w:lvlOverride>
  </w:num>
  <w:num w:numId="13" w16cid:durableId="1914856611">
    <w:abstractNumId w:val="2"/>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7"/>
  </w:num>
  <w:num w:numId="17" w16cid:durableId="923490405">
    <w:abstractNumId w:val="15"/>
  </w:num>
  <w:num w:numId="18" w16cid:durableId="853157331">
    <w:abstractNumId w:val="9"/>
  </w:num>
  <w:num w:numId="19" w16cid:durableId="68563765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561"/>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76D"/>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783"/>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18B1"/>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2F3"/>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73D"/>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29D1"/>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6A4"/>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3D15"/>
    <w:rsid w:val="00294074"/>
    <w:rsid w:val="002943B4"/>
    <w:rsid w:val="0029486D"/>
    <w:rsid w:val="00294983"/>
    <w:rsid w:val="002957E3"/>
    <w:rsid w:val="0029592F"/>
    <w:rsid w:val="00295977"/>
    <w:rsid w:val="002959EF"/>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996"/>
    <w:rsid w:val="002C7E46"/>
    <w:rsid w:val="002D030A"/>
    <w:rsid w:val="002D0D64"/>
    <w:rsid w:val="002D0E50"/>
    <w:rsid w:val="002D0EAC"/>
    <w:rsid w:val="002D1122"/>
    <w:rsid w:val="002D1694"/>
    <w:rsid w:val="002D21B1"/>
    <w:rsid w:val="002D2AC8"/>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20B"/>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5E6"/>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4D39"/>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A5F"/>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B2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6E"/>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4C40"/>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6F6"/>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54A8"/>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0A"/>
    <w:rsid w:val="004C1FE3"/>
    <w:rsid w:val="004C2A13"/>
    <w:rsid w:val="004C35D0"/>
    <w:rsid w:val="004C3937"/>
    <w:rsid w:val="004C3FD2"/>
    <w:rsid w:val="004C47F3"/>
    <w:rsid w:val="004C4E07"/>
    <w:rsid w:val="004C4E65"/>
    <w:rsid w:val="004C5070"/>
    <w:rsid w:val="004C55C3"/>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BF4"/>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D80"/>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1DB6"/>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DC6"/>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2E2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AFB"/>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108"/>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84E"/>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388"/>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731"/>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2CFF"/>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0F1"/>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87D"/>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0F7"/>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DE4"/>
    <w:rsid w:val="009A0F6E"/>
    <w:rsid w:val="009A16E5"/>
    <w:rsid w:val="009A1FD2"/>
    <w:rsid w:val="009A24D8"/>
    <w:rsid w:val="009A274A"/>
    <w:rsid w:val="009A27A3"/>
    <w:rsid w:val="009A27DB"/>
    <w:rsid w:val="009A27DE"/>
    <w:rsid w:val="009A2D10"/>
    <w:rsid w:val="009A30FC"/>
    <w:rsid w:val="009A3551"/>
    <w:rsid w:val="009A376C"/>
    <w:rsid w:val="009A38FA"/>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B24"/>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23CC"/>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6DC"/>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309"/>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5CC"/>
    <w:rsid w:val="00AB692D"/>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0E74"/>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3A78"/>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5F1"/>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BE6"/>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77C"/>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087"/>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5644"/>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124"/>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079E"/>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57E"/>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1782B"/>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6F19"/>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6F1"/>
    <w:rsid w:val="00E24894"/>
    <w:rsid w:val="00E24A24"/>
    <w:rsid w:val="00E24A46"/>
    <w:rsid w:val="00E24F18"/>
    <w:rsid w:val="00E2575F"/>
    <w:rsid w:val="00E2586C"/>
    <w:rsid w:val="00E267FA"/>
    <w:rsid w:val="00E27036"/>
    <w:rsid w:val="00E27079"/>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612"/>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691"/>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2BB"/>
    <w:rsid w:val="00E95A5A"/>
    <w:rsid w:val="00E95DA0"/>
    <w:rsid w:val="00E95F9D"/>
    <w:rsid w:val="00E966DB"/>
    <w:rsid w:val="00E96AC5"/>
    <w:rsid w:val="00E96BF5"/>
    <w:rsid w:val="00E979C6"/>
    <w:rsid w:val="00E97B72"/>
    <w:rsid w:val="00EA0306"/>
    <w:rsid w:val="00EA03D7"/>
    <w:rsid w:val="00EA07C2"/>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0"/>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81C"/>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4745"/>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5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2FD6"/>
    <w:pPr>
      <w:spacing w:after="250" w:line="276" w:lineRule="auto"/>
      <w:jc w:val="both"/>
    </w:pPr>
    <w:rPr>
      <w:color w:val="181818" w:themeColor="background1" w:themeShade="1A"/>
      <w:sz w:val="22"/>
      <w:lang w:val="en-GB"/>
    </w:rPr>
  </w:style>
  <w:style w:type="paragraph" w:styleId="Titolo1">
    <w:name w:val="heading 1"/>
    <w:basedOn w:val="Normale"/>
    <w:next w:val="Normale"/>
    <w:link w:val="Titolo1Carattere"/>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itolo2">
    <w:name w:val="heading 2"/>
    <w:basedOn w:val="Normale"/>
    <w:next w:val="Normale"/>
    <w:link w:val="Titolo2Carattere"/>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itolo3">
    <w:name w:val="heading 3"/>
    <w:basedOn w:val="Normale"/>
    <w:next w:val="Normale"/>
    <w:link w:val="Titolo3Carattere"/>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itolo4">
    <w:name w:val="heading 4"/>
    <w:basedOn w:val="Normale"/>
    <w:next w:val="Normale"/>
    <w:link w:val="Titolo4Carattere"/>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itolo6">
    <w:name w:val="heading 6"/>
    <w:basedOn w:val="Normale"/>
    <w:next w:val="Normale"/>
    <w:link w:val="Titolo6Carattere"/>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itolo7">
    <w:name w:val="heading 7"/>
    <w:basedOn w:val="Normale"/>
    <w:next w:val="Normale"/>
    <w:link w:val="Titolo7Carattere"/>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itolo8">
    <w:name w:val="heading 8"/>
    <w:basedOn w:val="Normale"/>
    <w:next w:val="Normale"/>
    <w:link w:val="Titolo8Carattere"/>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itolo9">
    <w:name w:val="heading 9"/>
    <w:basedOn w:val="Normale"/>
    <w:next w:val="Normale"/>
    <w:link w:val="Titolo9Carattere"/>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itolo3Carattere">
    <w:name w:val="Titolo 3 Carattere"/>
    <w:basedOn w:val="Carpredefinitoparagrafo"/>
    <w:link w:val="Titolo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itolo1Carattere">
    <w:name w:val="Titolo 1 Carattere"/>
    <w:basedOn w:val="Carpredefinitoparagrafo"/>
    <w:link w:val="Titolo1"/>
    <w:uiPriority w:val="9"/>
    <w:rsid w:val="0082744A"/>
    <w:rPr>
      <w:rFonts w:asciiTheme="majorHAnsi" w:eastAsiaTheme="majorEastAsia" w:hAnsiTheme="majorHAnsi" w:cstheme="majorBidi"/>
      <w:b/>
      <w:color w:val="00379F" w:themeColor="text1"/>
      <w:sz w:val="32"/>
      <w:szCs w:val="32"/>
      <w:lang w:val="en-GB"/>
    </w:rPr>
  </w:style>
  <w:style w:type="character" w:customStyle="1" w:styleId="Titolo2Carattere">
    <w:name w:val="Titolo 2 Carattere"/>
    <w:basedOn w:val="Carpredefinitoparagrafo"/>
    <w:link w:val="Titolo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qFormat/>
    <w:rsid w:val="00F205B9"/>
    <w:pPr>
      <w:numPr>
        <w:numId w:val="0"/>
      </w:numPr>
      <w:ind w:left="792" w:hanging="432"/>
    </w:pPr>
    <w:rPr>
      <w:b/>
      <w:color w:val="00379F" w:themeColor="text1"/>
      <w:sz w:val="28"/>
    </w:rPr>
  </w:style>
  <w:style w:type="character" w:customStyle="1" w:styleId="Title1Char">
    <w:name w:val="Title 1 Char"/>
    <w:basedOn w:val="Carpredefinitoparagrafo"/>
    <w:link w:val="Title1"/>
    <w:rsid w:val="00F205B9"/>
    <w:rPr>
      <w:rFonts w:asciiTheme="majorHAnsi" w:hAnsiTheme="majorHAnsi" w:cstheme="majorHAnsi"/>
      <w:b/>
      <w:color w:val="00379F" w:themeColor="text1"/>
      <w:sz w:val="28"/>
      <w:szCs w:val="22"/>
      <w:lang w:val="pt-PT"/>
    </w:rPr>
  </w:style>
  <w:style w:type="paragraph" w:styleId="Paragrafoelenco">
    <w:name w:val="List Paragraph"/>
    <w:aliases w:val="Paragraphe EI,Paragraphe de liste1,EC"/>
    <w:basedOn w:val="Normale"/>
    <w:link w:val="ParagrafoelencoCarattere"/>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aragrafoelenco"/>
    <w:link w:val="Title3Char"/>
    <w:autoRedefine/>
    <w:rsid w:val="00F205B9"/>
    <w:pPr>
      <w:numPr>
        <w:ilvl w:val="3"/>
        <w:numId w:val="4"/>
      </w:numPr>
    </w:pPr>
  </w:style>
  <w:style w:type="character" w:customStyle="1" w:styleId="Title3Char">
    <w:name w:val="Title 3 Char"/>
    <w:basedOn w:val="Carpredefinitoparagrafo"/>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e"/>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Carpredefinitoparagrafo"/>
    <w:link w:val="DocumentTitle"/>
    <w:rsid w:val="00563C1F"/>
    <w:rPr>
      <w:rFonts w:asciiTheme="majorHAnsi" w:hAnsiTheme="majorHAnsi"/>
      <w:b/>
      <w:color w:val="2D4190"/>
      <w:sz w:val="48"/>
      <w:lang w:val="en-GB"/>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color w:val="181818" w:themeColor="background1" w:themeShade="1A"/>
      <w:sz w:val="22"/>
      <w:szCs w:val="22"/>
      <w:lang w:val="en-GB"/>
    </w:rPr>
  </w:style>
  <w:style w:type="paragraph" w:styleId="Corpotesto">
    <w:name w:val="Body Text"/>
    <w:basedOn w:val="Normale"/>
    <w:link w:val="CorpotestoCarattere"/>
    <w:uiPriority w:val="99"/>
    <w:semiHidden/>
    <w:unhideWhenUsed/>
    <w:rsid w:val="00044C5A"/>
  </w:style>
  <w:style w:type="character" w:customStyle="1" w:styleId="CorpotestoCarattere">
    <w:name w:val="Corpo testo Carattere"/>
    <w:basedOn w:val="Carpredefinitoparagrafo"/>
    <w:link w:val="Corpotesto"/>
    <w:uiPriority w:val="99"/>
    <w:semiHidden/>
    <w:rsid w:val="00044C5A"/>
    <w:rPr>
      <w:rFonts w:ascii="Arial" w:eastAsiaTheme="minorEastAsia" w:hAnsi="Arial"/>
    </w:rPr>
  </w:style>
  <w:style w:type="paragraph" w:styleId="Primorientrocorpodeltesto">
    <w:name w:val="Body Text First Indent"/>
    <w:basedOn w:val="Corpotesto"/>
    <w:link w:val="PrimorientrocorpodeltestoCarattere"/>
    <w:uiPriority w:val="99"/>
    <w:semiHidden/>
    <w:unhideWhenUsed/>
    <w:rsid w:val="00044C5A"/>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olo">
    <w:name w:val="Title"/>
    <w:basedOn w:val="Normale"/>
    <w:next w:val="Normale"/>
    <w:link w:val="TitoloCarattere"/>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oloCarattere">
    <w:name w:val="Titolo Carattere"/>
    <w:basedOn w:val="Carpredefinitoparagrafo"/>
    <w:link w:val="Titolo"/>
    <w:uiPriority w:val="10"/>
    <w:rsid w:val="00516CBA"/>
    <w:rPr>
      <w:rFonts w:asciiTheme="majorHAnsi" w:eastAsiaTheme="majorEastAsia" w:hAnsiTheme="majorHAnsi" w:cstheme="majorBidi"/>
      <w:b/>
      <w:color w:val="00379F" w:themeColor="text1"/>
      <w:spacing w:val="-10"/>
      <w:sz w:val="56"/>
      <w:szCs w:val="56"/>
      <w:lang w:val="en-GB"/>
    </w:rPr>
  </w:style>
  <w:style w:type="paragraph" w:styleId="Sottotitolo">
    <w:name w:val="Subtitle"/>
    <w:basedOn w:val="Normale"/>
    <w:next w:val="Normale"/>
    <w:link w:val="SottotitoloCarattere"/>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ottotitoloCarattere">
    <w:name w:val="Sottotitolo Carattere"/>
    <w:basedOn w:val="Carpredefinitoparagrafo"/>
    <w:link w:val="Sottotitolo"/>
    <w:uiPriority w:val="11"/>
    <w:rsid w:val="0082744A"/>
    <w:rPr>
      <w:rFonts w:asciiTheme="majorHAnsi" w:eastAsiaTheme="majorEastAsia" w:hAnsiTheme="majorHAnsi" w:cstheme="majorBidi"/>
      <w:sz w:val="28"/>
      <w:szCs w:val="24"/>
      <w:lang w:val="en-GB"/>
    </w:rPr>
  </w:style>
  <w:style w:type="character" w:customStyle="1" w:styleId="Titolo7Carattere">
    <w:name w:val="Titolo 7 Carattere"/>
    <w:basedOn w:val="Carpredefinitoparagrafo"/>
    <w:link w:val="Titolo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itolo8Carattere">
    <w:name w:val="Titolo 8 Carattere"/>
    <w:basedOn w:val="Carpredefinitoparagrafo"/>
    <w:link w:val="Titolo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itolo9Carattere">
    <w:name w:val="Titolo 9 Carattere"/>
    <w:basedOn w:val="Carpredefinitoparagrafo"/>
    <w:link w:val="Titolo9"/>
    <w:uiPriority w:val="9"/>
    <w:semiHidden/>
    <w:rsid w:val="00AA054E"/>
    <w:rPr>
      <w:rFonts w:asciiTheme="majorHAnsi" w:eastAsiaTheme="majorEastAsia" w:hAnsiTheme="majorHAnsi" w:cstheme="majorBidi"/>
      <w:b/>
      <w:bCs/>
      <w:i/>
      <w:iCs/>
      <w:color w:val="007EFF" w:themeColor="text2"/>
      <w:sz w:val="22"/>
      <w:lang w:val="en-GB"/>
    </w:rPr>
  </w:style>
  <w:style w:type="paragraph" w:styleId="Didascalia">
    <w:name w:val="caption"/>
    <w:basedOn w:val="Normale"/>
    <w:next w:val="Normale"/>
    <w:uiPriority w:val="35"/>
    <w:semiHidden/>
    <w:unhideWhenUsed/>
    <w:qFormat/>
    <w:rsid w:val="00AA054E"/>
    <w:pPr>
      <w:spacing w:line="240" w:lineRule="auto"/>
    </w:pPr>
    <w:rPr>
      <w:b/>
      <w:bCs/>
      <w:smallCaps/>
      <w:color w:val="1A69FF"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0055F7" w:themeColor="text1" w:themeTint="BF"/>
    </w:rPr>
  </w:style>
  <w:style w:type="character" w:customStyle="1" w:styleId="CitazioneCarattere">
    <w:name w:val="Citazione Carattere"/>
    <w:basedOn w:val="Carpredefinitoparagrafo"/>
    <w:link w:val="Citazione"/>
    <w:uiPriority w:val="29"/>
    <w:rsid w:val="00AA054E"/>
    <w:rPr>
      <w:i/>
      <w:iCs/>
      <w:color w:val="0055F7"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34009F" w:themeColor="accent1"/>
      <w:sz w:val="28"/>
      <w:szCs w:val="28"/>
    </w:rPr>
  </w:style>
  <w:style w:type="character" w:styleId="Enfasidelicata">
    <w:name w:val="Subtle Emphasis"/>
    <w:basedOn w:val="Carpredefinitoparagrafo"/>
    <w:uiPriority w:val="19"/>
    <w:qFormat/>
    <w:rsid w:val="00AA054E"/>
    <w:rPr>
      <w:i/>
      <w:iCs/>
      <w:color w:val="0055F7" w:themeColor="text1" w:themeTint="BF"/>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0055F7" w:themeColor="text1" w:themeTint="BF"/>
      <w:u w:val="single" w:color="4E8BF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F205B9"/>
    <w:pPr>
      <w:numPr>
        <w:numId w:val="0"/>
      </w:num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IntestazioneCarattere">
    <w:name w:val="Intestazione Carattere"/>
    <w:basedOn w:val="Carpredefinitoparagrafo"/>
    <w:link w:val="Intestazione"/>
    <w:rsid w:val="00AF6B1E"/>
    <w:rPr>
      <w:color w:val="001B4F" w:themeColor="text1" w:themeShade="80"/>
      <w:sz w:val="16"/>
      <w:lang w:val="en-GB"/>
    </w:rPr>
  </w:style>
  <w:style w:type="paragraph" w:styleId="Pidipagina">
    <w:name w:val="footer"/>
    <w:basedOn w:val="Normale"/>
    <w:link w:val="PidipaginaCarattere"/>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dipaginaCarattere">
    <w:name w:val="Piè di pagina Carattere"/>
    <w:basedOn w:val="Carpredefinitoparagrafo"/>
    <w:link w:val="Pidipagina"/>
    <w:uiPriority w:val="99"/>
    <w:rsid w:val="004E5FF8"/>
    <w:rPr>
      <w:color w:val="001B4F" w:themeColor="text1" w:themeShade="80"/>
      <w:sz w:val="16"/>
      <w:lang w:val="en-GB"/>
    </w:rPr>
  </w:style>
  <w:style w:type="paragraph" w:customStyle="1" w:styleId="00aPagenumber">
    <w:name w:val="00a_Page number"/>
    <w:basedOn w:val="Normale"/>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e"/>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Sommario1">
    <w:name w:val="toc 1"/>
    <w:basedOn w:val="Normale"/>
    <w:next w:val="Normale"/>
    <w:uiPriority w:val="39"/>
    <w:unhideWhenUsed/>
    <w:qFormat/>
    <w:rsid w:val="00F205B9"/>
    <w:pPr>
      <w:framePr w:hSpace="180" w:wrap="around" w:vAnchor="text" w:hAnchor="margin" w:y="115"/>
      <w:tabs>
        <w:tab w:val="left" w:pos="440"/>
        <w:tab w:val="right" w:leader="dot" w:pos="9062"/>
      </w:tabs>
      <w:spacing w:after="100"/>
    </w:pPr>
  </w:style>
  <w:style w:type="paragraph" w:styleId="Sommario2">
    <w:name w:val="toc 2"/>
    <w:basedOn w:val="Sommario1"/>
    <w:next w:val="Normale"/>
    <w:uiPriority w:val="39"/>
    <w:unhideWhenUsed/>
    <w:qFormat/>
    <w:rsid w:val="00F205B9"/>
    <w:pPr>
      <w:framePr w:wrap="around"/>
      <w:tabs>
        <w:tab w:val="right" w:leader="dot" w:pos="440"/>
      </w:tabs>
      <w:ind w:left="220"/>
    </w:pPr>
  </w:style>
  <w:style w:type="paragraph" w:styleId="Sommario3">
    <w:name w:val="toc 3"/>
    <w:basedOn w:val="Sommario1"/>
    <w:next w:val="Normale"/>
    <w:uiPriority w:val="39"/>
    <w:unhideWhenUsed/>
    <w:qFormat/>
    <w:rsid w:val="00AD0B10"/>
    <w:pPr>
      <w:framePr w:wrap="around"/>
      <w:ind w:left="442"/>
    </w:pPr>
  </w:style>
  <w:style w:type="character" w:styleId="Collegamentoipertestuale">
    <w:name w:val="Hyperlink"/>
    <w:basedOn w:val="Carpredefinitoparagrafo"/>
    <w:uiPriority w:val="99"/>
    <w:unhideWhenUsed/>
    <w:qFormat/>
    <w:rsid w:val="000C1E78"/>
    <w:rPr>
      <w:color w:val="005EBF" w:themeColor="text2" w:themeShade="BF"/>
      <w:u w:val="single"/>
    </w:rPr>
  </w:style>
  <w:style w:type="paragraph" w:customStyle="1" w:styleId="Questionstyle">
    <w:name w:val="Question style"/>
    <w:basedOn w:val="Normale"/>
    <w:next w:val="Normale"/>
    <w:link w:val="QuestionstyleChar"/>
    <w:autoRedefine/>
    <w:qFormat/>
    <w:rsid w:val="00C5469A"/>
    <w:pPr>
      <w:tabs>
        <w:tab w:val="left" w:pos="567"/>
      </w:tabs>
      <w:ind w:hanging="360"/>
      <w:contextualSpacing/>
    </w:pPr>
    <w:rPr>
      <w:b/>
    </w:rPr>
  </w:style>
  <w:style w:type="character" w:customStyle="1" w:styleId="QuestionstyleChar">
    <w:name w:val="Question style Char"/>
    <w:basedOn w:val="Carpredefinitoparagrafo"/>
    <w:link w:val="Questionstyle"/>
    <w:rsid w:val="00C5469A"/>
    <w:rPr>
      <w:b/>
      <w:color w:val="181818" w:themeColor="background1" w:themeShade="1A"/>
      <w:sz w:val="22"/>
      <w:lang w:val="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50534"/>
    <w:pPr>
      <w:spacing w:after="0" w:line="240" w:lineRule="auto"/>
    </w:pPr>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basedOn w:val="Normale"/>
    <w:link w:val="TestonotaapidipaginaCarattere"/>
    <w:autoRedefine/>
    <w:uiPriority w:val="99"/>
    <w:unhideWhenUsed/>
    <w:qFormat/>
    <w:rsid w:val="007A1A9D"/>
    <w:pPr>
      <w:spacing w:after="0" w:line="240" w:lineRule="auto"/>
    </w:pPr>
    <w:rPr>
      <w:sz w:val="16"/>
    </w:rPr>
  </w:style>
  <w:style w:type="character" w:customStyle="1" w:styleId="TestonotaapidipaginaCarattere">
    <w:name w:val="Testo nota a piè di pagina Carattere"/>
    <w:basedOn w:val="Carpredefinitoparagrafo"/>
    <w:link w:val="Testonotaapidipagina"/>
    <w:uiPriority w:val="99"/>
    <w:rsid w:val="007A1A9D"/>
    <w:rPr>
      <w:color w:val="181818" w:themeColor="background1" w:themeShade="1A"/>
      <w:sz w:val="16"/>
      <w:lang w:val="en-GB"/>
    </w:rPr>
  </w:style>
  <w:style w:type="character" w:styleId="Rimandonotaapidipagina">
    <w:name w:val="footnote reference"/>
    <w:basedOn w:val="Carpredefinitoparagrafo"/>
    <w:uiPriority w:val="99"/>
    <w:semiHidden/>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qFormat/>
    <w:rsid w:val="00672C04"/>
    <w:pPr>
      <w:ind w:left="454" w:hanging="454"/>
    </w:pPr>
    <w:rPr>
      <w:lang w:val="nl-BE"/>
    </w:rPr>
  </w:style>
  <w:style w:type="character" w:customStyle="1" w:styleId="FootnoteChar">
    <w:name w:val="Footnote Char"/>
    <w:basedOn w:val="TestonotaapidipaginaCarattere"/>
    <w:link w:val="Footnote"/>
    <w:rsid w:val="00672C04"/>
    <w:rPr>
      <w:color w:val="181818" w:themeColor="background1" w:themeShade="1A"/>
      <w:sz w:val="16"/>
      <w:lang w:val="en-GB"/>
    </w:rPr>
  </w:style>
  <w:style w:type="table" w:customStyle="1" w:styleId="GridTable4-Accent11">
    <w:name w:val="Grid Table 4 - Accent 11"/>
    <w:basedOn w:val="Tabellanorma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stofumetto">
    <w:name w:val="Balloon Text"/>
    <w:basedOn w:val="Normale"/>
    <w:link w:val="TestofumettoCarattere"/>
    <w:uiPriority w:val="99"/>
    <w:semiHidden/>
    <w:unhideWhenUsed/>
    <w:rsid w:val="007151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51BF"/>
    <w:rPr>
      <w:rFonts w:ascii="Tahoma" w:hAnsi="Tahoma" w:cs="Tahoma"/>
      <w:sz w:val="16"/>
      <w:szCs w:val="16"/>
      <w:lang w:val="en-GB"/>
    </w:rPr>
  </w:style>
  <w:style w:type="paragraph" w:styleId="Sommario4">
    <w:name w:val="toc 4"/>
    <w:basedOn w:val="Sommario1"/>
    <w:next w:val="Normale"/>
    <w:uiPriority w:val="39"/>
    <w:unhideWhenUsed/>
    <w:qFormat/>
    <w:rsid w:val="00F205B9"/>
    <w:pPr>
      <w:framePr w:wrap="around"/>
      <w:ind w:left="660"/>
    </w:pPr>
  </w:style>
  <w:style w:type="character" w:styleId="Rimandocommento">
    <w:name w:val="annotation reference"/>
    <w:basedOn w:val="Carpredefinitoparagrafo"/>
    <w:uiPriority w:val="99"/>
    <w:semiHidden/>
    <w:unhideWhenUsed/>
    <w:rsid w:val="00D33C31"/>
    <w:rPr>
      <w:sz w:val="16"/>
      <w:szCs w:val="16"/>
    </w:rPr>
  </w:style>
  <w:style w:type="paragraph" w:styleId="Testocommento">
    <w:name w:val="annotation text"/>
    <w:basedOn w:val="Normale"/>
    <w:link w:val="TestocommentoCarattere"/>
    <w:uiPriority w:val="99"/>
    <w:unhideWhenUsed/>
    <w:rsid w:val="00D33C31"/>
    <w:pPr>
      <w:spacing w:line="240" w:lineRule="auto"/>
    </w:pPr>
    <w:rPr>
      <w:sz w:val="20"/>
    </w:rPr>
  </w:style>
  <w:style w:type="character" w:customStyle="1" w:styleId="TestocommentoCarattere">
    <w:name w:val="Testo commento Carattere"/>
    <w:basedOn w:val="Carpredefinitoparagrafo"/>
    <w:link w:val="Testocommento"/>
    <w:uiPriority w:val="99"/>
    <w:rsid w:val="00D33C31"/>
    <w:rPr>
      <w:lang w:val="en-GB"/>
    </w:rPr>
  </w:style>
  <w:style w:type="paragraph" w:styleId="Soggettocommento">
    <w:name w:val="annotation subject"/>
    <w:basedOn w:val="Testocommento"/>
    <w:next w:val="Testocommento"/>
    <w:link w:val="SoggettocommentoCarattere"/>
    <w:uiPriority w:val="99"/>
    <w:semiHidden/>
    <w:unhideWhenUsed/>
    <w:rsid w:val="00D33C31"/>
    <w:rPr>
      <w:b/>
      <w:bCs/>
    </w:rPr>
  </w:style>
  <w:style w:type="character" w:customStyle="1" w:styleId="SoggettocommentoCarattere">
    <w:name w:val="Soggetto commento Carattere"/>
    <w:basedOn w:val="TestocommentoCarattere"/>
    <w:link w:val="Soggettocommento"/>
    <w:uiPriority w:val="99"/>
    <w:semiHidden/>
    <w:rsid w:val="00D33C31"/>
    <w:rPr>
      <w:b/>
      <w:bCs/>
      <w:lang w:val="en-GB"/>
    </w:rPr>
  </w:style>
  <w:style w:type="character" w:styleId="Menzionenonrisolta">
    <w:name w:val="Unresolved Mention"/>
    <w:basedOn w:val="Carpredefinitoparagrafo"/>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Enfasigrassetto"/>
    <w:uiPriority w:val="1"/>
    <w:qFormat/>
    <w:rsid w:val="008858FE"/>
    <w:rPr>
      <w:b w:val="0"/>
      <w:bCs/>
      <w:caps/>
      <w:smallCaps w:val="0"/>
      <w:color w:val="FF0000" w:themeColor="accent6"/>
      <w:sz w:val="22"/>
    </w:rPr>
  </w:style>
  <w:style w:type="paragraph" w:customStyle="1" w:styleId="Disclaimer">
    <w:name w:val="Disclaimer"/>
    <w:basedOn w:val="Normale"/>
    <w:qFormat/>
    <w:rsid w:val="00906D18"/>
    <w:rPr>
      <w:i/>
      <w:iCs/>
      <w:sz w:val="18"/>
      <w:szCs w:val="18"/>
    </w:rPr>
  </w:style>
  <w:style w:type="paragraph" w:customStyle="1" w:styleId="ESMAHeader">
    <w:name w:val="ESMA Header"/>
    <w:basedOn w:val="Intestazione"/>
    <w:qFormat/>
    <w:rsid w:val="00AF6B1E"/>
  </w:style>
  <w:style w:type="paragraph" w:customStyle="1" w:styleId="Pageheader">
    <w:name w:val="Page header"/>
    <w:basedOn w:val="Intestazione"/>
    <w:next w:val="Intestazion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e"/>
    <w:qFormat/>
    <w:rsid w:val="00F205B9"/>
    <w:rPr>
      <w:rFonts w:ascii="Arial" w:eastAsia="Times New Roman" w:hAnsi="Arial" w:cs="Arial"/>
      <w:sz w:val="18"/>
      <w:szCs w:val="18"/>
      <w:lang w:eastAsia="de-DE"/>
    </w:rPr>
  </w:style>
  <w:style w:type="paragraph" w:styleId="Sommario5">
    <w:name w:val="toc 5"/>
    <w:basedOn w:val="Normale"/>
    <w:next w:val="Normale"/>
    <w:uiPriority w:val="39"/>
    <w:semiHidden/>
    <w:unhideWhenUsed/>
    <w:qFormat/>
    <w:rsid w:val="00F205B9"/>
    <w:pPr>
      <w:spacing w:after="100"/>
      <w:ind w:left="880"/>
    </w:pPr>
  </w:style>
  <w:style w:type="paragraph" w:styleId="Sommario6">
    <w:name w:val="toc 6"/>
    <w:basedOn w:val="Normale"/>
    <w:next w:val="Normale"/>
    <w:uiPriority w:val="39"/>
    <w:semiHidden/>
    <w:unhideWhenUsed/>
    <w:qFormat/>
    <w:rsid w:val="00F205B9"/>
    <w:pPr>
      <w:spacing w:after="100"/>
      <w:ind w:left="1100"/>
    </w:pPr>
  </w:style>
  <w:style w:type="paragraph" w:styleId="Sommario7">
    <w:name w:val="toc 7"/>
    <w:basedOn w:val="Normale"/>
    <w:next w:val="Normale"/>
    <w:uiPriority w:val="39"/>
    <w:semiHidden/>
    <w:unhideWhenUsed/>
    <w:qFormat/>
    <w:rsid w:val="00F205B9"/>
    <w:pPr>
      <w:spacing w:after="100"/>
      <w:ind w:left="1320"/>
    </w:pPr>
  </w:style>
  <w:style w:type="paragraph" w:styleId="Sommario8">
    <w:name w:val="toc 8"/>
    <w:basedOn w:val="Normale"/>
    <w:next w:val="Normale"/>
    <w:uiPriority w:val="39"/>
    <w:semiHidden/>
    <w:unhideWhenUsed/>
    <w:qFormat/>
    <w:rsid w:val="00F205B9"/>
    <w:pPr>
      <w:spacing w:after="100"/>
      <w:ind w:left="1540"/>
    </w:pPr>
  </w:style>
  <w:style w:type="paragraph" w:styleId="Sommario9">
    <w:name w:val="toc 9"/>
    <w:basedOn w:val="Normale"/>
    <w:next w:val="Normale"/>
    <w:uiPriority w:val="39"/>
    <w:semiHidden/>
    <w:unhideWhenUsed/>
    <w:qFormat/>
    <w:rsid w:val="00F205B9"/>
    <w:pPr>
      <w:spacing w:after="100"/>
      <w:ind w:left="1760"/>
    </w:pPr>
  </w:style>
  <w:style w:type="character" w:styleId="Collegamentovisitato">
    <w:name w:val="FollowedHyperlink"/>
    <w:basedOn w:val="Carpredefinitoparagrafo"/>
    <w:uiPriority w:val="99"/>
    <w:semiHidden/>
    <w:unhideWhenUsed/>
    <w:rsid w:val="0043139E"/>
    <w:rPr>
      <w:color w:val="0174AF" w:themeColor="followedHyperlink"/>
      <w:u w:val="single"/>
    </w:rPr>
  </w:style>
  <w:style w:type="character" w:customStyle="1" w:styleId="ParagrafoelencoCarattere">
    <w:name w:val="Paragrafo elenco Carattere"/>
    <w:aliases w:val="Paragraphe EI Carattere,Paragraphe de liste1 Carattere,EC Carattere"/>
    <w:link w:val="Paragrafoelenco"/>
    <w:uiPriority w:val="34"/>
    <w:locked/>
    <w:rsid w:val="00EC6066"/>
    <w:rPr>
      <w:rFonts w:asciiTheme="majorHAnsi" w:hAnsiTheme="majorHAnsi" w:cstheme="majorHAnsi"/>
      <w:color w:val="181818" w:themeColor="background1" w:themeShade="1A"/>
      <w:sz w:val="22"/>
      <w:szCs w:val="22"/>
      <w:lang w:val="pt-PT"/>
    </w:rPr>
  </w:style>
  <w:style w:type="paragraph" w:styleId="Revisione">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e"/>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Carpredefinitoparagrafo"/>
    <w:rsid w:val="00061F32"/>
    <w:rPr>
      <w:rFonts w:ascii="Segoe UI" w:hAnsi="Segoe UI" w:cs="Segoe UI" w:hint="default"/>
      <w:sz w:val="18"/>
      <w:szCs w:val="18"/>
    </w:rPr>
  </w:style>
  <w:style w:type="character" w:customStyle="1" w:styleId="cf11">
    <w:name w:val="cf11"/>
    <w:basedOn w:val="Carpredefinitoparagrafo"/>
    <w:rsid w:val="00061F32"/>
    <w:rPr>
      <w:rFonts w:ascii="Segoe UI" w:hAnsi="Segoe UI" w:cs="Segoe UI" w:hint="default"/>
      <w:color w:val="333333"/>
      <w:sz w:val="18"/>
      <w:szCs w:val="18"/>
      <w:shd w:val="clear" w:color="auto" w:fill="FFFFFF"/>
    </w:rPr>
  </w:style>
  <w:style w:type="character" w:styleId="Menzione">
    <w:name w:val="Mention"/>
    <w:basedOn w:val="Carpredefinitoparagrafo"/>
    <w:uiPriority w:val="99"/>
    <w:unhideWhenUsed/>
    <w:rsid w:val="00251F26"/>
    <w:rPr>
      <w:color w:val="2B579A"/>
      <w:shd w:val="clear" w:color="auto" w:fill="E1DFDD"/>
    </w:rPr>
  </w:style>
  <w:style w:type="character" w:styleId="Testosegnaposto">
    <w:name w:val="Placeholder Text"/>
    <w:basedOn w:val="Carpredefinitoparagrafo"/>
    <w:uiPriority w:val="99"/>
    <w:semiHidden/>
    <w:rsid w:val="00635BCA"/>
    <w:rPr>
      <w:color w:val="808080"/>
    </w:rPr>
  </w:style>
  <w:style w:type="paragraph" w:customStyle="1" w:styleId="para">
    <w:name w:val="para"/>
    <w:basedOn w:val="Paragrafoelenco"/>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Carpredefinitoparagrafo"/>
    <w:link w:val="para"/>
    <w:rsid w:val="00641F03"/>
    <w:rPr>
      <w:bCs/>
      <w:iCs/>
      <w:color w:val="181818" w:themeColor="background1" w:themeShade="1A"/>
      <w:sz w:val="22"/>
      <w:lang w:val="en-GB"/>
    </w:rPr>
  </w:style>
  <w:style w:type="character" w:customStyle="1" w:styleId="normaltextrun">
    <w:name w:val="normaltextrun"/>
    <w:basedOn w:val="Carpredefinitoparagrafo"/>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Testosegnaposto"/>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Testosegnaposto"/>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Testosegnapos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5576D"/>
    <w:rsid w:val="00082948"/>
    <w:rsid w:val="00092732"/>
    <w:rsid w:val="000B5175"/>
    <w:rsid w:val="000C0B68"/>
    <w:rsid w:val="001359BA"/>
    <w:rsid w:val="0015768C"/>
    <w:rsid w:val="002536E7"/>
    <w:rsid w:val="00254E75"/>
    <w:rsid w:val="0034145D"/>
    <w:rsid w:val="00372212"/>
    <w:rsid w:val="004E4CF9"/>
    <w:rsid w:val="004F4339"/>
    <w:rsid w:val="005D66AB"/>
    <w:rsid w:val="006320FF"/>
    <w:rsid w:val="00663894"/>
    <w:rsid w:val="006954E6"/>
    <w:rsid w:val="006D3543"/>
    <w:rsid w:val="00701E25"/>
    <w:rsid w:val="0071141B"/>
    <w:rsid w:val="007C0405"/>
    <w:rsid w:val="00813189"/>
    <w:rsid w:val="008134C9"/>
    <w:rsid w:val="008222A0"/>
    <w:rsid w:val="00836D47"/>
    <w:rsid w:val="009522B0"/>
    <w:rsid w:val="009B6B9C"/>
    <w:rsid w:val="009F25FD"/>
    <w:rsid w:val="00A804C7"/>
    <w:rsid w:val="00A93A1C"/>
    <w:rsid w:val="00AA5F7C"/>
    <w:rsid w:val="00AD66C2"/>
    <w:rsid w:val="00B07345"/>
    <w:rsid w:val="00B11B3A"/>
    <w:rsid w:val="00B22006"/>
    <w:rsid w:val="00B46CAE"/>
    <w:rsid w:val="00C51A10"/>
    <w:rsid w:val="00CA74DD"/>
    <w:rsid w:val="00CC19DD"/>
    <w:rsid w:val="00D52831"/>
    <w:rsid w:val="00D63E3A"/>
    <w:rsid w:val="00DC3796"/>
    <w:rsid w:val="00DC4211"/>
    <w:rsid w:val="00E023D2"/>
    <w:rsid w:val="00E41C46"/>
    <w:rsid w:val="00E952BB"/>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25</Pages>
  <Words>5388</Words>
  <Characters>30715</Characters>
  <Application>Microsoft Office Word</Application>
  <DocSecurity>8</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Utente</cp:lastModifiedBy>
  <cp:revision>64</cp:revision>
  <cp:lastPrinted>2023-09-09T09:53:00Z</cp:lastPrinted>
  <dcterms:created xsi:type="dcterms:W3CDTF">2026-04-30T06:11:00Z</dcterms:created>
  <dcterms:modified xsi:type="dcterms:W3CDTF">2026-06-30T16:36:00Z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