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ermStart w:id="211554665" w:edGrp="everyone" w:displacedByCustomXml="next"/>
    <w:permEnd w:id="211554665" w:displacedByCustomXml="next"/>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rPr>
          <w:b/>
          <w:bCs/>
          <w:sz w:val="22"/>
          <w:szCs w:val="22"/>
        </w:rPr>
      </w:sdtEndPr>
      <w:sdtContent>
        <w:p w14:paraId="3B41FE3C" w14:textId="77777777" w:rsidR="00D465F8" w:rsidRDefault="00D465F8" w:rsidP="00F72D28">
          <w:pPr>
            <w:pStyle w:val="Title"/>
            <w:rPr>
              <w:rFonts w:asciiTheme="minorHAnsi" w:eastAsiaTheme="minorEastAsia" w:hAnsiTheme="minorHAnsi" w:cstheme="minorBidi"/>
              <w:b w:val="0"/>
              <w:color w:val="181818" w:themeColor="background1" w:themeShade="1A"/>
              <w:spacing w:val="0"/>
              <w:sz w:val="28"/>
              <w:szCs w:val="28"/>
            </w:rPr>
          </w:pPr>
        </w:p>
        <w:p w14:paraId="6F85FCB5" w14:textId="77777777" w:rsidR="00D465F8" w:rsidRDefault="00D465F8" w:rsidP="00F72D28">
          <w:pPr>
            <w:pStyle w:val="Title"/>
            <w:rPr>
              <w:rFonts w:asciiTheme="minorHAnsi" w:eastAsiaTheme="minorEastAsia" w:hAnsiTheme="minorHAnsi" w:cstheme="minorBidi"/>
              <w:b w:val="0"/>
              <w:color w:val="181818" w:themeColor="background1" w:themeShade="1A"/>
              <w:spacing w:val="0"/>
              <w:sz w:val="28"/>
              <w:szCs w:val="28"/>
            </w:rPr>
          </w:pPr>
        </w:p>
        <w:p w14:paraId="68819715" w14:textId="77777777" w:rsidR="00D465F8" w:rsidRDefault="00D465F8" w:rsidP="00F72D28">
          <w:pPr>
            <w:pStyle w:val="Title"/>
            <w:rPr>
              <w:rFonts w:asciiTheme="minorHAnsi" w:eastAsiaTheme="minorEastAsia" w:hAnsiTheme="minorHAnsi" w:cstheme="minorBidi"/>
              <w:b w:val="0"/>
              <w:color w:val="181818" w:themeColor="background1" w:themeShade="1A"/>
              <w:spacing w:val="0"/>
              <w:sz w:val="28"/>
              <w:szCs w:val="28"/>
            </w:rPr>
          </w:pPr>
        </w:p>
        <w:p w14:paraId="01438AE1" w14:textId="671E5030" w:rsidR="00563C1F" w:rsidRDefault="00EC6066" w:rsidP="00FA1BF6">
          <w:pPr>
            <w:pStyle w:val="Title"/>
            <w:tabs>
              <w:tab w:val="center" w:pos="4536"/>
            </w:tabs>
          </w:pPr>
          <w:r>
            <w:t xml:space="preserve">Reply </w:t>
          </w:r>
          <w:r w:rsidR="00DD03DC">
            <w:t>F</w:t>
          </w:r>
          <w:r>
            <w:t>orm</w:t>
          </w:r>
          <w:r w:rsidR="00FA1BF6">
            <w:tab/>
          </w:r>
        </w:p>
        <w:p w14:paraId="031F2108" w14:textId="042F6D9B" w:rsidR="007E7997" w:rsidRPr="00C01571" w:rsidRDefault="005B1C75" w:rsidP="00D77369">
          <w:pPr>
            <w:pStyle w:val="Subtitle"/>
            <w:rPr>
              <w:rFonts w:cs="Arial"/>
              <w:sz w:val="36"/>
              <w:szCs w:val="36"/>
            </w:rPr>
          </w:pPr>
          <w:r>
            <w:rPr>
              <w:rStyle w:val="normaltextrun"/>
              <w:rFonts w:ascii="Arial" w:hAnsi="Arial" w:cs="Arial"/>
              <w:color w:val="181818"/>
              <w:szCs w:val="28"/>
              <w:bdr w:val="none" w:sz="0" w:space="0" w:color="auto" w:frame="1"/>
            </w:rPr>
            <w:t>Call for evidence</w:t>
          </w:r>
          <w:r w:rsidR="00941BDF">
            <w:rPr>
              <w:rStyle w:val="normaltextrun"/>
              <w:rFonts w:ascii="Arial" w:hAnsi="Arial" w:cs="Arial"/>
              <w:color w:val="181818"/>
              <w:szCs w:val="28"/>
              <w:bdr w:val="none" w:sz="0" w:space="0" w:color="auto" w:frame="1"/>
            </w:rPr>
            <w:t xml:space="preserve"> </w:t>
          </w:r>
          <w:r w:rsidR="00941BDF" w:rsidRPr="00941BDF">
            <w:rPr>
              <w:rStyle w:val="normaltextrun"/>
              <w:rFonts w:ascii="Arial" w:hAnsi="Arial" w:cs="Arial"/>
              <w:color w:val="181818"/>
              <w:szCs w:val="28"/>
              <w:bdr w:val="none" w:sz="0" w:space="0" w:color="auto" w:frame="1"/>
            </w:rPr>
            <w:t xml:space="preserve">on </w:t>
          </w:r>
          <w:r w:rsidR="00570C23" w:rsidRPr="00570C23">
            <w:rPr>
              <w:rStyle w:val="normaltextrun"/>
              <w:rFonts w:ascii="Arial" w:hAnsi="Arial" w:cs="Arial"/>
              <w:color w:val="181818"/>
              <w:szCs w:val="28"/>
              <w:bdr w:val="none" w:sz="0" w:space="0" w:color="auto" w:frame="1"/>
            </w:rPr>
            <w:t>the market structure of European equity markets</w:t>
          </w:r>
          <w:r w:rsidR="00941BDF" w:rsidRPr="00941BDF">
            <w:rPr>
              <w:rStyle w:val="normaltextrun"/>
              <w:rFonts w:ascii="Arial" w:hAnsi="Arial" w:cs="Arial"/>
              <w:color w:val="181818"/>
              <w:szCs w:val="28"/>
              <w:bdr w:val="none" w:sz="0" w:space="0" w:color="auto" w:frame="1"/>
            </w:rPr>
            <w:t>.</w:t>
          </w:r>
          <w:r w:rsidR="00113E80">
            <w:rPr>
              <w:rStyle w:val="normaltextrun"/>
              <w:rFonts w:ascii="Arial" w:hAnsi="Arial" w:cs="Arial"/>
              <w:color w:val="181818"/>
              <w:szCs w:val="28"/>
              <w:bdr w:val="none" w:sz="0" w:space="0" w:color="auto" w:frame="1"/>
            </w:rPr>
            <w:t xml:space="preserve"> </w:t>
          </w:r>
          <w:r w:rsidR="00D77369"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1"/>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6A415"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ubtitle"/>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Paragraph"/>
            <w:rPr>
              <w:lang w:val="en-GB"/>
            </w:rPr>
          </w:pPr>
          <w:r w:rsidRPr="00DB2FD6">
            <w:rPr>
              <w:lang w:val="en-GB"/>
            </w:rPr>
            <w:t>respond to the question stated;</w:t>
          </w:r>
        </w:p>
        <w:p w14:paraId="72FD40F6" w14:textId="77777777" w:rsidR="002533FC" w:rsidRPr="00DB2FD6" w:rsidRDefault="002533FC" w:rsidP="00EC6066">
          <w:pPr>
            <w:pStyle w:val="ListParagraph"/>
            <w:rPr>
              <w:lang w:val="en-GB"/>
            </w:rPr>
          </w:pPr>
          <w:r w:rsidRPr="00DB2FD6">
            <w:rPr>
              <w:lang w:val="en-GB"/>
            </w:rPr>
            <w:t>indicate the specific question to which the comment relates;</w:t>
          </w:r>
        </w:p>
        <w:p w14:paraId="78B206B7" w14:textId="77777777" w:rsidR="002533FC" w:rsidRPr="00E13D25" w:rsidRDefault="002533FC" w:rsidP="00EC6066">
          <w:pPr>
            <w:pStyle w:val="ListParagraph"/>
          </w:pPr>
          <w:r w:rsidRPr="00E13D25">
            <w:t>contain a clear rationale; and</w:t>
          </w:r>
        </w:p>
        <w:p w14:paraId="60B8834E" w14:textId="77777777" w:rsidR="002533FC" w:rsidRPr="00DB2FD6" w:rsidRDefault="002533FC" w:rsidP="00EC6066">
          <w:pPr>
            <w:pStyle w:val="ListParagraph"/>
            <w:rPr>
              <w:lang w:val="en-GB"/>
            </w:rPr>
          </w:pPr>
          <w:r w:rsidRPr="00DB2FD6">
            <w:rPr>
              <w:lang w:val="en-GB"/>
            </w:rPr>
            <w:t>describe any alternatives ESMA should consider.</w:t>
          </w:r>
        </w:p>
        <w:p w14:paraId="219225AC" w14:textId="63696FB0" w:rsidR="002533FC" w:rsidRPr="005B6B12" w:rsidRDefault="002533FC" w:rsidP="002533FC">
          <w:r w:rsidRPr="005B6B12">
            <w:t xml:space="preserve">ESMA will consider all comments received by </w:t>
          </w:r>
          <w:r w:rsidR="00570C23" w:rsidRPr="00570C23">
            <w:rPr>
              <w:b/>
            </w:rPr>
            <w:t>30 June</w:t>
          </w:r>
          <w:r w:rsidR="00113E80" w:rsidRPr="00570C23">
            <w:rPr>
              <w:b/>
            </w:rPr>
            <w:t xml:space="preserve"> 202</w:t>
          </w:r>
          <w:r w:rsidR="00941BDF" w:rsidRPr="00570C23">
            <w:rPr>
              <w:b/>
            </w:rPr>
            <w:t>6</w:t>
          </w:r>
          <w:r w:rsidRPr="00570C23">
            <w:rPr>
              <w:b/>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750682A2" w:rsidR="00EC6066" w:rsidRPr="00C5469A" w:rsidRDefault="00EC6066" w:rsidP="00570C23">
          <w:pPr>
            <w:ind w:left="708" w:hanging="566"/>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570C23">
            <w:rPr>
              <w:bCs/>
            </w:rPr>
            <w:t>MSEM</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334C0BF2"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570C23">
            <w:rPr>
              <w:bCs/>
            </w:rPr>
            <w:t>MSEM</w:t>
          </w:r>
          <w:r w:rsidRPr="00C5469A">
            <w:rPr>
              <w:bCs/>
            </w:rPr>
            <w:t xml:space="preserve">_nameofrespondent. </w:t>
          </w:r>
        </w:p>
        <w:p w14:paraId="210BE93A" w14:textId="0B1D8A16"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570C23">
            <w:rPr>
              <w:bCs/>
            </w:rPr>
            <w:t>MSEM</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4763B9B3" w:rsidR="00EC6066" w:rsidRPr="005B6B12" w:rsidRDefault="00EC6066" w:rsidP="00EC6066">
          <w:pPr>
            <w:rPr>
              <w:b/>
            </w:rPr>
          </w:pPr>
          <w:r w:rsidRPr="005B6B12">
            <w:rPr>
              <w:b/>
            </w:rPr>
            <w:t>Who should read this paper?</w:t>
          </w:r>
        </w:p>
      </w:sdtContent>
    </w:sdt>
    <w:p w14:paraId="33139377" w14:textId="5EEA7ABA" w:rsidR="00026CEC" w:rsidRPr="00026CEC" w:rsidRDefault="00026CEC" w:rsidP="00026CEC">
      <w:r w:rsidRPr="00026CEC">
        <w:t>This paper is primarily addressed to all financial market participants, including trading venues and investment firms, as well as to asset management, data reporting service providers, trade associations</w:t>
      </w:r>
      <w:r w:rsidR="00E846A2">
        <w:t>, issuers</w:t>
      </w:r>
      <w:r w:rsidRPr="00026CEC">
        <w:t xml:space="preserve"> and other stakeholders involved in financial regulation, investor education, and retail investment market developments.</w:t>
      </w:r>
    </w:p>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87A8108" w14:textId="18C0BEFD" w:rsidR="00635BCA" w:rsidRPr="00E40D2C"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E40D2C" w:rsidRPr="00557BD2" w14:paraId="44F115DF" w14:textId="77777777">
        <w:tc>
          <w:tcPr>
            <w:tcW w:w="4531" w:type="dxa"/>
          </w:tcPr>
          <w:p w14:paraId="2E826C88" w14:textId="77777777" w:rsidR="00E40D2C" w:rsidRPr="00557BD2" w:rsidRDefault="00E40D2C">
            <w:pPr>
              <w:rPr>
                <w:color w:val="00379F" w:themeColor="text1"/>
                <w:sz w:val="24"/>
                <w:szCs w:val="22"/>
              </w:rPr>
            </w:pPr>
            <w:r w:rsidRPr="00557BD2">
              <w:rPr>
                <w:color w:val="00379F" w:themeColor="text1"/>
                <w:sz w:val="24"/>
                <w:szCs w:val="22"/>
              </w:rPr>
              <w:t>Name of the company / organisation</w:t>
            </w:r>
          </w:p>
        </w:tc>
        <w:permStart w:id="289486921" w:edGrp="everyone" w:displacedByCustomXml="next"/>
        <w:sdt>
          <w:sdtPr>
            <w:id w:val="925615268"/>
            <w:placeholder>
              <w:docPart w:val="BB304192735D4F2E9B95179F2819F853"/>
            </w:placeholder>
          </w:sdtPr>
          <w:sdtContent>
            <w:tc>
              <w:tcPr>
                <w:tcW w:w="4531" w:type="dxa"/>
              </w:tcPr>
              <w:p w14:paraId="5C8A6928" w14:textId="14FFBAC3" w:rsidR="00E40D2C" w:rsidRPr="00557BD2" w:rsidRDefault="00464A18">
                <w:r>
                  <w:t>FIX Trading Community</w:t>
                </w:r>
              </w:p>
            </w:tc>
          </w:sdtContent>
        </w:sdt>
      </w:tr>
      <w:tr w:rsidR="00E40D2C" w:rsidRPr="00557BD2" w14:paraId="749BD8C2" w14:textId="77777777">
        <w:tc>
          <w:tcPr>
            <w:tcW w:w="4531" w:type="dxa"/>
          </w:tcPr>
          <w:p w14:paraId="6FE0ECE4" w14:textId="77777777" w:rsidR="00E40D2C" w:rsidRDefault="00E40D2C">
            <w:pPr>
              <w:rPr>
                <w:color w:val="00379F" w:themeColor="text1"/>
                <w:sz w:val="24"/>
                <w:szCs w:val="22"/>
              </w:rPr>
            </w:pPr>
            <w:permStart w:id="1501374178" w:edGrp="everyone" w:colFirst="1" w:colLast="1"/>
            <w:permEnd w:id="289486921"/>
            <w:r>
              <w:rPr>
                <w:color w:val="00379F" w:themeColor="text1"/>
                <w:sz w:val="24"/>
                <w:szCs w:val="22"/>
              </w:rPr>
              <w:t>Activity</w:t>
            </w:r>
          </w:p>
        </w:tc>
        <w:sdt>
          <w:sdtPr>
            <w:alias w:val="Select an activity"/>
            <w:tag w:val="Select an activity"/>
            <w:id w:val="1608545486"/>
            <w:placeholder>
              <w:docPart w:val="01EE1C7859204274A669423EC64EE100"/>
            </w:placeholder>
            <w:comboBox>
              <w:listItem w:value="Choose an item."/>
              <w:listItem w:displayText="Trading Venues" w:value="Trading Venues"/>
              <w:listItem w:displayText="Investment firm" w:value="Investment firm"/>
              <w:listItem w:displayText="Asset manager" w:value="Asset manager"/>
              <w:listItem w:displayText="Data reporting service providers" w:value="Data reporting service providers"/>
              <w:listItem w:displayText="Credit institution" w:value="Credit institution"/>
              <w:listItem w:displayText="Trade association" w:value="Trade association"/>
              <w:listItem w:displayText="Financial regulation" w:value="Financial regulation"/>
              <w:listItem w:displayText="Investor education" w:value="Investor education"/>
              <w:listItem w:displayText="Retail investment market developments" w:value="Retail investment market developments"/>
              <w:listItem w:displayText="Public authority" w:value="Public authority"/>
              <w:listItem w:displayText="Other" w:value="Other"/>
            </w:comboBox>
          </w:sdtPr>
          <w:sdtContent>
            <w:tc>
              <w:tcPr>
                <w:tcW w:w="4531" w:type="dxa"/>
              </w:tcPr>
              <w:p w14:paraId="22ECE1B6" w14:textId="3C947725" w:rsidR="00E40D2C" w:rsidRDefault="00464A18">
                <w:r>
                  <w:t>Trade association</w:t>
                </w:r>
              </w:p>
            </w:tc>
          </w:sdtContent>
        </w:sdt>
      </w:tr>
      <w:permEnd w:id="1501374178"/>
      <w:tr w:rsidR="002262FA" w:rsidRPr="00557BD2" w14:paraId="431B28C6" w14:textId="77777777" w:rsidTr="00B33A33">
        <w:tc>
          <w:tcPr>
            <w:tcW w:w="4531" w:type="dxa"/>
            <w:vAlign w:val="center"/>
          </w:tcPr>
          <w:p w14:paraId="19D77BEC" w14:textId="2C3AFD2E" w:rsidR="002262FA" w:rsidRPr="00557BD2" w:rsidRDefault="002262FA" w:rsidP="002262FA">
            <w:pPr>
              <w:rPr>
                <w:color w:val="00379F" w:themeColor="text1"/>
                <w:sz w:val="24"/>
                <w:szCs w:val="22"/>
              </w:rPr>
            </w:pPr>
            <w:r w:rsidRPr="00104E00">
              <w:rPr>
                <w:color w:val="00379F"/>
              </w:rPr>
              <w:t>Are you representing an association?</w:t>
            </w:r>
          </w:p>
        </w:tc>
        <w:sdt>
          <w:sdtPr>
            <w:id w:val="-226150188"/>
            <w14:checkbox>
              <w14:checked w14:val="1"/>
              <w14:checkedState w14:val="2612" w14:font="MS Gothic"/>
              <w14:uncheckedState w14:val="2610" w14:font="MS Gothic"/>
            </w14:checkbox>
          </w:sdtPr>
          <w:sdtContent>
            <w:permStart w:id="1385105873" w:edGrp="everyone" w:displacedByCustomXml="prev"/>
            <w:tc>
              <w:tcPr>
                <w:tcW w:w="4531" w:type="dxa"/>
                <w:vAlign w:val="center"/>
              </w:tcPr>
              <w:p w14:paraId="7AB9C082" w14:textId="2272AD59" w:rsidR="002262FA" w:rsidRDefault="00464A18" w:rsidP="002262FA">
                <w:r>
                  <w:rPr>
                    <w:rFonts w:ascii="MS Gothic" w:eastAsia="MS Gothic" w:hAnsi="MS Gothic" w:hint="eastAsia"/>
                  </w:rPr>
                  <w:t>☒</w:t>
                </w:r>
              </w:p>
            </w:tc>
            <w:permEnd w:id="1385105873" w:displacedByCustomXml="next"/>
          </w:sdtContent>
        </w:sdt>
      </w:tr>
      <w:tr w:rsidR="00E40D2C" w:rsidRPr="00557BD2" w14:paraId="3720260B" w14:textId="77777777">
        <w:tc>
          <w:tcPr>
            <w:tcW w:w="4531" w:type="dxa"/>
          </w:tcPr>
          <w:p w14:paraId="03F7FCFD" w14:textId="77777777" w:rsidR="00E40D2C" w:rsidRPr="00557BD2" w:rsidRDefault="00E40D2C">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466400774"/>
            <w:placeholder>
              <w:docPart w:val="D404D71EE61B44F68217F5015889DA12"/>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922924511" w:edGrp="everyone" w:displacedByCustomXml="prev"/>
            <w:tc>
              <w:tcPr>
                <w:tcW w:w="4531" w:type="dxa"/>
              </w:tcPr>
              <w:p w14:paraId="5BB12D35" w14:textId="2C37D395" w:rsidR="00E40D2C" w:rsidRPr="00557BD2" w:rsidRDefault="00B27EAB">
                <w:r>
                  <w:t>International</w:t>
                </w:r>
              </w:p>
            </w:tc>
            <w:permEnd w:id="1922924511" w:displacedByCustomXml="next"/>
          </w:sdtContent>
        </w:sdt>
      </w:tr>
    </w:tbl>
    <w:p w14:paraId="4B3A6DDF" w14:textId="77777777" w:rsidR="00E40D2C" w:rsidRPr="00053B66" w:rsidRDefault="00E40D2C" w:rsidP="00635BCA"/>
    <w:p w14:paraId="5D0F86B1" w14:textId="49DACBB9" w:rsidR="00413D4F" w:rsidRDefault="00635BCA" w:rsidP="00635BCA">
      <w:pPr>
        <w:pStyle w:val="Heading1"/>
        <w:rPr>
          <w:lang w:val="fr-BE"/>
        </w:rPr>
      </w:pPr>
      <w:r w:rsidRPr="00557BD2">
        <w:rPr>
          <w:lang w:val="fr-BE"/>
        </w:rPr>
        <w:t>Questions</w:t>
      </w:r>
    </w:p>
    <w:p w14:paraId="547206B9" w14:textId="77777777" w:rsidR="003A33E5" w:rsidRDefault="003A33E5" w:rsidP="003A33E5">
      <w:pPr>
        <w:pStyle w:val="Questionstyle"/>
        <w:numPr>
          <w:ilvl w:val="0"/>
          <w:numId w:val="14"/>
        </w:numPr>
        <w:tabs>
          <w:tab w:val="clear" w:pos="567"/>
        </w:tabs>
        <w:spacing w:before="120" w:after="120"/>
        <w:ind w:left="851" w:hanging="709"/>
        <w:rPr>
          <w:color w:val="auto"/>
        </w:rPr>
      </w:pPr>
      <w:r>
        <w:t>Do you agree with the description of the market structure summarised in Figure 1 for the purpose of the study in sections 3 and 4 based on transaction reporting data? If not, could you provide an alternative description that you consider more adapted to the reality of the European trading landscape for shares?</w:t>
      </w:r>
    </w:p>
    <w:p w14:paraId="3578C0AC" w14:textId="77777777" w:rsidR="003A33E5" w:rsidRDefault="003A33E5" w:rsidP="003A33E5">
      <w:r>
        <w:t>&lt;ESMA_QUESTION_MSEM_1&gt;</w:t>
      </w:r>
    </w:p>
    <w:p w14:paraId="522196CF" w14:textId="77777777" w:rsidR="0001028C" w:rsidRPr="002459D5" w:rsidRDefault="0001028C" w:rsidP="0001028C">
      <w:pPr>
        <w:spacing w:after="257" w:line="268" w:lineRule="auto"/>
        <w:jc w:val="left"/>
        <w:rPr>
          <w:rFonts w:ascii="Arial" w:hAnsi="Arial" w:cs="Arial"/>
        </w:rPr>
      </w:pPr>
      <w:permStart w:id="1150511936" w:edGrp="everyone"/>
      <w:r w:rsidRPr="002459D5">
        <w:rPr>
          <w:rFonts w:ascii="Arial" w:hAnsi="Arial" w:cs="Arial"/>
        </w:rPr>
        <w:t>ESMA</w:t>
      </w:r>
      <w:r>
        <w:rPr>
          <w:rFonts w:ascii="Arial" w:hAnsi="Arial" w:cs="Arial"/>
        </w:rPr>
        <w:t>’s</w:t>
      </w:r>
      <w:r w:rsidRPr="002459D5">
        <w:rPr>
          <w:rFonts w:ascii="Arial" w:hAnsi="Arial" w:cs="Arial"/>
        </w:rPr>
        <w:t xml:space="preserve"> description of the Equities market structure covers most of the critical categories making up EEA shares liquidity on and off exchange. </w:t>
      </w:r>
    </w:p>
    <w:p w14:paraId="6DA35B17" w14:textId="77777777" w:rsidR="0001028C" w:rsidRPr="002459D5" w:rsidRDefault="0001028C" w:rsidP="0001028C">
      <w:pPr>
        <w:spacing w:after="257" w:line="268" w:lineRule="auto"/>
        <w:jc w:val="left"/>
        <w:rPr>
          <w:rFonts w:ascii="Arial" w:hAnsi="Arial" w:cs="Arial"/>
        </w:rPr>
      </w:pPr>
      <w:r w:rsidRPr="002459D5">
        <w:rPr>
          <w:rFonts w:ascii="Arial" w:hAnsi="Arial" w:cs="Arial"/>
        </w:rPr>
        <w:t xml:space="preserve">We appreciate ESMA’s diagram is constrained by the quality and coverage of the underlying transaction reporting data, which does not allow to represent equities liquidity in the best way possible. </w:t>
      </w:r>
    </w:p>
    <w:p w14:paraId="2EEA74AC" w14:textId="77777777" w:rsidR="0001028C" w:rsidRPr="002459D5" w:rsidRDefault="0001028C" w:rsidP="0001028C">
      <w:pPr>
        <w:spacing w:after="257" w:line="268" w:lineRule="auto"/>
        <w:jc w:val="left"/>
        <w:rPr>
          <w:rFonts w:ascii="Arial" w:hAnsi="Arial" w:cs="Arial"/>
        </w:rPr>
      </w:pPr>
      <w:r w:rsidRPr="002459D5">
        <w:rPr>
          <w:rFonts w:ascii="Arial" w:hAnsi="Arial" w:cs="Arial"/>
        </w:rPr>
        <w:t xml:space="preserve">We would recommend adjusting this description </w:t>
      </w:r>
      <w:proofErr w:type="gramStart"/>
      <w:r w:rsidRPr="002459D5">
        <w:rPr>
          <w:rFonts w:ascii="Arial" w:hAnsi="Arial" w:cs="Arial"/>
        </w:rPr>
        <w:t>taking into account</w:t>
      </w:r>
      <w:proofErr w:type="gramEnd"/>
      <w:r w:rsidRPr="002459D5">
        <w:rPr>
          <w:rFonts w:ascii="Arial" w:hAnsi="Arial" w:cs="Arial"/>
        </w:rPr>
        <w:t xml:space="preserve"> data points that are unfortunately not available under the current regulatory framework for either transparency or transaction reporting. </w:t>
      </w:r>
    </w:p>
    <w:p w14:paraId="738AB2F0" w14:textId="77777777" w:rsidR="0001028C" w:rsidRPr="002459D5" w:rsidRDefault="0001028C" w:rsidP="0001028C">
      <w:pPr>
        <w:spacing w:after="257" w:line="268" w:lineRule="auto"/>
        <w:jc w:val="left"/>
        <w:rPr>
          <w:rFonts w:ascii="Arial" w:hAnsi="Arial" w:cs="Arial"/>
        </w:rPr>
      </w:pPr>
      <w:r w:rsidRPr="002459D5">
        <w:rPr>
          <w:rFonts w:ascii="Arial" w:hAnsi="Arial" w:cs="Arial"/>
        </w:rPr>
        <w:t xml:space="preserve">We believe Figure 1 could be slightly amended to integrate additional dimensions to the breakdown of liquidity. In addition, we believe some of the categorisation proposed by ESMA could be enhanced, in particular </w:t>
      </w:r>
      <w:proofErr w:type="gramStart"/>
      <w:r w:rsidRPr="002459D5">
        <w:rPr>
          <w:rFonts w:ascii="Arial" w:hAnsi="Arial" w:cs="Arial"/>
        </w:rPr>
        <w:t>with regard to</w:t>
      </w:r>
      <w:proofErr w:type="gramEnd"/>
      <w:r w:rsidRPr="002459D5">
        <w:rPr>
          <w:rFonts w:ascii="Arial" w:hAnsi="Arial" w:cs="Arial"/>
        </w:rPr>
        <w:t xml:space="preserve"> off-venue liquidity. </w:t>
      </w:r>
    </w:p>
    <w:p w14:paraId="2AFF93D4" w14:textId="77777777" w:rsidR="0001028C" w:rsidRPr="002459D5" w:rsidRDefault="0001028C" w:rsidP="0001028C">
      <w:pPr>
        <w:spacing w:after="257" w:line="268" w:lineRule="auto"/>
        <w:jc w:val="left"/>
        <w:rPr>
          <w:rFonts w:ascii="Arial" w:hAnsi="Arial" w:cs="Arial"/>
        </w:rPr>
      </w:pPr>
      <w:r w:rsidRPr="002459D5">
        <w:rPr>
          <w:rFonts w:ascii="Arial" w:hAnsi="Arial" w:cs="Arial"/>
        </w:rPr>
        <w:t xml:space="preserve">On Figure 1, one key element to integrate would be an organization of the liquidity depending on the trading phase. This would allow for aggregate volumes and follow trends in line with when trading occurs. The critical trading sessions to identify are: </w:t>
      </w:r>
    </w:p>
    <w:p w14:paraId="29D7028F" w14:textId="77777777" w:rsidR="0001028C" w:rsidRPr="002459D5" w:rsidRDefault="0001028C" w:rsidP="0001028C">
      <w:pPr>
        <w:pStyle w:val="ListBullet"/>
        <w:tabs>
          <w:tab w:val="num" w:pos="360"/>
        </w:tabs>
        <w:ind w:left="360" w:hanging="360"/>
        <w:rPr>
          <w:rFonts w:ascii="Arial" w:hAnsi="Arial" w:cs="Arial"/>
        </w:rPr>
      </w:pPr>
      <w:r w:rsidRPr="002459D5">
        <w:rPr>
          <w:rFonts w:ascii="Arial" w:hAnsi="Arial" w:cs="Arial"/>
        </w:rPr>
        <w:lastRenderedPageBreak/>
        <w:t xml:space="preserve">The open, </w:t>
      </w:r>
    </w:p>
    <w:p w14:paraId="3889F9EC" w14:textId="77777777" w:rsidR="0001028C" w:rsidRPr="002459D5" w:rsidRDefault="0001028C" w:rsidP="0001028C">
      <w:pPr>
        <w:pStyle w:val="ListBullet"/>
        <w:tabs>
          <w:tab w:val="num" w:pos="360"/>
        </w:tabs>
        <w:ind w:left="360" w:hanging="360"/>
        <w:rPr>
          <w:rFonts w:ascii="Arial" w:hAnsi="Arial" w:cs="Arial"/>
        </w:rPr>
      </w:pPr>
      <w:r w:rsidRPr="002459D5">
        <w:rPr>
          <w:rFonts w:ascii="Arial" w:hAnsi="Arial" w:cs="Arial"/>
        </w:rPr>
        <w:t xml:space="preserve">Intraday trading, </w:t>
      </w:r>
    </w:p>
    <w:p w14:paraId="2045A1A3" w14:textId="77777777" w:rsidR="0001028C" w:rsidRPr="002459D5" w:rsidRDefault="0001028C" w:rsidP="0001028C">
      <w:pPr>
        <w:pStyle w:val="ListBullet"/>
        <w:tabs>
          <w:tab w:val="num" w:pos="360"/>
        </w:tabs>
        <w:ind w:left="360" w:hanging="360"/>
        <w:rPr>
          <w:rFonts w:ascii="Arial" w:hAnsi="Arial" w:cs="Arial"/>
        </w:rPr>
      </w:pPr>
      <w:r w:rsidRPr="002459D5">
        <w:rPr>
          <w:rFonts w:ascii="Arial" w:hAnsi="Arial" w:cs="Arial"/>
        </w:rPr>
        <w:t xml:space="preserve">The close, and </w:t>
      </w:r>
    </w:p>
    <w:p w14:paraId="2A56A7F5" w14:textId="77777777" w:rsidR="0001028C" w:rsidRPr="002459D5" w:rsidRDefault="0001028C" w:rsidP="0001028C">
      <w:pPr>
        <w:pStyle w:val="ListBullet"/>
        <w:tabs>
          <w:tab w:val="num" w:pos="360"/>
        </w:tabs>
        <w:ind w:left="360" w:hanging="360"/>
        <w:rPr>
          <w:rFonts w:ascii="Arial" w:hAnsi="Arial" w:cs="Arial"/>
        </w:rPr>
      </w:pPr>
      <w:r w:rsidRPr="002459D5">
        <w:rPr>
          <w:rFonts w:ascii="Arial" w:hAnsi="Arial" w:cs="Arial"/>
        </w:rPr>
        <w:t xml:space="preserve">Out of hours trading. </w:t>
      </w:r>
    </w:p>
    <w:p w14:paraId="59762F41" w14:textId="77777777" w:rsidR="0001028C" w:rsidRPr="002459D5" w:rsidRDefault="0001028C" w:rsidP="0001028C">
      <w:pPr>
        <w:spacing w:after="257" w:line="268" w:lineRule="auto"/>
        <w:jc w:val="left"/>
        <w:rPr>
          <w:rFonts w:ascii="Arial" w:hAnsi="Arial" w:cs="Arial"/>
        </w:rPr>
      </w:pPr>
      <w:r w:rsidRPr="002459D5">
        <w:rPr>
          <w:rFonts w:ascii="Arial" w:hAnsi="Arial" w:cs="Arial"/>
        </w:rPr>
        <w:t>Those concepts already exist within MiFIR RTS 1 but are not properly codified. Doing so would allow for segregation of activities on- and off-exchange as they occur during the trading day. It would also allow for identifying trading outside of normal exchange hours, preparing the EU regulatory framework to the potential for 24/7 trading.</w:t>
      </w:r>
    </w:p>
    <w:p w14:paraId="25FFB4DF" w14:textId="77777777" w:rsidR="0001028C" w:rsidRPr="002459D5" w:rsidRDefault="0001028C" w:rsidP="0001028C">
      <w:pPr>
        <w:spacing w:after="257" w:line="268" w:lineRule="auto"/>
        <w:jc w:val="left"/>
        <w:rPr>
          <w:rFonts w:ascii="Arial" w:hAnsi="Arial" w:cs="Arial"/>
        </w:rPr>
      </w:pPr>
      <w:r w:rsidRPr="002459D5">
        <w:rPr>
          <w:rFonts w:ascii="Arial" w:hAnsi="Arial" w:cs="Arial"/>
        </w:rPr>
        <w:t xml:space="preserve">The classification proposed by ESMA, which we appreciate is tightly linked to the available data from transaction reporting, should ensure that investors can understand when, where, how and through which trading mechanisms trades are executed and how those categories transpose into post trade transparency, which is the only public data available to market participants. It should also aim to isolate and potentially exempt any transaction that are either duplicative or technical in nature. </w:t>
      </w:r>
    </w:p>
    <w:p w14:paraId="5DCA83D6" w14:textId="77777777" w:rsidR="0001028C" w:rsidRPr="002459D5" w:rsidRDefault="0001028C" w:rsidP="0001028C">
      <w:pPr>
        <w:spacing w:after="257" w:line="268" w:lineRule="auto"/>
        <w:jc w:val="left"/>
        <w:rPr>
          <w:rFonts w:ascii="Arial" w:hAnsi="Arial" w:cs="Arial"/>
        </w:rPr>
      </w:pPr>
      <w:r w:rsidRPr="002459D5">
        <w:rPr>
          <w:rFonts w:ascii="Arial" w:hAnsi="Arial" w:cs="Arial"/>
        </w:rPr>
        <w:t>We would therefore suggest amending figure 1 as per below:</w:t>
      </w:r>
    </w:p>
    <w:p w14:paraId="3D3084C1" w14:textId="77777777" w:rsidR="0001028C" w:rsidRPr="002459D5" w:rsidRDefault="0001028C" w:rsidP="0001028C">
      <w:pPr>
        <w:spacing w:after="257" w:line="268" w:lineRule="auto"/>
        <w:jc w:val="left"/>
        <w:rPr>
          <w:rFonts w:ascii="Arial" w:hAnsi="Arial" w:cs="Arial"/>
        </w:rPr>
      </w:pPr>
      <w:r w:rsidRPr="002459D5">
        <w:rPr>
          <w:rFonts w:ascii="Arial" w:hAnsi="Arial" w:cs="Arial"/>
          <w:noProof/>
        </w:rPr>
        <w:lastRenderedPageBreak/>
        <w:drawing>
          <wp:inline distT="0" distB="0" distL="0" distR="0" wp14:anchorId="598CCA48" wp14:editId="0939204C">
            <wp:extent cx="3397718" cy="5360188"/>
            <wp:effectExtent l="0" t="0" r="0" b="0"/>
            <wp:docPr id="96238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15601" cy="5388401"/>
                    </a:xfrm>
                    <a:prstGeom prst="rect">
                      <a:avLst/>
                    </a:prstGeom>
                    <a:noFill/>
                  </pic:spPr>
                </pic:pic>
              </a:graphicData>
            </a:graphic>
          </wp:inline>
        </w:drawing>
      </w:r>
    </w:p>
    <w:p w14:paraId="0961BC0E" w14:textId="77777777" w:rsidR="0001028C" w:rsidRPr="002459D5" w:rsidRDefault="0001028C" w:rsidP="0001028C">
      <w:pPr>
        <w:spacing w:after="257" w:line="268" w:lineRule="auto"/>
        <w:jc w:val="left"/>
        <w:rPr>
          <w:rFonts w:ascii="Arial" w:hAnsi="Arial" w:cs="Arial"/>
        </w:rPr>
      </w:pPr>
      <w:r w:rsidRPr="002459D5">
        <w:rPr>
          <w:rFonts w:ascii="Arial" w:hAnsi="Arial" w:cs="Arial"/>
        </w:rPr>
        <w:t xml:space="preserve">This could be achieved by introducing new flags indicating which trading phase the execution relates to. This would allow to clearly identify the proportion of off venue trading taking place during a) the open, b) intraday running parallel to lit continuous, periodic auction and dark trading, c) in reference to the primary closing auction price and, d) out of normal operating hours. Similar requirements could be introduced for trading venues, as to properly differentiate the primary auction volumes vs alternative closing mechanisms (e.g. Aquis </w:t>
      </w:r>
      <w:proofErr w:type="spellStart"/>
      <w:r w:rsidRPr="002459D5">
        <w:rPr>
          <w:rFonts w:ascii="Arial" w:hAnsi="Arial" w:cs="Arial"/>
        </w:rPr>
        <w:t>MaC</w:t>
      </w:r>
      <w:proofErr w:type="spellEnd"/>
      <w:r w:rsidRPr="002459D5">
        <w:rPr>
          <w:rFonts w:ascii="Arial" w:hAnsi="Arial" w:cs="Arial"/>
        </w:rPr>
        <w:t xml:space="preserve">), while allowing to clearly identify trading at last order books (e.g. Turquoise, CBOE and Primaries) and extended trading hours (e.g. Euronext Trading after hours). </w:t>
      </w:r>
    </w:p>
    <w:p w14:paraId="057813B2" w14:textId="77777777" w:rsidR="0001028C" w:rsidRPr="002459D5" w:rsidRDefault="0001028C" w:rsidP="0001028C">
      <w:pPr>
        <w:spacing w:after="257" w:line="268" w:lineRule="auto"/>
        <w:jc w:val="left"/>
        <w:rPr>
          <w:rFonts w:ascii="Arial" w:hAnsi="Arial" w:cs="Arial"/>
        </w:rPr>
      </w:pPr>
      <w:r w:rsidRPr="002459D5">
        <w:rPr>
          <w:rFonts w:ascii="Arial" w:hAnsi="Arial" w:cs="Arial"/>
        </w:rPr>
        <w:t>The minimum set of recommendations the FIX Trading Community is supporting can be summarized as per below:</w:t>
      </w:r>
    </w:p>
    <w:p w14:paraId="6A984663" w14:textId="77777777" w:rsidR="0001028C" w:rsidRPr="002459D5" w:rsidRDefault="0001028C" w:rsidP="0001028C">
      <w:pPr>
        <w:pStyle w:val="ListParagraph"/>
        <w:numPr>
          <w:ilvl w:val="0"/>
          <w:numId w:val="18"/>
        </w:numPr>
        <w:spacing w:before="120" w:after="257" w:line="268" w:lineRule="auto"/>
        <w:contextualSpacing/>
        <w:jc w:val="left"/>
        <w:rPr>
          <w:rFonts w:ascii="Arial" w:hAnsi="Arial" w:cs="Arial"/>
        </w:rPr>
      </w:pPr>
      <w:r w:rsidRPr="002459D5">
        <w:rPr>
          <w:rFonts w:ascii="Arial" w:hAnsi="Arial" w:cs="Arial"/>
          <w:b/>
          <w:bCs/>
        </w:rPr>
        <w:lastRenderedPageBreak/>
        <w:t>Introduce flags for time of the trading day:</w:t>
      </w:r>
      <w:r w:rsidRPr="002459D5">
        <w:rPr>
          <w:rFonts w:ascii="Arial" w:hAnsi="Arial" w:cs="Arial"/>
        </w:rPr>
        <w:t xml:space="preserve"> We reiterate our point on at the very least introduce a “CLSE” closing flag as was introduced in the UK. </w:t>
      </w:r>
    </w:p>
    <w:p w14:paraId="6ED1430A" w14:textId="77777777" w:rsidR="0001028C" w:rsidRPr="002459D5" w:rsidRDefault="0001028C" w:rsidP="0001028C">
      <w:pPr>
        <w:pStyle w:val="ListParagraph"/>
        <w:numPr>
          <w:ilvl w:val="0"/>
          <w:numId w:val="18"/>
        </w:numPr>
        <w:spacing w:before="120" w:after="257" w:line="268" w:lineRule="auto"/>
        <w:contextualSpacing/>
        <w:jc w:val="left"/>
        <w:rPr>
          <w:rFonts w:ascii="Arial" w:hAnsi="Arial" w:cs="Arial"/>
        </w:rPr>
      </w:pPr>
      <w:r w:rsidRPr="002459D5">
        <w:rPr>
          <w:rFonts w:ascii="Arial" w:hAnsi="Arial" w:cs="Arial"/>
          <w:b/>
          <w:bCs/>
        </w:rPr>
        <w:t>Qualify the nature of the execution mechanisms:</w:t>
      </w:r>
      <w:r w:rsidRPr="002459D5">
        <w:rPr>
          <w:rFonts w:ascii="Arial" w:hAnsi="Arial" w:cs="Arial"/>
        </w:rPr>
        <w:t xml:space="preserve"> although this is relatively easy for on venue trading, through the use of segment MIC code, it may be appropriate to introduce a specific flag for trades benefiting from the LIS waiver. </w:t>
      </w:r>
    </w:p>
    <w:p w14:paraId="6D05D93B" w14:textId="77777777" w:rsidR="0001028C" w:rsidRPr="002459D5" w:rsidRDefault="0001028C" w:rsidP="0001028C">
      <w:pPr>
        <w:pStyle w:val="ListParagraph"/>
        <w:numPr>
          <w:ilvl w:val="0"/>
          <w:numId w:val="18"/>
        </w:numPr>
        <w:spacing w:before="120" w:after="257" w:line="268" w:lineRule="auto"/>
        <w:contextualSpacing/>
        <w:jc w:val="left"/>
        <w:rPr>
          <w:rFonts w:ascii="Arial" w:hAnsi="Arial" w:cs="Arial"/>
        </w:rPr>
      </w:pPr>
      <w:r w:rsidRPr="002459D5">
        <w:rPr>
          <w:rFonts w:ascii="Arial" w:hAnsi="Arial" w:cs="Arial"/>
          <w:b/>
          <w:bCs/>
        </w:rPr>
        <w:t>Remove technical trades:</w:t>
      </w:r>
      <w:r w:rsidRPr="002459D5">
        <w:rPr>
          <w:rFonts w:ascii="Arial" w:hAnsi="Arial" w:cs="Arial"/>
        </w:rPr>
        <w:t xml:space="preserve"> ESMA was able to identify intragroup transactions within the transaction reporting data, it would be beneficial to the market if such duplicate/ technical trades were granted exemption from post trade transparency. Similarly, although NPFT is not widely used within the EU (99% of the OBOE NPFT trades on EEA shares are reported in the UK), it would be beneficial to introduce an exemption of publication for the venues receiving those trades.</w:t>
      </w:r>
    </w:p>
    <w:p w14:paraId="146B9D5B" w14:textId="77777777" w:rsidR="0001028C" w:rsidRPr="002459D5" w:rsidRDefault="0001028C" w:rsidP="0001028C">
      <w:pPr>
        <w:pStyle w:val="ListParagraph"/>
        <w:numPr>
          <w:ilvl w:val="0"/>
          <w:numId w:val="18"/>
        </w:numPr>
        <w:spacing w:before="120" w:after="257" w:line="268" w:lineRule="auto"/>
        <w:contextualSpacing/>
        <w:jc w:val="left"/>
        <w:rPr>
          <w:rFonts w:ascii="Arial" w:hAnsi="Arial" w:cs="Arial"/>
        </w:rPr>
      </w:pPr>
      <w:r w:rsidRPr="002459D5">
        <w:rPr>
          <w:rFonts w:ascii="Arial" w:hAnsi="Arial" w:cs="Arial"/>
          <w:b/>
          <w:bCs/>
        </w:rPr>
        <w:t>Improve interpretation of flags;</w:t>
      </w:r>
      <w:r w:rsidRPr="002459D5">
        <w:rPr>
          <w:rFonts w:ascii="Arial" w:hAnsi="Arial" w:cs="Arial"/>
        </w:rPr>
        <w:t xml:space="preserve"> as per ESMA comments, it seems that some interpretation issues may lead to inaccuracies in the reported data, such as a proportion of OTC reports from SI firms. We believe further guidance on the correct use of MIC code depending on the nature of the transaction would be helpful reducing interpretation gaps. </w:t>
      </w:r>
    </w:p>
    <w:p w14:paraId="7F805557" w14:textId="77777777" w:rsidR="0001028C" w:rsidRPr="002459D5" w:rsidRDefault="0001028C" w:rsidP="0001028C">
      <w:pPr>
        <w:pStyle w:val="ListParagraph"/>
        <w:numPr>
          <w:ilvl w:val="0"/>
          <w:numId w:val="18"/>
        </w:numPr>
        <w:spacing w:before="120" w:after="257" w:line="268" w:lineRule="auto"/>
        <w:contextualSpacing/>
        <w:jc w:val="left"/>
        <w:rPr>
          <w:rFonts w:ascii="Arial" w:hAnsi="Arial" w:cs="Arial"/>
        </w:rPr>
      </w:pPr>
      <w:r w:rsidRPr="002459D5">
        <w:rPr>
          <w:rFonts w:ascii="Arial" w:hAnsi="Arial" w:cs="Arial"/>
        </w:rPr>
        <w:t xml:space="preserve">Introduce a new flag for differentiating automated execution from manual one for off venue execution. This could be covered by FIX Tag 2405 and follow the same interpretation logic than for the “ALGO” flag currently only mandated for on venue trading. </w:t>
      </w:r>
    </w:p>
    <w:p w14:paraId="7956EE07" w14:textId="77777777" w:rsidR="0001028C" w:rsidRPr="002459D5" w:rsidRDefault="0001028C" w:rsidP="0001028C">
      <w:pPr>
        <w:spacing w:after="257" w:line="268" w:lineRule="auto"/>
        <w:jc w:val="left"/>
        <w:rPr>
          <w:rFonts w:ascii="Arial" w:hAnsi="Arial" w:cs="Arial"/>
        </w:rPr>
      </w:pPr>
      <w:r w:rsidRPr="002459D5">
        <w:rPr>
          <w:rFonts w:ascii="Arial" w:hAnsi="Arial" w:cs="Arial"/>
        </w:rPr>
        <w:t xml:space="preserve">Finally </w:t>
      </w:r>
      <w:proofErr w:type="gramStart"/>
      <w:r w:rsidRPr="002459D5">
        <w:rPr>
          <w:rFonts w:ascii="Arial" w:hAnsi="Arial" w:cs="Arial"/>
        </w:rPr>
        <w:t>with regard to</w:t>
      </w:r>
      <w:proofErr w:type="gramEnd"/>
      <w:r w:rsidRPr="002459D5">
        <w:rPr>
          <w:rFonts w:ascii="Arial" w:hAnsi="Arial" w:cs="Arial"/>
        </w:rPr>
        <w:t xml:space="preserve"> the classification of the liquidity beyond its core model (Auction, CLOB, OBOE, SI, OTC), our members understand the limitations of the data used by ESMA for its analysis and would recommend aligning as soon as possible the post trade transparency flags with the transaction reporting ones. </w:t>
      </w:r>
      <w:proofErr w:type="gramStart"/>
      <w:r w:rsidRPr="002459D5">
        <w:rPr>
          <w:rFonts w:ascii="Arial" w:hAnsi="Arial" w:cs="Arial"/>
        </w:rPr>
        <w:t>In particular we</w:t>
      </w:r>
      <w:proofErr w:type="gramEnd"/>
      <w:r w:rsidRPr="002459D5">
        <w:rPr>
          <w:rFonts w:ascii="Arial" w:hAnsi="Arial" w:cs="Arial"/>
        </w:rPr>
        <w:t xml:space="preserve"> note that;</w:t>
      </w:r>
    </w:p>
    <w:p w14:paraId="16F67376" w14:textId="77777777" w:rsidR="0001028C" w:rsidRPr="002459D5" w:rsidRDefault="0001028C" w:rsidP="0001028C">
      <w:pPr>
        <w:pStyle w:val="ListParagraph"/>
        <w:numPr>
          <w:ilvl w:val="0"/>
          <w:numId w:val="18"/>
        </w:numPr>
        <w:spacing w:before="120" w:after="257" w:line="268" w:lineRule="auto"/>
        <w:contextualSpacing/>
        <w:jc w:val="left"/>
        <w:rPr>
          <w:rFonts w:ascii="Arial" w:hAnsi="Arial" w:cs="Arial"/>
        </w:rPr>
      </w:pPr>
      <w:r w:rsidRPr="002459D5">
        <w:rPr>
          <w:rFonts w:ascii="Arial" w:hAnsi="Arial" w:cs="Arial"/>
        </w:rPr>
        <w:t xml:space="preserve">TNCP Is a flag that covers both contingent and portfolio trades, potentially some benchmark trades. This prevent ESMA to show the proportion of contingent vs portfolio trades and compound the interpretation issues alluded to above. </w:t>
      </w:r>
    </w:p>
    <w:p w14:paraId="07B84585" w14:textId="77777777" w:rsidR="0001028C" w:rsidRPr="002459D5" w:rsidRDefault="0001028C" w:rsidP="0001028C">
      <w:pPr>
        <w:pStyle w:val="ListParagraph"/>
        <w:numPr>
          <w:ilvl w:val="0"/>
          <w:numId w:val="18"/>
        </w:numPr>
        <w:spacing w:before="120" w:after="257" w:line="268" w:lineRule="auto"/>
        <w:contextualSpacing/>
        <w:jc w:val="left"/>
        <w:rPr>
          <w:rFonts w:ascii="Arial" w:hAnsi="Arial" w:cs="Arial"/>
        </w:rPr>
      </w:pPr>
      <w:r w:rsidRPr="002459D5">
        <w:rPr>
          <w:rFonts w:ascii="Arial" w:hAnsi="Arial" w:cs="Arial"/>
        </w:rPr>
        <w:t xml:space="preserve">SI OTC should not be a category in itself as the data points are not available in the post trade report and as such inaccessible to market participants. </w:t>
      </w:r>
    </w:p>
    <w:p w14:paraId="434FB604" w14:textId="77777777" w:rsidR="0001028C" w:rsidRPr="002459D5" w:rsidRDefault="0001028C" w:rsidP="0001028C">
      <w:pPr>
        <w:pStyle w:val="ListParagraph"/>
        <w:numPr>
          <w:ilvl w:val="0"/>
          <w:numId w:val="18"/>
        </w:numPr>
        <w:spacing w:before="120" w:after="257" w:line="268" w:lineRule="auto"/>
        <w:contextualSpacing/>
        <w:jc w:val="left"/>
        <w:rPr>
          <w:rFonts w:ascii="Arial" w:hAnsi="Arial" w:cs="Arial"/>
        </w:rPr>
      </w:pPr>
      <w:r w:rsidRPr="002459D5">
        <w:rPr>
          <w:rFonts w:ascii="Arial" w:hAnsi="Arial" w:cs="Arial"/>
        </w:rPr>
        <w:t xml:space="preserve">NT3 should be further broken down by underlying flags to identify benchmark, portfolio and contingent trades independently. In the context of post trade transparency, it would also allow to strip any NPFT trades from the addressable liquidity. </w:t>
      </w:r>
    </w:p>
    <w:p w14:paraId="640681DB" w14:textId="77777777" w:rsidR="0001028C" w:rsidRPr="002459D5" w:rsidRDefault="0001028C" w:rsidP="0001028C">
      <w:pPr>
        <w:spacing w:after="257" w:line="268" w:lineRule="auto"/>
        <w:jc w:val="left"/>
        <w:rPr>
          <w:rFonts w:ascii="Arial" w:hAnsi="Arial" w:cs="Arial"/>
        </w:rPr>
      </w:pPr>
      <w:r w:rsidRPr="002459D5">
        <w:rPr>
          <w:rFonts w:ascii="Arial" w:hAnsi="Arial" w:cs="Arial"/>
        </w:rPr>
        <w:t xml:space="preserve">Finally, we call ESMA’s attention to the FIX guidance </w:t>
      </w:r>
      <w:proofErr w:type="gramStart"/>
      <w:r w:rsidRPr="002459D5">
        <w:rPr>
          <w:rFonts w:ascii="Arial" w:hAnsi="Arial" w:cs="Arial"/>
        </w:rPr>
        <w:t>with regard to</w:t>
      </w:r>
      <w:proofErr w:type="gramEnd"/>
      <w:r w:rsidRPr="002459D5">
        <w:rPr>
          <w:rFonts w:ascii="Arial" w:hAnsi="Arial" w:cs="Arial"/>
        </w:rPr>
        <w:t xml:space="preserve"> addressable liquidity. Not all liquidity is addressable for all, regardless of whether the liquidity is on- or off-exchange. For instance, some order books or exchange services will be dedicated to a certain type of market participants (retail, buy side only, etc…). The level of liquidity accessibility is a function of who can access the pool and how orders are being managed. Not all trading venues and/ or off-venue liquidity provision are fit for all market participants. </w:t>
      </w:r>
    </w:p>
    <w:p w14:paraId="74845BAD" w14:textId="71019ED7" w:rsidR="003A33E5" w:rsidRDefault="0001028C" w:rsidP="0001028C">
      <w:r w:rsidRPr="002459D5">
        <w:rPr>
          <w:rFonts w:ascii="Arial" w:hAnsi="Arial" w:cs="Arial"/>
        </w:rPr>
        <w:lastRenderedPageBreak/>
        <w:t xml:space="preserve">Rather we think any analysis of liquidity should aim to ONLY capture trades with real economic interests, which should be the core definition of liquidity and then educate investors as to the level of accessibility and discretion each pool or liquidity providers provide. </w:t>
      </w:r>
    </w:p>
    <w:permEnd w:id="1150511936"/>
    <w:p w14:paraId="14BDE9D8" w14:textId="77777777" w:rsidR="003A33E5" w:rsidRDefault="003A33E5" w:rsidP="003A33E5">
      <w:r>
        <w:t>&lt;ESMA_QUESTION_MSEM_1&gt;</w:t>
      </w:r>
    </w:p>
    <w:p w14:paraId="54C0CFD2" w14:textId="77777777" w:rsidR="003A33E5" w:rsidRDefault="003A33E5" w:rsidP="003A33E5"/>
    <w:p w14:paraId="03F188A7" w14:textId="77777777" w:rsidR="003A33E5" w:rsidRDefault="003A33E5" w:rsidP="003A33E5">
      <w:pPr>
        <w:pStyle w:val="Questionstyle"/>
        <w:numPr>
          <w:ilvl w:val="0"/>
          <w:numId w:val="14"/>
        </w:numPr>
        <w:tabs>
          <w:tab w:val="clear" w:pos="567"/>
        </w:tabs>
        <w:spacing w:before="120" w:after="120"/>
        <w:ind w:left="851" w:hanging="709"/>
      </w:pPr>
      <w:r>
        <w:t>Do you have any insights on the XOFF transactions reported by investment firms who also act as an SI (SI-OTC trades)?</w:t>
      </w:r>
    </w:p>
    <w:p w14:paraId="64142E94" w14:textId="77777777" w:rsidR="003A33E5" w:rsidRDefault="003A33E5" w:rsidP="003A33E5">
      <w:r>
        <w:t>&lt;ESMA_QUESTION_MSEM_2&gt;</w:t>
      </w:r>
    </w:p>
    <w:p w14:paraId="0295C3B4" w14:textId="77777777" w:rsidR="001F7174" w:rsidRPr="002459D5" w:rsidRDefault="001F7174" w:rsidP="00EC477F">
      <w:pPr>
        <w:pStyle w:val="pf0"/>
        <w:rPr>
          <w:rFonts w:ascii="Arial" w:hAnsi="Arial" w:cs="Arial"/>
          <w:sz w:val="22"/>
          <w:szCs w:val="22"/>
        </w:rPr>
      </w:pPr>
      <w:permStart w:id="1720911874" w:edGrp="everyone"/>
      <w:r w:rsidRPr="002459D5">
        <w:rPr>
          <w:rFonts w:ascii="Arial" w:hAnsi="Arial" w:cs="Arial"/>
          <w:sz w:val="22"/>
          <w:szCs w:val="22"/>
        </w:rPr>
        <w:t xml:space="preserve">Post-Brexit regulatory divergence has created unnecessary duplication of trade reports for off-venue cross-border transactions. For example, when a client order received in the EU is routed to a UK Systematic Internaliser, this requires a trade report to be submitted in the EU as XOFF, </w:t>
      </w:r>
      <w:proofErr w:type="gramStart"/>
      <w:r w:rsidRPr="002459D5">
        <w:rPr>
          <w:rFonts w:ascii="Arial" w:hAnsi="Arial" w:cs="Arial"/>
          <w:sz w:val="22"/>
          <w:szCs w:val="22"/>
        </w:rPr>
        <w:t>despite the fact that</w:t>
      </w:r>
      <w:proofErr w:type="gramEnd"/>
      <w:r w:rsidRPr="002459D5">
        <w:rPr>
          <w:rFonts w:ascii="Arial" w:hAnsi="Arial" w:cs="Arial"/>
          <w:sz w:val="22"/>
          <w:szCs w:val="22"/>
        </w:rPr>
        <w:t xml:space="preserve"> the trade has already been reported in UK as SINT. This duplication of reporting obligations creates artificial volume inflation.</w:t>
      </w:r>
    </w:p>
    <w:p w14:paraId="46819540" w14:textId="77777777" w:rsidR="001F7174" w:rsidRPr="002459D5" w:rsidRDefault="001F7174" w:rsidP="00EC477F">
      <w:pPr>
        <w:pStyle w:val="pf0"/>
        <w:rPr>
          <w:rFonts w:ascii="Arial" w:hAnsi="Arial" w:cs="Arial"/>
          <w:sz w:val="22"/>
          <w:szCs w:val="22"/>
        </w:rPr>
      </w:pPr>
      <w:r w:rsidRPr="002459D5">
        <w:rPr>
          <w:rFonts w:ascii="Arial" w:hAnsi="Arial" w:cs="Arial"/>
          <w:sz w:val="22"/>
          <w:szCs w:val="22"/>
        </w:rPr>
        <w:t xml:space="preserve">Our recommendation is to recognize UK APAs as equivalent, which would remove the need for this duplication of trade reports, mitigate the reporting burden and ensure consistency and completeness of transaction data. As a </w:t>
      </w:r>
      <w:proofErr w:type="gramStart"/>
      <w:r w:rsidRPr="002459D5">
        <w:rPr>
          <w:rFonts w:ascii="Arial" w:hAnsi="Arial" w:cs="Arial"/>
          <w:sz w:val="22"/>
          <w:szCs w:val="22"/>
        </w:rPr>
        <w:t>second best</w:t>
      </w:r>
      <w:proofErr w:type="gramEnd"/>
      <w:r w:rsidRPr="002459D5">
        <w:rPr>
          <w:rFonts w:ascii="Arial" w:hAnsi="Arial" w:cs="Arial"/>
          <w:sz w:val="22"/>
          <w:szCs w:val="22"/>
        </w:rPr>
        <w:t xml:space="preserve"> option, we would recommend mandating the XBDT flag for trades reported across both jurisdictions to allow for filtering to eliminate double counting. For example, in the scenario above, which triggers both UK SINT and EU XOFF reports, the XBDT flag would apply to the second report, XOFF, to mark such trades as cross-border duplicative. The XBDT flag should also be mandated for reported trades when they have been executed on non-PPT-equivalent trading venues.</w:t>
      </w:r>
    </w:p>
    <w:p w14:paraId="74478F51" w14:textId="77777777" w:rsidR="001F7174" w:rsidRPr="002459D5" w:rsidRDefault="001F7174" w:rsidP="00EC477F">
      <w:pPr>
        <w:pStyle w:val="pf0"/>
        <w:rPr>
          <w:rFonts w:ascii="Arial" w:hAnsi="Arial" w:cs="Arial"/>
          <w:sz w:val="22"/>
          <w:szCs w:val="22"/>
        </w:rPr>
      </w:pPr>
      <w:r w:rsidRPr="002459D5">
        <w:rPr>
          <w:rFonts w:ascii="Arial" w:hAnsi="Arial" w:cs="Arial"/>
          <w:sz w:val="22"/>
          <w:szCs w:val="22"/>
        </w:rPr>
        <w:t>We also believe that there is some ambiguity amongst market participants around the reporting of off-book trades that are exempt from the STO (e.g. trades that are flagged as BENC, PORT or CONT). We believe that some firms consider that such trades can/should be reported as XOFF as the STO does not apply. We would recommend that this use case should be clarified by ESMA to remove any doubt as to the correct behaviour.</w:t>
      </w:r>
    </w:p>
    <w:p w14:paraId="785209D0" w14:textId="77777777" w:rsidR="001F7174" w:rsidRPr="002459D5" w:rsidRDefault="001F7174" w:rsidP="00EC477F">
      <w:pPr>
        <w:pStyle w:val="pf0"/>
        <w:rPr>
          <w:rFonts w:ascii="Arial" w:hAnsi="Arial" w:cs="Arial"/>
          <w:sz w:val="22"/>
          <w:szCs w:val="22"/>
        </w:rPr>
      </w:pPr>
      <w:r w:rsidRPr="002459D5">
        <w:rPr>
          <w:rFonts w:ascii="Arial" w:hAnsi="Arial" w:cs="Arial"/>
          <w:sz w:val="22"/>
          <w:szCs w:val="22"/>
        </w:rPr>
        <w:t xml:space="preserve">We understand that there is some divergence in interpretation of reporting of SI executions by UK branches of EU SI firms. Our members highlighted that one regulator has stated that such UK branches, which will be reporting their SI executions in UK, should also report such executions as SI in the EU. Whilst not specifically relevant for XOFF, we would like to point out that this introduces further duplicative reporting between the </w:t>
      </w:r>
      <w:proofErr w:type="gramStart"/>
      <w:r w:rsidRPr="002459D5">
        <w:rPr>
          <w:rFonts w:ascii="Arial" w:hAnsi="Arial" w:cs="Arial"/>
          <w:sz w:val="22"/>
          <w:szCs w:val="22"/>
        </w:rPr>
        <w:t>jurisdictions, and</w:t>
      </w:r>
      <w:proofErr w:type="gramEnd"/>
      <w:r w:rsidRPr="002459D5">
        <w:rPr>
          <w:rFonts w:ascii="Arial" w:hAnsi="Arial" w:cs="Arial"/>
          <w:sz w:val="22"/>
          <w:szCs w:val="22"/>
        </w:rPr>
        <w:t xml:space="preserve"> therefore calls the accuracy of the data further into question.</w:t>
      </w:r>
    </w:p>
    <w:p w14:paraId="3E160EF4" w14:textId="77777777" w:rsidR="001F7174" w:rsidRDefault="001F7174" w:rsidP="003A33E5">
      <w:pPr>
        <w:rPr>
          <w:rFonts w:ascii="Arial" w:hAnsi="Arial" w:cs="Arial"/>
          <w:szCs w:val="22"/>
        </w:rPr>
      </w:pPr>
      <w:r w:rsidRPr="002459D5">
        <w:rPr>
          <w:rFonts w:ascii="Arial" w:hAnsi="Arial" w:cs="Arial"/>
          <w:szCs w:val="22"/>
        </w:rPr>
        <w:t>We would also like to note that our members have highlighted some divergence of interpretation of usage of XOFF, particularly in chains of counterparties. Our recommendation would be to clarify via regulatory guidelines which counterparty should report when chains of counterparties are involved in a trade, including where these chains cross regulatory borders.</w:t>
      </w:r>
    </w:p>
    <w:permEnd w:id="1720911874"/>
    <w:p w14:paraId="7B1C56C5" w14:textId="4CCF0C42" w:rsidR="003A33E5" w:rsidRDefault="003A33E5" w:rsidP="003A33E5">
      <w:r>
        <w:lastRenderedPageBreak/>
        <w:t>&lt;ESMA_QUESTION_MSEM_2&gt;</w:t>
      </w:r>
    </w:p>
    <w:p w14:paraId="0939D010" w14:textId="77777777" w:rsidR="003A33E5" w:rsidRDefault="003A33E5" w:rsidP="003A33E5"/>
    <w:p w14:paraId="07820902" w14:textId="77777777" w:rsidR="00646F0B" w:rsidRDefault="00646F0B">
      <w:pPr>
        <w:spacing w:after="120" w:line="264" w:lineRule="auto"/>
        <w:jc w:val="left"/>
        <w:rPr>
          <w:b/>
        </w:rPr>
      </w:pPr>
      <w:r>
        <w:br w:type="page"/>
      </w:r>
    </w:p>
    <w:p w14:paraId="09EF991B" w14:textId="77777777" w:rsidR="003A33E5" w:rsidRDefault="003A33E5" w:rsidP="003A33E5">
      <w:pPr>
        <w:pStyle w:val="Questionstyle"/>
        <w:numPr>
          <w:ilvl w:val="0"/>
          <w:numId w:val="14"/>
        </w:numPr>
        <w:tabs>
          <w:tab w:val="clear" w:pos="567"/>
        </w:tabs>
        <w:spacing w:before="120" w:after="120"/>
        <w:ind w:left="851" w:hanging="709"/>
      </w:pPr>
      <w:r>
        <w:lastRenderedPageBreak/>
        <w:t xml:space="preserve">Do you agree with the general trends identified regarding on-book vs. off-book trading, and addressable vs. non-addressable liquidity? What other trends do you consider relevant, also in terms of competitive pressures? </w:t>
      </w:r>
    </w:p>
    <w:p w14:paraId="47D1697D" w14:textId="77777777" w:rsidR="003A33E5" w:rsidRDefault="003A33E5" w:rsidP="003A33E5">
      <w:r>
        <w:t>&lt;ESMA_QUESTION_MSEM_3&gt;</w:t>
      </w:r>
    </w:p>
    <w:p w14:paraId="44518C6F" w14:textId="77777777" w:rsidR="00880AD0" w:rsidRPr="002459D5" w:rsidRDefault="00880AD0" w:rsidP="00EC477F">
      <w:pPr>
        <w:pStyle w:val="pf0"/>
        <w:rPr>
          <w:rFonts w:ascii="Arial" w:hAnsi="Arial" w:cs="Arial"/>
          <w:sz w:val="22"/>
          <w:szCs w:val="22"/>
        </w:rPr>
      </w:pPr>
      <w:permStart w:id="1070029581" w:edGrp="everyone"/>
      <w:r w:rsidRPr="002459D5">
        <w:rPr>
          <w:rFonts w:ascii="Arial" w:hAnsi="Arial" w:cs="Arial"/>
          <w:sz w:val="22"/>
          <w:szCs w:val="22"/>
        </w:rPr>
        <w:t xml:space="preserve">While we do not seek to comment on specific trends in the data itself, we would reiterate the concerns raised in response to Q2 regarding the potential unreliability and inconsistency of the underlying dataset. This issue is likely to become even more significant as trading becomes increasingly automated and market participants, regulators and other stakeholders place greater reliance on data-driven analysis. Looking ahead, particular attention should be given to emerging developments such as tokenisation — including any implications this may have for the scope of the MiFID perimeter — and the growing use of artificial intelligence in trading, execution and market surveillance. It is also important to recognise that observed trends may not be driven solely by market structure </w:t>
      </w:r>
      <w:proofErr w:type="gramStart"/>
      <w:r w:rsidRPr="002459D5">
        <w:rPr>
          <w:rFonts w:ascii="Arial" w:hAnsi="Arial" w:cs="Arial"/>
          <w:sz w:val="22"/>
          <w:szCs w:val="22"/>
        </w:rPr>
        <w:t>factors, but</w:t>
      </w:r>
      <w:proofErr w:type="gramEnd"/>
      <w:r w:rsidRPr="002459D5">
        <w:rPr>
          <w:rFonts w:ascii="Arial" w:hAnsi="Arial" w:cs="Arial"/>
          <w:sz w:val="22"/>
          <w:szCs w:val="22"/>
        </w:rPr>
        <w:t xml:space="preserve"> may also reflect broader influences such as triple witching and index rebalancing events, changes in investor behaviour, geopolitical developments and the continued adoption of new technologies.</w:t>
      </w:r>
    </w:p>
    <w:p w14:paraId="07854476" w14:textId="77777777" w:rsidR="00880AD0" w:rsidRPr="002459D5" w:rsidRDefault="00880AD0" w:rsidP="00EC477F">
      <w:pPr>
        <w:pStyle w:val="pf0"/>
        <w:rPr>
          <w:rFonts w:ascii="Arial" w:hAnsi="Arial" w:cs="Arial"/>
          <w:sz w:val="22"/>
          <w:szCs w:val="22"/>
        </w:rPr>
      </w:pPr>
      <w:r w:rsidRPr="002459D5">
        <w:rPr>
          <w:rFonts w:ascii="Arial" w:hAnsi="Arial" w:cs="Arial"/>
          <w:sz w:val="22"/>
          <w:szCs w:val="22"/>
        </w:rPr>
        <w:t xml:space="preserve">We also </w:t>
      </w:r>
      <w:proofErr w:type="gramStart"/>
      <w:r w:rsidRPr="002459D5">
        <w:rPr>
          <w:rFonts w:ascii="Arial" w:hAnsi="Arial" w:cs="Arial"/>
          <w:sz w:val="22"/>
          <w:szCs w:val="22"/>
        </w:rPr>
        <w:t>refer back</w:t>
      </w:r>
      <w:proofErr w:type="gramEnd"/>
      <w:r w:rsidRPr="002459D5">
        <w:rPr>
          <w:rFonts w:ascii="Arial" w:hAnsi="Arial" w:cs="Arial"/>
          <w:sz w:val="22"/>
          <w:szCs w:val="22"/>
        </w:rPr>
        <w:t xml:space="preserve"> to the point made in our response to Q1 regarding the need to take trading phase into account when comparing data as the distribution of liquidity is different for auctions, continuous trading and out of hours trading. Taking this further, any comparative analysis also needs to account for external factors/trends that have nothing to do with market structure, </w:t>
      </w:r>
      <w:proofErr w:type="gramStart"/>
      <w:r w:rsidRPr="002459D5">
        <w:rPr>
          <w:rFonts w:ascii="Arial" w:hAnsi="Arial" w:cs="Arial"/>
          <w:sz w:val="22"/>
          <w:szCs w:val="22"/>
        </w:rPr>
        <w:t>and also</w:t>
      </w:r>
      <w:proofErr w:type="gramEnd"/>
      <w:r w:rsidRPr="002459D5">
        <w:rPr>
          <w:rFonts w:ascii="Arial" w:hAnsi="Arial" w:cs="Arial"/>
          <w:sz w:val="22"/>
          <w:szCs w:val="22"/>
        </w:rPr>
        <w:t xml:space="preserve"> the difference in liquidity distribution on certain trading days (e.g., options expiries and index </w:t>
      </w:r>
      <w:proofErr w:type="gramStart"/>
      <w:r w:rsidRPr="002459D5">
        <w:rPr>
          <w:rFonts w:ascii="Arial" w:hAnsi="Arial" w:cs="Arial"/>
          <w:sz w:val="22"/>
          <w:szCs w:val="22"/>
        </w:rPr>
        <w:t>rebalances</w:t>
      </w:r>
      <w:proofErr w:type="gramEnd"/>
      <w:r w:rsidRPr="002459D5">
        <w:rPr>
          <w:rFonts w:ascii="Arial" w:hAnsi="Arial" w:cs="Arial"/>
          <w:sz w:val="22"/>
          <w:szCs w:val="22"/>
        </w:rPr>
        <w:t>).</w:t>
      </w:r>
    </w:p>
    <w:p w14:paraId="46A1A570" w14:textId="77777777" w:rsidR="00880AD0" w:rsidRDefault="00880AD0" w:rsidP="003A33E5">
      <w:pPr>
        <w:rPr>
          <w:rFonts w:ascii="Arial" w:hAnsi="Arial" w:cs="Arial"/>
          <w:szCs w:val="22"/>
        </w:rPr>
      </w:pPr>
      <w:proofErr w:type="gramStart"/>
      <w:r w:rsidRPr="002459D5">
        <w:rPr>
          <w:rFonts w:ascii="Arial" w:hAnsi="Arial" w:cs="Arial"/>
          <w:szCs w:val="22"/>
        </w:rPr>
        <w:t>Finally</w:t>
      </w:r>
      <w:proofErr w:type="gramEnd"/>
      <w:r w:rsidRPr="002459D5">
        <w:rPr>
          <w:rFonts w:ascii="Arial" w:hAnsi="Arial" w:cs="Arial"/>
          <w:szCs w:val="22"/>
        </w:rPr>
        <w:t xml:space="preserve"> we note that the data presented excludes activity undertaken in the UK, which is many cases is a meaningful proportion of overall volume.</w:t>
      </w:r>
    </w:p>
    <w:permEnd w:id="1070029581"/>
    <w:p w14:paraId="7BB7AE3F" w14:textId="69CBB312" w:rsidR="003A33E5" w:rsidRDefault="003A33E5" w:rsidP="003A33E5">
      <w:r>
        <w:t>&lt;ESMA_QUESTION_MSEM_3&gt;</w:t>
      </w:r>
    </w:p>
    <w:p w14:paraId="50A49268" w14:textId="77777777" w:rsidR="003A33E5" w:rsidRDefault="003A33E5" w:rsidP="003A33E5"/>
    <w:p w14:paraId="549192CC" w14:textId="77777777" w:rsidR="003A33E5" w:rsidRDefault="003A33E5" w:rsidP="003A33E5">
      <w:pPr>
        <w:pStyle w:val="Questionstyle"/>
        <w:numPr>
          <w:ilvl w:val="0"/>
          <w:numId w:val="14"/>
        </w:numPr>
        <w:tabs>
          <w:tab w:val="clear" w:pos="567"/>
        </w:tabs>
        <w:spacing w:before="120" w:after="120"/>
        <w:ind w:left="851" w:hanging="709"/>
      </w:pPr>
      <w:r>
        <w:t>Do you have any concerns on the impact of the identified trends on the general functioning of the EEA markets for shares? In your view, what are the implications of the relative decreasing trend in trading on CLOB for the effective price formation in the EEA markets for shares? What are the implications on price formation should this trend persist or even accelerate?</w:t>
      </w:r>
    </w:p>
    <w:p w14:paraId="6FB96EFA" w14:textId="77777777" w:rsidR="003A33E5" w:rsidRDefault="003A33E5" w:rsidP="003A33E5">
      <w:r>
        <w:t>&lt;ESMA_QUESTION_MSEM_4&gt;</w:t>
      </w:r>
    </w:p>
    <w:p w14:paraId="1AA7CBE1" w14:textId="77777777" w:rsidR="007B5F61" w:rsidRPr="002459D5" w:rsidRDefault="007B5F61" w:rsidP="00EC477F">
      <w:pPr>
        <w:spacing w:after="257" w:line="268" w:lineRule="auto"/>
        <w:jc w:val="left"/>
        <w:rPr>
          <w:rFonts w:ascii="Arial" w:hAnsi="Arial" w:cs="Arial"/>
        </w:rPr>
      </w:pPr>
      <w:permStart w:id="856752782" w:edGrp="everyone"/>
      <w:r w:rsidRPr="002459D5">
        <w:rPr>
          <w:rFonts w:ascii="Arial" w:hAnsi="Arial" w:cs="Arial"/>
        </w:rPr>
        <w:t>Care should be taken when drawing conclusions from observed trends where the underlying data lacks sufficient granularity, as noted in our response to Q1, and where wider external influences, as referenced in our response to Q3, may also be shaping outcomes. We reiterate our comments from Q1 and Q3 on the need to assess trends allowing for difference in trading phase, special trading days (such as expiries) and factoring in activity in the UK.</w:t>
      </w:r>
    </w:p>
    <w:p w14:paraId="7E441BD8" w14:textId="77777777" w:rsidR="007B5F61" w:rsidRDefault="007B5F61" w:rsidP="003A33E5">
      <w:pPr>
        <w:rPr>
          <w:rFonts w:ascii="Arial" w:hAnsi="Arial" w:cs="Arial"/>
        </w:rPr>
      </w:pPr>
      <w:r w:rsidRPr="002459D5">
        <w:rPr>
          <w:rFonts w:ascii="Arial" w:hAnsi="Arial" w:cs="Arial"/>
        </w:rPr>
        <w:lastRenderedPageBreak/>
        <w:t>It would also be helpful to understand whether ESMA has produced, or could produce, an equivalent chart focused specifically on addressable liquidity.</w:t>
      </w:r>
    </w:p>
    <w:permEnd w:id="856752782"/>
    <w:p w14:paraId="2A3F17E9" w14:textId="5FA2A941" w:rsidR="003A33E5" w:rsidRDefault="003A33E5" w:rsidP="003A33E5">
      <w:r>
        <w:t>&lt;ESMA_QUESTION_MSEM_4&gt;</w:t>
      </w:r>
    </w:p>
    <w:p w14:paraId="51851E5C" w14:textId="77777777" w:rsidR="003A33E5" w:rsidRDefault="003A33E5" w:rsidP="003A33E5"/>
    <w:p w14:paraId="7AEA8BA8" w14:textId="77777777" w:rsidR="003A33E5" w:rsidRDefault="003A33E5" w:rsidP="003A33E5">
      <w:pPr>
        <w:pStyle w:val="Questionstyle"/>
        <w:numPr>
          <w:ilvl w:val="0"/>
          <w:numId w:val="14"/>
        </w:numPr>
        <w:tabs>
          <w:tab w:val="clear" w:pos="567"/>
        </w:tabs>
        <w:spacing w:before="120" w:after="120"/>
        <w:ind w:left="851" w:hanging="709"/>
      </w:pPr>
      <w:r>
        <w:t>As the choice of trading facility has increased, it is important for ESMA to understand why market participants are choosing the execution facilities that they do. What are the drivers that you consider most relevant when choosing on which execution venue and with which execution method to trade?</w:t>
      </w:r>
    </w:p>
    <w:p w14:paraId="12FC9CE0" w14:textId="77777777" w:rsidR="003A33E5" w:rsidRDefault="003A33E5" w:rsidP="003A33E5">
      <w:r>
        <w:t>&lt;ESMA_QUESTION_MSEM_5&gt;</w:t>
      </w:r>
    </w:p>
    <w:p w14:paraId="001B0622" w14:textId="77777777" w:rsidR="003A33E5" w:rsidRDefault="003A33E5" w:rsidP="003A33E5">
      <w:permStart w:id="617826185" w:edGrp="everyone"/>
      <w:r>
        <w:t>TYPE YOUR TEXT HERE</w:t>
      </w:r>
    </w:p>
    <w:permEnd w:id="617826185"/>
    <w:p w14:paraId="27C70824" w14:textId="77777777" w:rsidR="003A33E5" w:rsidRDefault="003A33E5" w:rsidP="003A33E5">
      <w:r>
        <w:t>&lt;ESMA_QUESTION_MSEM_5&gt;</w:t>
      </w:r>
    </w:p>
    <w:p w14:paraId="199012FE" w14:textId="77777777" w:rsidR="003A33E5" w:rsidRDefault="003A33E5" w:rsidP="003A33E5"/>
    <w:p w14:paraId="7929F1F5" w14:textId="77777777" w:rsidR="00646F0B" w:rsidRDefault="00646F0B">
      <w:pPr>
        <w:spacing w:after="120" w:line="264" w:lineRule="auto"/>
        <w:jc w:val="left"/>
        <w:rPr>
          <w:b/>
        </w:rPr>
      </w:pPr>
      <w:r>
        <w:br w:type="page"/>
      </w:r>
    </w:p>
    <w:p w14:paraId="473547D4" w14:textId="77777777" w:rsidR="003A33E5" w:rsidRDefault="003A33E5" w:rsidP="003A33E5">
      <w:pPr>
        <w:pStyle w:val="Questionstyle"/>
        <w:numPr>
          <w:ilvl w:val="0"/>
          <w:numId w:val="14"/>
        </w:numPr>
        <w:tabs>
          <w:tab w:val="clear" w:pos="567"/>
        </w:tabs>
        <w:spacing w:before="120" w:after="120"/>
        <w:ind w:left="851" w:hanging="709"/>
      </w:pPr>
      <w:r>
        <w:lastRenderedPageBreak/>
        <w:t xml:space="preserve">What are your experiences with regard to gaining access to liquidity? To what extent are you, either directly or via a broker, able to access liquidity on relevant trading venues or relevant systematic internalisers? If not, please explain what stands in the way of gaining such access. </w:t>
      </w:r>
    </w:p>
    <w:p w14:paraId="62117AA3" w14:textId="77777777" w:rsidR="003A33E5" w:rsidRDefault="003A33E5" w:rsidP="003A33E5">
      <w:r>
        <w:t>&lt;ESMA_QUESTION_MSEM_6&gt;</w:t>
      </w:r>
    </w:p>
    <w:p w14:paraId="4F612D36" w14:textId="77777777" w:rsidR="00D75ED0" w:rsidRPr="002459D5" w:rsidRDefault="00D75ED0" w:rsidP="00EC477F">
      <w:pPr>
        <w:spacing w:after="257" w:line="268" w:lineRule="auto"/>
        <w:jc w:val="left"/>
        <w:rPr>
          <w:rFonts w:ascii="Arial" w:hAnsi="Arial" w:cs="Arial"/>
        </w:rPr>
      </w:pPr>
      <w:permStart w:id="1898151376" w:edGrp="everyone"/>
      <w:r w:rsidRPr="002459D5">
        <w:rPr>
          <w:rFonts w:ascii="Arial" w:hAnsi="Arial" w:cs="Arial"/>
        </w:rPr>
        <w:t xml:space="preserve">From a technical perspective, there are, in principle, limited barriers to accessing the broad range of trading venues and liquidity sources, given that most venues and other sources of liquidity operate using a largely common set of industry standards. </w:t>
      </w:r>
    </w:p>
    <w:p w14:paraId="5E10602F" w14:textId="77777777" w:rsidR="00D75ED0" w:rsidRPr="002459D5" w:rsidRDefault="00D75ED0" w:rsidP="00EC477F">
      <w:pPr>
        <w:spacing w:after="257" w:line="268" w:lineRule="auto"/>
        <w:jc w:val="left"/>
        <w:rPr>
          <w:rFonts w:ascii="Arial" w:hAnsi="Arial" w:cs="Arial"/>
        </w:rPr>
      </w:pPr>
      <w:r w:rsidRPr="002459D5">
        <w:rPr>
          <w:rFonts w:ascii="Arial" w:hAnsi="Arial" w:cs="Arial"/>
        </w:rPr>
        <w:t xml:space="preserve">From a technical perspective, investors have the choice to connect to trading/ execution venues directly or via network of intermediaries/ brokers, who usually will ‘normalise’ the technical access to multiple venue. </w:t>
      </w:r>
    </w:p>
    <w:p w14:paraId="324CB108" w14:textId="77777777" w:rsidR="00D75ED0" w:rsidRDefault="00D75ED0" w:rsidP="003A33E5">
      <w:pPr>
        <w:rPr>
          <w:rFonts w:ascii="Arial" w:hAnsi="Arial" w:cs="Arial"/>
        </w:rPr>
      </w:pPr>
      <w:r w:rsidRPr="002459D5">
        <w:rPr>
          <w:rFonts w:ascii="Arial" w:hAnsi="Arial" w:cs="Arial"/>
        </w:rPr>
        <w:t>To the extent that access constraints arise in practice, these are therefore more likely to reflect commercial, operational or regulatory considerations rather than any fundamental lack of technical interoperability.</w:t>
      </w:r>
    </w:p>
    <w:permEnd w:id="1898151376"/>
    <w:p w14:paraId="6FA90054" w14:textId="1D3C6DCA" w:rsidR="003A33E5" w:rsidRDefault="003A33E5" w:rsidP="003A33E5">
      <w:r>
        <w:t>&lt;ESMA_QUESTION_MSEM_6&gt;</w:t>
      </w:r>
    </w:p>
    <w:p w14:paraId="1F044D4A" w14:textId="7FE73240" w:rsidR="25391E10" w:rsidRDefault="25391E10"/>
    <w:p w14:paraId="361D719A" w14:textId="5E11F139" w:rsidR="1DD76949" w:rsidRDefault="1DD76949" w:rsidP="25391E10">
      <w:pPr>
        <w:pStyle w:val="Questionstyle"/>
        <w:numPr>
          <w:ilvl w:val="0"/>
          <w:numId w:val="14"/>
        </w:numPr>
        <w:tabs>
          <w:tab w:val="clear" w:pos="567"/>
        </w:tabs>
        <w:spacing w:before="120" w:after="120"/>
        <w:ind w:left="851" w:hanging="709"/>
      </w:pPr>
      <w:r w:rsidRPr="25391E10">
        <w:rPr>
          <w:bCs/>
        </w:rPr>
        <w:t>If you are an issuer, how do you see these market developments? Do you consider this an attractive environment for listing? If not, why?</w:t>
      </w:r>
    </w:p>
    <w:p w14:paraId="3DA0F11E" w14:textId="32ACDC18" w:rsidR="1DD76949" w:rsidRDefault="1DD76949">
      <w:r>
        <w:t>&lt;ESMA_QUESTION_MSEM_7&gt;</w:t>
      </w:r>
    </w:p>
    <w:p w14:paraId="7A75D0EE" w14:textId="3C3C88AF" w:rsidR="005439CE" w:rsidRDefault="005439CE" w:rsidP="005439CE">
      <w:permStart w:id="1102657477" w:edGrp="everyone"/>
      <w:r>
        <w:t>TYPE YOUR TEXT HERE</w:t>
      </w:r>
    </w:p>
    <w:permEnd w:id="1102657477"/>
    <w:p w14:paraId="53325A2B" w14:textId="64BE52FC" w:rsidR="1DD76949" w:rsidRDefault="1DD76949" w:rsidP="1839B6A6">
      <w:r>
        <w:t>&lt;ESMA_QUESTION_MSEM_7&gt;</w:t>
      </w:r>
    </w:p>
    <w:p w14:paraId="417E924C" w14:textId="0AB7BCFB" w:rsidR="003A33E5" w:rsidRDefault="003A33E5" w:rsidP="003A33E5"/>
    <w:p w14:paraId="2FBF4A26" w14:textId="77777777" w:rsidR="003A33E5" w:rsidRDefault="003A33E5" w:rsidP="003A33E5">
      <w:pPr>
        <w:pStyle w:val="Questionstyle"/>
        <w:numPr>
          <w:ilvl w:val="0"/>
          <w:numId w:val="14"/>
        </w:numPr>
        <w:tabs>
          <w:tab w:val="clear" w:pos="567"/>
        </w:tabs>
        <w:spacing w:before="120" w:after="120"/>
        <w:ind w:left="851" w:hanging="709"/>
      </w:pPr>
      <w:r>
        <w:t>What conclusions would you draw from the distribution of liquidity across EEA ISINs? Do you identify any policy recommendations in this context, with a view to enhancing price formation while ensuring a level playing field across different types of venues? Do you have explanations for the high share of OTC trading observed in the ISIN’s of some jurisdictions?</w:t>
      </w:r>
    </w:p>
    <w:p w14:paraId="588C53CB" w14:textId="4A567EB9" w:rsidR="003A33E5" w:rsidRDefault="003A33E5" w:rsidP="003A33E5">
      <w:r>
        <w:t>&lt;ESMA_QUESTION_MSEM_</w:t>
      </w:r>
      <w:r w:rsidR="41EADA35">
        <w:t>8</w:t>
      </w:r>
      <w:r>
        <w:t>&gt;</w:t>
      </w:r>
    </w:p>
    <w:p w14:paraId="08333A5F" w14:textId="77777777" w:rsidR="00BF7812" w:rsidRPr="002459D5" w:rsidRDefault="00BF7812" w:rsidP="00EC477F">
      <w:pPr>
        <w:spacing w:after="249"/>
        <w:jc w:val="left"/>
        <w:rPr>
          <w:rFonts w:ascii="Arial" w:hAnsi="Arial" w:cs="Arial"/>
        </w:rPr>
      </w:pPr>
      <w:permStart w:id="1746406015" w:edGrp="everyone"/>
      <w:r w:rsidRPr="002459D5">
        <w:rPr>
          <w:rFonts w:ascii="Arial" w:hAnsi="Arial" w:cs="Arial"/>
        </w:rPr>
        <w:t xml:space="preserve">As we have stated in our answer to Q2, we believe that there are </w:t>
      </w:r>
      <w:proofErr w:type="gramStart"/>
      <w:r w:rsidRPr="002459D5">
        <w:rPr>
          <w:rFonts w:ascii="Arial" w:hAnsi="Arial" w:cs="Arial"/>
        </w:rPr>
        <w:t>a number of</w:t>
      </w:r>
      <w:proofErr w:type="gramEnd"/>
      <w:r w:rsidRPr="002459D5">
        <w:rPr>
          <w:rFonts w:ascii="Arial" w:hAnsi="Arial" w:cs="Arial"/>
        </w:rPr>
        <w:t xml:space="preserve"> scenarios whereby trade reports are duplicated between regulatory jurisdictions. Due to this and other </w:t>
      </w:r>
      <w:r w:rsidRPr="002459D5">
        <w:rPr>
          <w:rFonts w:ascii="Arial" w:hAnsi="Arial" w:cs="Arial"/>
        </w:rPr>
        <w:lastRenderedPageBreak/>
        <w:t>potential issues with the data, it becomes very difficult to draw any firm conclusions between different EEA ISINs.</w:t>
      </w:r>
    </w:p>
    <w:p w14:paraId="397BDA04" w14:textId="77777777" w:rsidR="00BF7812" w:rsidRDefault="00BF7812" w:rsidP="003A33E5">
      <w:pPr>
        <w:rPr>
          <w:rFonts w:ascii="Arial" w:hAnsi="Arial" w:cs="Arial"/>
        </w:rPr>
      </w:pPr>
      <w:r w:rsidRPr="002459D5">
        <w:rPr>
          <w:rFonts w:ascii="Arial" w:hAnsi="Arial" w:cs="Arial"/>
        </w:rPr>
        <w:t>We also note that some jurisdictions have very small trading volumes and small variances in absolute volumes can result in outsize changes in the proportion of, for example, OTC trading. Small trading volumes also tends to be associated with manual activity which tends towards OTC.</w:t>
      </w:r>
    </w:p>
    <w:permEnd w:id="1746406015"/>
    <w:p w14:paraId="733FC025" w14:textId="6D3C32F5" w:rsidR="003A33E5" w:rsidRDefault="003A33E5" w:rsidP="003A33E5">
      <w:r>
        <w:t>&lt;ESMA_QUESTION_MSEM_</w:t>
      </w:r>
      <w:r w:rsidR="49007739">
        <w:t>8</w:t>
      </w:r>
      <w:r>
        <w:t>&gt;</w:t>
      </w:r>
    </w:p>
    <w:p w14:paraId="6FBB31DE" w14:textId="77777777" w:rsidR="003A33E5" w:rsidRDefault="003A33E5" w:rsidP="003A33E5"/>
    <w:p w14:paraId="43188ECC" w14:textId="77777777" w:rsidR="00646F0B" w:rsidRDefault="00646F0B">
      <w:pPr>
        <w:spacing w:after="120" w:line="264" w:lineRule="auto"/>
        <w:jc w:val="left"/>
        <w:rPr>
          <w:b/>
        </w:rPr>
      </w:pPr>
      <w:r>
        <w:br w:type="page"/>
      </w:r>
    </w:p>
    <w:p w14:paraId="7B74F72C"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of dark trading on EU trading venues? Are there any structural shifts that you noticed, which you believe should be further monitored?</w:t>
      </w:r>
    </w:p>
    <w:p w14:paraId="513B57FB" w14:textId="5DA39FA6" w:rsidR="003A33E5" w:rsidRDefault="003A33E5" w:rsidP="003A33E5">
      <w:r>
        <w:t>&lt;ESMA_QUESTION_MSEM_</w:t>
      </w:r>
      <w:r w:rsidR="6C25E304">
        <w:t>9</w:t>
      </w:r>
      <w:r>
        <w:t>&gt;</w:t>
      </w:r>
    </w:p>
    <w:p w14:paraId="6CAB21E8" w14:textId="77777777" w:rsidR="003A33E5" w:rsidRDefault="003A33E5" w:rsidP="003A33E5">
      <w:permStart w:id="648821160" w:edGrp="everyone"/>
      <w:r>
        <w:t>TYPE YOUR TEXT HERE</w:t>
      </w:r>
    </w:p>
    <w:permEnd w:id="648821160"/>
    <w:p w14:paraId="7C40A66E" w14:textId="22C93734" w:rsidR="003A33E5" w:rsidRDefault="003A33E5" w:rsidP="003A33E5">
      <w:r>
        <w:t>&lt;ESMA_QUESTION_MSEM_</w:t>
      </w:r>
      <w:r w:rsidR="1D2DBD5A">
        <w:t>9</w:t>
      </w:r>
      <w:r>
        <w:t>&gt;</w:t>
      </w:r>
    </w:p>
    <w:p w14:paraId="573DD28E" w14:textId="77777777" w:rsidR="003A33E5" w:rsidRDefault="003A33E5" w:rsidP="003A33E5"/>
    <w:p w14:paraId="79C37084" w14:textId="77777777" w:rsidR="003A33E5" w:rsidRDefault="003A33E5" w:rsidP="003A33E5">
      <w:pPr>
        <w:pStyle w:val="Questionstyle"/>
        <w:numPr>
          <w:ilvl w:val="0"/>
          <w:numId w:val="14"/>
        </w:numPr>
        <w:tabs>
          <w:tab w:val="clear" w:pos="567"/>
        </w:tabs>
        <w:spacing w:before="120" w:after="120"/>
        <w:ind w:left="851" w:hanging="709"/>
      </w:pPr>
      <w:r>
        <w:t>What concerns/issues do you highlight at this stage? Do you see a need for specific regulatory interventions also in consideration of evidence available regarding practices related to dark trading functionalities (please provide details)?</w:t>
      </w:r>
    </w:p>
    <w:p w14:paraId="59C07D79" w14:textId="017F9137" w:rsidR="003A33E5" w:rsidRDefault="003A33E5" w:rsidP="003A33E5">
      <w:r>
        <w:t>&lt;ESMA_QUESTION_MSEM_</w:t>
      </w:r>
      <w:r w:rsidR="5B9AD059">
        <w:t>10</w:t>
      </w:r>
      <w:r>
        <w:t>&gt;</w:t>
      </w:r>
    </w:p>
    <w:p w14:paraId="489A7F2C" w14:textId="77777777" w:rsidR="003A33E5" w:rsidRDefault="003A33E5" w:rsidP="003A33E5">
      <w:permStart w:id="733371525" w:edGrp="everyone"/>
      <w:r>
        <w:t>TYPE YOUR TEXT HERE</w:t>
      </w:r>
    </w:p>
    <w:permEnd w:id="733371525"/>
    <w:p w14:paraId="6A0D8A42" w14:textId="64FF6C32" w:rsidR="003A33E5" w:rsidRDefault="003A33E5" w:rsidP="003A33E5">
      <w:r>
        <w:t>&lt;ESMA_QUESTION_MSEM_</w:t>
      </w:r>
      <w:r w:rsidR="22D17A5E">
        <w:t>10</w:t>
      </w:r>
      <w:r>
        <w:t>&gt;</w:t>
      </w:r>
    </w:p>
    <w:p w14:paraId="247DE690" w14:textId="77777777" w:rsidR="003A33E5" w:rsidRDefault="003A33E5" w:rsidP="003A33E5"/>
    <w:p w14:paraId="0D02DAF6" w14:textId="77777777" w:rsidR="003A33E5" w:rsidRDefault="003A33E5" w:rsidP="003A33E5">
      <w:pPr>
        <w:pStyle w:val="Questionstyle"/>
        <w:numPr>
          <w:ilvl w:val="0"/>
          <w:numId w:val="14"/>
        </w:numPr>
        <w:tabs>
          <w:tab w:val="clear" w:pos="567"/>
        </w:tabs>
        <w:spacing w:before="120" w:after="120"/>
        <w:ind w:left="851" w:hanging="709"/>
      </w:pPr>
      <w:r>
        <w:t>What is your view on the evolution and effects of trading in closing auctions on the EU markets? Do you agree with the presented rationale for trading in closing auctions or do you consider other drivers more important for explaining the growth and increasing significance of closing auctions trading?</w:t>
      </w:r>
    </w:p>
    <w:p w14:paraId="4196CF22" w14:textId="6C5F2480" w:rsidR="003A33E5" w:rsidRDefault="003A33E5" w:rsidP="003A33E5">
      <w:r>
        <w:t>&lt;ESMA_QUESTION_MSEM_1</w:t>
      </w:r>
      <w:r w:rsidR="7F480B62">
        <w:t>1</w:t>
      </w:r>
      <w:r>
        <w:t>&gt;</w:t>
      </w:r>
    </w:p>
    <w:p w14:paraId="32A333DD" w14:textId="77777777" w:rsidR="00343FFC" w:rsidRDefault="00343FFC" w:rsidP="003A33E5">
      <w:pPr>
        <w:rPr>
          <w:rFonts w:ascii="Arial" w:hAnsi="Arial" w:cs="Arial"/>
          <w:szCs w:val="22"/>
        </w:rPr>
      </w:pPr>
      <w:permStart w:id="14425139" w:edGrp="everyone"/>
      <w:r w:rsidRPr="002459D5">
        <w:rPr>
          <w:rFonts w:ascii="Arial" w:hAnsi="Arial" w:cs="Arial"/>
          <w:szCs w:val="22"/>
        </w:rPr>
        <w:t>As mentioned in our response to q1, the timing of these trades is an important factor, and when assessing any effects of trading in closing auctions, it is important to differentiate between activity during the closing auction that contributes to the price, activity during the closing auction that does not contribute to the price, and activity that uses the closing price but takes place after the auction. Furthermore, flagging of off-venue closing price activity in a similar manner to that done in the UK (the CLSE flag) would be extremely helpful to understand fully the activity that takes place at market close.</w:t>
      </w:r>
    </w:p>
    <w:permEnd w:id="14425139"/>
    <w:p w14:paraId="5F50D689" w14:textId="7E2A2A3C" w:rsidR="003A33E5" w:rsidRDefault="003A33E5" w:rsidP="003A33E5">
      <w:r>
        <w:t>&lt;ESMA_QUESTION_MSEM_1</w:t>
      </w:r>
      <w:r w:rsidR="27DE54A4">
        <w:t>1</w:t>
      </w:r>
      <w:r>
        <w:t>&gt;</w:t>
      </w:r>
    </w:p>
    <w:p w14:paraId="3B432B13" w14:textId="77777777" w:rsidR="003A33E5" w:rsidRDefault="003A33E5" w:rsidP="003A33E5"/>
    <w:p w14:paraId="2C97BD38" w14:textId="77777777" w:rsidR="00646F0B" w:rsidRDefault="00646F0B">
      <w:pPr>
        <w:spacing w:after="120" w:line="264" w:lineRule="auto"/>
        <w:jc w:val="left"/>
        <w:rPr>
          <w:b/>
        </w:rPr>
      </w:pPr>
      <w:r>
        <w:lastRenderedPageBreak/>
        <w:br w:type="page"/>
      </w:r>
    </w:p>
    <w:p w14:paraId="1AD8418F"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effects of alternative closing mechanisms offered by MTFs and SIs?</w:t>
      </w:r>
    </w:p>
    <w:p w14:paraId="7557D3A0" w14:textId="73E09586" w:rsidR="003A33E5" w:rsidRDefault="003A33E5" w:rsidP="003A33E5">
      <w:r>
        <w:t>&lt;ESMA_QUESTION_MSEM_1</w:t>
      </w:r>
      <w:r w:rsidR="3B70C9CE">
        <w:t>2</w:t>
      </w:r>
      <w:r>
        <w:t>&gt;</w:t>
      </w:r>
    </w:p>
    <w:p w14:paraId="1290BA25" w14:textId="77777777" w:rsidR="00F9331C" w:rsidRDefault="00F9331C" w:rsidP="003A33E5">
      <w:pPr>
        <w:rPr>
          <w:rFonts w:ascii="Arial" w:hAnsi="Arial" w:cs="Arial"/>
          <w:szCs w:val="22"/>
        </w:rPr>
      </w:pPr>
      <w:permStart w:id="230633778" w:edGrp="everyone"/>
      <w:r w:rsidRPr="002459D5">
        <w:rPr>
          <w:rFonts w:ascii="Arial" w:hAnsi="Arial" w:cs="Arial"/>
          <w:szCs w:val="22"/>
        </w:rPr>
        <w:t>We do not have a view regarding any effects of such services, but with reference to our responses to q1 and q11, note that without clear identification of such trades it is difficult to measure their scale and hence draw any meaningful conclusions regarding them. We reiterate our request to have an identifier or flag to allow such activity to be clearly and unambiguously identified.</w:t>
      </w:r>
    </w:p>
    <w:permEnd w:id="230633778"/>
    <w:p w14:paraId="5B799896" w14:textId="5016B7A9" w:rsidR="003A33E5" w:rsidRDefault="003A33E5" w:rsidP="003A33E5">
      <w:r>
        <w:t>&lt;ESMA_QUESTION_MSEM_1</w:t>
      </w:r>
      <w:r w:rsidR="2ECB3ED5">
        <w:t>2</w:t>
      </w:r>
      <w:r>
        <w:t>&gt;</w:t>
      </w:r>
    </w:p>
    <w:p w14:paraId="62DFA4FB" w14:textId="77777777" w:rsidR="003A33E5" w:rsidRDefault="003A33E5" w:rsidP="003A33E5"/>
    <w:p w14:paraId="38C92001" w14:textId="77777777" w:rsidR="003A33E5" w:rsidRDefault="003A33E5" w:rsidP="003A33E5">
      <w:pPr>
        <w:pStyle w:val="Questionstyle"/>
        <w:numPr>
          <w:ilvl w:val="0"/>
          <w:numId w:val="14"/>
        </w:numPr>
        <w:tabs>
          <w:tab w:val="clear" w:pos="567"/>
        </w:tabs>
        <w:spacing w:before="120" w:after="120"/>
        <w:ind w:left="851" w:hanging="709"/>
      </w:pPr>
      <w:r>
        <w:t>What will be in your view the effects of 24h/ extended trading ours on closing auctions?</w:t>
      </w:r>
    </w:p>
    <w:p w14:paraId="16DD92A5" w14:textId="7EB5EA3A" w:rsidR="003A33E5" w:rsidRDefault="003A33E5" w:rsidP="003A33E5">
      <w:r>
        <w:t>&lt;ESMA_QUESTION_MSEM_1</w:t>
      </w:r>
      <w:r w:rsidR="1FF1D947">
        <w:t>3</w:t>
      </w:r>
      <w:r>
        <w:t>&gt;</w:t>
      </w:r>
    </w:p>
    <w:p w14:paraId="00B2CE27" w14:textId="77777777" w:rsidR="00BF054B" w:rsidRDefault="00BF054B" w:rsidP="003A33E5">
      <w:pPr>
        <w:rPr>
          <w:rFonts w:ascii="Arial" w:hAnsi="Arial" w:cs="Arial"/>
          <w:szCs w:val="22"/>
        </w:rPr>
      </w:pPr>
      <w:permStart w:id="834536465" w:edGrp="everyone"/>
      <w:r w:rsidRPr="002459D5">
        <w:rPr>
          <w:rFonts w:ascii="Arial" w:hAnsi="Arial" w:cs="Arial"/>
          <w:szCs w:val="22"/>
        </w:rPr>
        <w:t>We believe this question is very difficult to answer without there being a clear and unambiguous identification of out of hours trading activity. We note that the RTS 1 table for pre-trade flags includes flags for ‘at market close’ and ‘out of main session trading’ but these are not present in the equivalent list of post-trade flags. Though is it generally possible to make a distinction on the relatively small number of venues that operate out of hours trading sessions, this is not done in a consistent manner and there is no guarantee that an equivalent distinction will be made should other venues offer such services without a regulatory mandate. We note that our MMT standard already supports such a distinction.</w:t>
      </w:r>
    </w:p>
    <w:permEnd w:id="834536465"/>
    <w:p w14:paraId="7C20DB7D" w14:textId="1BA76AA4" w:rsidR="003A33E5" w:rsidRDefault="003A33E5" w:rsidP="003A33E5">
      <w:r>
        <w:t>&lt;ESMA_QUESTION_MSEM_1</w:t>
      </w:r>
      <w:r w:rsidR="4448CEBF">
        <w:t>3</w:t>
      </w:r>
      <w:r>
        <w:t>&gt;</w:t>
      </w:r>
    </w:p>
    <w:p w14:paraId="139147EB" w14:textId="77777777" w:rsidR="003A33E5" w:rsidRDefault="003A33E5" w:rsidP="003A33E5"/>
    <w:p w14:paraId="4780BF70" w14:textId="77777777" w:rsidR="003A33E5" w:rsidRDefault="003A33E5" w:rsidP="003A33E5">
      <w:pPr>
        <w:pStyle w:val="Questionstyle"/>
        <w:numPr>
          <w:ilvl w:val="0"/>
          <w:numId w:val="14"/>
        </w:numPr>
        <w:tabs>
          <w:tab w:val="clear" w:pos="567"/>
        </w:tabs>
        <w:spacing w:before="120" w:after="120"/>
        <w:ind w:left="851" w:hanging="709"/>
      </w:pPr>
      <w:r>
        <w:t>Are there any structural shifts that you noticed, which you believe the competent authorities should monitor? Would you like to highlight any concerns/issues at this stage? Do you see a need for specific regulatory interventions (please provide details relating them possibly to the data and observations available)?</w:t>
      </w:r>
    </w:p>
    <w:p w14:paraId="313D06F4" w14:textId="54BF91E8" w:rsidR="003A33E5" w:rsidRDefault="003A33E5" w:rsidP="003A33E5">
      <w:r>
        <w:t>&lt;ESMA_QUESTION_MSEM_1</w:t>
      </w:r>
      <w:r w:rsidR="6A3F1AB1">
        <w:t>4</w:t>
      </w:r>
      <w:r>
        <w:t>&gt;</w:t>
      </w:r>
    </w:p>
    <w:p w14:paraId="0D407B43" w14:textId="77777777" w:rsidR="003A33E5" w:rsidRDefault="003A33E5" w:rsidP="003A33E5">
      <w:permStart w:id="54361316" w:edGrp="everyone"/>
      <w:r>
        <w:t>TYPE YOUR TEXT HERE</w:t>
      </w:r>
    </w:p>
    <w:permEnd w:id="54361316"/>
    <w:p w14:paraId="7DC56ACA" w14:textId="0FF717A2" w:rsidR="003A33E5" w:rsidRDefault="003A33E5" w:rsidP="003A33E5">
      <w:r>
        <w:t>&lt;ESMA_QUESTION_MSEM_1</w:t>
      </w:r>
      <w:r w:rsidR="2AE9C5BD">
        <w:t>4</w:t>
      </w:r>
      <w:r>
        <w:t>&gt;</w:t>
      </w:r>
    </w:p>
    <w:p w14:paraId="199EC318" w14:textId="77777777" w:rsidR="003A33E5" w:rsidRDefault="003A33E5" w:rsidP="003A33E5"/>
    <w:p w14:paraId="22FCC6A8" w14:textId="77777777" w:rsidR="00646F0B" w:rsidRDefault="00646F0B">
      <w:pPr>
        <w:spacing w:after="120" w:line="264" w:lineRule="auto"/>
        <w:jc w:val="left"/>
        <w:rPr>
          <w:b/>
        </w:rPr>
      </w:pPr>
      <w:r>
        <w:br w:type="page"/>
      </w:r>
    </w:p>
    <w:p w14:paraId="7AAF1EFF"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of trading in FBAs on EU markets? Why are those mechanisms gaining traction in your view? Which are the benefits and shortcomings they offer? (please elaborate)</w:t>
      </w:r>
    </w:p>
    <w:p w14:paraId="2B450E14" w14:textId="0D336DA5" w:rsidR="003A33E5" w:rsidRDefault="003A33E5" w:rsidP="003A33E5">
      <w:r>
        <w:t>&lt;ESMA_QUESTION_MSEM_1</w:t>
      </w:r>
      <w:r w:rsidR="7765DA33">
        <w:t>5</w:t>
      </w:r>
      <w:r>
        <w:t>&gt;</w:t>
      </w:r>
    </w:p>
    <w:p w14:paraId="0D3BC688" w14:textId="77777777" w:rsidR="00A6302E" w:rsidRDefault="00A6302E" w:rsidP="003A33E5">
      <w:pPr>
        <w:rPr>
          <w:rFonts w:ascii="Arial" w:hAnsi="Arial" w:cs="Arial"/>
        </w:rPr>
      </w:pPr>
      <w:permStart w:id="1032677898" w:edGrp="everyone"/>
      <w:r w:rsidRPr="002459D5">
        <w:rPr>
          <w:rFonts w:ascii="Arial" w:hAnsi="Arial" w:cs="Arial"/>
        </w:rPr>
        <w:t xml:space="preserve">We do not have a view on the pros, cons or evolution of FBAs. We would just like to make the point that FBA activity should be clearly distinguished from other trading activity, particularly on venues that undertake FBA activity and other activity (e.g., CLOBs) during the same trading phase. At present, FBAs are generally segregated by segment MIC, but this is a voluntary convention and having </w:t>
      </w:r>
      <w:proofErr w:type="gramStart"/>
      <w:r w:rsidRPr="002459D5">
        <w:rPr>
          <w:rFonts w:ascii="Arial" w:hAnsi="Arial" w:cs="Arial"/>
        </w:rPr>
        <w:t>a</w:t>
      </w:r>
      <w:proofErr w:type="gramEnd"/>
      <w:r w:rsidRPr="002459D5">
        <w:rPr>
          <w:rFonts w:ascii="Arial" w:hAnsi="Arial" w:cs="Arial"/>
        </w:rPr>
        <w:t xml:space="preserve"> identifier (such as supported in MMT) clearly prescribed in regulation would be preferable.</w:t>
      </w:r>
    </w:p>
    <w:permEnd w:id="1032677898"/>
    <w:p w14:paraId="30A22FF7" w14:textId="6980CCC0" w:rsidR="003A33E5" w:rsidRDefault="003A33E5" w:rsidP="003A33E5">
      <w:r>
        <w:t>&lt;ESMA_QUESTION_MSEM_1</w:t>
      </w:r>
      <w:r w:rsidR="09AFE597">
        <w:t>5</w:t>
      </w:r>
      <w:r>
        <w:t>&gt;</w:t>
      </w:r>
    </w:p>
    <w:p w14:paraId="5916DFA2" w14:textId="77777777" w:rsidR="003A33E5" w:rsidRDefault="003A33E5" w:rsidP="003A33E5"/>
    <w:p w14:paraId="5D8E3FF0" w14:textId="77777777" w:rsidR="003A33E5" w:rsidRDefault="003A33E5" w:rsidP="003A33E5">
      <w:pPr>
        <w:pStyle w:val="Questionstyle"/>
        <w:numPr>
          <w:ilvl w:val="0"/>
          <w:numId w:val="14"/>
        </w:numPr>
        <w:tabs>
          <w:tab w:val="clear" w:pos="567"/>
        </w:tabs>
        <w:spacing w:before="120" w:after="120"/>
        <w:ind w:left="851" w:hanging="709"/>
      </w:pPr>
      <w:r>
        <w:t>Do you have any particular observations as regards the impact of SVC on FBAs?</w:t>
      </w:r>
    </w:p>
    <w:p w14:paraId="3537BE38" w14:textId="6D064585" w:rsidR="003A33E5" w:rsidRDefault="003A33E5" w:rsidP="003A33E5">
      <w:r>
        <w:t>&lt;ESMA_QUESTION_MSEM_1</w:t>
      </w:r>
      <w:r w:rsidR="40B621E4">
        <w:t>6</w:t>
      </w:r>
      <w:r>
        <w:t>&gt;</w:t>
      </w:r>
    </w:p>
    <w:p w14:paraId="368930A1" w14:textId="77777777" w:rsidR="003A33E5" w:rsidRDefault="003A33E5" w:rsidP="003A33E5">
      <w:permStart w:id="2057074625" w:edGrp="everyone"/>
      <w:r>
        <w:t>TYPE YOUR TEXT HERE</w:t>
      </w:r>
    </w:p>
    <w:permEnd w:id="2057074625"/>
    <w:p w14:paraId="481B5280" w14:textId="7BB89B20" w:rsidR="003A33E5" w:rsidRDefault="003A33E5" w:rsidP="003A33E5">
      <w:r>
        <w:t>&lt;ESMA_QUESTION_MSEM_1</w:t>
      </w:r>
      <w:r w:rsidR="50220896">
        <w:t>6</w:t>
      </w:r>
      <w:r>
        <w:t>&gt;</w:t>
      </w:r>
    </w:p>
    <w:p w14:paraId="5B38D350" w14:textId="77777777" w:rsidR="003A33E5" w:rsidRDefault="003A33E5" w:rsidP="003A33E5"/>
    <w:p w14:paraId="2E0F8399" w14:textId="77777777" w:rsidR="003A33E5" w:rsidRDefault="003A33E5" w:rsidP="003A33E5">
      <w:pPr>
        <w:pStyle w:val="Questionstyle"/>
        <w:numPr>
          <w:ilvl w:val="0"/>
          <w:numId w:val="14"/>
        </w:numPr>
        <w:tabs>
          <w:tab w:val="clear" w:pos="567"/>
        </w:tabs>
        <w:spacing w:before="120" w:after="120"/>
        <w:ind w:left="851" w:hanging="709"/>
      </w:pPr>
      <w:r>
        <w:t>Are there any emerging structural shifts which you believe would warrant closer monitoring? (please elaborate)</w:t>
      </w:r>
    </w:p>
    <w:p w14:paraId="24384EC3" w14:textId="0FEEFD51" w:rsidR="003A33E5" w:rsidRDefault="003A33E5" w:rsidP="003A33E5">
      <w:r>
        <w:t>&lt;ESMA_QUESTION_MSEM_1</w:t>
      </w:r>
      <w:r w:rsidR="17969A9C">
        <w:t>7</w:t>
      </w:r>
      <w:r>
        <w:t>&gt;</w:t>
      </w:r>
    </w:p>
    <w:p w14:paraId="1F3261F0" w14:textId="77777777" w:rsidR="003A33E5" w:rsidRDefault="003A33E5" w:rsidP="003A33E5">
      <w:permStart w:id="174423608" w:edGrp="everyone"/>
      <w:r>
        <w:t>TYPE YOUR TEXT HERE</w:t>
      </w:r>
    </w:p>
    <w:permEnd w:id="174423608"/>
    <w:p w14:paraId="6AE3F885" w14:textId="2DE7F287" w:rsidR="003A33E5" w:rsidRDefault="003A33E5" w:rsidP="003A33E5">
      <w:r>
        <w:t>&lt;ESMA_QUESTION_MSEM_1</w:t>
      </w:r>
      <w:r w:rsidR="137F3E19">
        <w:t>7</w:t>
      </w:r>
      <w:r>
        <w:t>&gt;</w:t>
      </w:r>
    </w:p>
    <w:p w14:paraId="46C1F955" w14:textId="77777777" w:rsidR="003A33E5" w:rsidRDefault="003A33E5" w:rsidP="003A33E5"/>
    <w:p w14:paraId="6B96970E" w14:textId="77777777" w:rsidR="00646F0B" w:rsidRDefault="00646F0B">
      <w:pPr>
        <w:spacing w:after="120" w:line="264" w:lineRule="auto"/>
        <w:jc w:val="left"/>
        <w:rPr>
          <w:b/>
        </w:rPr>
      </w:pPr>
      <w:r>
        <w:br w:type="page"/>
      </w:r>
    </w:p>
    <w:p w14:paraId="1A8704D4"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regarding the contribution of FBAs to price formation and transparency? Should those mechanisms be generally considered as price forming/ non price forming or this assessment should be done on a case-by-case basis depending on the specific design of the auction? (please elaborate, supplementing your views with data evidence when available)</w:t>
      </w:r>
    </w:p>
    <w:p w14:paraId="48D0EF6A" w14:textId="50737298" w:rsidR="003A33E5" w:rsidRDefault="003A33E5" w:rsidP="003A33E5">
      <w:r>
        <w:t>&lt;ESMA_QUESTION_MSEM_1</w:t>
      </w:r>
      <w:r w:rsidR="1847244F">
        <w:t>8</w:t>
      </w:r>
      <w:r>
        <w:t>&gt;</w:t>
      </w:r>
    </w:p>
    <w:p w14:paraId="127D8A68" w14:textId="77777777" w:rsidR="003A33E5" w:rsidRDefault="003A33E5" w:rsidP="003A33E5">
      <w:permStart w:id="1672904074" w:edGrp="everyone"/>
      <w:r>
        <w:t>TYPE YOUR TEXT HERE</w:t>
      </w:r>
    </w:p>
    <w:permEnd w:id="1672904074"/>
    <w:p w14:paraId="75336389" w14:textId="54A44BD7" w:rsidR="003A33E5" w:rsidRDefault="003A33E5" w:rsidP="003A33E5">
      <w:r>
        <w:t>&lt;ESMA_QUESTION_MSEM_1</w:t>
      </w:r>
      <w:r w:rsidR="36E8C124">
        <w:t>8</w:t>
      </w:r>
      <w:r>
        <w:t>&gt;</w:t>
      </w:r>
    </w:p>
    <w:p w14:paraId="4F7E81F8" w14:textId="77777777" w:rsidR="003A33E5" w:rsidRDefault="003A33E5" w:rsidP="003A33E5"/>
    <w:p w14:paraId="434CE308" w14:textId="77777777" w:rsidR="003A33E5" w:rsidRDefault="003A33E5" w:rsidP="003A33E5">
      <w:pPr>
        <w:pStyle w:val="Questionstyle"/>
        <w:numPr>
          <w:ilvl w:val="0"/>
          <w:numId w:val="14"/>
        </w:numPr>
        <w:tabs>
          <w:tab w:val="clear" w:pos="567"/>
        </w:tabs>
        <w:spacing w:before="120" w:after="120"/>
        <w:ind w:left="851" w:hanging="709"/>
      </w:pPr>
      <w:r>
        <w:t>Please highlight any concerns/issues you may have at this stage. Do you see a need for specific regulatory interventions, particularly regarding the tick size regime and its application to transactions and periodic auctions (please provide details)?</w:t>
      </w:r>
    </w:p>
    <w:p w14:paraId="77AE7EDF" w14:textId="54B017EE" w:rsidR="003A33E5" w:rsidRDefault="003A33E5" w:rsidP="003A33E5">
      <w:r>
        <w:t>&lt;ESMA_QUESTION_MSEM_1</w:t>
      </w:r>
      <w:r w:rsidR="3D934457">
        <w:t>9</w:t>
      </w:r>
      <w:r>
        <w:t>&gt;</w:t>
      </w:r>
    </w:p>
    <w:p w14:paraId="7C463076" w14:textId="77777777" w:rsidR="003A33E5" w:rsidRDefault="003A33E5" w:rsidP="003A33E5">
      <w:permStart w:id="1032158778" w:edGrp="everyone"/>
      <w:r>
        <w:t>TYPE YOUR TEXT HERE</w:t>
      </w:r>
    </w:p>
    <w:permEnd w:id="1032158778"/>
    <w:p w14:paraId="2BBE1E06" w14:textId="7F3A2FF1" w:rsidR="003A33E5" w:rsidRDefault="003A33E5" w:rsidP="003A33E5">
      <w:r>
        <w:t>&lt;ESMA_QUESTION_MSEM_1</w:t>
      </w:r>
      <w:r w:rsidR="137217E3">
        <w:t>9</w:t>
      </w:r>
      <w:r>
        <w:t>&gt;</w:t>
      </w:r>
    </w:p>
    <w:p w14:paraId="37928919" w14:textId="77777777" w:rsidR="003A33E5" w:rsidRDefault="003A33E5" w:rsidP="003A33E5"/>
    <w:p w14:paraId="0BA25169" w14:textId="77777777" w:rsidR="003A33E5" w:rsidRDefault="003A33E5" w:rsidP="003A33E5">
      <w:pPr>
        <w:pStyle w:val="Questionstyle"/>
        <w:numPr>
          <w:ilvl w:val="0"/>
          <w:numId w:val="14"/>
        </w:numPr>
        <w:tabs>
          <w:tab w:val="clear" w:pos="567"/>
        </w:tabs>
        <w:spacing w:before="120" w:after="120"/>
        <w:ind w:left="851" w:hanging="709"/>
      </w:pPr>
      <w:r>
        <w:t>What is your view on the evolution of trading of SIs on the EEA markets? What are the main drivers of their growth?</w:t>
      </w:r>
    </w:p>
    <w:p w14:paraId="6D19EE00" w14:textId="04BEAB24" w:rsidR="003A33E5" w:rsidRDefault="003A33E5" w:rsidP="003A33E5">
      <w:r>
        <w:t>&lt;ESMA_QUESTION_MSEM_</w:t>
      </w:r>
      <w:r w:rsidR="77D2AA43">
        <w:t>20</w:t>
      </w:r>
      <w:r>
        <w:t>&gt;</w:t>
      </w:r>
    </w:p>
    <w:p w14:paraId="0822B842" w14:textId="77777777" w:rsidR="008000EA" w:rsidRPr="002459D5" w:rsidRDefault="008000EA" w:rsidP="00EC477F">
      <w:pPr>
        <w:spacing w:after="257" w:line="268" w:lineRule="auto"/>
        <w:jc w:val="left"/>
        <w:rPr>
          <w:rFonts w:ascii="Arial" w:hAnsi="Arial" w:cs="Arial"/>
        </w:rPr>
      </w:pPr>
      <w:permStart w:id="529949636" w:edGrp="everyone"/>
      <w:r w:rsidRPr="002459D5">
        <w:rPr>
          <w:rFonts w:ascii="Arial" w:hAnsi="Arial" w:cs="Arial"/>
        </w:rPr>
        <w:t xml:space="preserve">Any assessment of SI growth depends on the consistency and granularity of the underlying flags. Granular, standardised flagging is what allows distinct activity to be identified, comparable data to be aggregated across venues and reporting mechanisms, and genuine economic interest to be separated from technical or duplicative reporting. Without it, the same post-trade print can mask fundamentally different activity, making market sizing and trend analysis unreliable. </w:t>
      </w:r>
    </w:p>
    <w:p w14:paraId="6A9193D9" w14:textId="77777777" w:rsidR="008000EA" w:rsidRDefault="008000EA" w:rsidP="003A33E5">
      <w:pPr>
        <w:rPr>
          <w:rFonts w:ascii="Arial" w:hAnsi="Arial" w:cs="Arial"/>
        </w:rPr>
      </w:pPr>
      <w:r w:rsidRPr="002459D5">
        <w:rPr>
          <w:rFonts w:ascii="Arial" w:hAnsi="Arial" w:cs="Arial"/>
        </w:rPr>
        <w:t>As noted in our responses to Q1–Q4, trends cannot be read on a like-for-like basis unless data is segmented by type of trading and UK activity is accounted for. The divergence between the post-trade transparency and transaction reporting regimes compounds this, creating a gap between what the market sees and what regulators see that makes reported SI figures difficult to validate from public PTT data alone. Cross-border duplication from UK branch and dual-</w:t>
      </w:r>
      <w:r w:rsidRPr="002459D5">
        <w:rPr>
          <w:rFonts w:ascii="Arial" w:hAnsi="Arial" w:cs="Arial"/>
        </w:rPr>
        <w:lastRenderedPageBreak/>
        <w:t>reporting, the unreliable SI-OTC bucket, and divergent XOFF interpretation in counterparty chains further distort the picture. Drawing firm conclusions from such data is difficult and potentially misleading.</w:t>
      </w:r>
    </w:p>
    <w:permEnd w:id="529949636"/>
    <w:p w14:paraId="3C751F7F" w14:textId="084F703D" w:rsidR="003A33E5" w:rsidRDefault="003A33E5" w:rsidP="003A33E5">
      <w:r>
        <w:t>&lt;ESMA_QUESTION_MSEM_</w:t>
      </w:r>
      <w:r w:rsidR="3AAF919E">
        <w:t>20</w:t>
      </w:r>
      <w:r>
        <w:t>&gt;</w:t>
      </w:r>
    </w:p>
    <w:p w14:paraId="7446317C" w14:textId="77777777" w:rsidR="003A33E5" w:rsidRDefault="003A33E5" w:rsidP="003A33E5"/>
    <w:p w14:paraId="7A8C08E0" w14:textId="77777777" w:rsidR="00646F0B" w:rsidRDefault="00646F0B">
      <w:pPr>
        <w:spacing w:after="120" w:line="264" w:lineRule="auto"/>
        <w:jc w:val="left"/>
        <w:rPr>
          <w:b/>
        </w:rPr>
      </w:pPr>
      <w:r>
        <w:br w:type="page"/>
      </w:r>
    </w:p>
    <w:p w14:paraId="43E566E5" w14:textId="77777777" w:rsidR="003A33E5" w:rsidRDefault="003A33E5" w:rsidP="003A33E5">
      <w:pPr>
        <w:pStyle w:val="Questionstyle"/>
        <w:numPr>
          <w:ilvl w:val="0"/>
          <w:numId w:val="14"/>
        </w:numPr>
        <w:tabs>
          <w:tab w:val="clear" w:pos="567"/>
        </w:tabs>
        <w:spacing w:before="120" w:after="120"/>
        <w:ind w:left="851" w:hanging="709"/>
      </w:pPr>
      <w:r>
        <w:lastRenderedPageBreak/>
        <w:t>Does this picture reflect the trends you observe in SI trading? Do SI offer trading for both large and small sizes? Do these different trade size reflect different types of clients / SI businesses?</w:t>
      </w:r>
    </w:p>
    <w:p w14:paraId="52A93AFA" w14:textId="1A6131B5" w:rsidR="003A33E5" w:rsidRDefault="003A33E5" w:rsidP="003A33E5">
      <w:r>
        <w:t>&lt;ESMA_QUESTION_MSEM_2</w:t>
      </w:r>
      <w:r w:rsidR="6A69A80F">
        <w:t>1</w:t>
      </w:r>
      <w:r>
        <w:t>&gt;</w:t>
      </w:r>
    </w:p>
    <w:p w14:paraId="41487637" w14:textId="77777777" w:rsidR="003A33E5" w:rsidRDefault="003A33E5" w:rsidP="003A33E5">
      <w:permStart w:id="818545257" w:edGrp="everyone"/>
      <w:r>
        <w:t>TYPE YOUR TEXT HERE</w:t>
      </w:r>
    </w:p>
    <w:permEnd w:id="818545257"/>
    <w:p w14:paraId="13EBFD51" w14:textId="5E33E184" w:rsidR="003A33E5" w:rsidRDefault="003A33E5" w:rsidP="003A33E5">
      <w:r>
        <w:t>&lt;ESMA_QUESTION_MSEM_2</w:t>
      </w:r>
      <w:r w:rsidR="7A3AA6B0">
        <w:t>1</w:t>
      </w:r>
      <w:r>
        <w:t>&gt;</w:t>
      </w:r>
    </w:p>
    <w:p w14:paraId="5F61BE07" w14:textId="77777777" w:rsidR="003A33E5" w:rsidRDefault="003A33E5" w:rsidP="003A33E5"/>
    <w:p w14:paraId="43C3F5D3" w14:textId="77777777" w:rsidR="003A33E5" w:rsidRDefault="003A33E5" w:rsidP="003A33E5">
      <w:pPr>
        <w:pStyle w:val="Questionstyle"/>
        <w:numPr>
          <w:ilvl w:val="0"/>
          <w:numId w:val="14"/>
        </w:numPr>
        <w:tabs>
          <w:tab w:val="clear" w:pos="567"/>
        </w:tabs>
        <w:spacing w:before="120" w:after="120"/>
        <w:ind w:left="851" w:hanging="709"/>
      </w:pPr>
      <w:r>
        <w:t>What is your perception of the application of price improvement by SIs? Does the data analysis reflect the reality, or do you believe that there are some data quality issues in the flagging of transactions subject to price improvement?</w:t>
      </w:r>
    </w:p>
    <w:p w14:paraId="4FBA6CFA" w14:textId="07FAB40F" w:rsidR="003A33E5" w:rsidRDefault="003A33E5" w:rsidP="003A33E5">
      <w:r>
        <w:t>&lt;ESMA_QUESTION_MSEM_2</w:t>
      </w:r>
      <w:r w:rsidR="62417FE6">
        <w:t>2</w:t>
      </w:r>
      <w:r>
        <w:t>&gt;</w:t>
      </w:r>
    </w:p>
    <w:p w14:paraId="3DF39E0B" w14:textId="77777777" w:rsidR="003A33E5" w:rsidRDefault="003A33E5" w:rsidP="003A33E5">
      <w:permStart w:id="1751220061" w:edGrp="everyone"/>
      <w:r>
        <w:t>TYPE YOUR TEXT HERE</w:t>
      </w:r>
    </w:p>
    <w:permEnd w:id="1751220061"/>
    <w:p w14:paraId="4602E310" w14:textId="074495FF" w:rsidR="003A33E5" w:rsidRDefault="003A33E5" w:rsidP="003A33E5">
      <w:r>
        <w:t>&lt;ESMA_QUESTION_MSEM_2</w:t>
      </w:r>
      <w:r w:rsidR="3C57108E">
        <w:t>2</w:t>
      </w:r>
      <w:r>
        <w:t>&gt;</w:t>
      </w:r>
    </w:p>
    <w:p w14:paraId="77CDB932" w14:textId="77777777" w:rsidR="003A33E5" w:rsidRDefault="003A33E5" w:rsidP="003A33E5"/>
    <w:p w14:paraId="2A46B1F2" w14:textId="77777777" w:rsidR="003A33E5" w:rsidRDefault="003A33E5" w:rsidP="003A33E5">
      <w:pPr>
        <w:pStyle w:val="Questionstyle"/>
        <w:numPr>
          <w:ilvl w:val="0"/>
          <w:numId w:val="14"/>
        </w:numPr>
        <w:tabs>
          <w:tab w:val="clear" w:pos="567"/>
        </w:tabs>
        <w:spacing w:before="120" w:after="120"/>
        <w:ind w:left="851" w:hanging="709"/>
      </w:pPr>
      <w:r>
        <w:t>Which flags do you consider important to identify certain trade related to SI trading?</w:t>
      </w:r>
    </w:p>
    <w:p w14:paraId="75255146" w14:textId="597A71A4" w:rsidR="003A33E5" w:rsidRDefault="003A33E5" w:rsidP="003A33E5">
      <w:r>
        <w:t>&lt;ESMA_QUESTION_MSEM_2</w:t>
      </w:r>
      <w:r w:rsidR="3B0D5D58">
        <w:t>3</w:t>
      </w:r>
      <w:r>
        <w:t>&gt;</w:t>
      </w:r>
    </w:p>
    <w:p w14:paraId="632134CC" w14:textId="77777777" w:rsidR="002B6F25" w:rsidRPr="002459D5" w:rsidRDefault="002B6F25" w:rsidP="00EC477F">
      <w:pPr>
        <w:rPr>
          <w:rFonts w:ascii="Arial" w:hAnsi="Arial" w:cs="Arial"/>
        </w:rPr>
      </w:pPr>
      <w:permStart w:id="999231783" w:edGrp="everyone"/>
      <w:r w:rsidRPr="002459D5">
        <w:rPr>
          <w:rFonts w:ascii="Arial" w:hAnsi="Arial" w:cs="Arial"/>
        </w:rPr>
        <w:t xml:space="preserve">We would like to refer to our response to Q45 where we have listed </w:t>
      </w:r>
      <w:proofErr w:type="gramStart"/>
      <w:r w:rsidRPr="002459D5">
        <w:rPr>
          <w:rFonts w:ascii="Arial" w:hAnsi="Arial" w:cs="Arial"/>
        </w:rPr>
        <w:t>a number of</w:t>
      </w:r>
      <w:proofErr w:type="gramEnd"/>
      <w:r w:rsidRPr="002459D5">
        <w:rPr>
          <w:rFonts w:ascii="Arial" w:hAnsi="Arial" w:cs="Arial"/>
        </w:rPr>
        <w:t xml:space="preserve"> recommendations, previously made in letter form, that we believe would improve post-trade transparency, including SI activity. For example, being able to identify closing price activity and distinguish between manual and electronic executions will help with data analysis in general, particularly relating to addressable liquidity. Flagging or removing cross-border activity and clarifying the ‘who reports’ logic in more complex scenarios would also be highly beneficial.</w:t>
      </w:r>
    </w:p>
    <w:p w14:paraId="3ABE2580" w14:textId="77777777" w:rsidR="002B6F25" w:rsidRDefault="002B6F25" w:rsidP="003A33E5">
      <w:pPr>
        <w:rPr>
          <w:rFonts w:ascii="Arial" w:hAnsi="Arial" w:cs="Arial"/>
        </w:rPr>
      </w:pPr>
      <w:r w:rsidRPr="002459D5">
        <w:rPr>
          <w:rFonts w:ascii="Arial" w:hAnsi="Arial" w:cs="Arial"/>
        </w:rPr>
        <w:t>We also encourage ESMA to have regular dialogue with the industry to ensure that evolving trading practices are factored into regulation in a timely manner, and that flags are being applied correctly.</w:t>
      </w:r>
    </w:p>
    <w:permEnd w:id="999231783"/>
    <w:p w14:paraId="658038BB" w14:textId="6FCA30C7" w:rsidR="003A33E5" w:rsidRDefault="003A33E5" w:rsidP="003A33E5">
      <w:r>
        <w:t>&lt;ESMA_QUESTION_MSEM_2</w:t>
      </w:r>
      <w:r w:rsidR="26A80769">
        <w:t>3</w:t>
      </w:r>
      <w:r>
        <w:t>&gt;</w:t>
      </w:r>
    </w:p>
    <w:p w14:paraId="030D542D" w14:textId="77777777" w:rsidR="003A33E5" w:rsidRDefault="003A33E5" w:rsidP="003A33E5"/>
    <w:p w14:paraId="3162E797"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of SI trading on the EU markets? Are there any structural shifts that you noticed, or envisage, which you believe should be further monitored?</w:t>
      </w:r>
    </w:p>
    <w:p w14:paraId="3A5B49E6" w14:textId="568DD3EB" w:rsidR="003A33E5" w:rsidRDefault="003A33E5" w:rsidP="003A33E5">
      <w:r>
        <w:t>&lt;ESMA_QUESTION_MSEM_2</w:t>
      </w:r>
      <w:r w:rsidR="31D29135">
        <w:t>4</w:t>
      </w:r>
      <w:r>
        <w:t>&gt;</w:t>
      </w:r>
    </w:p>
    <w:p w14:paraId="5B2ED651" w14:textId="77777777" w:rsidR="003A33E5" w:rsidRDefault="003A33E5" w:rsidP="003A33E5">
      <w:permStart w:id="797907736" w:edGrp="everyone"/>
      <w:r>
        <w:t>TYPE YOUR TEXT HERE</w:t>
      </w:r>
    </w:p>
    <w:permEnd w:id="797907736"/>
    <w:p w14:paraId="2EE0D27E" w14:textId="37419E6C" w:rsidR="003A33E5" w:rsidRDefault="003A33E5" w:rsidP="003A33E5">
      <w:r>
        <w:t>&lt;ESMA_QUESTION_MSEM_2</w:t>
      </w:r>
      <w:r w:rsidR="7AC233B3">
        <w:t>4</w:t>
      </w:r>
      <w:r>
        <w:t>&gt;</w:t>
      </w:r>
    </w:p>
    <w:p w14:paraId="01F8094A" w14:textId="77777777" w:rsidR="003A33E5" w:rsidRDefault="003A33E5" w:rsidP="003A33E5"/>
    <w:p w14:paraId="2389035F" w14:textId="77777777" w:rsidR="003A33E5" w:rsidRDefault="003A33E5" w:rsidP="003A33E5">
      <w:pPr>
        <w:pStyle w:val="Questionstyle"/>
        <w:numPr>
          <w:ilvl w:val="0"/>
          <w:numId w:val="14"/>
        </w:numPr>
        <w:tabs>
          <w:tab w:val="clear" w:pos="567"/>
        </w:tabs>
        <w:spacing w:before="120" w:after="120"/>
        <w:ind w:left="851" w:hanging="709"/>
      </w:pPr>
      <w:r>
        <w:t>Please highlight any concerns/issues you may have at this stage? Do you see a need for specific for regulatory interventions (please provide details possibly relating to the information and data available or observed)?</w:t>
      </w:r>
    </w:p>
    <w:p w14:paraId="5A5322C9" w14:textId="1ECC45CE" w:rsidR="003A33E5" w:rsidRDefault="003A33E5" w:rsidP="003A33E5">
      <w:r>
        <w:t>&lt;ESMA_QUESTION_MSEM_2</w:t>
      </w:r>
      <w:r w:rsidR="59E143DC">
        <w:t>5</w:t>
      </w:r>
      <w:r>
        <w:t>&gt;</w:t>
      </w:r>
    </w:p>
    <w:p w14:paraId="19A92024" w14:textId="77777777" w:rsidR="006F0C2D" w:rsidRPr="002459D5" w:rsidRDefault="006F0C2D" w:rsidP="00EC477F">
      <w:pPr>
        <w:spacing w:after="257" w:line="268" w:lineRule="auto"/>
        <w:jc w:val="left"/>
        <w:rPr>
          <w:rFonts w:ascii="Arial" w:hAnsi="Arial" w:cs="Arial"/>
        </w:rPr>
      </w:pPr>
      <w:permStart w:id="165951741" w:edGrp="everyone"/>
      <w:r w:rsidRPr="002459D5">
        <w:rPr>
          <w:rFonts w:ascii="Arial" w:hAnsi="Arial" w:cs="Arial"/>
        </w:rPr>
        <w:t xml:space="preserve">Our central concern is that voluntary conventions and fragmented MIC-based tagging have not delivered the consistency needed for evidence-based regulation, and the problem grows as execution becomes more automated and data-dependent. We therefore reiterate the points made in our responses to Q1, Q2, Q23 and Q45: trades must be flagged with sufficient granularity to allow like-for-like comparison and to isolate "noise" such as intragroup and cross-border activity. Only regulatory prescription of standardised identifiers - including a per-trade capacity flag, a narrowly scoped intragroup (IGRP) flag, and an execution-method indicator (FIX Tag 2405) distinguishing automated from manual execution - will produce harmonised data that reduces the risk of misinterpretation and ensures policy reflects actual trading practice. </w:t>
      </w:r>
    </w:p>
    <w:p w14:paraId="19724605" w14:textId="77777777" w:rsidR="006F0C2D" w:rsidRDefault="006F0C2D" w:rsidP="003A33E5">
      <w:pPr>
        <w:rPr>
          <w:rFonts w:ascii="Arial" w:hAnsi="Arial" w:cs="Arial"/>
        </w:rPr>
      </w:pPr>
      <w:r w:rsidRPr="002459D5">
        <w:rPr>
          <w:rFonts w:ascii="Arial" w:hAnsi="Arial" w:cs="Arial"/>
        </w:rPr>
        <w:t>We also encourage ESMA to maintain regular dialogue with the industry so that flags are applied correctly and evolving practices are reflected in regulation in a timely manner.</w:t>
      </w:r>
    </w:p>
    <w:permEnd w:id="165951741"/>
    <w:p w14:paraId="086EC041" w14:textId="1DA68CBF" w:rsidR="003A33E5" w:rsidRDefault="003A33E5" w:rsidP="003A33E5">
      <w:r>
        <w:t>&lt;ESMA_QUESTION_MSEM_2</w:t>
      </w:r>
      <w:r w:rsidR="51274619">
        <w:t>5</w:t>
      </w:r>
      <w:r>
        <w:t>&gt;</w:t>
      </w:r>
    </w:p>
    <w:p w14:paraId="1BD23E34" w14:textId="77777777" w:rsidR="003A33E5" w:rsidRDefault="003A33E5" w:rsidP="003A33E5"/>
    <w:p w14:paraId="6BA91A65" w14:textId="77777777" w:rsidR="003A33E5" w:rsidRDefault="003A33E5" w:rsidP="003A33E5">
      <w:pPr>
        <w:pStyle w:val="Questionstyle"/>
        <w:numPr>
          <w:ilvl w:val="0"/>
          <w:numId w:val="14"/>
        </w:numPr>
        <w:tabs>
          <w:tab w:val="clear" w:pos="567"/>
        </w:tabs>
        <w:spacing w:before="120" w:after="120"/>
        <w:ind w:left="851" w:hanging="709"/>
      </w:pPr>
      <w:r>
        <w:t>Have you witnessed an increase in the use of benchmark trades? If so, what are the drivers of such increase on venue and on SI?</w:t>
      </w:r>
    </w:p>
    <w:p w14:paraId="516675CC" w14:textId="348B3D9F" w:rsidR="003A33E5" w:rsidRDefault="003A33E5" w:rsidP="003A33E5">
      <w:r>
        <w:t>&lt;ESMA_QUESTION_MSEM_2</w:t>
      </w:r>
      <w:r w:rsidR="169EBBA7">
        <w:t>6</w:t>
      </w:r>
      <w:r>
        <w:t>&gt;</w:t>
      </w:r>
    </w:p>
    <w:p w14:paraId="62C1FC88" w14:textId="77777777" w:rsidR="003A33E5" w:rsidRDefault="003A33E5" w:rsidP="003A33E5">
      <w:permStart w:id="1012798389" w:edGrp="everyone"/>
      <w:r>
        <w:t>TYPE YOUR TEXT HERE</w:t>
      </w:r>
    </w:p>
    <w:permEnd w:id="1012798389"/>
    <w:p w14:paraId="4701DD0D" w14:textId="64EB1F1E" w:rsidR="003A33E5" w:rsidRDefault="003A33E5" w:rsidP="003A33E5">
      <w:r>
        <w:t>&lt;ESMA_QUESTION_MSEM_2</w:t>
      </w:r>
      <w:r w:rsidR="4C56C3A8">
        <w:t>6</w:t>
      </w:r>
      <w:r>
        <w:t>&gt;</w:t>
      </w:r>
    </w:p>
    <w:p w14:paraId="2D8A07ED" w14:textId="77777777" w:rsidR="003A33E5" w:rsidRDefault="003A33E5" w:rsidP="003A33E5"/>
    <w:p w14:paraId="235EDE86" w14:textId="77777777" w:rsidR="003A33E5" w:rsidRDefault="003A33E5" w:rsidP="003A33E5">
      <w:pPr>
        <w:pStyle w:val="Questionstyle"/>
        <w:numPr>
          <w:ilvl w:val="0"/>
          <w:numId w:val="14"/>
        </w:numPr>
        <w:tabs>
          <w:tab w:val="clear" w:pos="567"/>
        </w:tabs>
        <w:spacing w:before="120" w:after="120"/>
        <w:ind w:left="851" w:hanging="709"/>
      </w:pPr>
      <w:r>
        <w:t>Should the use of transactions from multiple trading venues be allowed when calculating the benchmark?</w:t>
      </w:r>
    </w:p>
    <w:p w14:paraId="098B82D7" w14:textId="71A0A481" w:rsidR="003A33E5" w:rsidRDefault="003A33E5" w:rsidP="003A33E5">
      <w:r>
        <w:t>&lt;ESMA_QUESTION_MSEM_2</w:t>
      </w:r>
      <w:r w:rsidR="47D52017">
        <w:t>7</w:t>
      </w:r>
      <w:r>
        <w:t>&gt;</w:t>
      </w:r>
    </w:p>
    <w:p w14:paraId="48272282" w14:textId="77777777" w:rsidR="003A33E5" w:rsidRDefault="003A33E5" w:rsidP="003A33E5">
      <w:permStart w:id="921442006" w:edGrp="everyone"/>
      <w:r>
        <w:t>TYPE YOUR TEXT HERE</w:t>
      </w:r>
    </w:p>
    <w:permEnd w:id="921442006"/>
    <w:p w14:paraId="2063BC1B" w14:textId="7AEB31CD" w:rsidR="003A33E5" w:rsidRDefault="003A33E5" w:rsidP="003A33E5">
      <w:r>
        <w:t>&lt;ESMA_QUESTION_MSEM_2</w:t>
      </w:r>
      <w:r w:rsidR="4B90CC16">
        <w:t>7</w:t>
      </w:r>
      <w:r>
        <w:t>&gt;</w:t>
      </w:r>
    </w:p>
    <w:p w14:paraId="2D341A59" w14:textId="77777777" w:rsidR="003A33E5" w:rsidRDefault="003A33E5" w:rsidP="003A33E5"/>
    <w:p w14:paraId="42E38732" w14:textId="77777777" w:rsidR="003A33E5" w:rsidRDefault="003A33E5" w:rsidP="003A33E5">
      <w:pPr>
        <w:pStyle w:val="Questionstyle"/>
        <w:numPr>
          <w:ilvl w:val="0"/>
          <w:numId w:val="14"/>
        </w:numPr>
        <w:tabs>
          <w:tab w:val="clear" w:pos="567"/>
        </w:tabs>
        <w:spacing w:before="120" w:after="120"/>
        <w:ind w:left="851" w:hanging="709"/>
      </w:pPr>
      <w:r>
        <w:t>When performing benchmark trades, on how many transactions is the calculation of the benchmark trade based (on average, min, max, liquid vs. illiquid instruments)?</w:t>
      </w:r>
    </w:p>
    <w:p w14:paraId="2DC67237" w14:textId="55B3481E" w:rsidR="003A33E5" w:rsidRDefault="003A33E5" w:rsidP="003A33E5">
      <w:r>
        <w:t>&lt;ESMA_QUESTION_MSEM_2</w:t>
      </w:r>
      <w:r w:rsidR="545F74E8">
        <w:t>8</w:t>
      </w:r>
      <w:r>
        <w:t>&gt;</w:t>
      </w:r>
    </w:p>
    <w:p w14:paraId="311874C9" w14:textId="77777777" w:rsidR="003A33E5" w:rsidRDefault="003A33E5" w:rsidP="003A33E5">
      <w:permStart w:id="2080063835" w:edGrp="everyone"/>
      <w:r>
        <w:t>TYPE YOUR TEXT HERE</w:t>
      </w:r>
    </w:p>
    <w:permEnd w:id="2080063835"/>
    <w:p w14:paraId="1244FD77" w14:textId="0573732A" w:rsidR="003A33E5" w:rsidRDefault="003A33E5" w:rsidP="003A33E5">
      <w:r>
        <w:t>&lt;ESMA_QUESTION_MSEM_2</w:t>
      </w:r>
      <w:r w:rsidR="155F5367">
        <w:t>8</w:t>
      </w:r>
      <w:r>
        <w:t>&gt;</w:t>
      </w:r>
    </w:p>
    <w:p w14:paraId="7BBC8BC7" w14:textId="77777777" w:rsidR="003A33E5" w:rsidRDefault="003A33E5" w:rsidP="003A33E5"/>
    <w:p w14:paraId="0B4B516D" w14:textId="77777777" w:rsidR="003A33E5" w:rsidRDefault="003A33E5" w:rsidP="003A33E5">
      <w:pPr>
        <w:pStyle w:val="Questionstyle"/>
        <w:numPr>
          <w:ilvl w:val="0"/>
          <w:numId w:val="14"/>
        </w:numPr>
        <w:tabs>
          <w:tab w:val="clear" w:pos="567"/>
        </w:tabs>
        <w:spacing w:before="120" w:after="120"/>
        <w:ind w:left="851" w:hanging="709"/>
      </w:pPr>
      <w:r>
        <w:t>To what extent SI take advantage of the provision in Article 15(3) of MiFIR? Please share any data you may be informative in this context to understand the extent to which SIs use this provision.</w:t>
      </w:r>
    </w:p>
    <w:p w14:paraId="637F6716" w14:textId="0067691A" w:rsidR="003A33E5" w:rsidRDefault="003A33E5" w:rsidP="003A33E5">
      <w:r>
        <w:t>&lt;ESMA_QUESTION_MSEM_2</w:t>
      </w:r>
      <w:r w:rsidR="39E32746">
        <w:t>9</w:t>
      </w:r>
      <w:r>
        <w:t>&gt;</w:t>
      </w:r>
    </w:p>
    <w:p w14:paraId="29A2A271" w14:textId="77777777" w:rsidR="003A33E5" w:rsidRDefault="003A33E5" w:rsidP="003A33E5">
      <w:permStart w:id="180496860" w:edGrp="everyone"/>
      <w:r>
        <w:t>TYPE YOUR TEXT HERE</w:t>
      </w:r>
    </w:p>
    <w:permEnd w:id="180496860"/>
    <w:p w14:paraId="5F3E8EA8" w14:textId="6BDD51BD" w:rsidR="003A33E5" w:rsidRDefault="003A33E5" w:rsidP="003A33E5">
      <w:r>
        <w:t>&lt;ESMA_QUESTION_MSEM_2</w:t>
      </w:r>
      <w:r w:rsidR="018E23B1">
        <w:t>9</w:t>
      </w:r>
      <w:r>
        <w:t>&gt;</w:t>
      </w:r>
    </w:p>
    <w:p w14:paraId="7DF3B96A" w14:textId="77777777" w:rsidR="003A33E5" w:rsidRDefault="003A33E5" w:rsidP="003A33E5"/>
    <w:p w14:paraId="0A1D176A" w14:textId="77777777" w:rsidR="003A33E5" w:rsidRDefault="003A33E5" w:rsidP="003A33E5">
      <w:pPr>
        <w:pStyle w:val="Questionstyle"/>
        <w:numPr>
          <w:ilvl w:val="0"/>
          <w:numId w:val="14"/>
        </w:numPr>
        <w:tabs>
          <w:tab w:val="clear" w:pos="567"/>
        </w:tabs>
        <w:spacing w:before="120" w:after="120"/>
        <w:ind w:left="851" w:hanging="709"/>
      </w:pPr>
      <w:r>
        <w:t>Would you be supportive of ESMA issuing guidance on benchmark trades? If yes, should it encompass quantifying the minimum requirements (e.g. minimum number of transactions to be included when calculating a benchmark price, minimum time period to cover).</w:t>
      </w:r>
    </w:p>
    <w:p w14:paraId="1917F362" w14:textId="5D4239E2" w:rsidR="003A33E5" w:rsidRDefault="003A33E5" w:rsidP="003A33E5">
      <w:r>
        <w:t>&lt;ESMA_QUESTION_MSEM_</w:t>
      </w:r>
      <w:r w:rsidR="486B68D9">
        <w:t>30</w:t>
      </w:r>
      <w:r>
        <w:t>&gt;</w:t>
      </w:r>
    </w:p>
    <w:p w14:paraId="27F8DDA5" w14:textId="77777777" w:rsidR="005752BA" w:rsidRPr="002459D5" w:rsidRDefault="005752BA" w:rsidP="00EC477F">
      <w:pPr>
        <w:spacing w:after="257" w:line="268" w:lineRule="auto"/>
        <w:jc w:val="left"/>
        <w:rPr>
          <w:rFonts w:ascii="Arial" w:hAnsi="Arial" w:cs="Arial"/>
        </w:rPr>
      </w:pPr>
      <w:permStart w:id="1316118649" w:edGrp="everyone"/>
      <w:r w:rsidRPr="002459D5">
        <w:rPr>
          <w:rFonts w:ascii="Arial" w:hAnsi="Arial" w:cs="Arial"/>
        </w:rPr>
        <w:lastRenderedPageBreak/>
        <w:t xml:space="preserve">Our equities consolidated tape working group has spent significant time understanding and modelling different trading scenarios, including how they map onto regulatory trade flags. The results of this analysis can be found at </w:t>
      </w:r>
      <w:hyperlink r:id="rId19" w:history="1">
        <w:r w:rsidRPr="002459D5">
          <w:rPr>
            <w:rStyle w:val="Hyperlink"/>
            <w:rFonts w:ascii="Arial" w:hAnsi="Arial" w:cs="Arial"/>
            <w:color w:val="auto"/>
          </w:rPr>
          <w:t>https://fixtrading.org/packages/fix-trade-flag-scenarios-european-equities/</w:t>
        </w:r>
      </w:hyperlink>
      <w:r w:rsidRPr="002459D5">
        <w:rPr>
          <w:rFonts w:ascii="Arial" w:hAnsi="Arial" w:cs="Arial"/>
        </w:rPr>
        <w:t>.</w:t>
      </w:r>
    </w:p>
    <w:p w14:paraId="115BD9C9" w14:textId="77777777" w:rsidR="005752BA" w:rsidRPr="002459D5" w:rsidRDefault="005752BA" w:rsidP="00EC477F">
      <w:pPr>
        <w:spacing w:after="257" w:line="268" w:lineRule="auto"/>
        <w:jc w:val="left"/>
        <w:rPr>
          <w:rFonts w:ascii="Arial" w:hAnsi="Arial" w:cs="Arial"/>
        </w:rPr>
      </w:pPr>
      <w:r w:rsidRPr="002459D5">
        <w:rPr>
          <w:rFonts w:ascii="Arial" w:hAnsi="Arial" w:cs="Arial"/>
        </w:rPr>
        <w:t xml:space="preserve">In the context of benchmark </w:t>
      </w:r>
      <w:proofErr w:type="gramStart"/>
      <w:r w:rsidRPr="002459D5">
        <w:rPr>
          <w:rFonts w:ascii="Arial" w:hAnsi="Arial" w:cs="Arial"/>
        </w:rPr>
        <w:t>trades</w:t>
      </w:r>
      <w:proofErr w:type="gramEnd"/>
      <w:r w:rsidRPr="002459D5">
        <w:rPr>
          <w:rFonts w:ascii="Arial" w:hAnsi="Arial" w:cs="Arial"/>
        </w:rPr>
        <w:t xml:space="preserve"> we have identified several types of trading activity that the group considers require use of the BENC flag, either alone or in combination with other flags. </w:t>
      </w:r>
    </w:p>
    <w:p w14:paraId="0BBEBB81" w14:textId="77777777" w:rsidR="005752BA" w:rsidRPr="002459D5" w:rsidRDefault="005752BA" w:rsidP="005752BA">
      <w:pPr>
        <w:pStyle w:val="ListParagraph"/>
        <w:numPr>
          <w:ilvl w:val="0"/>
          <w:numId w:val="19"/>
        </w:numPr>
        <w:spacing w:before="120" w:after="257" w:line="268" w:lineRule="auto"/>
        <w:contextualSpacing/>
        <w:jc w:val="left"/>
        <w:rPr>
          <w:rFonts w:ascii="Arial" w:hAnsi="Arial" w:cs="Arial"/>
        </w:rPr>
      </w:pPr>
      <w:r w:rsidRPr="002459D5">
        <w:rPr>
          <w:rFonts w:ascii="Arial" w:hAnsi="Arial" w:cs="Arial"/>
        </w:rPr>
        <w:t>Non-portfolio guaranteed VWAP - BENC</w:t>
      </w:r>
    </w:p>
    <w:p w14:paraId="2F2C0248" w14:textId="77777777" w:rsidR="005752BA" w:rsidRPr="002459D5" w:rsidRDefault="005752BA" w:rsidP="005752BA">
      <w:pPr>
        <w:pStyle w:val="ListParagraph"/>
        <w:numPr>
          <w:ilvl w:val="0"/>
          <w:numId w:val="19"/>
        </w:numPr>
        <w:spacing w:before="120" w:after="257" w:line="268" w:lineRule="auto"/>
        <w:contextualSpacing/>
        <w:jc w:val="left"/>
        <w:rPr>
          <w:rFonts w:ascii="Arial" w:hAnsi="Arial" w:cs="Arial"/>
        </w:rPr>
      </w:pPr>
      <w:r w:rsidRPr="002459D5">
        <w:rPr>
          <w:rFonts w:ascii="Arial" w:hAnsi="Arial" w:cs="Arial"/>
        </w:rPr>
        <w:t>Portfolio guaranteed VWAP - BENC, PORT</w:t>
      </w:r>
    </w:p>
    <w:p w14:paraId="46604365" w14:textId="77777777" w:rsidR="005752BA" w:rsidRPr="002459D5" w:rsidRDefault="005752BA" w:rsidP="005752BA">
      <w:pPr>
        <w:pStyle w:val="ListParagraph"/>
        <w:numPr>
          <w:ilvl w:val="0"/>
          <w:numId w:val="19"/>
        </w:numPr>
        <w:spacing w:before="120" w:after="257" w:line="268" w:lineRule="auto"/>
        <w:contextualSpacing/>
        <w:jc w:val="left"/>
        <w:rPr>
          <w:rFonts w:ascii="Arial" w:hAnsi="Arial" w:cs="Arial"/>
          <w:lang w:val="it-IT"/>
        </w:rPr>
      </w:pPr>
      <w:r w:rsidRPr="002459D5">
        <w:rPr>
          <w:rFonts w:ascii="Arial" w:hAnsi="Arial" w:cs="Arial"/>
          <w:lang w:val="it-IT"/>
        </w:rPr>
        <w:t>Non-portfolio guaranteed close - BENC*</w:t>
      </w:r>
    </w:p>
    <w:p w14:paraId="76065F37" w14:textId="77777777" w:rsidR="005752BA" w:rsidRPr="002459D5" w:rsidRDefault="005752BA" w:rsidP="005752BA">
      <w:pPr>
        <w:pStyle w:val="ListParagraph"/>
        <w:numPr>
          <w:ilvl w:val="0"/>
          <w:numId w:val="19"/>
        </w:numPr>
        <w:spacing w:before="120" w:after="257" w:line="268" w:lineRule="auto"/>
        <w:contextualSpacing/>
        <w:jc w:val="left"/>
        <w:rPr>
          <w:rFonts w:ascii="Arial" w:hAnsi="Arial" w:cs="Arial"/>
        </w:rPr>
      </w:pPr>
      <w:r w:rsidRPr="002459D5">
        <w:rPr>
          <w:rFonts w:ascii="Arial" w:hAnsi="Arial" w:cs="Arial"/>
        </w:rPr>
        <w:t>Portfolio guaranteed close - BENC, PORT*</w:t>
      </w:r>
    </w:p>
    <w:p w14:paraId="6D7FC5E7" w14:textId="77777777" w:rsidR="005752BA" w:rsidRPr="002459D5" w:rsidRDefault="005752BA" w:rsidP="005752BA">
      <w:pPr>
        <w:pStyle w:val="ListParagraph"/>
        <w:numPr>
          <w:ilvl w:val="0"/>
          <w:numId w:val="19"/>
        </w:numPr>
        <w:spacing w:before="120" w:after="257" w:line="268" w:lineRule="auto"/>
        <w:contextualSpacing/>
        <w:jc w:val="left"/>
        <w:rPr>
          <w:rFonts w:ascii="Arial" w:hAnsi="Arial" w:cs="Arial"/>
        </w:rPr>
      </w:pPr>
      <w:r w:rsidRPr="002459D5">
        <w:rPr>
          <w:rFonts w:ascii="Arial" w:hAnsi="Arial" w:cs="Arial"/>
        </w:rPr>
        <w:t>Exchange for physical (VWAP-priced) - CONT, PORT, BENC</w:t>
      </w:r>
    </w:p>
    <w:p w14:paraId="59D811BF" w14:textId="77777777" w:rsidR="005752BA" w:rsidRPr="002459D5" w:rsidRDefault="005752BA" w:rsidP="005752BA">
      <w:pPr>
        <w:pStyle w:val="ListParagraph"/>
        <w:numPr>
          <w:ilvl w:val="0"/>
          <w:numId w:val="19"/>
        </w:numPr>
        <w:spacing w:before="120" w:after="257" w:line="268" w:lineRule="auto"/>
        <w:contextualSpacing/>
        <w:jc w:val="left"/>
        <w:rPr>
          <w:rFonts w:ascii="Arial" w:hAnsi="Arial" w:cs="Arial"/>
        </w:rPr>
      </w:pPr>
      <w:r w:rsidRPr="002459D5">
        <w:rPr>
          <w:rFonts w:ascii="Arial" w:hAnsi="Arial" w:cs="Arial"/>
        </w:rPr>
        <w:t>Exchange for physical (close-priced) - CONT, PORT, BENC*</w:t>
      </w:r>
    </w:p>
    <w:p w14:paraId="512DBCB4" w14:textId="77777777" w:rsidR="005752BA" w:rsidRPr="002459D5" w:rsidRDefault="005752BA" w:rsidP="005752BA">
      <w:pPr>
        <w:pStyle w:val="ListParagraph"/>
        <w:numPr>
          <w:ilvl w:val="0"/>
          <w:numId w:val="19"/>
        </w:numPr>
        <w:spacing w:before="120" w:after="257" w:line="268" w:lineRule="auto"/>
        <w:contextualSpacing/>
        <w:jc w:val="left"/>
        <w:rPr>
          <w:rFonts w:ascii="Arial" w:hAnsi="Arial" w:cs="Arial"/>
        </w:rPr>
      </w:pPr>
      <w:r w:rsidRPr="002459D5">
        <w:rPr>
          <w:rFonts w:ascii="Arial" w:hAnsi="Arial" w:cs="Arial"/>
        </w:rPr>
        <w:t>ETF NAV trades - second report (price available, cancel/replacing first report) - BENC**</w:t>
      </w:r>
    </w:p>
    <w:p w14:paraId="62AD29F1" w14:textId="77777777" w:rsidR="005752BA" w:rsidRPr="002459D5" w:rsidRDefault="005752BA" w:rsidP="00EC477F">
      <w:pPr>
        <w:spacing w:after="257" w:line="268" w:lineRule="auto"/>
        <w:jc w:val="left"/>
        <w:rPr>
          <w:rFonts w:ascii="Arial" w:hAnsi="Arial" w:cs="Arial"/>
        </w:rPr>
      </w:pPr>
      <w:r w:rsidRPr="002459D5">
        <w:rPr>
          <w:rFonts w:ascii="Arial" w:hAnsi="Arial" w:cs="Arial"/>
        </w:rPr>
        <w:t>It should be noted that some rows in this list share the same flags, meaning it is currently impossible, using just regulatory flags, to distinguish between them. For example, guaranteed VWAP and guaranteed close trades use the same flags. Our strong recommendation (denoted by a *) has been to introduce the CLSE flag as introduced by the FCA for closing-price trades and (denoted by **) a new ENAV flag for ETF NAV trades. Usage of these flags would not only help market participants to understand what’s going on in the markets better, but would help regulators in the same way, specifically when looking at questions such as this one.</w:t>
      </w:r>
    </w:p>
    <w:p w14:paraId="0760E955" w14:textId="77777777" w:rsidR="005752BA" w:rsidRDefault="005752BA" w:rsidP="003A33E5">
      <w:pPr>
        <w:rPr>
          <w:rFonts w:ascii="Arial" w:hAnsi="Arial" w:cs="Arial"/>
        </w:rPr>
      </w:pPr>
      <w:r w:rsidRPr="002459D5">
        <w:rPr>
          <w:rFonts w:ascii="Arial" w:hAnsi="Arial" w:cs="Arial"/>
        </w:rPr>
        <w:t>With reference to our response to Q45 we also believe that adoption of a manual/automated indicator would be beneficial, particularly in the context of benchmark trades given there is considerable activity conducted both manually and via electronic means.</w:t>
      </w:r>
    </w:p>
    <w:permEnd w:id="1316118649"/>
    <w:p w14:paraId="375C0B3C" w14:textId="6732151D" w:rsidR="003A33E5" w:rsidRDefault="003A33E5" w:rsidP="003A33E5">
      <w:r>
        <w:t>&lt;ESMA_QUESTION_MSEM_</w:t>
      </w:r>
      <w:r w:rsidR="446522A6">
        <w:t>30</w:t>
      </w:r>
      <w:r>
        <w:t>&gt;</w:t>
      </w:r>
    </w:p>
    <w:p w14:paraId="6127D702" w14:textId="77777777" w:rsidR="003A33E5" w:rsidRDefault="003A33E5" w:rsidP="003A33E5"/>
    <w:p w14:paraId="50705C3D" w14:textId="77777777" w:rsidR="003A33E5" w:rsidRDefault="003A33E5" w:rsidP="003A33E5">
      <w:pPr>
        <w:pStyle w:val="Questionstyle"/>
        <w:numPr>
          <w:ilvl w:val="0"/>
          <w:numId w:val="14"/>
        </w:numPr>
        <w:tabs>
          <w:tab w:val="clear" w:pos="567"/>
        </w:tabs>
        <w:spacing w:before="120" w:after="120"/>
        <w:ind w:left="851" w:hanging="709"/>
      </w:pPr>
      <w:r>
        <w:t>Does member preferencing lead to unfair outcomes for end-investors, other members or the markets? Please explain, if possible on the basis of data.</w:t>
      </w:r>
    </w:p>
    <w:p w14:paraId="018F7B50" w14:textId="783DF7C6" w:rsidR="003A33E5" w:rsidRDefault="003A33E5" w:rsidP="003A33E5">
      <w:r>
        <w:t>&lt;ESMA_QUESTION_MSEM_3</w:t>
      </w:r>
      <w:r w:rsidR="7DE19745">
        <w:t>1</w:t>
      </w:r>
      <w:r>
        <w:t>&gt;</w:t>
      </w:r>
    </w:p>
    <w:p w14:paraId="787A55CB" w14:textId="77777777" w:rsidR="003A33E5" w:rsidRDefault="003A33E5" w:rsidP="003A33E5">
      <w:permStart w:id="1195064322" w:edGrp="everyone"/>
      <w:r>
        <w:t>TYPE YOUR TEXT HERE</w:t>
      </w:r>
    </w:p>
    <w:permEnd w:id="1195064322"/>
    <w:p w14:paraId="083A539F" w14:textId="68B0C152" w:rsidR="003A33E5" w:rsidRDefault="003A33E5" w:rsidP="003A33E5">
      <w:r>
        <w:t>&lt;ESMA_QUESTION_MSEM_3</w:t>
      </w:r>
      <w:r w:rsidR="552EE62E">
        <w:t>1</w:t>
      </w:r>
      <w:r>
        <w:t>&gt;</w:t>
      </w:r>
    </w:p>
    <w:p w14:paraId="40A6B7FA" w14:textId="77777777" w:rsidR="003A33E5" w:rsidRDefault="003A33E5" w:rsidP="003A33E5"/>
    <w:p w14:paraId="73A234C9" w14:textId="77777777" w:rsidR="00646F0B" w:rsidRDefault="00646F0B">
      <w:pPr>
        <w:spacing w:after="120" w:line="264" w:lineRule="auto"/>
        <w:jc w:val="left"/>
        <w:rPr>
          <w:b/>
        </w:rPr>
      </w:pPr>
      <w:r>
        <w:br w:type="page"/>
      </w:r>
    </w:p>
    <w:p w14:paraId="56ECDB05" w14:textId="77777777" w:rsidR="003A33E5" w:rsidRDefault="003A33E5" w:rsidP="003A33E5">
      <w:pPr>
        <w:pStyle w:val="Questionstyle"/>
        <w:numPr>
          <w:ilvl w:val="0"/>
          <w:numId w:val="14"/>
        </w:numPr>
        <w:tabs>
          <w:tab w:val="clear" w:pos="567"/>
        </w:tabs>
        <w:spacing w:before="120" w:after="120"/>
        <w:ind w:left="851" w:hanging="709"/>
      </w:pPr>
      <w:r>
        <w:lastRenderedPageBreak/>
        <w:t>To what extent do you see evidence that member preferencing extends in practice beyond jumping the queue and may also violate price priority principles?</w:t>
      </w:r>
    </w:p>
    <w:p w14:paraId="579B298E" w14:textId="405C7D5C" w:rsidR="003A33E5" w:rsidRDefault="003A33E5" w:rsidP="003A33E5">
      <w:r>
        <w:t>&lt;ESMA_QUESTION_MSEM_3</w:t>
      </w:r>
      <w:r w:rsidR="71EFA1F0">
        <w:t>2</w:t>
      </w:r>
      <w:r>
        <w:t>&gt;</w:t>
      </w:r>
    </w:p>
    <w:p w14:paraId="76960526" w14:textId="77777777" w:rsidR="003A33E5" w:rsidRDefault="003A33E5" w:rsidP="003A33E5">
      <w:permStart w:id="1218795063" w:edGrp="everyone"/>
      <w:r>
        <w:t>TYPE YOUR TEXT HERE</w:t>
      </w:r>
    </w:p>
    <w:permEnd w:id="1218795063"/>
    <w:p w14:paraId="74507777" w14:textId="178A9241" w:rsidR="003A33E5" w:rsidRDefault="003A33E5" w:rsidP="003A33E5">
      <w:r>
        <w:t>&lt;ESMA_QUESTION_MSEM_3</w:t>
      </w:r>
      <w:r w:rsidR="01A1C6AB">
        <w:t>2</w:t>
      </w:r>
      <w:r>
        <w:t>&gt;</w:t>
      </w:r>
    </w:p>
    <w:p w14:paraId="4E040964" w14:textId="77777777" w:rsidR="003A33E5" w:rsidRDefault="003A33E5" w:rsidP="003A33E5"/>
    <w:p w14:paraId="0BE9103B" w14:textId="77777777" w:rsidR="003A33E5" w:rsidRDefault="003A33E5" w:rsidP="003A33E5">
      <w:pPr>
        <w:pStyle w:val="Questionstyle"/>
        <w:numPr>
          <w:ilvl w:val="0"/>
          <w:numId w:val="14"/>
        </w:numPr>
        <w:tabs>
          <w:tab w:val="clear" w:pos="567"/>
        </w:tabs>
        <w:spacing w:before="120" w:after="120"/>
        <w:ind w:left="851" w:hanging="709"/>
      </w:pPr>
      <w:r>
        <w:t>Should member preferencing be (a) prohibited, (b) should there be rules restricting the practice, or (c) should nothing be done? If you suggest there should be rules (b), which rules would you suggest? Please explain.</w:t>
      </w:r>
    </w:p>
    <w:p w14:paraId="0720652E" w14:textId="5DC2323D" w:rsidR="003A33E5" w:rsidRDefault="003A33E5" w:rsidP="003A33E5">
      <w:r>
        <w:t>&lt;ESMA_QUESTION_MSEM_3</w:t>
      </w:r>
      <w:r w:rsidR="23A83876">
        <w:t>3</w:t>
      </w:r>
      <w:r>
        <w:t>&gt;</w:t>
      </w:r>
    </w:p>
    <w:p w14:paraId="00D63C9A" w14:textId="77777777" w:rsidR="003A33E5" w:rsidRDefault="003A33E5" w:rsidP="003A33E5">
      <w:permStart w:id="1697063566" w:edGrp="everyone"/>
      <w:r>
        <w:t>TYPE YOUR TEXT HERE</w:t>
      </w:r>
    </w:p>
    <w:permEnd w:id="1697063566"/>
    <w:p w14:paraId="35DF9DD6" w14:textId="00BB2FEF" w:rsidR="003A33E5" w:rsidRDefault="003A33E5" w:rsidP="003A33E5">
      <w:r>
        <w:t>&lt;ESMA_QUESTION_MSEM_3</w:t>
      </w:r>
      <w:r w:rsidR="56DDBE9E">
        <w:t>3</w:t>
      </w:r>
      <w:r>
        <w:t>&gt;</w:t>
      </w:r>
    </w:p>
    <w:p w14:paraId="5EB6F5EE" w14:textId="77777777" w:rsidR="003A33E5" w:rsidRDefault="003A33E5" w:rsidP="003A33E5"/>
    <w:p w14:paraId="2C0592F0" w14:textId="77777777" w:rsidR="003A33E5" w:rsidRDefault="003A33E5" w:rsidP="003A33E5">
      <w:pPr>
        <w:pStyle w:val="Questionstyle"/>
        <w:numPr>
          <w:ilvl w:val="0"/>
          <w:numId w:val="14"/>
        </w:numPr>
        <w:tabs>
          <w:tab w:val="clear" w:pos="567"/>
        </w:tabs>
        <w:spacing w:before="120" w:after="120"/>
        <w:ind w:left="851" w:hanging="709"/>
      </w:pPr>
      <w:r>
        <w:t>What would be the consequence of prohibiting certain forms of member preferencing? Please explain, if possible on the basis of data.</w:t>
      </w:r>
    </w:p>
    <w:p w14:paraId="6CE2D51B" w14:textId="0BA87D94" w:rsidR="003A33E5" w:rsidRDefault="003A33E5" w:rsidP="003A33E5">
      <w:r>
        <w:t>&lt;ESMA_QUESTION_MSEM_3</w:t>
      </w:r>
      <w:r w:rsidR="56C2794B">
        <w:t>4</w:t>
      </w:r>
      <w:r>
        <w:t>&gt;</w:t>
      </w:r>
    </w:p>
    <w:p w14:paraId="5516576E" w14:textId="77777777" w:rsidR="003A33E5" w:rsidRDefault="003A33E5" w:rsidP="003A33E5">
      <w:permStart w:id="1084183535" w:edGrp="everyone"/>
      <w:r>
        <w:t>TYPE YOUR TEXT HERE</w:t>
      </w:r>
    </w:p>
    <w:permEnd w:id="1084183535"/>
    <w:p w14:paraId="55250315" w14:textId="1F2FCB5D" w:rsidR="003A33E5" w:rsidRDefault="003A33E5" w:rsidP="003A33E5">
      <w:r>
        <w:t>&lt;ESMA_QUESTION_MSEM_3</w:t>
      </w:r>
      <w:r w:rsidR="4E2CDF55">
        <w:t>4</w:t>
      </w:r>
      <w:r>
        <w:t>&gt;</w:t>
      </w:r>
    </w:p>
    <w:p w14:paraId="07F41A98" w14:textId="77777777" w:rsidR="003A33E5" w:rsidRDefault="003A33E5" w:rsidP="003A33E5"/>
    <w:p w14:paraId="3AACE427" w14:textId="77777777" w:rsidR="003A33E5" w:rsidRDefault="003A33E5" w:rsidP="003A33E5">
      <w:pPr>
        <w:pStyle w:val="Questionstyle"/>
        <w:numPr>
          <w:ilvl w:val="0"/>
          <w:numId w:val="14"/>
        </w:numPr>
        <w:tabs>
          <w:tab w:val="clear" w:pos="567"/>
        </w:tabs>
        <w:spacing w:before="120" w:after="120"/>
        <w:ind w:left="851" w:hanging="709"/>
      </w:pPr>
      <w:r>
        <w:t>Are you aware of other similar and common practices, for example on RFQs, where on venue competition is limited to the detriment of other investors or members? Please explain, if possible with data.</w:t>
      </w:r>
    </w:p>
    <w:p w14:paraId="15B98915" w14:textId="0455F90D" w:rsidR="003A33E5" w:rsidRDefault="003A33E5" w:rsidP="003A33E5">
      <w:r>
        <w:t>&lt;ESMA_QUESTION_MSEM_3</w:t>
      </w:r>
      <w:r w:rsidR="77D7D101">
        <w:t>5</w:t>
      </w:r>
      <w:r>
        <w:t>&gt;</w:t>
      </w:r>
    </w:p>
    <w:p w14:paraId="09CCA71A" w14:textId="77777777" w:rsidR="003A33E5" w:rsidRDefault="003A33E5" w:rsidP="003A33E5">
      <w:permStart w:id="1454133558" w:edGrp="everyone"/>
      <w:r>
        <w:t>TYPE YOUR TEXT HERE</w:t>
      </w:r>
    </w:p>
    <w:permEnd w:id="1454133558"/>
    <w:p w14:paraId="0B3333F7" w14:textId="61C0F782" w:rsidR="003A33E5" w:rsidRDefault="003A33E5" w:rsidP="003A33E5">
      <w:r>
        <w:t>&lt;ESMA_QUESTION_MSEM_3</w:t>
      </w:r>
      <w:r w:rsidR="0C2EC482">
        <w:t>5</w:t>
      </w:r>
      <w:r>
        <w:t>&gt;</w:t>
      </w:r>
    </w:p>
    <w:p w14:paraId="465D41F4" w14:textId="77777777" w:rsidR="003A33E5" w:rsidRDefault="003A33E5" w:rsidP="003A33E5"/>
    <w:p w14:paraId="02B80277" w14:textId="77777777" w:rsidR="003A33E5" w:rsidRDefault="003A33E5" w:rsidP="003A33E5">
      <w:pPr>
        <w:pStyle w:val="Questionstyle"/>
        <w:numPr>
          <w:ilvl w:val="0"/>
          <w:numId w:val="14"/>
        </w:numPr>
        <w:tabs>
          <w:tab w:val="clear" w:pos="567"/>
        </w:tabs>
        <w:spacing w:before="120" w:after="120"/>
        <w:ind w:left="851" w:hanging="709"/>
      </w:pPr>
      <w:r>
        <w:t>Do you agree with the above three approaches?</w:t>
      </w:r>
    </w:p>
    <w:p w14:paraId="68433405" w14:textId="76FF2B2D" w:rsidR="003A33E5" w:rsidRDefault="003A33E5" w:rsidP="003A33E5">
      <w:r>
        <w:t>&lt;ESMA_QUESTION_MSEM_3</w:t>
      </w:r>
      <w:r w:rsidR="174AA40C">
        <w:t>6</w:t>
      </w:r>
      <w:r>
        <w:t>&gt;</w:t>
      </w:r>
    </w:p>
    <w:p w14:paraId="7C1A57FF" w14:textId="77777777" w:rsidR="004C5308" w:rsidRPr="002459D5" w:rsidRDefault="004C5308" w:rsidP="00EC477F">
      <w:pPr>
        <w:pStyle w:val="ListBullet"/>
        <w:numPr>
          <w:ilvl w:val="0"/>
          <w:numId w:val="0"/>
        </w:numPr>
        <w:rPr>
          <w:rFonts w:ascii="Arial" w:hAnsi="Arial" w:cs="Arial"/>
        </w:rPr>
      </w:pPr>
      <w:permStart w:id="1509051285" w:edGrp="everyone"/>
      <w:r w:rsidRPr="002459D5">
        <w:rPr>
          <w:rFonts w:ascii="Arial" w:hAnsi="Arial" w:cs="Arial"/>
        </w:rPr>
        <w:t xml:space="preserve">We believe ESMA's proposed concept of </w:t>
      </w:r>
      <w:r w:rsidRPr="002459D5">
        <w:rPr>
          <w:rFonts w:ascii="Arial" w:hAnsi="Arial" w:cs="Arial"/>
          <w:b/>
          <w:bCs/>
        </w:rPr>
        <w:t>addressability</w:t>
      </w:r>
      <w:r w:rsidRPr="002459D5">
        <w:rPr>
          <w:rFonts w:ascii="Arial" w:hAnsi="Arial" w:cs="Arial"/>
        </w:rPr>
        <w:t xml:space="preserve"> would be better served by separating it into two distinct concepts: </w:t>
      </w:r>
      <w:r w:rsidRPr="002459D5">
        <w:rPr>
          <w:rFonts w:ascii="Arial" w:hAnsi="Arial" w:cs="Arial"/>
          <w:b/>
          <w:bCs/>
        </w:rPr>
        <w:t>price formation</w:t>
      </w:r>
      <w:r w:rsidRPr="002459D5">
        <w:rPr>
          <w:rFonts w:ascii="Arial" w:hAnsi="Arial" w:cs="Arial"/>
        </w:rPr>
        <w:t xml:space="preserve"> and </w:t>
      </w:r>
      <w:r w:rsidRPr="002459D5">
        <w:rPr>
          <w:rFonts w:ascii="Arial" w:hAnsi="Arial" w:cs="Arial"/>
          <w:b/>
          <w:bCs/>
        </w:rPr>
        <w:t>accessibility</w:t>
      </w:r>
      <w:r w:rsidRPr="002459D5">
        <w:rPr>
          <w:rFonts w:ascii="Arial" w:hAnsi="Arial" w:cs="Arial"/>
        </w:rPr>
        <w:t>. This approach also provides a clearer framework for handling transactions executed subject to conditions other than the prevailing market price.</w:t>
      </w:r>
    </w:p>
    <w:p w14:paraId="19AEDF2E" w14:textId="77777777" w:rsidR="004C5308" w:rsidRPr="002459D5" w:rsidRDefault="004C5308" w:rsidP="00EC477F">
      <w:pPr>
        <w:pStyle w:val="ListBullet"/>
        <w:numPr>
          <w:ilvl w:val="0"/>
          <w:numId w:val="0"/>
        </w:numPr>
        <w:ind w:left="360" w:hanging="360"/>
        <w:rPr>
          <w:rFonts w:ascii="Arial" w:hAnsi="Arial" w:cs="Arial"/>
        </w:rPr>
      </w:pPr>
      <w:r w:rsidRPr="002459D5">
        <w:rPr>
          <w:rFonts w:ascii="Arial" w:hAnsi="Arial" w:cs="Arial"/>
          <w:b/>
          <w:bCs/>
        </w:rPr>
        <w:t> </w:t>
      </w:r>
    </w:p>
    <w:p w14:paraId="64B49FD5" w14:textId="77777777" w:rsidR="004C5308" w:rsidRPr="002459D5" w:rsidRDefault="004C5308" w:rsidP="00EC477F">
      <w:pPr>
        <w:pStyle w:val="ListBullet"/>
        <w:numPr>
          <w:ilvl w:val="0"/>
          <w:numId w:val="0"/>
        </w:numPr>
        <w:ind w:left="360" w:hanging="360"/>
        <w:rPr>
          <w:rFonts w:ascii="Arial" w:hAnsi="Arial" w:cs="Arial"/>
        </w:rPr>
      </w:pPr>
      <w:r w:rsidRPr="002459D5">
        <w:rPr>
          <w:rFonts w:ascii="Arial" w:hAnsi="Arial" w:cs="Arial"/>
          <w:b/>
          <w:bCs/>
        </w:rPr>
        <w:t>Price Formation</w:t>
      </w:r>
    </w:p>
    <w:p w14:paraId="00648A18" w14:textId="77777777" w:rsidR="004C5308" w:rsidRPr="002459D5" w:rsidRDefault="004C5308" w:rsidP="004C5308">
      <w:pPr>
        <w:pStyle w:val="ListBullet"/>
        <w:tabs>
          <w:tab w:val="num" w:pos="360"/>
        </w:tabs>
        <w:ind w:left="360" w:hanging="360"/>
        <w:rPr>
          <w:rFonts w:ascii="Arial" w:hAnsi="Arial" w:cs="Arial"/>
        </w:rPr>
      </w:pPr>
      <w:r w:rsidRPr="002459D5">
        <w:rPr>
          <w:rFonts w:ascii="Arial" w:hAnsi="Arial" w:cs="Arial"/>
        </w:rPr>
        <w:t>Price-forming transactions should be defined as transactions that transfer economic interest between a buyer and a seller in a manner that contributes to market supply, demand, and valuation.</w:t>
      </w:r>
    </w:p>
    <w:p w14:paraId="2C127AC9" w14:textId="77777777" w:rsidR="004C5308" w:rsidRPr="002459D5" w:rsidRDefault="004C5308" w:rsidP="00EC477F">
      <w:pPr>
        <w:pStyle w:val="ListBullet"/>
        <w:numPr>
          <w:ilvl w:val="0"/>
          <w:numId w:val="0"/>
        </w:numPr>
        <w:ind w:left="360" w:hanging="360"/>
        <w:rPr>
          <w:rFonts w:ascii="Arial" w:hAnsi="Arial" w:cs="Arial"/>
        </w:rPr>
      </w:pPr>
      <w:r w:rsidRPr="002459D5">
        <w:rPr>
          <w:rFonts w:ascii="Arial" w:hAnsi="Arial" w:cs="Arial"/>
          <w:b/>
          <w:bCs/>
        </w:rPr>
        <w:t>Intragroup transactions and OBOE NPFT (Figure 36)</w:t>
      </w:r>
    </w:p>
    <w:p w14:paraId="5BFD301C" w14:textId="77777777" w:rsidR="004C5308" w:rsidRPr="002459D5" w:rsidRDefault="004C5308" w:rsidP="004C5308">
      <w:pPr>
        <w:pStyle w:val="ListBullet"/>
        <w:tabs>
          <w:tab w:val="num" w:pos="360"/>
        </w:tabs>
        <w:ind w:left="360" w:hanging="360"/>
        <w:rPr>
          <w:rFonts w:ascii="Arial" w:hAnsi="Arial" w:cs="Arial"/>
        </w:rPr>
      </w:pPr>
      <w:r w:rsidRPr="002459D5">
        <w:rPr>
          <w:rFonts w:ascii="Arial" w:hAnsi="Arial" w:cs="Arial"/>
        </w:rPr>
        <w:t xml:space="preserve">These should be considered </w:t>
      </w:r>
      <w:r w:rsidRPr="002459D5">
        <w:rPr>
          <w:rFonts w:ascii="Arial" w:hAnsi="Arial" w:cs="Arial"/>
          <w:b/>
          <w:bCs/>
        </w:rPr>
        <w:t>technical transactions</w:t>
      </w:r>
      <w:r w:rsidRPr="002459D5">
        <w:rPr>
          <w:rFonts w:ascii="Arial" w:hAnsi="Arial" w:cs="Arial"/>
        </w:rPr>
        <w:t>, as they do not meet the definition of price-forming activity.</w:t>
      </w:r>
    </w:p>
    <w:p w14:paraId="1B2B8827" w14:textId="77777777" w:rsidR="004C5308" w:rsidRPr="002459D5" w:rsidRDefault="004C5308" w:rsidP="004C5308">
      <w:pPr>
        <w:pStyle w:val="ListBullet"/>
        <w:tabs>
          <w:tab w:val="num" w:pos="360"/>
        </w:tabs>
        <w:ind w:left="360" w:hanging="360"/>
        <w:rPr>
          <w:rFonts w:ascii="Arial" w:hAnsi="Arial" w:cs="Arial"/>
        </w:rPr>
      </w:pPr>
      <w:r w:rsidRPr="002459D5">
        <w:rPr>
          <w:rFonts w:ascii="Arial" w:hAnsi="Arial" w:cs="Arial"/>
        </w:rPr>
        <w:t>Such transactions should be excluded from post-trade transparency requirements while remaining subject to transaction reporting obligations.</w:t>
      </w:r>
    </w:p>
    <w:p w14:paraId="7012FBCF" w14:textId="77777777" w:rsidR="004C5308" w:rsidRPr="002459D5" w:rsidRDefault="004C5308" w:rsidP="00EC477F">
      <w:pPr>
        <w:pStyle w:val="ListBullet"/>
        <w:numPr>
          <w:ilvl w:val="0"/>
          <w:numId w:val="0"/>
        </w:numPr>
        <w:ind w:left="360" w:hanging="360"/>
        <w:rPr>
          <w:rFonts w:ascii="Arial" w:hAnsi="Arial" w:cs="Arial"/>
          <w:b/>
          <w:bCs/>
        </w:rPr>
      </w:pPr>
    </w:p>
    <w:p w14:paraId="23532485" w14:textId="77777777" w:rsidR="004C5308" w:rsidRPr="002459D5" w:rsidRDefault="004C5308" w:rsidP="00EC477F">
      <w:pPr>
        <w:pStyle w:val="ListBullet"/>
        <w:numPr>
          <w:ilvl w:val="0"/>
          <w:numId w:val="0"/>
        </w:numPr>
        <w:ind w:left="360" w:hanging="360"/>
        <w:rPr>
          <w:rFonts w:ascii="Arial" w:hAnsi="Arial" w:cs="Arial"/>
        </w:rPr>
      </w:pPr>
      <w:r w:rsidRPr="002459D5">
        <w:rPr>
          <w:rFonts w:ascii="Arial" w:hAnsi="Arial" w:cs="Arial"/>
          <w:b/>
          <w:bCs/>
        </w:rPr>
        <w:t>OTC-XOFF and contingent trades (executed via OBOE, SI or OTC)</w:t>
      </w:r>
    </w:p>
    <w:p w14:paraId="47ACC095" w14:textId="77777777" w:rsidR="004C5308" w:rsidRPr="002459D5" w:rsidRDefault="004C5308" w:rsidP="004C5308">
      <w:pPr>
        <w:pStyle w:val="ListBullet"/>
        <w:tabs>
          <w:tab w:val="num" w:pos="360"/>
        </w:tabs>
        <w:ind w:left="360" w:hanging="360"/>
        <w:rPr>
          <w:rFonts w:ascii="Arial" w:hAnsi="Arial" w:cs="Arial"/>
        </w:rPr>
      </w:pPr>
      <w:r w:rsidRPr="002459D5">
        <w:rPr>
          <w:rFonts w:ascii="Arial" w:hAnsi="Arial" w:cs="Arial"/>
        </w:rPr>
        <w:t>These should continue to be classified as price-forming transactions.</w:t>
      </w:r>
    </w:p>
    <w:p w14:paraId="4964EBCB" w14:textId="77777777" w:rsidR="004C5308" w:rsidRPr="002459D5" w:rsidRDefault="004C5308" w:rsidP="004C5308">
      <w:pPr>
        <w:pStyle w:val="ListBullet"/>
        <w:tabs>
          <w:tab w:val="num" w:pos="360"/>
        </w:tabs>
        <w:ind w:left="360" w:hanging="360"/>
        <w:rPr>
          <w:rFonts w:ascii="Arial" w:hAnsi="Arial" w:cs="Arial"/>
        </w:rPr>
      </w:pPr>
      <w:r w:rsidRPr="002459D5">
        <w:rPr>
          <w:rFonts w:ascii="Arial" w:hAnsi="Arial" w:cs="Arial"/>
        </w:rPr>
        <w:t>As a result, they should remain within the scope of post-trade transparency and continue to be published accordingly.</w:t>
      </w:r>
    </w:p>
    <w:p w14:paraId="3FB6B884" w14:textId="77777777" w:rsidR="004C5308" w:rsidRPr="002459D5" w:rsidRDefault="004C5308" w:rsidP="00EC477F">
      <w:pPr>
        <w:pStyle w:val="ListBullet"/>
        <w:numPr>
          <w:ilvl w:val="0"/>
          <w:numId w:val="0"/>
        </w:numPr>
        <w:ind w:left="360" w:hanging="360"/>
        <w:rPr>
          <w:rFonts w:ascii="Arial" w:hAnsi="Arial" w:cs="Arial"/>
        </w:rPr>
      </w:pPr>
      <w:r w:rsidRPr="002459D5">
        <w:rPr>
          <w:rFonts w:ascii="Arial" w:hAnsi="Arial" w:cs="Arial"/>
          <w:b/>
          <w:bCs/>
        </w:rPr>
        <w:t> </w:t>
      </w:r>
    </w:p>
    <w:p w14:paraId="5FD17DC3" w14:textId="77777777" w:rsidR="004C5308" w:rsidRPr="002459D5" w:rsidRDefault="004C5308" w:rsidP="00EC477F">
      <w:pPr>
        <w:pStyle w:val="ListBullet"/>
        <w:numPr>
          <w:ilvl w:val="0"/>
          <w:numId w:val="0"/>
        </w:numPr>
        <w:ind w:left="360" w:hanging="360"/>
        <w:rPr>
          <w:rFonts w:ascii="Arial" w:hAnsi="Arial" w:cs="Arial"/>
        </w:rPr>
      </w:pPr>
      <w:r w:rsidRPr="002459D5">
        <w:rPr>
          <w:rFonts w:ascii="Arial" w:hAnsi="Arial" w:cs="Arial"/>
          <w:b/>
          <w:bCs/>
        </w:rPr>
        <w:t>Accessibility</w:t>
      </w:r>
    </w:p>
    <w:p w14:paraId="02D28B91" w14:textId="77777777" w:rsidR="004C5308" w:rsidRPr="002459D5" w:rsidRDefault="004C5308" w:rsidP="004C5308">
      <w:pPr>
        <w:pStyle w:val="ListBullet"/>
        <w:tabs>
          <w:tab w:val="num" w:pos="360"/>
        </w:tabs>
        <w:ind w:left="360" w:hanging="360"/>
        <w:rPr>
          <w:rFonts w:ascii="Arial" w:hAnsi="Arial" w:cs="Arial"/>
        </w:rPr>
      </w:pPr>
      <w:r w:rsidRPr="002459D5">
        <w:rPr>
          <w:rFonts w:ascii="Arial" w:hAnsi="Arial" w:cs="Arial"/>
        </w:rPr>
        <w:t>Accessibility should focus on the information necessary for investors to assess how relevant a particular price-forming transaction is to them.</w:t>
      </w:r>
    </w:p>
    <w:p w14:paraId="6240F877" w14:textId="77777777" w:rsidR="004C5308" w:rsidRPr="002459D5" w:rsidRDefault="004C5308" w:rsidP="004C5308">
      <w:pPr>
        <w:pStyle w:val="ListBullet"/>
        <w:tabs>
          <w:tab w:val="num" w:pos="360"/>
        </w:tabs>
        <w:ind w:left="360" w:hanging="360"/>
        <w:rPr>
          <w:rFonts w:ascii="Arial" w:hAnsi="Arial" w:cs="Arial"/>
        </w:rPr>
      </w:pPr>
      <w:r w:rsidRPr="002459D5">
        <w:rPr>
          <w:rFonts w:ascii="Arial" w:hAnsi="Arial" w:cs="Arial"/>
        </w:rPr>
        <w:t>This requires the consistent and accurate application of flags describing:</w:t>
      </w:r>
    </w:p>
    <w:p w14:paraId="7188CF50" w14:textId="77777777" w:rsidR="004C5308" w:rsidRPr="002459D5" w:rsidRDefault="004C5308" w:rsidP="004C5308">
      <w:pPr>
        <w:pStyle w:val="ListBullet"/>
        <w:numPr>
          <w:ilvl w:val="0"/>
          <w:numId w:val="20"/>
        </w:numPr>
        <w:rPr>
          <w:rFonts w:ascii="Arial" w:hAnsi="Arial" w:cs="Arial"/>
        </w:rPr>
      </w:pPr>
      <w:r w:rsidRPr="002459D5">
        <w:rPr>
          <w:rFonts w:ascii="Arial" w:hAnsi="Arial" w:cs="Arial"/>
        </w:rPr>
        <w:t>the nature of the transaction (e.g. benchmark, at-the-close, portfolio, contingent);</w:t>
      </w:r>
    </w:p>
    <w:p w14:paraId="288617FD" w14:textId="77777777" w:rsidR="004C5308" w:rsidRPr="002459D5" w:rsidRDefault="004C5308" w:rsidP="004C5308">
      <w:pPr>
        <w:pStyle w:val="ListBullet"/>
        <w:numPr>
          <w:ilvl w:val="0"/>
          <w:numId w:val="20"/>
        </w:numPr>
        <w:rPr>
          <w:rFonts w:ascii="Arial" w:hAnsi="Arial" w:cs="Arial"/>
        </w:rPr>
      </w:pPr>
      <w:r w:rsidRPr="002459D5">
        <w:rPr>
          <w:rFonts w:ascii="Arial" w:hAnsi="Arial" w:cs="Arial"/>
        </w:rPr>
        <w:t>the level of automation involved (FIX Tag 2405); and</w:t>
      </w:r>
    </w:p>
    <w:p w14:paraId="3B531C5A" w14:textId="77777777" w:rsidR="004C5308" w:rsidRPr="002459D5" w:rsidRDefault="004C5308" w:rsidP="004C5308">
      <w:pPr>
        <w:pStyle w:val="ListBullet"/>
        <w:numPr>
          <w:ilvl w:val="0"/>
          <w:numId w:val="20"/>
        </w:numPr>
        <w:rPr>
          <w:rFonts w:ascii="Arial" w:hAnsi="Arial" w:cs="Arial"/>
        </w:rPr>
      </w:pPr>
      <w:r w:rsidRPr="002459D5">
        <w:rPr>
          <w:rFonts w:ascii="Arial" w:hAnsi="Arial" w:cs="Arial"/>
        </w:rPr>
        <w:t>the timing of execution (open, intraday, close, or out-of-hours),</w:t>
      </w:r>
    </w:p>
    <w:p w14:paraId="7E73818F" w14:textId="77777777" w:rsidR="004C5308" w:rsidRPr="002459D5" w:rsidRDefault="004C5308" w:rsidP="00EC477F">
      <w:pPr>
        <w:pStyle w:val="ListBullet"/>
        <w:numPr>
          <w:ilvl w:val="0"/>
          <w:numId w:val="0"/>
        </w:numPr>
        <w:rPr>
          <w:rFonts w:ascii="Arial" w:hAnsi="Arial" w:cs="Arial"/>
        </w:rPr>
      </w:pPr>
      <w:r w:rsidRPr="002459D5">
        <w:rPr>
          <w:rFonts w:ascii="Arial" w:hAnsi="Arial" w:cs="Arial"/>
        </w:rPr>
        <w:tab/>
        <w:t>as outlined in our response to Question 1.</w:t>
      </w:r>
    </w:p>
    <w:p w14:paraId="303E3520" w14:textId="77777777" w:rsidR="004C5308" w:rsidRPr="002459D5" w:rsidRDefault="004C5308" w:rsidP="00EC477F">
      <w:pPr>
        <w:pStyle w:val="ListBullet"/>
        <w:numPr>
          <w:ilvl w:val="0"/>
          <w:numId w:val="0"/>
        </w:numPr>
        <w:ind w:left="360"/>
        <w:rPr>
          <w:rFonts w:ascii="Arial" w:hAnsi="Arial" w:cs="Arial"/>
        </w:rPr>
      </w:pPr>
    </w:p>
    <w:p w14:paraId="5D88CEEF" w14:textId="77777777" w:rsidR="004C5308" w:rsidRPr="002459D5" w:rsidRDefault="004C5308" w:rsidP="00EC477F">
      <w:pPr>
        <w:pStyle w:val="ListBullet"/>
        <w:numPr>
          <w:ilvl w:val="0"/>
          <w:numId w:val="0"/>
        </w:numPr>
        <w:ind w:left="360" w:hanging="360"/>
        <w:rPr>
          <w:rFonts w:ascii="Arial" w:hAnsi="Arial" w:cs="Arial"/>
        </w:rPr>
      </w:pPr>
      <w:r w:rsidRPr="002459D5">
        <w:rPr>
          <w:rFonts w:ascii="Arial" w:hAnsi="Arial" w:cs="Arial"/>
          <w:b/>
          <w:bCs/>
        </w:rPr>
        <w:t>Transactions Subject to Conditions Other Than the Current Market Price</w:t>
      </w:r>
    </w:p>
    <w:p w14:paraId="64779D82" w14:textId="77777777" w:rsidR="004C5308" w:rsidRPr="002459D5" w:rsidRDefault="004C5308" w:rsidP="004C5308">
      <w:pPr>
        <w:pStyle w:val="ListBullet"/>
        <w:tabs>
          <w:tab w:val="num" w:pos="360"/>
        </w:tabs>
        <w:ind w:left="360" w:hanging="360"/>
        <w:rPr>
          <w:rFonts w:ascii="Arial" w:hAnsi="Arial" w:cs="Arial"/>
        </w:rPr>
      </w:pPr>
      <w:r w:rsidRPr="002459D5">
        <w:rPr>
          <w:rFonts w:ascii="Arial" w:hAnsi="Arial" w:cs="Arial"/>
        </w:rPr>
        <w:t>This category should include transactions flagged as:</w:t>
      </w:r>
    </w:p>
    <w:p w14:paraId="5BE279A3" w14:textId="77777777" w:rsidR="004C5308" w:rsidRPr="002459D5" w:rsidRDefault="004C5308" w:rsidP="004C5308">
      <w:pPr>
        <w:pStyle w:val="ListBullet"/>
        <w:numPr>
          <w:ilvl w:val="0"/>
          <w:numId w:val="21"/>
        </w:numPr>
        <w:rPr>
          <w:rFonts w:ascii="Arial" w:hAnsi="Arial" w:cs="Arial"/>
        </w:rPr>
      </w:pPr>
      <w:r w:rsidRPr="002459D5">
        <w:rPr>
          <w:rFonts w:ascii="Arial" w:hAnsi="Arial" w:cs="Arial"/>
        </w:rPr>
        <w:t>Benchmark;</w:t>
      </w:r>
    </w:p>
    <w:p w14:paraId="1A615442" w14:textId="77777777" w:rsidR="004C5308" w:rsidRPr="002459D5" w:rsidRDefault="004C5308" w:rsidP="004C5308">
      <w:pPr>
        <w:pStyle w:val="ListBullet"/>
        <w:numPr>
          <w:ilvl w:val="0"/>
          <w:numId w:val="21"/>
        </w:numPr>
        <w:rPr>
          <w:rFonts w:ascii="Arial" w:hAnsi="Arial" w:cs="Arial"/>
        </w:rPr>
      </w:pPr>
      <w:r w:rsidRPr="002459D5">
        <w:rPr>
          <w:rFonts w:ascii="Arial" w:hAnsi="Arial" w:cs="Arial"/>
        </w:rPr>
        <w:t>Portfolio;</w:t>
      </w:r>
    </w:p>
    <w:p w14:paraId="22EA2CFD" w14:textId="77777777" w:rsidR="004C5308" w:rsidRPr="002459D5" w:rsidRDefault="004C5308" w:rsidP="004C5308">
      <w:pPr>
        <w:pStyle w:val="ListBullet"/>
        <w:numPr>
          <w:ilvl w:val="0"/>
          <w:numId w:val="21"/>
        </w:numPr>
        <w:rPr>
          <w:rFonts w:ascii="Arial" w:hAnsi="Arial" w:cs="Arial"/>
        </w:rPr>
      </w:pPr>
      <w:r w:rsidRPr="002459D5">
        <w:rPr>
          <w:rFonts w:ascii="Arial" w:hAnsi="Arial" w:cs="Arial"/>
        </w:rPr>
        <w:t>Contingent; and</w:t>
      </w:r>
    </w:p>
    <w:p w14:paraId="0CCCA48E" w14:textId="77777777" w:rsidR="004C5308" w:rsidRPr="002459D5" w:rsidRDefault="004C5308" w:rsidP="004C5308">
      <w:pPr>
        <w:pStyle w:val="ListBullet"/>
        <w:numPr>
          <w:ilvl w:val="0"/>
          <w:numId w:val="21"/>
        </w:numPr>
        <w:rPr>
          <w:rFonts w:ascii="Arial" w:hAnsi="Arial" w:cs="Arial"/>
        </w:rPr>
      </w:pPr>
      <w:r w:rsidRPr="002459D5">
        <w:rPr>
          <w:rFonts w:ascii="Arial" w:hAnsi="Arial" w:cs="Arial"/>
        </w:rPr>
        <w:t>At The Close (if such a flag is introduced).</w:t>
      </w:r>
    </w:p>
    <w:p w14:paraId="19D34B9D" w14:textId="77777777" w:rsidR="004C5308" w:rsidRDefault="004C5308" w:rsidP="003A33E5">
      <w:pPr>
        <w:rPr>
          <w:rFonts w:ascii="Arial" w:hAnsi="Arial" w:cs="Arial"/>
        </w:rPr>
      </w:pPr>
      <w:r w:rsidRPr="002459D5">
        <w:rPr>
          <w:rFonts w:ascii="Arial" w:hAnsi="Arial" w:cs="Arial"/>
        </w:rPr>
        <w:t xml:space="preserve">These transactions remain </w:t>
      </w:r>
      <w:r w:rsidRPr="002459D5">
        <w:rPr>
          <w:rFonts w:ascii="Arial" w:hAnsi="Arial" w:cs="Arial"/>
          <w:b/>
          <w:bCs/>
        </w:rPr>
        <w:t>price-forming</w:t>
      </w:r>
      <w:r w:rsidRPr="002459D5">
        <w:rPr>
          <w:rFonts w:ascii="Arial" w:hAnsi="Arial" w:cs="Arial"/>
        </w:rPr>
        <w:t xml:space="preserve">, but their </w:t>
      </w:r>
      <w:r w:rsidRPr="002459D5">
        <w:rPr>
          <w:rFonts w:ascii="Arial" w:hAnsi="Arial" w:cs="Arial"/>
          <w:b/>
          <w:bCs/>
        </w:rPr>
        <w:t>accessibility</w:t>
      </w:r>
      <w:r w:rsidRPr="002459D5">
        <w:rPr>
          <w:rFonts w:ascii="Arial" w:hAnsi="Arial" w:cs="Arial"/>
        </w:rPr>
        <w:t xml:space="preserve"> is likely to be lower than that of standard market transactions. Distinguishing between price formation and accessibility therefore allows these transactions to remain visible for transparency purposes while providing investors with the context needed to assess their relevance.</w:t>
      </w:r>
    </w:p>
    <w:permEnd w:id="1509051285"/>
    <w:p w14:paraId="3B05926C" w14:textId="77552E04" w:rsidR="003A33E5" w:rsidRDefault="003A33E5" w:rsidP="003A33E5">
      <w:r>
        <w:lastRenderedPageBreak/>
        <w:t>&lt;ESMA_QUESTION_MSEM_3</w:t>
      </w:r>
      <w:r w:rsidR="5DA8971C">
        <w:t>6</w:t>
      </w:r>
      <w:r>
        <w:t>&gt;</w:t>
      </w:r>
    </w:p>
    <w:p w14:paraId="5FCF01B0" w14:textId="77777777" w:rsidR="003A33E5" w:rsidRDefault="003A33E5" w:rsidP="003A33E5"/>
    <w:p w14:paraId="2380AF94" w14:textId="77777777" w:rsidR="003A33E5" w:rsidRDefault="003A33E5" w:rsidP="003A33E5">
      <w:pPr>
        <w:pStyle w:val="Questionstyle"/>
        <w:numPr>
          <w:ilvl w:val="0"/>
          <w:numId w:val="14"/>
        </w:numPr>
        <w:tabs>
          <w:tab w:val="clear" w:pos="567"/>
        </w:tabs>
        <w:spacing w:before="120" w:after="120"/>
        <w:ind w:left="851" w:hanging="709"/>
      </w:pPr>
      <w:r>
        <w:t>Do you agree with this first part of the table on addressable liquidity and price forming?</w:t>
      </w:r>
    </w:p>
    <w:p w14:paraId="1ADC9729" w14:textId="7AE26CB6" w:rsidR="003A33E5" w:rsidRDefault="003A33E5" w:rsidP="003A33E5">
      <w:r>
        <w:t>&lt;ESMA_QUESTION_MSEM_3</w:t>
      </w:r>
      <w:r w:rsidR="237C673A">
        <w:t>7</w:t>
      </w:r>
      <w:r>
        <w:t>&gt;</w:t>
      </w:r>
    </w:p>
    <w:p w14:paraId="763215CE" w14:textId="77777777" w:rsidR="00C74F56" w:rsidRDefault="00C74F56" w:rsidP="003A33E5">
      <w:pPr>
        <w:rPr>
          <w:rFonts w:ascii="Arial" w:hAnsi="Arial" w:cs="Arial"/>
        </w:rPr>
      </w:pPr>
      <w:permStart w:id="164585938" w:edGrp="everyone"/>
      <w:r w:rsidRPr="002459D5">
        <w:rPr>
          <w:rFonts w:ascii="Arial" w:hAnsi="Arial" w:cs="Arial"/>
        </w:rPr>
        <w:t xml:space="preserve">Notwithstanding our answer to Q36, we agree that trades marked as NPFT are non-addressable and non-price forming. As mentioned in our other answers, we do not believe that such trades have real economic interest, and therefore we strongly recommend that these are exempt from post-trade </w:t>
      </w:r>
      <w:proofErr w:type="gramStart"/>
      <w:r w:rsidRPr="002459D5">
        <w:rPr>
          <w:rFonts w:ascii="Arial" w:hAnsi="Arial" w:cs="Arial"/>
        </w:rPr>
        <w:t>transparency, and</w:t>
      </w:r>
      <w:proofErr w:type="gramEnd"/>
      <w:r w:rsidRPr="002459D5">
        <w:rPr>
          <w:rFonts w:ascii="Arial" w:hAnsi="Arial" w:cs="Arial"/>
        </w:rPr>
        <w:t xml:space="preserve"> thus removed from the tape.</w:t>
      </w:r>
    </w:p>
    <w:permEnd w:id="164585938"/>
    <w:p w14:paraId="5B2C589A" w14:textId="4129A880" w:rsidR="003A33E5" w:rsidRDefault="003A33E5" w:rsidP="003A33E5">
      <w:r>
        <w:t>&lt;ESMA_QUESTION_MSEM_3</w:t>
      </w:r>
      <w:r w:rsidR="10FB093F">
        <w:t>7</w:t>
      </w:r>
      <w:r>
        <w:t>&gt;</w:t>
      </w:r>
    </w:p>
    <w:p w14:paraId="4F4FEF4D" w14:textId="77777777" w:rsidR="003A33E5" w:rsidRDefault="003A33E5" w:rsidP="003A33E5"/>
    <w:p w14:paraId="489C3144" w14:textId="77777777" w:rsidR="003A33E5" w:rsidRDefault="003A33E5" w:rsidP="003A33E5">
      <w:pPr>
        <w:pStyle w:val="Questionstyle"/>
        <w:numPr>
          <w:ilvl w:val="0"/>
          <w:numId w:val="14"/>
        </w:numPr>
        <w:tabs>
          <w:tab w:val="clear" w:pos="567"/>
        </w:tabs>
        <w:spacing w:before="120" w:after="120"/>
        <w:ind w:left="851" w:hanging="709"/>
      </w:pPr>
      <w:r>
        <w:t>Do you agree with this second part of the table on addressable liquidity and price forming?</w:t>
      </w:r>
    </w:p>
    <w:p w14:paraId="2B1AE4CE" w14:textId="08482850" w:rsidR="003A33E5" w:rsidRDefault="003A33E5" w:rsidP="003A33E5">
      <w:r>
        <w:t>&lt;ESMA_QUESTION_MSEM_3</w:t>
      </w:r>
      <w:r w:rsidR="1892F1F3">
        <w:t>8</w:t>
      </w:r>
      <w:r>
        <w:t>&gt;</w:t>
      </w:r>
    </w:p>
    <w:p w14:paraId="49FC9788" w14:textId="77777777" w:rsidR="00E63734" w:rsidRPr="002459D5" w:rsidRDefault="00E63734" w:rsidP="00EC477F">
      <w:pPr>
        <w:spacing w:after="257" w:line="268" w:lineRule="auto"/>
        <w:jc w:val="left"/>
        <w:rPr>
          <w:rFonts w:ascii="Arial" w:hAnsi="Arial" w:cs="Arial"/>
        </w:rPr>
      </w:pPr>
      <w:permStart w:id="1475570857" w:edGrp="everyone"/>
      <w:r w:rsidRPr="002459D5">
        <w:rPr>
          <w:rFonts w:ascii="Arial" w:hAnsi="Arial" w:cs="Arial"/>
        </w:rPr>
        <w:t>We agree that RFMD give-ups should be considered both non-addressable and non-price-forming.</w:t>
      </w:r>
    </w:p>
    <w:p w14:paraId="7A4E0E3A" w14:textId="77777777" w:rsidR="00E63734" w:rsidRPr="002459D5" w:rsidRDefault="00E63734" w:rsidP="00EC477F">
      <w:pPr>
        <w:spacing w:after="257" w:line="268" w:lineRule="auto"/>
        <w:jc w:val="left"/>
        <w:rPr>
          <w:rFonts w:ascii="Arial" w:hAnsi="Arial" w:cs="Arial"/>
        </w:rPr>
      </w:pPr>
      <w:r w:rsidRPr="002459D5">
        <w:rPr>
          <w:rFonts w:ascii="Arial" w:hAnsi="Arial" w:cs="Arial"/>
        </w:rPr>
        <w:t xml:space="preserve">We disagree on BENC, PORT and CONT trades. We believe that all of these should </w:t>
      </w:r>
      <w:proofErr w:type="gramStart"/>
      <w:r w:rsidRPr="002459D5">
        <w:rPr>
          <w:rFonts w:ascii="Arial" w:hAnsi="Arial" w:cs="Arial"/>
        </w:rPr>
        <w:t>be considered to be</w:t>
      </w:r>
      <w:proofErr w:type="gramEnd"/>
      <w:r w:rsidRPr="002459D5">
        <w:rPr>
          <w:rFonts w:ascii="Arial" w:hAnsi="Arial" w:cs="Arial"/>
        </w:rPr>
        <w:t xml:space="preserve"> addressable and price forming.</w:t>
      </w:r>
    </w:p>
    <w:p w14:paraId="1F84AE66" w14:textId="77777777" w:rsidR="00E63734" w:rsidRPr="002459D5" w:rsidRDefault="00E63734" w:rsidP="00EC477F">
      <w:pPr>
        <w:spacing w:after="257" w:line="268" w:lineRule="auto"/>
        <w:jc w:val="left"/>
        <w:rPr>
          <w:rFonts w:ascii="Arial" w:hAnsi="Arial" w:cs="Arial"/>
        </w:rPr>
      </w:pPr>
      <w:r w:rsidRPr="002459D5">
        <w:rPr>
          <w:rFonts w:ascii="Arial" w:hAnsi="Arial" w:cs="Arial"/>
        </w:rPr>
        <w:t>On the addressability, each of these flags represents a trade that has real economic interest, i.e. it is not just a technical trade. Therefore, we would consider these addressable.</w:t>
      </w:r>
    </w:p>
    <w:p w14:paraId="2379535F" w14:textId="77777777" w:rsidR="00E63734" w:rsidRDefault="00E63734" w:rsidP="003A33E5">
      <w:pPr>
        <w:rPr>
          <w:rFonts w:ascii="Arial" w:hAnsi="Arial" w:cs="Arial"/>
        </w:rPr>
      </w:pPr>
      <w:r w:rsidRPr="002459D5">
        <w:rPr>
          <w:rFonts w:ascii="Arial" w:hAnsi="Arial" w:cs="Arial"/>
        </w:rPr>
        <w:t>On the price-forming question, we would consider that any trade that has a real economic interest is price forming. Price formation does not just occur from the setting of the EBBO. Instead, every trade that is executed using these flags, regardless of the execution mechanism, validates that the price executed at is a valid price. For example, if a client executes a trade at a 5-minute VWAP using the BENC waiver, it is price forming as it is validating that that VWAP price is acceptable.</w:t>
      </w:r>
    </w:p>
    <w:permEnd w:id="1475570857"/>
    <w:p w14:paraId="456D9EA8" w14:textId="1A8CB7F1" w:rsidR="003A33E5" w:rsidRDefault="003A33E5" w:rsidP="003A33E5">
      <w:r>
        <w:t>&lt;ESMA_QUESTION_MSEM_3</w:t>
      </w:r>
      <w:r w:rsidR="42E92D4C">
        <w:t>8</w:t>
      </w:r>
      <w:r>
        <w:t>&gt;</w:t>
      </w:r>
    </w:p>
    <w:p w14:paraId="196C7D35" w14:textId="77777777" w:rsidR="003A33E5" w:rsidRDefault="003A33E5" w:rsidP="003A33E5"/>
    <w:p w14:paraId="720C1C7D" w14:textId="77777777" w:rsidR="003A33E5" w:rsidRDefault="003A33E5" w:rsidP="003A33E5">
      <w:pPr>
        <w:pStyle w:val="Questionstyle"/>
        <w:numPr>
          <w:ilvl w:val="0"/>
          <w:numId w:val="14"/>
        </w:numPr>
        <w:tabs>
          <w:tab w:val="clear" w:pos="567"/>
        </w:tabs>
        <w:spacing w:before="120" w:after="120"/>
        <w:ind w:left="851" w:hanging="709"/>
      </w:pPr>
      <w:r>
        <w:lastRenderedPageBreak/>
        <w:t>Would you consider that some benchmark transactions should be classified as non-addressable and non-price forming? If so, provide a clear description of the case and rationale.</w:t>
      </w:r>
    </w:p>
    <w:p w14:paraId="55ADD721" w14:textId="1DA9F3BF" w:rsidR="003A33E5" w:rsidRDefault="003A33E5" w:rsidP="003A33E5">
      <w:r>
        <w:t>&lt;ESMA_QUESTION_MSEM_3</w:t>
      </w:r>
      <w:r w:rsidR="76D08CB4">
        <w:t>9</w:t>
      </w:r>
      <w:r>
        <w:t>&gt;</w:t>
      </w:r>
    </w:p>
    <w:p w14:paraId="6FE0CC97" w14:textId="77777777" w:rsidR="000A3605" w:rsidRPr="002459D5" w:rsidRDefault="000A3605" w:rsidP="00EC477F">
      <w:pPr>
        <w:spacing w:after="257" w:line="268" w:lineRule="auto"/>
        <w:jc w:val="left"/>
        <w:rPr>
          <w:rFonts w:ascii="Arial" w:hAnsi="Arial" w:cs="Arial"/>
        </w:rPr>
      </w:pPr>
      <w:permStart w:id="1523399739" w:edGrp="everyone"/>
      <w:r w:rsidRPr="002459D5">
        <w:rPr>
          <w:rFonts w:ascii="Arial" w:hAnsi="Arial" w:cs="Arial"/>
        </w:rPr>
        <w:t>As per our answer to Q38, we believe that all benchmark trades have real economic interest, and are therefore addressable, and that they are price forming.</w:t>
      </w:r>
    </w:p>
    <w:p w14:paraId="03C7B655" w14:textId="77777777" w:rsidR="000A3605" w:rsidRDefault="000A3605" w:rsidP="003A33E5">
      <w:pPr>
        <w:rPr>
          <w:rFonts w:ascii="Arial" w:hAnsi="Arial" w:cs="Arial"/>
        </w:rPr>
      </w:pPr>
      <w:r w:rsidRPr="002459D5">
        <w:rPr>
          <w:rFonts w:ascii="Arial" w:hAnsi="Arial" w:cs="Arial"/>
        </w:rPr>
        <w:t>However, we appreciate that some benchmark trades are more accessible than others. For example, a guaranteed VWAP trade done with an SI’s Program Trading desk may be less accessible than a trade executed on a trajectory cross facility run by an exchange or SI. As per our answers to Q1, Q23, Q30, Q36 and Q45, we believe that adoption of a manual/automated indicator would be beneficial to separate these use cases.</w:t>
      </w:r>
    </w:p>
    <w:permEnd w:id="1523399739"/>
    <w:p w14:paraId="1A013012" w14:textId="128B444B" w:rsidR="003A33E5" w:rsidRDefault="003A33E5" w:rsidP="003A33E5">
      <w:r>
        <w:t>&lt;ESMA_QUESTION_MSEM_</w:t>
      </w:r>
      <w:r w:rsidR="3232A7AB">
        <w:t>39</w:t>
      </w:r>
      <w:r>
        <w:t>&gt;</w:t>
      </w:r>
    </w:p>
    <w:p w14:paraId="3A9DE6F3" w14:textId="77777777" w:rsidR="003A33E5" w:rsidRDefault="003A33E5" w:rsidP="003A33E5"/>
    <w:p w14:paraId="56B1CBE5" w14:textId="77777777" w:rsidR="003A33E5" w:rsidRDefault="003A33E5" w:rsidP="003A33E5">
      <w:pPr>
        <w:pStyle w:val="Questionstyle"/>
        <w:numPr>
          <w:ilvl w:val="0"/>
          <w:numId w:val="14"/>
        </w:numPr>
        <w:tabs>
          <w:tab w:val="clear" w:pos="567"/>
        </w:tabs>
        <w:spacing w:before="120" w:after="120"/>
        <w:ind w:left="851" w:hanging="709"/>
      </w:pPr>
      <w:r>
        <w:t>Do you agree with this third part of the table on addressable liquidity and price forming?</w:t>
      </w:r>
    </w:p>
    <w:p w14:paraId="7DE8054D" w14:textId="4CB1E0EF" w:rsidR="003A33E5" w:rsidRDefault="003A33E5" w:rsidP="003A33E5">
      <w:r>
        <w:t>&lt;ESMA_QUESTION_MSEM_</w:t>
      </w:r>
      <w:r w:rsidR="051A75EE">
        <w:t>40</w:t>
      </w:r>
      <w:r>
        <w:t>&gt;</w:t>
      </w:r>
    </w:p>
    <w:p w14:paraId="5F9A871B" w14:textId="77777777" w:rsidR="00A50F85" w:rsidRPr="002459D5" w:rsidRDefault="00A50F85" w:rsidP="00EC477F">
      <w:pPr>
        <w:spacing w:after="257" w:line="268" w:lineRule="auto"/>
        <w:jc w:val="left"/>
        <w:rPr>
          <w:rFonts w:ascii="Arial" w:hAnsi="Arial" w:cs="Arial"/>
        </w:rPr>
      </w:pPr>
      <w:permStart w:id="1013530916" w:edGrp="everyone"/>
      <w:r w:rsidRPr="002459D5">
        <w:rPr>
          <w:rFonts w:ascii="Arial" w:hAnsi="Arial" w:cs="Arial"/>
        </w:rPr>
        <w:t>We agree that trades marked as RFPT, NLIQ and OILQ should be considered addressable. As per our answer to Q38, as these are trades with real economic interest, we would consider these to be price forming. In the case of RFPT, for example, the fact that it is referencing another price is irrelevant – the important fact is that by executing at that price you are validating it, thus adding to price formation.</w:t>
      </w:r>
    </w:p>
    <w:p w14:paraId="01F8057B" w14:textId="77777777" w:rsidR="00A50F85" w:rsidRDefault="00A50F85" w:rsidP="003A33E5">
      <w:pPr>
        <w:rPr>
          <w:rFonts w:ascii="Arial" w:hAnsi="Arial" w:cs="Arial"/>
        </w:rPr>
      </w:pPr>
      <w:r w:rsidRPr="002459D5">
        <w:rPr>
          <w:rFonts w:ascii="Arial" w:hAnsi="Arial" w:cs="Arial"/>
        </w:rPr>
        <w:t>We do not believe that the presence of the LRGS flag indicate that a trade is either addressable or non-addressable. Therefore, as per our answer to Q41, these should be treated the same as trades without any flag, i.e. addressable and price forming.</w:t>
      </w:r>
    </w:p>
    <w:permEnd w:id="1013530916"/>
    <w:p w14:paraId="78C9C581" w14:textId="5008F050" w:rsidR="003A33E5" w:rsidRDefault="003A33E5" w:rsidP="003A33E5">
      <w:r>
        <w:t>&lt;ESMA_QUESTION_MSEM_</w:t>
      </w:r>
      <w:r w:rsidR="2F82EB81">
        <w:t>40</w:t>
      </w:r>
      <w:r>
        <w:t>&gt;</w:t>
      </w:r>
    </w:p>
    <w:p w14:paraId="6FAAD74D" w14:textId="77777777" w:rsidR="003A33E5" w:rsidRDefault="003A33E5" w:rsidP="003A33E5"/>
    <w:p w14:paraId="0812A57A" w14:textId="77777777" w:rsidR="003A33E5" w:rsidRDefault="003A33E5" w:rsidP="003A33E5">
      <w:pPr>
        <w:pStyle w:val="Questionstyle"/>
        <w:numPr>
          <w:ilvl w:val="0"/>
          <w:numId w:val="14"/>
        </w:numPr>
        <w:tabs>
          <w:tab w:val="clear" w:pos="567"/>
        </w:tabs>
        <w:spacing w:before="120" w:after="120"/>
        <w:ind w:left="851" w:hanging="709"/>
      </w:pPr>
      <w:r>
        <w:t>Do you agree that all transactions without a flag should be considered addressable liquidity and price forming?</w:t>
      </w:r>
    </w:p>
    <w:p w14:paraId="4E630094" w14:textId="4EF977C7" w:rsidR="003A33E5" w:rsidRDefault="003A33E5" w:rsidP="003A33E5">
      <w:r>
        <w:t>&lt;ESMA_QUESTION_MSEM_4</w:t>
      </w:r>
      <w:r w:rsidR="5E9E34BA">
        <w:t>1</w:t>
      </w:r>
      <w:r>
        <w:t>&gt;</w:t>
      </w:r>
    </w:p>
    <w:p w14:paraId="6A725DD6" w14:textId="77777777" w:rsidR="007F3F07" w:rsidRDefault="007F3F07" w:rsidP="003A33E5">
      <w:pPr>
        <w:rPr>
          <w:rFonts w:ascii="Arial" w:hAnsi="Arial" w:cs="Arial"/>
        </w:rPr>
      </w:pPr>
      <w:permStart w:id="374162036" w:edGrp="everyone"/>
      <w:r w:rsidRPr="002459D5">
        <w:rPr>
          <w:rFonts w:ascii="Arial" w:hAnsi="Arial" w:cs="Arial"/>
        </w:rPr>
        <w:lastRenderedPageBreak/>
        <w:t>Yes, we agree that all transactions without a flag should be considered addressable liquidity and price forming.</w:t>
      </w:r>
    </w:p>
    <w:permEnd w:id="374162036"/>
    <w:p w14:paraId="4B24482E" w14:textId="6AB2DA6C" w:rsidR="003A33E5" w:rsidRDefault="003A33E5" w:rsidP="003A33E5">
      <w:r>
        <w:t>&lt;ESMA_QUESTION_MSEM_4</w:t>
      </w:r>
      <w:r w:rsidR="2F841B35">
        <w:t>1</w:t>
      </w:r>
      <w:r>
        <w:t>&gt;</w:t>
      </w:r>
    </w:p>
    <w:p w14:paraId="49F1F11D" w14:textId="77777777" w:rsidR="003A33E5" w:rsidRDefault="003A33E5" w:rsidP="003A33E5"/>
    <w:p w14:paraId="61BBCEA8" w14:textId="77777777" w:rsidR="003A33E5" w:rsidRDefault="003A33E5" w:rsidP="003A33E5">
      <w:pPr>
        <w:pStyle w:val="Questionstyle"/>
        <w:numPr>
          <w:ilvl w:val="0"/>
          <w:numId w:val="14"/>
        </w:numPr>
        <w:tabs>
          <w:tab w:val="clear" w:pos="567"/>
        </w:tabs>
        <w:spacing w:before="120" w:after="120"/>
        <w:ind w:left="851" w:hanging="709"/>
      </w:pPr>
      <w:r>
        <w:t>Do you agree with this fourth and last part of the table on addressable liquidity and price forming?</w:t>
      </w:r>
    </w:p>
    <w:p w14:paraId="7CF3FD29" w14:textId="49480A7A" w:rsidR="003A33E5" w:rsidRDefault="003A33E5" w:rsidP="003A33E5">
      <w:r>
        <w:t>&lt;ESMA_QUESTION_MSEM_4</w:t>
      </w:r>
      <w:r w:rsidR="2FCCD809">
        <w:t>2</w:t>
      </w:r>
      <w:r>
        <w:t>&gt;</w:t>
      </w:r>
    </w:p>
    <w:p w14:paraId="3212652F" w14:textId="77777777" w:rsidR="00831DAA" w:rsidRDefault="00831DAA" w:rsidP="003A33E5">
      <w:pPr>
        <w:rPr>
          <w:rFonts w:ascii="Arial" w:hAnsi="Arial" w:cs="Arial"/>
        </w:rPr>
      </w:pPr>
      <w:permStart w:id="1323904635" w:edGrp="everyone"/>
      <w:r w:rsidRPr="002459D5">
        <w:rPr>
          <w:rFonts w:ascii="Arial" w:hAnsi="Arial" w:cs="Arial"/>
        </w:rPr>
        <w:t>We do not believe that the presence of the SDIV or ALGO flags indicate that a trade is either addressable or non-addressable. Therefore, as per our answer to Q41, these should be treated the same as trades without any flag, i.e. addressable and price forming.</w:t>
      </w:r>
    </w:p>
    <w:permEnd w:id="1323904635"/>
    <w:p w14:paraId="494AE1EA" w14:textId="54A75270" w:rsidR="003A33E5" w:rsidRDefault="003A33E5" w:rsidP="003A33E5">
      <w:r>
        <w:t>&lt;ESMA_QUESTION_MSEM_4</w:t>
      </w:r>
      <w:r w:rsidR="0BBE5A03">
        <w:t>2</w:t>
      </w:r>
      <w:r>
        <w:t>&gt;</w:t>
      </w:r>
    </w:p>
    <w:p w14:paraId="58C9AB38" w14:textId="77777777" w:rsidR="003A33E5" w:rsidRDefault="003A33E5" w:rsidP="003A33E5"/>
    <w:p w14:paraId="4BBA5BAF" w14:textId="77777777" w:rsidR="003A33E5" w:rsidRDefault="003A33E5" w:rsidP="003A33E5">
      <w:pPr>
        <w:pStyle w:val="Questionstyle"/>
        <w:numPr>
          <w:ilvl w:val="0"/>
          <w:numId w:val="14"/>
        </w:numPr>
        <w:tabs>
          <w:tab w:val="clear" w:pos="567"/>
        </w:tabs>
        <w:spacing w:before="120" w:after="120"/>
        <w:ind w:left="851" w:hanging="709"/>
      </w:pPr>
      <w:r>
        <w:t>Do you agree with the approach on the combination of flags in the case of addressable liquidity?</w:t>
      </w:r>
    </w:p>
    <w:p w14:paraId="475C2855" w14:textId="210CEB5C" w:rsidR="003A33E5" w:rsidRDefault="003A33E5" w:rsidP="003A33E5">
      <w:r>
        <w:t>&lt;ESMA_QUESTION_MSEM_4</w:t>
      </w:r>
      <w:r w:rsidR="7536AFC4">
        <w:t>3</w:t>
      </w:r>
      <w:r>
        <w:t>&gt;</w:t>
      </w:r>
    </w:p>
    <w:p w14:paraId="31E1FBDB" w14:textId="77777777" w:rsidR="004C47E1" w:rsidRPr="002459D5" w:rsidRDefault="004C47E1" w:rsidP="00EC477F">
      <w:pPr>
        <w:spacing w:after="257" w:line="268" w:lineRule="auto"/>
        <w:jc w:val="left"/>
        <w:rPr>
          <w:rFonts w:ascii="Arial" w:hAnsi="Arial" w:cs="Arial"/>
        </w:rPr>
      </w:pPr>
      <w:permStart w:id="1265007552" w:edGrp="everyone"/>
      <w:r w:rsidRPr="002459D5">
        <w:rPr>
          <w:rFonts w:ascii="Arial" w:hAnsi="Arial" w:cs="Arial"/>
        </w:rPr>
        <w:t>As per our answer to Q1, and Qs 36-42, we would prefer the core definition of liquidity should reference trades with real economic interest, as opposed to ‘addressable liquidity’. However, assuming that these two things are equivalent, we broadly agree with the approach on the combinations of flags, with the following exceptions:-</w:t>
      </w:r>
    </w:p>
    <w:p w14:paraId="4587C9B0" w14:textId="77777777" w:rsidR="004C47E1" w:rsidRPr="002459D5" w:rsidRDefault="004C47E1" w:rsidP="004C47E1">
      <w:pPr>
        <w:numPr>
          <w:ilvl w:val="0"/>
          <w:numId w:val="22"/>
        </w:numPr>
        <w:spacing w:before="120" w:after="257" w:line="268" w:lineRule="auto"/>
        <w:jc w:val="left"/>
        <w:rPr>
          <w:rFonts w:ascii="Arial" w:hAnsi="Arial" w:cs="Arial"/>
        </w:rPr>
      </w:pPr>
      <w:r w:rsidRPr="002459D5">
        <w:rPr>
          <w:rFonts w:ascii="Arial" w:hAnsi="Arial" w:cs="Arial"/>
        </w:rPr>
        <w:t xml:space="preserve">As per our answer to Q38, we disagree that trades flagged as CONT are not addressable. Such trades have real economic interest to the </w:t>
      </w:r>
      <w:proofErr w:type="gramStart"/>
      <w:r w:rsidRPr="002459D5">
        <w:rPr>
          <w:rFonts w:ascii="Arial" w:hAnsi="Arial" w:cs="Arial"/>
        </w:rPr>
        <w:t>market, and</w:t>
      </w:r>
      <w:proofErr w:type="gramEnd"/>
      <w:r w:rsidRPr="002459D5">
        <w:rPr>
          <w:rFonts w:ascii="Arial" w:hAnsi="Arial" w:cs="Arial"/>
        </w:rPr>
        <w:t xml:space="preserve"> should therefore be seen as addressable. It’s also unclear why a combination of CONT and SDIV would be addressable if all other combinations of CONT are not.</w:t>
      </w:r>
    </w:p>
    <w:p w14:paraId="05514992" w14:textId="77777777" w:rsidR="004C47E1" w:rsidRPr="002459D5" w:rsidRDefault="004C47E1" w:rsidP="004C47E1">
      <w:pPr>
        <w:numPr>
          <w:ilvl w:val="0"/>
          <w:numId w:val="22"/>
        </w:numPr>
        <w:spacing w:before="120" w:after="257" w:line="268" w:lineRule="auto"/>
        <w:jc w:val="left"/>
        <w:rPr>
          <w:rFonts w:ascii="Arial" w:hAnsi="Arial" w:cs="Arial"/>
        </w:rPr>
      </w:pPr>
      <w:r w:rsidRPr="002459D5">
        <w:rPr>
          <w:rFonts w:ascii="Arial" w:hAnsi="Arial" w:cs="Arial"/>
        </w:rPr>
        <w:t>We do not see why a combination of either PORT or CONT with NPFT would not be possible, when the combination of BENC with NPFT is. We would, however, note that we have not identified any real-world scenarios where either BENC, PORT or CONT would be combined with NPFT. As per our previous responses, we believe that trades flagged as NPFT should be removed from post-trade transparency.</w:t>
      </w:r>
    </w:p>
    <w:p w14:paraId="6CE52452" w14:textId="77777777" w:rsidR="008C1B07" w:rsidRPr="002459D5" w:rsidRDefault="004C47E1" w:rsidP="008C1B07">
      <w:pPr>
        <w:numPr>
          <w:ilvl w:val="0"/>
          <w:numId w:val="22"/>
        </w:numPr>
        <w:spacing w:before="120" w:after="257" w:line="268" w:lineRule="auto"/>
        <w:jc w:val="left"/>
        <w:rPr>
          <w:rFonts w:ascii="Arial" w:hAnsi="Arial" w:cs="Arial"/>
        </w:rPr>
      </w:pPr>
      <w:r w:rsidRPr="002459D5">
        <w:rPr>
          <w:rFonts w:ascii="Arial" w:hAnsi="Arial" w:cs="Arial"/>
        </w:rPr>
        <w:t xml:space="preserve">As per our answers to Qs 40 and 42, We note on LRGS and SDIV that we do not believe that presence of this flag alone indicates that the trade is either addressable </w:t>
      </w:r>
      <w:r w:rsidRPr="002459D5">
        <w:rPr>
          <w:rFonts w:ascii="Arial" w:hAnsi="Arial" w:cs="Arial"/>
        </w:rPr>
        <w:lastRenderedPageBreak/>
        <w:t>or non-addressable. Therefore, the categorization of such trades should be solely driven by the other flags on the trade.</w:t>
      </w:r>
    </w:p>
    <w:p w14:paraId="0CC4DF56" w14:textId="2DAF4AF6" w:rsidR="004C47E1" w:rsidRDefault="004C47E1" w:rsidP="003A33E5">
      <w:pPr>
        <w:rPr>
          <w:rFonts w:ascii="Arial" w:hAnsi="Arial" w:cs="Arial"/>
        </w:rPr>
      </w:pPr>
    </w:p>
    <w:permEnd w:id="1265007552"/>
    <w:p w14:paraId="29648177" w14:textId="7E834396" w:rsidR="003A33E5" w:rsidRDefault="003A33E5" w:rsidP="003A33E5">
      <w:r>
        <w:t>&lt;ESMA_QUESTION_MSEM_4</w:t>
      </w:r>
      <w:r w:rsidR="52899CB2">
        <w:t>3</w:t>
      </w:r>
      <w:r>
        <w:t>&gt;</w:t>
      </w:r>
    </w:p>
    <w:p w14:paraId="0FC777B1" w14:textId="77777777" w:rsidR="003A33E5" w:rsidRDefault="003A33E5" w:rsidP="003A33E5"/>
    <w:p w14:paraId="72478363" w14:textId="77777777" w:rsidR="003A33E5" w:rsidRDefault="003A33E5" w:rsidP="003A33E5">
      <w:pPr>
        <w:pStyle w:val="Questionstyle"/>
        <w:numPr>
          <w:ilvl w:val="0"/>
          <w:numId w:val="14"/>
        </w:numPr>
        <w:tabs>
          <w:tab w:val="clear" w:pos="567"/>
        </w:tabs>
        <w:spacing w:before="120" w:after="120"/>
        <w:ind w:left="851" w:hanging="709"/>
      </w:pPr>
      <w:r>
        <w:t>Do you agree that intragroup transactions executed by SIs should not constitute addressable liquidity and therefore, could be flagged (i.e. a new flag in RTS 1 could be added to disentangle those transactions)? Do you agree that intragroup transactions executed by SIs should be classified as non-price forming?</w:t>
      </w:r>
    </w:p>
    <w:p w14:paraId="3C884EBF" w14:textId="48DD2353" w:rsidR="003A33E5" w:rsidRDefault="003A33E5" w:rsidP="003A33E5">
      <w:r>
        <w:t>&lt;ESMA_QUESTION_MSEM_4</w:t>
      </w:r>
      <w:r w:rsidR="392CD7F1">
        <w:t>4</w:t>
      </w:r>
      <w:r>
        <w:t>&gt;</w:t>
      </w:r>
    </w:p>
    <w:p w14:paraId="2BCA3F59" w14:textId="77777777" w:rsidR="00C138D0" w:rsidRDefault="00C138D0" w:rsidP="003A33E5">
      <w:pPr>
        <w:rPr>
          <w:rFonts w:ascii="Arial" w:hAnsi="Arial" w:cs="Arial"/>
        </w:rPr>
      </w:pPr>
      <w:permStart w:id="78797142" w:edGrp="everyone"/>
      <w:r w:rsidRPr="002459D5">
        <w:rPr>
          <w:rFonts w:ascii="Arial" w:hAnsi="Arial" w:cs="Arial"/>
        </w:rPr>
        <w:t xml:space="preserve">We believe that certain (but not all) intragroup activity is non-addressable. In line with the approach taken by the FCA, we make a distinction for activity that is conducted purely for position/risk management purposes (e.g., moving inventory between group entities to facilitate client orders). Other types of activity may take place between group entities that is essentially equivalent to non-intragroup activity and that should </w:t>
      </w:r>
      <w:proofErr w:type="gramStart"/>
      <w:r w:rsidRPr="002459D5">
        <w:rPr>
          <w:rFonts w:ascii="Arial" w:hAnsi="Arial" w:cs="Arial"/>
        </w:rPr>
        <w:t>be considered to be</w:t>
      </w:r>
      <w:proofErr w:type="gramEnd"/>
      <w:r w:rsidRPr="002459D5">
        <w:rPr>
          <w:rFonts w:ascii="Arial" w:hAnsi="Arial" w:cs="Arial"/>
        </w:rPr>
        <w:t xml:space="preserve"> addressable. We therefore support the former either to be removed from post-trade transparency entirely (aligning with the FCA approach), or to be given an explicit flag (we have previously suggested IGRP for this and have encouraged industry participants to use this flag on a voluntary basis in the absence of a regulatory mandate).</w:t>
      </w:r>
    </w:p>
    <w:permEnd w:id="78797142"/>
    <w:p w14:paraId="7BF6F2E5" w14:textId="2C7551A7" w:rsidR="003A33E5" w:rsidRDefault="003A33E5" w:rsidP="003A33E5">
      <w:r>
        <w:t>&lt;ESMA_QUESTION_MSEM_4</w:t>
      </w:r>
      <w:r w:rsidR="25DEF8C4">
        <w:t>4</w:t>
      </w:r>
      <w:r>
        <w:t>&gt;</w:t>
      </w:r>
    </w:p>
    <w:p w14:paraId="4BD12D02" w14:textId="77777777" w:rsidR="003A33E5" w:rsidRDefault="003A33E5" w:rsidP="003A33E5"/>
    <w:p w14:paraId="32B87C45" w14:textId="77777777" w:rsidR="003A33E5" w:rsidRDefault="003A33E5" w:rsidP="003A33E5">
      <w:pPr>
        <w:pStyle w:val="Questionstyle"/>
        <w:numPr>
          <w:ilvl w:val="0"/>
          <w:numId w:val="14"/>
        </w:numPr>
        <w:tabs>
          <w:tab w:val="clear" w:pos="567"/>
        </w:tabs>
        <w:spacing w:before="120" w:after="120"/>
        <w:ind w:left="851" w:hanging="709"/>
      </w:pPr>
      <w:r>
        <w:t>Do you believe that other transactions should be flagged and excluded from the calculation of addressable liquidity (i.e. a new flag in RTS 1 should be added to disentangle those transactions)?</w:t>
      </w:r>
    </w:p>
    <w:p w14:paraId="6A843509" w14:textId="58D13421" w:rsidR="003A33E5" w:rsidRDefault="003A33E5" w:rsidP="003A33E5">
      <w:r>
        <w:t>&lt;ESMA_QUESTION_MSEM_4</w:t>
      </w:r>
      <w:r w:rsidR="758BB87A">
        <w:t>5</w:t>
      </w:r>
      <w:r>
        <w:t>&gt;</w:t>
      </w:r>
    </w:p>
    <w:p w14:paraId="669AB61F" w14:textId="77777777" w:rsidR="00B42DFE" w:rsidRPr="002459D5" w:rsidRDefault="00B42DFE" w:rsidP="00EC477F">
      <w:pPr>
        <w:spacing w:after="257" w:line="268" w:lineRule="auto"/>
        <w:jc w:val="left"/>
        <w:rPr>
          <w:rFonts w:ascii="Arial" w:hAnsi="Arial" w:cs="Arial"/>
        </w:rPr>
      </w:pPr>
      <w:permStart w:id="1195269664" w:edGrp="everyone"/>
      <w:r w:rsidRPr="002459D5">
        <w:rPr>
          <w:rFonts w:ascii="Arial" w:hAnsi="Arial" w:cs="Arial"/>
        </w:rPr>
        <w:t>We would like to refer to our letter of 16</w:t>
      </w:r>
      <w:r w:rsidRPr="002459D5">
        <w:rPr>
          <w:rFonts w:ascii="Arial" w:hAnsi="Arial" w:cs="Arial"/>
          <w:vertAlign w:val="superscript"/>
        </w:rPr>
        <w:t>th</w:t>
      </w:r>
      <w:r w:rsidRPr="002459D5">
        <w:rPr>
          <w:rFonts w:ascii="Arial" w:hAnsi="Arial" w:cs="Arial"/>
        </w:rPr>
        <w:t xml:space="preserve"> June on the topic of post-trade transparency which has been copied in full below:</w:t>
      </w:r>
    </w:p>
    <w:p w14:paraId="5849B647" w14:textId="77777777" w:rsidR="00B42DFE" w:rsidRPr="002459D5" w:rsidRDefault="00B42DFE" w:rsidP="00EC477F">
      <w:pPr>
        <w:spacing w:after="160" w:line="259" w:lineRule="auto"/>
        <w:rPr>
          <w:rFonts w:ascii="Arial" w:eastAsiaTheme="minorHAnsi" w:hAnsi="Arial" w:cs="Arial"/>
          <w:kern w:val="2"/>
          <w14:ligatures w14:val="standardContextual"/>
        </w:rPr>
      </w:pPr>
      <w:r w:rsidRPr="002459D5">
        <w:rPr>
          <w:rFonts w:ascii="Arial" w:eastAsiaTheme="minorHAnsi" w:hAnsi="Arial" w:cs="Arial"/>
          <w:b/>
          <w:bCs/>
          <w:kern w:val="2"/>
          <w14:ligatures w14:val="standardContextual"/>
        </w:rPr>
        <w:t>EXECUTIVE SUMMARY</w:t>
      </w:r>
      <w:r w:rsidRPr="002459D5">
        <w:rPr>
          <w:rFonts w:ascii="Arial" w:eastAsiaTheme="minorHAnsi" w:hAnsi="Arial" w:cs="Arial"/>
          <w:kern w:val="2"/>
          <w14:ligatures w14:val="standardContextual"/>
        </w:rPr>
        <w:t> </w:t>
      </w:r>
    </w:p>
    <w:p w14:paraId="1EE294AA" w14:textId="77777777" w:rsidR="00B42DFE" w:rsidRPr="002459D5" w:rsidRDefault="00B42DFE" w:rsidP="00EC477F">
      <w:pPr>
        <w:spacing w:after="160" w:line="259" w:lineRule="auto"/>
        <w:rPr>
          <w:rFonts w:ascii="Arial" w:eastAsiaTheme="minorHAnsi" w:hAnsi="Arial" w:cs="Arial"/>
          <w:kern w:val="2"/>
          <w14:ligatures w14:val="standardContextual"/>
        </w:rPr>
      </w:pPr>
      <w:r w:rsidRPr="002459D5">
        <w:rPr>
          <w:rFonts w:ascii="Arial" w:eastAsiaTheme="minorHAnsi" w:hAnsi="Arial" w:cs="Arial"/>
          <w:kern w:val="2"/>
          <w14:ligatures w14:val="standardContextual"/>
        </w:rPr>
        <w:t xml:space="preserve">European markets are often evaluated solely in reference to trading venues’ volumes, discounting all liquidity executed outside trading venues’ order books. Recent analysis </w:t>
      </w:r>
      <w:r w:rsidRPr="002459D5">
        <w:rPr>
          <w:rFonts w:ascii="Arial" w:eastAsiaTheme="minorHAnsi" w:hAnsi="Arial" w:cs="Arial"/>
          <w:kern w:val="2"/>
          <w14:ligatures w14:val="standardContextual"/>
        </w:rPr>
        <w:lastRenderedPageBreak/>
        <w:t>demonstrates that liquidity executed outside trading venues’ order books (i.e. SI, OTC and off-book on-exchange) represents 44.6% of average daily volume under current definitions</w:t>
      </w:r>
      <w:r>
        <w:rPr>
          <w:rFonts w:ascii="Arial" w:eastAsiaTheme="minorHAnsi" w:hAnsi="Arial" w:cs="Arial"/>
          <w:kern w:val="2"/>
          <w14:ligatures w14:val="standardContextual"/>
        </w:rPr>
        <w:t xml:space="preserve"> (based on </w:t>
      </w:r>
      <w:r w:rsidRPr="00232226">
        <w:rPr>
          <w:rFonts w:ascii="Arial" w:eastAsiaTheme="minorHAnsi" w:hAnsi="Arial" w:cs="Arial"/>
          <w:kern w:val="2"/>
          <w14:ligatures w14:val="standardContextual"/>
        </w:rPr>
        <w:t xml:space="preserve">BMLL </w:t>
      </w:r>
      <w:r>
        <w:rPr>
          <w:rFonts w:ascii="Arial" w:eastAsiaTheme="minorHAnsi" w:hAnsi="Arial" w:cs="Arial"/>
          <w:kern w:val="2"/>
          <w14:ligatures w14:val="standardContextual"/>
        </w:rPr>
        <w:t>d</w:t>
      </w:r>
      <w:r w:rsidRPr="00232226">
        <w:rPr>
          <w:rFonts w:ascii="Arial" w:eastAsiaTheme="minorHAnsi" w:hAnsi="Arial" w:cs="Arial"/>
          <w:kern w:val="2"/>
          <w14:ligatures w14:val="standardContextual"/>
        </w:rPr>
        <w:t xml:space="preserve">ata </w:t>
      </w:r>
      <w:r>
        <w:rPr>
          <w:rFonts w:ascii="Arial" w:eastAsiaTheme="minorHAnsi" w:hAnsi="Arial" w:cs="Arial"/>
          <w:kern w:val="2"/>
          <w14:ligatures w14:val="standardContextual"/>
        </w:rPr>
        <w:t xml:space="preserve">from </w:t>
      </w:r>
      <w:r w:rsidRPr="00232226">
        <w:rPr>
          <w:rFonts w:ascii="Arial" w:eastAsiaTheme="minorHAnsi" w:hAnsi="Arial" w:cs="Arial"/>
          <w:kern w:val="2"/>
          <w14:ligatures w14:val="standardContextual"/>
        </w:rPr>
        <w:t>April 2025</w:t>
      </w:r>
      <w:r>
        <w:rPr>
          <w:rFonts w:ascii="Arial" w:eastAsiaTheme="minorHAnsi" w:hAnsi="Arial" w:cs="Arial"/>
          <w:kern w:val="2"/>
          <w14:ligatures w14:val="standardContextual"/>
        </w:rPr>
        <w:t>,</w:t>
      </w:r>
      <w:r w:rsidRPr="00232226">
        <w:rPr>
          <w:rFonts w:ascii="Arial" w:eastAsiaTheme="minorHAnsi" w:hAnsi="Arial" w:cs="Arial"/>
          <w:kern w:val="2"/>
          <w14:ligatures w14:val="standardContextual"/>
        </w:rPr>
        <w:t xml:space="preserve"> </w:t>
      </w:r>
      <w:proofErr w:type="gramStart"/>
      <w:r w:rsidRPr="00232226">
        <w:rPr>
          <w:rFonts w:ascii="Arial" w:eastAsiaTheme="minorHAnsi" w:hAnsi="Arial" w:cs="Arial"/>
          <w:kern w:val="2"/>
          <w14:ligatures w14:val="standardContextual"/>
        </w:rPr>
        <w:t>Aquis</w:t>
      </w:r>
      <w:proofErr w:type="gramEnd"/>
      <w:r w:rsidRPr="00232226">
        <w:rPr>
          <w:rFonts w:ascii="Arial" w:eastAsiaTheme="minorHAnsi" w:hAnsi="Arial" w:cs="Arial"/>
          <w:kern w:val="2"/>
          <w14:ligatures w14:val="standardContextual"/>
        </w:rPr>
        <w:t xml:space="preserve"> analysis</w:t>
      </w:r>
      <w:r>
        <w:rPr>
          <w:rFonts w:ascii="Arial" w:eastAsiaTheme="minorHAnsi" w:hAnsi="Arial" w:cs="Arial"/>
          <w:kern w:val="2"/>
          <w14:ligatures w14:val="standardContextual"/>
        </w:rPr>
        <w:t xml:space="preserve"> b</w:t>
      </w:r>
      <w:r w:rsidRPr="00232226">
        <w:rPr>
          <w:rFonts w:ascii="Arial" w:eastAsiaTheme="minorHAnsi" w:hAnsi="Arial" w:cs="Arial"/>
          <w:kern w:val="2"/>
          <w14:ligatures w14:val="standardContextual"/>
        </w:rPr>
        <w:t xml:space="preserve">ased on all reported on- and off-venue volumes in BEPACP </w:t>
      </w:r>
      <w:r>
        <w:rPr>
          <w:rFonts w:ascii="Arial" w:eastAsiaTheme="minorHAnsi" w:hAnsi="Arial" w:cs="Arial"/>
          <w:kern w:val="2"/>
          <w14:ligatures w14:val="standardContextual"/>
        </w:rPr>
        <w:t xml:space="preserve">- </w:t>
      </w:r>
      <w:proofErr w:type="spellStart"/>
      <w:r w:rsidRPr="00232226">
        <w:rPr>
          <w:rFonts w:ascii="Arial" w:eastAsiaTheme="minorHAnsi" w:hAnsi="Arial" w:cs="Arial"/>
          <w:kern w:val="2"/>
          <w14:ligatures w14:val="standardContextual"/>
        </w:rPr>
        <w:t>Cboe</w:t>
      </w:r>
      <w:proofErr w:type="spellEnd"/>
      <w:r w:rsidRPr="00232226">
        <w:rPr>
          <w:rFonts w:ascii="Arial" w:eastAsiaTheme="minorHAnsi" w:hAnsi="Arial" w:cs="Arial"/>
          <w:kern w:val="2"/>
          <w14:ligatures w14:val="standardContextual"/>
        </w:rPr>
        <w:t xml:space="preserve"> Europe All Companies Index). Once NPFT activity is removed, on-venue activity accounts for ~67% of total notional traded</w:t>
      </w:r>
      <w:r w:rsidRPr="002459D5">
        <w:rPr>
          <w:rFonts w:ascii="Arial" w:eastAsiaTheme="minorHAnsi" w:hAnsi="Arial" w:cs="Arial"/>
          <w:kern w:val="2"/>
          <w14:ligatures w14:val="standardContextual"/>
        </w:rPr>
        <w:t>, yet existing reporting mechanisms fail to provide the granular transparency necessary for accurate market assessment of what proportion is addressable and accessible to end investors. </w:t>
      </w:r>
    </w:p>
    <w:p w14:paraId="756E138C" w14:textId="77777777" w:rsidR="00B42DFE" w:rsidRPr="002459D5" w:rsidRDefault="00B42DFE" w:rsidP="00EC477F">
      <w:pPr>
        <w:spacing w:after="160" w:line="259" w:lineRule="auto"/>
        <w:rPr>
          <w:rFonts w:ascii="Arial" w:eastAsiaTheme="minorHAnsi" w:hAnsi="Arial" w:cs="Arial"/>
          <w:kern w:val="2"/>
          <w14:ligatures w14:val="standardContextual"/>
        </w:rPr>
      </w:pPr>
      <w:r w:rsidRPr="002459D5">
        <w:rPr>
          <w:rFonts w:ascii="Arial" w:eastAsiaTheme="minorHAnsi" w:hAnsi="Arial" w:cs="Arial"/>
          <w:kern w:val="2"/>
          <w14:ligatures w14:val="standardContextual"/>
        </w:rPr>
        <w:t>The current regulatory framework, in our view, contains significant gaps that result in data quality degradation, duplicative reporting, addressable volume miscalculations, publication of technical trades with no economic interest, and therefore lead to misrepresentation of European market size.</w:t>
      </w:r>
    </w:p>
    <w:p w14:paraId="1AF0E13D" w14:textId="77777777" w:rsidR="00B42DFE" w:rsidRPr="002459D5" w:rsidRDefault="00B42DFE" w:rsidP="00EC477F">
      <w:pPr>
        <w:spacing w:after="160" w:line="259" w:lineRule="auto"/>
        <w:rPr>
          <w:rFonts w:ascii="Arial" w:eastAsiaTheme="minorHAnsi" w:hAnsi="Arial" w:cs="Arial"/>
          <w:kern w:val="2"/>
          <w14:ligatures w14:val="standardContextual"/>
        </w:rPr>
      </w:pPr>
      <w:r w:rsidRPr="002459D5">
        <w:rPr>
          <w:rFonts w:ascii="Arial" w:eastAsiaTheme="minorHAnsi" w:hAnsi="Arial" w:cs="Arial"/>
          <w:kern w:val="2"/>
          <w14:ligatures w14:val="standardContextual"/>
        </w:rPr>
        <w:t>We present these recommendations for enhancing Europe's post-trade transparency (PTT) framework through targeted amendments to RTS 1 and Level 3 guidance. We believe these modifications are critical to establishing Europe as the premier destination for international investment capital and ensuring accurate market volume calculations that reflect the true scale and opportunity of European equity markets. </w:t>
      </w:r>
    </w:p>
    <w:p w14:paraId="25FDB2E9" w14:textId="77777777" w:rsidR="00B42DFE" w:rsidRPr="002459D5" w:rsidRDefault="00B42DFE" w:rsidP="00EC477F">
      <w:pPr>
        <w:rPr>
          <w:rFonts w:ascii="Arial" w:eastAsiaTheme="minorHAnsi" w:hAnsi="Arial" w:cs="Arial"/>
          <w:b/>
          <w:bCs/>
          <w:kern w:val="2"/>
          <w14:ligatures w14:val="standardContextual"/>
        </w:rPr>
      </w:pPr>
    </w:p>
    <w:p w14:paraId="10C54EA4" w14:textId="77777777" w:rsidR="00B42DFE" w:rsidRPr="002459D5" w:rsidRDefault="00B42DFE" w:rsidP="00EC477F">
      <w:pPr>
        <w:spacing w:after="160" w:line="259" w:lineRule="auto"/>
        <w:rPr>
          <w:rFonts w:ascii="Arial" w:eastAsiaTheme="minorHAnsi" w:hAnsi="Arial" w:cs="Arial"/>
          <w:kern w:val="2"/>
          <w14:ligatures w14:val="standardContextual"/>
        </w:rPr>
      </w:pPr>
      <w:r w:rsidRPr="002459D5">
        <w:rPr>
          <w:rFonts w:ascii="Arial" w:eastAsiaTheme="minorHAnsi" w:hAnsi="Arial" w:cs="Arial"/>
          <w:b/>
          <w:bCs/>
          <w:kern w:val="2"/>
          <w14:ligatures w14:val="standardContextual"/>
        </w:rPr>
        <w:t>STRATEGIC OPPORTUNITY FOR EUROPEAN MARKETS</w:t>
      </w:r>
      <w:r w:rsidRPr="002459D5">
        <w:rPr>
          <w:rFonts w:ascii="Arial" w:eastAsiaTheme="minorHAnsi" w:hAnsi="Arial" w:cs="Arial"/>
          <w:kern w:val="2"/>
          <w14:ligatures w14:val="standardContextual"/>
        </w:rPr>
        <w:t> </w:t>
      </w:r>
    </w:p>
    <w:p w14:paraId="7C66B3AE" w14:textId="77777777" w:rsidR="00B42DFE" w:rsidRPr="002459D5" w:rsidRDefault="00B42DFE" w:rsidP="00EC477F">
      <w:pPr>
        <w:spacing w:after="160" w:line="259" w:lineRule="auto"/>
        <w:rPr>
          <w:rFonts w:ascii="Arial" w:eastAsiaTheme="minorHAnsi" w:hAnsi="Arial" w:cs="Arial"/>
          <w:kern w:val="2"/>
          <w14:ligatures w14:val="standardContextual"/>
        </w:rPr>
      </w:pPr>
      <w:r w:rsidRPr="002459D5">
        <w:rPr>
          <w:rFonts w:ascii="Arial" w:eastAsiaTheme="minorHAnsi" w:hAnsi="Arial" w:cs="Arial"/>
          <w:kern w:val="2"/>
          <w14:ligatures w14:val="standardContextual"/>
        </w:rPr>
        <w:t>The evolving global political landscape presents Europe with an unprecedented opportunity to capture the attention and capital of international investors. To capitalise on this moment, we recommend clarifications to RTS 1 that will enable accurate and simplified market volume calculations, positioning European markets as transparent, efficient, and attractive to global capital. </w:t>
      </w:r>
    </w:p>
    <w:p w14:paraId="0B080CB4" w14:textId="77777777" w:rsidR="00B42DFE" w:rsidRPr="002459D5" w:rsidRDefault="00B42DFE" w:rsidP="00EC477F">
      <w:pPr>
        <w:spacing w:after="160" w:line="259" w:lineRule="auto"/>
        <w:rPr>
          <w:rFonts w:ascii="Arial" w:eastAsiaTheme="minorHAnsi" w:hAnsi="Arial" w:cs="Arial"/>
          <w:kern w:val="2"/>
          <w14:ligatures w14:val="standardContextual"/>
        </w:rPr>
      </w:pPr>
      <w:r w:rsidRPr="002459D5">
        <w:rPr>
          <w:rFonts w:ascii="Arial" w:eastAsiaTheme="minorHAnsi" w:hAnsi="Arial" w:cs="Arial"/>
          <w:kern w:val="2"/>
          <w14:ligatures w14:val="standardContextual"/>
        </w:rPr>
        <w:t>We have consistently advocated for comprehensive post-trade transparency through standardised trade flags that define regulatory reportable trading events. These flags, when based on clear and transparent definitions by regulations and when published through the Market Model Typology (MMT) standard, provide the foundation for accurate market sizing. Achieving this objective relies on regulatory support from National Competent Authorities, ESMA, and the European Commission. </w:t>
      </w:r>
    </w:p>
    <w:p w14:paraId="4EDC1DD9" w14:textId="77777777" w:rsidR="00B42DFE" w:rsidRPr="002459D5" w:rsidRDefault="00B42DFE" w:rsidP="00EC477F">
      <w:pPr>
        <w:spacing w:after="160" w:line="259" w:lineRule="auto"/>
        <w:rPr>
          <w:rFonts w:ascii="Arial" w:eastAsiaTheme="minorHAnsi" w:hAnsi="Arial" w:cs="Arial"/>
          <w:kern w:val="2"/>
          <w14:ligatures w14:val="standardContextual"/>
        </w:rPr>
      </w:pPr>
    </w:p>
    <w:p w14:paraId="6D71DA1B" w14:textId="77777777" w:rsidR="00B42DFE" w:rsidRPr="002459D5" w:rsidRDefault="00B42DFE" w:rsidP="00EC477F">
      <w:pPr>
        <w:spacing w:after="160" w:line="259" w:lineRule="auto"/>
        <w:rPr>
          <w:rFonts w:ascii="Arial" w:eastAsiaTheme="minorHAnsi" w:hAnsi="Arial" w:cs="Arial"/>
          <w:kern w:val="2"/>
          <w14:ligatures w14:val="standardContextual"/>
        </w:rPr>
      </w:pPr>
      <w:r w:rsidRPr="002459D5">
        <w:rPr>
          <w:rFonts w:ascii="Arial" w:eastAsiaTheme="minorHAnsi" w:hAnsi="Arial" w:cs="Arial"/>
          <w:b/>
          <w:bCs/>
          <w:kern w:val="2"/>
          <w14:ligatures w14:val="standardContextual"/>
        </w:rPr>
        <w:t>GAPS IN THE CURRENT FRAMEWORK</w:t>
      </w:r>
      <w:r w:rsidRPr="002459D5">
        <w:rPr>
          <w:rFonts w:ascii="Arial" w:eastAsiaTheme="minorHAnsi" w:hAnsi="Arial" w:cs="Arial"/>
          <w:kern w:val="2"/>
          <w14:ligatures w14:val="standardContextual"/>
        </w:rPr>
        <w:t> </w:t>
      </w:r>
    </w:p>
    <w:p w14:paraId="43C93A90" w14:textId="77777777" w:rsidR="00B42DFE" w:rsidRPr="002459D5" w:rsidRDefault="00B42DFE" w:rsidP="00EC477F">
      <w:pPr>
        <w:spacing w:after="160" w:line="259" w:lineRule="auto"/>
        <w:rPr>
          <w:rFonts w:ascii="Arial" w:eastAsiaTheme="minorHAnsi" w:hAnsi="Arial" w:cs="Arial"/>
          <w:kern w:val="2"/>
          <w14:ligatures w14:val="standardContextual"/>
        </w:rPr>
      </w:pPr>
      <w:r w:rsidRPr="002459D5">
        <w:rPr>
          <w:rFonts w:ascii="Arial" w:eastAsiaTheme="minorHAnsi" w:hAnsi="Arial" w:cs="Arial"/>
          <w:kern w:val="2"/>
          <w14:ligatures w14:val="standardContextual"/>
        </w:rPr>
        <w:t>1. INCOMPLETE REGULATORY COVERAGE </w:t>
      </w:r>
    </w:p>
    <w:p w14:paraId="19D890CA" w14:textId="77777777" w:rsidR="00B42DFE" w:rsidRPr="002459D5" w:rsidRDefault="00B42DFE" w:rsidP="00EC477F">
      <w:pPr>
        <w:spacing w:after="160" w:line="259" w:lineRule="auto"/>
        <w:rPr>
          <w:rFonts w:ascii="Arial" w:eastAsiaTheme="minorHAnsi" w:hAnsi="Arial" w:cs="Arial"/>
          <w:kern w:val="2"/>
          <w14:ligatures w14:val="standardContextual"/>
        </w:rPr>
      </w:pPr>
      <w:r w:rsidRPr="002459D5">
        <w:rPr>
          <w:rFonts w:ascii="Arial" w:eastAsiaTheme="minorHAnsi" w:hAnsi="Arial" w:cs="Arial"/>
          <w:kern w:val="2"/>
          <w14:ligatures w14:val="standardContextual"/>
        </w:rPr>
        <w:t xml:space="preserve">While numerous trade flag values have been introduced through updates to RTS 1, significant gaps remain with regards to the coverage of all reportable scenarios. These gaps create unnecessary complexity, allow for divergences in interpretation and implementation and lead to systematic miscalculations of the size of European equity markets. The post trade transparency regime also falls short of identifying how (e.g. automated or manual) and when </w:t>
      </w:r>
      <w:r w:rsidRPr="002459D5">
        <w:rPr>
          <w:rFonts w:ascii="Arial" w:eastAsiaTheme="minorHAnsi" w:hAnsi="Arial" w:cs="Arial"/>
          <w:kern w:val="2"/>
          <w14:ligatures w14:val="standardContextual"/>
        </w:rPr>
        <w:lastRenderedPageBreak/>
        <w:t>(e.g. at the open, at the close or out of hours) transactions are executed for trades executed outside of trading venues.</w:t>
      </w:r>
    </w:p>
    <w:p w14:paraId="24374D22" w14:textId="77777777" w:rsidR="00B42DFE" w:rsidRPr="002459D5" w:rsidRDefault="00B42DFE" w:rsidP="00EC477F">
      <w:pPr>
        <w:spacing w:after="160" w:line="259" w:lineRule="auto"/>
        <w:rPr>
          <w:rFonts w:ascii="Arial" w:eastAsiaTheme="minorHAnsi" w:hAnsi="Arial" w:cs="Arial"/>
          <w:kern w:val="2"/>
          <w14:ligatures w14:val="standardContextual"/>
        </w:rPr>
      </w:pPr>
      <w:r w:rsidRPr="002459D5">
        <w:rPr>
          <w:rFonts w:ascii="Arial" w:eastAsiaTheme="minorHAnsi" w:hAnsi="Arial" w:cs="Arial"/>
          <w:kern w:val="2"/>
          <w14:ligatures w14:val="standardContextual"/>
        </w:rPr>
        <w:t>2. VOLUNTARY COMPLIANCE LIMITATIONS </w:t>
      </w:r>
    </w:p>
    <w:p w14:paraId="7896CA38" w14:textId="77777777" w:rsidR="00B42DFE" w:rsidRPr="002459D5" w:rsidRDefault="00B42DFE" w:rsidP="00EC477F">
      <w:pPr>
        <w:spacing w:after="160" w:line="259" w:lineRule="auto"/>
        <w:rPr>
          <w:rFonts w:ascii="Arial" w:eastAsiaTheme="minorHAnsi" w:hAnsi="Arial" w:cs="Arial"/>
          <w:kern w:val="2"/>
          <w14:ligatures w14:val="standardContextual"/>
        </w:rPr>
      </w:pPr>
      <w:r w:rsidRPr="002459D5">
        <w:rPr>
          <w:rFonts w:ascii="Arial" w:eastAsiaTheme="minorHAnsi" w:hAnsi="Arial" w:cs="Arial"/>
          <w:kern w:val="2"/>
          <w14:ligatures w14:val="standardContextual"/>
        </w:rPr>
        <w:t>Despite our continuous efforts to promote industry-led trade flags and foster member engagement on reporting practices, full, complete and consistent reporting has not yet been achieved to a sufficient standard. This is partly due to the absence of sufficiently clear, harmonised pan-European rules, which leaves room for inconsistent interpretation and leads to data quality issues. Uniform implementation on a pan-European level will be better achievable through regulatory mandate, including on correct flagging, rather than voluntary guidance.</w:t>
      </w:r>
    </w:p>
    <w:p w14:paraId="4BD8C160" w14:textId="77777777" w:rsidR="00B42DFE" w:rsidRPr="002459D5" w:rsidRDefault="00B42DFE" w:rsidP="00EC477F">
      <w:pPr>
        <w:spacing w:after="160" w:line="259" w:lineRule="auto"/>
        <w:rPr>
          <w:rFonts w:ascii="Arial" w:eastAsiaTheme="minorHAnsi" w:hAnsi="Arial" w:cs="Arial"/>
          <w:kern w:val="2"/>
          <w14:ligatures w14:val="standardContextual"/>
        </w:rPr>
      </w:pPr>
      <w:r w:rsidRPr="002459D5">
        <w:rPr>
          <w:rFonts w:ascii="Arial" w:eastAsiaTheme="minorHAnsi" w:hAnsi="Arial" w:cs="Arial"/>
          <w:kern w:val="2"/>
          <w14:ligatures w14:val="standardContextual"/>
        </w:rPr>
        <w:t>3. POST-BREXIT REPORTING DUPLICATION </w:t>
      </w:r>
    </w:p>
    <w:p w14:paraId="557F639B" w14:textId="77777777" w:rsidR="00B42DFE" w:rsidRPr="002459D5" w:rsidRDefault="00B42DFE" w:rsidP="00EC477F">
      <w:pPr>
        <w:spacing w:after="160" w:line="259" w:lineRule="auto"/>
        <w:rPr>
          <w:rFonts w:ascii="Arial" w:eastAsiaTheme="minorHAnsi" w:hAnsi="Arial" w:cs="Arial"/>
          <w:b/>
          <w:bCs/>
          <w:kern w:val="2"/>
          <w14:ligatures w14:val="standardContextual"/>
        </w:rPr>
      </w:pPr>
      <w:r w:rsidRPr="002459D5">
        <w:rPr>
          <w:rFonts w:ascii="Arial" w:eastAsiaTheme="minorHAnsi" w:hAnsi="Arial" w:cs="Arial"/>
          <w:kern w:val="2"/>
          <w14:ligatures w14:val="standardContextual"/>
        </w:rPr>
        <w:t>The interconnected nature of EU and UK trading volumes has created duplicative reporting that artificially inflates off-venue (i.e. SI and OTC) volume calculations and contributes to lower overall data quality. </w:t>
      </w:r>
    </w:p>
    <w:p w14:paraId="131D0216" w14:textId="77777777" w:rsidR="00B42DFE" w:rsidRPr="002459D5" w:rsidRDefault="00B42DFE" w:rsidP="00EC477F">
      <w:pPr>
        <w:spacing w:after="160" w:line="259" w:lineRule="auto"/>
        <w:rPr>
          <w:rFonts w:ascii="Arial" w:eastAsiaTheme="minorHAnsi" w:hAnsi="Arial" w:cs="Arial"/>
          <w:b/>
          <w:bCs/>
          <w:kern w:val="2"/>
          <w14:ligatures w14:val="standardContextual"/>
        </w:rPr>
      </w:pPr>
    </w:p>
    <w:p w14:paraId="5AE5B220" w14:textId="77777777" w:rsidR="00B42DFE" w:rsidRPr="002459D5" w:rsidRDefault="00B42DFE" w:rsidP="00EC477F">
      <w:pPr>
        <w:spacing w:after="160" w:line="259" w:lineRule="auto"/>
        <w:rPr>
          <w:rFonts w:ascii="Arial" w:eastAsiaTheme="minorHAnsi" w:hAnsi="Arial" w:cs="Arial"/>
          <w:kern w:val="2"/>
          <w14:ligatures w14:val="standardContextual"/>
        </w:rPr>
      </w:pPr>
      <w:r w:rsidRPr="002459D5">
        <w:rPr>
          <w:rFonts w:ascii="Arial" w:eastAsiaTheme="minorHAnsi" w:hAnsi="Arial" w:cs="Arial"/>
          <w:b/>
          <w:bCs/>
          <w:kern w:val="2"/>
          <w14:ligatures w14:val="standardContextual"/>
        </w:rPr>
        <w:t>RECOMMENDED REGULATORY AMENDMENTS</w:t>
      </w:r>
      <w:r w:rsidRPr="002459D5">
        <w:rPr>
          <w:rFonts w:ascii="Arial" w:eastAsiaTheme="minorHAnsi" w:hAnsi="Arial" w:cs="Arial"/>
          <w:kern w:val="2"/>
          <w14:ligatures w14:val="standardContextual"/>
        </w:rPr>
        <w:t> </w:t>
      </w:r>
    </w:p>
    <w:p w14:paraId="38EF4EF1" w14:textId="77777777" w:rsidR="00B42DFE" w:rsidRPr="002459D5" w:rsidRDefault="00B42DFE" w:rsidP="00EC477F">
      <w:pPr>
        <w:spacing w:after="160" w:line="259" w:lineRule="auto"/>
        <w:rPr>
          <w:rFonts w:ascii="Arial" w:eastAsiaTheme="minorHAnsi" w:hAnsi="Arial" w:cs="Arial"/>
          <w:b/>
          <w:bCs/>
          <w:kern w:val="2"/>
          <w14:ligatures w14:val="standardContextual"/>
        </w:rPr>
      </w:pPr>
      <w:r w:rsidRPr="002459D5">
        <w:rPr>
          <w:rFonts w:ascii="Arial" w:eastAsiaTheme="minorHAnsi" w:hAnsi="Arial" w:cs="Arial"/>
          <w:b/>
          <w:bCs/>
          <w:kern w:val="2"/>
          <w14:ligatures w14:val="standardContextual"/>
        </w:rPr>
        <w:t>I. SUPPRESSION OF NON-INFORMATIONAL, TECHNICAL OR DUPLICATIVE REPORTING EVENTS </w:t>
      </w:r>
    </w:p>
    <w:p w14:paraId="4FB43ACF" w14:textId="77777777" w:rsidR="00B42DFE" w:rsidRPr="002459D5" w:rsidRDefault="00B42DFE" w:rsidP="00EC477F">
      <w:pPr>
        <w:spacing w:after="160" w:line="259" w:lineRule="auto"/>
        <w:rPr>
          <w:rFonts w:ascii="Arial" w:eastAsiaTheme="minorHAnsi" w:hAnsi="Arial" w:cs="Arial"/>
          <w:kern w:val="2"/>
          <w14:ligatures w14:val="standardContextual"/>
        </w:rPr>
      </w:pPr>
      <w:r w:rsidRPr="002459D5">
        <w:rPr>
          <w:rFonts w:ascii="Arial" w:eastAsiaTheme="minorHAnsi" w:hAnsi="Arial" w:cs="Arial"/>
          <w:kern w:val="2"/>
          <w14:ligatures w14:val="standardContextual"/>
        </w:rPr>
        <w:t>A. Non-Price Forming Transactions (Regulatory flag = “NPFT”) </w:t>
      </w:r>
    </w:p>
    <w:p w14:paraId="5040E712" w14:textId="77777777" w:rsidR="00B42DFE" w:rsidRPr="002459D5" w:rsidRDefault="00B42DFE" w:rsidP="00EC477F">
      <w:pPr>
        <w:spacing w:after="160" w:line="259" w:lineRule="auto"/>
        <w:ind w:left="720"/>
        <w:rPr>
          <w:rFonts w:ascii="Arial" w:eastAsiaTheme="minorHAnsi" w:hAnsi="Arial" w:cs="Arial"/>
          <w:kern w:val="2"/>
          <w14:ligatures w14:val="standardContextual"/>
        </w:rPr>
      </w:pPr>
      <w:r w:rsidRPr="002459D5">
        <w:rPr>
          <w:rFonts w:ascii="Arial" w:eastAsiaTheme="minorHAnsi" w:hAnsi="Arial" w:cs="Arial"/>
          <w:kern w:val="2"/>
          <w14:ligatures w14:val="standardContextual"/>
        </w:rPr>
        <w:t xml:space="preserve">These transactions, representing 18% of average daily reported volume, are negotiated off-book on-venue and published through Table 4’s NPFT flag. NPFT is the flag required for transactions falling under RTS 22 article 2(5) and as such are not considered as transactions for the purpose of transaction reporting. While the NPFT flag is not consistently used, we recommend clearer definitions to ensure a more standardised application of which transactions to flag as NPFT. Analysis of APA data indicates that, where correctly flagged, the majority consists of clearing activity for off-venue executions already published at execution time. </w:t>
      </w:r>
    </w:p>
    <w:p w14:paraId="64ED8F81" w14:textId="77777777" w:rsidR="00B42DFE" w:rsidRPr="002459D5" w:rsidRDefault="00B42DFE" w:rsidP="00EC477F">
      <w:pPr>
        <w:spacing w:after="160" w:line="259" w:lineRule="auto"/>
        <w:rPr>
          <w:rFonts w:ascii="Arial" w:eastAsiaTheme="minorHAnsi" w:hAnsi="Arial" w:cs="Arial"/>
          <w:i/>
          <w:iCs/>
          <w:kern w:val="2"/>
          <w14:ligatures w14:val="standardContextual"/>
        </w:rPr>
      </w:pPr>
      <w:r w:rsidRPr="002459D5">
        <w:rPr>
          <w:rFonts w:ascii="Arial" w:eastAsiaTheme="minorHAnsi" w:hAnsi="Arial" w:cs="Arial"/>
          <w:b/>
          <w:bCs/>
          <w:i/>
          <w:iCs/>
          <w:kern w:val="2"/>
          <w14:ligatures w14:val="standardContextual"/>
        </w:rPr>
        <w:t>RECOMMENDATION</w:t>
      </w:r>
      <w:r w:rsidRPr="002459D5">
        <w:rPr>
          <w:rFonts w:ascii="Arial" w:eastAsiaTheme="minorHAnsi" w:hAnsi="Arial" w:cs="Arial"/>
          <w:i/>
          <w:iCs/>
          <w:kern w:val="2"/>
          <w14:ligatures w14:val="standardContextual"/>
        </w:rPr>
        <w:t>: Extend the post-trade transparency exemption for certain types of transactions executed outside a trading venue under Article 13 of RTS 1. The current exemption includes transactions listed under Article 2(5) of Commission Delegated Regulation (EU) 2017/590 (flagged as NPFT).  We recommend adding a new exemption for transactions that are reported on a given trading venue as off-book on-exchange for settlement purposes. This would ensure that NPFT transactions related to clearing and settlement activities, such as SFT, collateral, novation and clearing, are removed from the tape, as they do not have any real informational value for trading purposes.</w:t>
      </w:r>
    </w:p>
    <w:p w14:paraId="08A72C45" w14:textId="77777777" w:rsidR="00B42DFE" w:rsidRPr="002459D5" w:rsidRDefault="00B42DFE" w:rsidP="00EC477F">
      <w:pPr>
        <w:spacing w:after="160" w:line="259" w:lineRule="auto"/>
        <w:rPr>
          <w:rFonts w:ascii="Arial" w:eastAsiaTheme="minorHAnsi" w:hAnsi="Arial" w:cs="Arial"/>
          <w:kern w:val="2"/>
          <w14:ligatures w14:val="standardContextual"/>
        </w:rPr>
      </w:pPr>
      <w:r w:rsidRPr="002459D5">
        <w:rPr>
          <w:rFonts w:ascii="Arial" w:eastAsiaTheme="minorHAnsi" w:hAnsi="Arial" w:cs="Arial"/>
          <w:kern w:val="2"/>
          <w14:ligatures w14:val="standardContextual"/>
        </w:rPr>
        <w:t>B. Cross-Border Duplicative Trade Flag (FIX flag = “XBDT”) </w:t>
      </w:r>
    </w:p>
    <w:p w14:paraId="105A15D5" w14:textId="77777777" w:rsidR="00B42DFE" w:rsidRPr="002459D5" w:rsidRDefault="00B42DFE" w:rsidP="00EC477F">
      <w:pPr>
        <w:spacing w:after="160" w:line="259" w:lineRule="auto"/>
        <w:ind w:left="720"/>
        <w:rPr>
          <w:rFonts w:ascii="Arial" w:eastAsiaTheme="minorHAnsi" w:hAnsi="Arial" w:cs="Arial"/>
          <w:kern w:val="2"/>
          <w14:ligatures w14:val="standardContextual"/>
        </w:rPr>
      </w:pPr>
      <w:r w:rsidRPr="002459D5">
        <w:rPr>
          <w:rFonts w:ascii="Arial" w:eastAsiaTheme="minorHAnsi" w:hAnsi="Arial" w:cs="Arial"/>
          <w:kern w:val="2"/>
          <w14:ligatures w14:val="standardContextual"/>
        </w:rPr>
        <w:lastRenderedPageBreak/>
        <w:t>From an industry perspective, post-Brexit regulatory divergence has created unnecessary duplication of trade reports for off-venue cross-border transactions. Previously, a single report sufficed; now, firms face dual reporting obligations that create artificial volume inflation. The lack of structured information-sharing mechanisms between the EU and UK has resulted in this unnecessary duplication and complexity in reporting obligations for entities operating across both jurisdictions. Extending the application of ESMA’s existing Opinion</w:t>
      </w:r>
      <w:r w:rsidRPr="002459D5">
        <w:rPr>
          <w:rFonts w:ascii="Arial" w:eastAsiaTheme="minorHAnsi" w:hAnsi="Arial" w:cs="Arial"/>
          <w:kern w:val="2"/>
          <w:vertAlign w:val="superscript"/>
          <w14:ligatures w14:val="standardContextual"/>
        </w:rPr>
        <w:footnoteReference w:id="2"/>
      </w:r>
      <w:r w:rsidRPr="002459D5">
        <w:rPr>
          <w:rFonts w:ascii="Arial" w:eastAsiaTheme="minorHAnsi" w:hAnsi="Arial" w:cs="Arial"/>
          <w:kern w:val="2"/>
          <w14:ligatures w14:val="standardContextual"/>
        </w:rPr>
        <w:t xml:space="preserve"> and list of venues deemed PTT</w:t>
      </w:r>
      <w:r w:rsidRPr="002459D5">
        <w:rPr>
          <w:rStyle w:val="FootnoteReference"/>
          <w:rFonts w:ascii="Arial" w:eastAsiaTheme="minorHAnsi" w:hAnsi="Arial" w:cs="Arial"/>
          <w:kern w:val="2"/>
          <w14:ligatures w14:val="standardContextual"/>
        </w:rPr>
        <w:footnoteReference w:id="3"/>
      </w:r>
      <w:r w:rsidRPr="002459D5">
        <w:rPr>
          <w:rFonts w:ascii="Arial" w:eastAsiaTheme="minorHAnsi" w:hAnsi="Arial" w:cs="Arial"/>
          <w:kern w:val="2"/>
          <w14:ligatures w14:val="standardContextual"/>
        </w:rPr>
        <w:t xml:space="preserve"> equivalent for on-venue trades to off-venue transactions, which may be reported through an APA, would ensure alignment of reporting rules within a consistent regulatory framework. </w:t>
      </w:r>
    </w:p>
    <w:p w14:paraId="6B0439C8" w14:textId="77777777" w:rsidR="00B42DFE" w:rsidRPr="002459D5" w:rsidRDefault="00B42DFE" w:rsidP="00EC477F">
      <w:pPr>
        <w:spacing w:after="160" w:line="259" w:lineRule="auto"/>
        <w:ind w:left="720"/>
        <w:rPr>
          <w:rFonts w:ascii="Arial" w:eastAsiaTheme="minorHAnsi" w:hAnsi="Arial" w:cs="Arial"/>
          <w:i/>
          <w:iCs/>
          <w:kern w:val="2"/>
          <w14:ligatures w14:val="standardContextual"/>
        </w:rPr>
      </w:pPr>
      <w:r w:rsidRPr="002459D5">
        <w:rPr>
          <w:rFonts w:ascii="Arial" w:eastAsiaTheme="minorHAnsi" w:hAnsi="Arial" w:cs="Arial"/>
          <w:b/>
          <w:bCs/>
          <w:i/>
          <w:iCs/>
          <w:kern w:val="2"/>
          <w14:ligatures w14:val="standardContextual"/>
        </w:rPr>
        <w:t>RECOMMENDATION</w:t>
      </w:r>
      <w:r w:rsidRPr="002459D5">
        <w:rPr>
          <w:rFonts w:ascii="Arial" w:eastAsiaTheme="minorHAnsi" w:hAnsi="Arial" w:cs="Arial"/>
          <w:i/>
          <w:iCs/>
          <w:kern w:val="2"/>
          <w14:ligatures w14:val="standardContextual"/>
        </w:rPr>
        <w:t>: Reintroducing information-sharing frameworks or recognising the UK RTS 1 PTT as equivalent, like pre-Brexit arrangements, would mitigate the reporting burden and ensure consistency and completeness of transaction data. Second best, mandate the XBDT flag for trades reported across both jurisdictions to allow for filtering to eliminate double counting. For example, when a client order received in the EU is routed to a UK Systematic Internaliser, triggering both UK SINT and EU XOFF reports, the XBDT flag would apply to the second report, XOFF, to mark such trades as cross-border duplicative. The XBDT flag should also be mandated for reported trades when they have been executed on non-PPT-equivalent trading venues.</w:t>
      </w:r>
    </w:p>
    <w:p w14:paraId="1C29B0B5" w14:textId="77777777" w:rsidR="00B42DFE" w:rsidRPr="002459D5" w:rsidRDefault="00B42DFE" w:rsidP="00EC477F">
      <w:pPr>
        <w:spacing w:after="160" w:line="259" w:lineRule="auto"/>
        <w:rPr>
          <w:rFonts w:ascii="Arial" w:eastAsiaTheme="minorHAnsi" w:hAnsi="Arial" w:cs="Arial"/>
          <w:kern w:val="2"/>
          <w14:ligatures w14:val="standardContextual"/>
        </w:rPr>
      </w:pPr>
      <w:r w:rsidRPr="002459D5">
        <w:rPr>
          <w:rFonts w:ascii="Arial" w:eastAsiaTheme="minorHAnsi" w:hAnsi="Arial" w:cs="Arial"/>
          <w:kern w:val="2"/>
          <w14:ligatures w14:val="standardContextual"/>
        </w:rPr>
        <w:t>C. Intra-Group Transactions (FIX flag = “IGRP”)</w:t>
      </w:r>
    </w:p>
    <w:p w14:paraId="066CDDC2" w14:textId="77777777" w:rsidR="00B42DFE" w:rsidRPr="002459D5" w:rsidRDefault="00B42DFE" w:rsidP="00EC477F">
      <w:pPr>
        <w:spacing w:after="160" w:line="259" w:lineRule="auto"/>
        <w:ind w:left="720"/>
        <w:rPr>
          <w:rFonts w:ascii="Arial" w:eastAsiaTheme="minorHAnsi" w:hAnsi="Arial" w:cs="Arial"/>
          <w:kern w:val="2"/>
          <w14:ligatures w14:val="standardContextual"/>
        </w:rPr>
      </w:pPr>
      <w:r w:rsidRPr="002459D5">
        <w:rPr>
          <w:rFonts w:ascii="Arial" w:eastAsiaTheme="minorHAnsi" w:hAnsi="Arial" w:cs="Arial"/>
          <w:kern w:val="2"/>
          <w14:ligatures w14:val="standardContextual"/>
        </w:rPr>
        <w:t>Inter-affiliate transactions within the same group for intra-group risk management purposes provide no price formation value yet inflate volume calculations. </w:t>
      </w:r>
    </w:p>
    <w:p w14:paraId="19841254" w14:textId="77777777" w:rsidR="00B42DFE" w:rsidRPr="002459D5" w:rsidRDefault="00B42DFE" w:rsidP="00EC477F">
      <w:pPr>
        <w:spacing w:after="160" w:line="259" w:lineRule="auto"/>
        <w:ind w:left="720"/>
        <w:rPr>
          <w:rFonts w:ascii="Arial" w:eastAsiaTheme="minorHAnsi" w:hAnsi="Arial" w:cs="Arial"/>
          <w:kern w:val="2"/>
          <w14:ligatures w14:val="standardContextual"/>
        </w:rPr>
      </w:pPr>
      <w:r w:rsidRPr="002459D5">
        <w:rPr>
          <w:rFonts w:ascii="Arial" w:eastAsiaTheme="minorHAnsi" w:hAnsi="Arial" w:cs="Arial"/>
          <w:b/>
          <w:bCs/>
          <w:i/>
          <w:iCs/>
          <w:kern w:val="2"/>
          <w14:ligatures w14:val="standardContextual"/>
        </w:rPr>
        <w:t>RECOMMENDATION</w:t>
      </w:r>
      <w:r w:rsidRPr="002459D5">
        <w:rPr>
          <w:rFonts w:ascii="Arial" w:eastAsiaTheme="minorHAnsi" w:hAnsi="Arial" w:cs="Arial"/>
          <w:i/>
          <w:iCs/>
          <w:kern w:val="2"/>
          <w14:ligatures w14:val="standardContextual"/>
        </w:rPr>
        <w:t>: Align with FCA practices and exempt intra-group risk management transactions from PTT requirements. Second best, mandate IGRP as a trade flag within Table 4 for identification purposes.</w:t>
      </w:r>
      <w:r w:rsidRPr="002459D5">
        <w:rPr>
          <w:rFonts w:ascii="Arial" w:eastAsiaTheme="minorHAnsi" w:hAnsi="Arial" w:cs="Arial"/>
          <w:kern w:val="2"/>
          <w14:ligatures w14:val="standardContextual"/>
        </w:rPr>
        <w:t> </w:t>
      </w:r>
    </w:p>
    <w:p w14:paraId="7ABFD27D" w14:textId="77777777" w:rsidR="00B42DFE" w:rsidRPr="002459D5" w:rsidRDefault="00B42DFE" w:rsidP="00EC477F">
      <w:pPr>
        <w:spacing w:after="160" w:line="259" w:lineRule="auto"/>
        <w:rPr>
          <w:rFonts w:ascii="Arial" w:eastAsiaTheme="minorHAnsi" w:hAnsi="Arial" w:cs="Arial"/>
          <w:kern w:val="2"/>
          <w14:ligatures w14:val="standardContextual"/>
        </w:rPr>
      </w:pPr>
      <w:r w:rsidRPr="002459D5">
        <w:rPr>
          <w:rFonts w:ascii="Arial" w:eastAsiaTheme="minorHAnsi" w:hAnsi="Arial" w:cs="Arial"/>
          <w:kern w:val="2"/>
          <w14:ligatures w14:val="standardContextual"/>
        </w:rPr>
        <w:t>D. ETF NAV Trade Deferrals (Regulatory flag = “PNDG”)</w:t>
      </w:r>
    </w:p>
    <w:p w14:paraId="2BFB0B89" w14:textId="77777777" w:rsidR="00B42DFE" w:rsidRPr="002459D5" w:rsidRDefault="00B42DFE" w:rsidP="00EC477F">
      <w:pPr>
        <w:spacing w:after="160" w:line="259" w:lineRule="auto"/>
        <w:ind w:left="720"/>
        <w:rPr>
          <w:rFonts w:ascii="Arial" w:eastAsiaTheme="minorHAnsi" w:hAnsi="Arial" w:cs="Arial"/>
          <w:kern w:val="2"/>
          <w14:ligatures w14:val="standardContextual"/>
        </w:rPr>
      </w:pPr>
      <w:r w:rsidRPr="002459D5">
        <w:rPr>
          <w:rFonts w:ascii="Arial" w:eastAsiaTheme="minorHAnsi" w:hAnsi="Arial" w:cs="Arial"/>
          <w:kern w:val="2"/>
          <w14:ligatures w14:val="standardContextual"/>
        </w:rPr>
        <w:t>Current ETF NAV reporting requires three separate reports (pending, cancellation, amendment) for a single transaction, creating unnecessary operational costs and data complexity. </w:t>
      </w:r>
    </w:p>
    <w:p w14:paraId="58F63FA4" w14:textId="77777777" w:rsidR="00B42DFE" w:rsidRPr="002459D5" w:rsidRDefault="00B42DFE" w:rsidP="00EC477F">
      <w:pPr>
        <w:spacing w:after="160" w:line="259" w:lineRule="auto"/>
        <w:ind w:left="720"/>
        <w:rPr>
          <w:rFonts w:ascii="Arial" w:eastAsiaTheme="minorHAnsi" w:hAnsi="Arial" w:cs="Arial"/>
          <w:kern w:val="2"/>
          <w14:ligatures w14:val="standardContextual"/>
        </w:rPr>
      </w:pPr>
      <w:r w:rsidRPr="002459D5">
        <w:rPr>
          <w:rFonts w:ascii="Arial" w:eastAsiaTheme="minorHAnsi" w:hAnsi="Arial" w:cs="Arial"/>
          <w:b/>
          <w:bCs/>
          <w:i/>
          <w:iCs/>
          <w:kern w:val="2"/>
          <w14:ligatures w14:val="standardContextual"/>
        </w:rPr>
        <w:t>RECOMMENDATION</w:t>
      </w:r>
      <w:r w:rsidRPr="002459D5">
        <w:rPr>
          <w:rFonts w:ascii="Arial" w:eastAsiaTheme="minorHAnsi" w:hAnsi="Arial" w:cs="Arial"/>
          <w:i/>
          <w:iCs/>
          <w:kern w:val="2"/>
          <w14:ligatures w14:val="standardContextual"/>
        </w:rPr>
        <w:t>: Introduce deferral mechanism for ETF NAV trades, aligning with FCA practices to reduce reporting burden and improve data clarity.</w:t>
      </w:r>
    </w:p>
    <w:p w14:paraId="79F44B3E" w14:textId="77777777" w:rsidR="00B42DFE" w:rsidRPr="002459D5" w:rsidRDefault="00B42DFE" w:rsidP="00EC477F">
      <w:pPr>
        <w:spacing w:after="160" w:line="259" w:lineRule="auto"/>
        <w:ind w:left="720"/>
        <w:rPr>
          <w:rFonts w:ascii="Arial" w:eastAsiaTheme="minorHAnsi" w:hAnsi="Arial" w:cs="Arial"/>
          <w:kern w:val="2"/>
          <w14:ligatures w14:val="standardContextual"/>
        </w:rPr>
      </w:pPr>
    </w:p>
    <w:p w14:paraId="2BF79378" w14:textId="77777777" w:rsidR="00B42DFE" w:rsidRPr="002459D5" w:rsidRDefault="00B42DFE" w:rsidP="00EC477F">
      <w:pPr>
        <w:spacing w:after="160" w:line="259" w:lineRule="auto"/>
        <w:rPr>
          <w:rFonts w:ascii="Arial" w:eastAsiaTheme="minorHAnsi" w:hAnsi="Arial" w:cs="Arial"/>
          <w:b/>
          <w:bCs/>
          <w:kern w:val="2"/>
          <w14:ligatures w14:val="standardContextual"/>
        </w:rPr>
      </w:pPr>
      <w:r w:rsidRPr="002459D5">
        <w:rPr>
          <w:rFonts w:ascii="Arial" w:eastAsiaTheme="minorHAnsi" w:hAnsi="Arial" w:cs="Arial"/>
          <w:b/>
          <w:bCs/>
          <w:kern w:val="2"/>
          <w14:ligatures w14:val="standardContextual"/>
        </w:rPr>
        <w:t>II. REGULATORY ADOPTION OF FIX TRADE FLAGS </w:t>
      </w:r>
    </w:p>
    <w:p w14:paraId="53E12581" w14:textId="77777777" w:rsidR="00B42DFE" w:rsidRPr="002459D5" w:rsidRDefault="00B42DFE" w:rsidP="00EC477F">
      <w:pPr>
        <w:spacing w:after="160" w:line="259" w:lineRule="auto"/>
        <w:rPr>
          <w:rFonts w:ascii="Arial" w:eastAsiaTheme="minorHAnsi" w:hAnsi="Arial" w:cs="Arial"/>
          <w:kern w:val="2"/>
          <w14:ligatures w14:val="standardContextual"/>
        </w:rPr>
      </w:pPr>
      <w:r w:rsidRPr="002459D5">
        <w:rPr>
          <w:rFonts w:ascii="Arial" w:eastAsiaTheme="minorHAnsi" w:hAnsi="Arial" w:cs="Arial"/>
          <w:kern w:val="2"/>
          <w14:ligatures w14:val="standardContextual"/>
        </w:rPr>
        <w:lastRenderedPageBreak/>
        <w:t>We strongly recommend the incorporation of FIX Trading Community industry-led trade flags into regulation to ensure standardised methodology for trade report publication. </w:t>
      </w:r>
    </w:p>
    <w:p w14:paraId="7F68A791" w14:textId="77777777" w:rsidR="00B42DFE" w:rsidRPr="002459D5" w:rsidRDefault="00B42DFE" w:rsidP="00EC477F">
      <w:pPr>
        <w:spacing w:after="160" w:line="259" w:lineRule="auto"/>
        <w:rPr>
          <w:rFonts w:ascii="Arial" w:eastAsiaTheme="minorHAnsi" w:hAnsi="Arial" w:cs="Arial"/>
          <w:kern w:val="2"/>
          <w14:ligatures w14:val="standardContextual"/>
        </w:rPr>
      </w:pPr>
      <w:r w:rsidRPr="002459D5">
        <w:rPr>
          <w:rFonts w:ascii="Arial" w:eastAsiaTheme="minorHAnsi" w:hAnsi="Arial" w:cs="Arial"/>
          <w:kern w:val="2"/>
          <w14:ligatures w14:val="standardContextual"/>
        </w:rPr>
        <w:t>A. Market Closing Price Flag (FIX flag = ”CLSE”)</w:t>
      </w:r>
    </w:p>
    <w:p w14:paraId="6CF1607B" w14:textId="77777777" w:rsidR="00B42DFE" w:rsidRPr="002459D5" w:rsidRDefault="00B42DFE" w:rsidP="00EC477F">
      <w:pPr>
        <w:spacing w:after="160" w:line="259" w:lineRule="auto"/>
        <w:ind w:left="720"/>
        <w:rPr>
          <w:rFonts w:ascii="Arial" w:eastAsiaTheme="minorHAnsi" w:hAnsi="Arial" w:cs="Arial"/>
          <w:kern w:val="2"/>
          <w14:ligatures w14:val="standardContextual"/>
        </w:rPr>
      </w:pPr>
      <w:r w:rsidRPr="002459D5">
        <w:rPr>
          <w:rFonts w:ascii="Arial" w:eastAsiaTheme="minorHAnsi" w:hAnsi="Arial" w:cs="Arial"/>
          <w:kern w:val="2"/>
          <w14:ligatures w14:val="standardContextual"/>
        </w:rPr>
        <w:t>Current benchmark trade definitions inadequately capture market closing price utilisation, estimated at approximately 20% of market activity. </w:t>
      </w:r>
    </w:p>
    <w:p w14:paraId="030F43CD" w14:textId="77777777" w:rsidR="00B42DFE" w:rsidRPr="002459D5" w:rsidRDefault="00B42DFE" w:rsidP="00EC477F">
      <w:pPr>
        <w:spacing w:after="160" w:line="259" w:lineRule="auto"/>
        <w:ind w:left="720"/>
        <w:rPr>
          <w:rFonts w:ascii="Arial" w:eastAsiaTheme="minorHAnsi" w:hAnsi="Arial" w:cs="Arial"/>
          <w:i/>
          <w:iCs/>
          <w:kern w:val="2"/>
          <w14:ligatures w14:val="standardContextual"/>
        </w:rPr>
      </w:pPr>
      <w:r w:rsidRPr="002459D5">
        <w:rPr>
          <w:rFonts w:ascii="Arial" w:eastAsiaTheme="minorHAnsi" w:hAnsi="Arial" w:cs="Arial"/>
          <w:b/>
          <w:bCs/>
          <w:i/>
          <w:iCs/>
          <w:kern w:val="2"/>
          <w14:ligatures w14:val="standardContextual"/>
        </w:rPr>
        <w:t>RECOMMENDATION</w:t>
      </w:r>
      <w:r w:rsidRPr="002459D5">
        <w:rPr>
          <w:rFonts w:ascii="Arial" w:eastAsiaTheme="minorHAnsi" w:hAnsi="Arial" w:cs="Arial"/>
          <w:i/>
          <w:iCs/>
          <w:kern w:val="2"/>
          <w14:ligatures w14:val="standardContextual"/>
        </w:rPr>
        <w:t>: Align with FCA practices and expand benchmark trade definitions to include market closing prices, introducing the CLSE flag. This requires corresponding updates to RTS 22.</w:t>
      </w:r>
    </w:p>
    <w:p w14:paraId="7BA8BF59" w14:textId="77777777" w:rsidR="00B42DFE" w:rsidRPr="002459D5" w:rsidRDefault="00B42DFE" w:rsidP="00EC477F">
      <w:pPr>
        <w:spacing w:after="160" w:line="259" w:lineRule="auto"/>
        <w:rPr>
          <w:rFonts w:ascii="Arial" w:eastAsiaTheme="minorHAnsi" w:hAnsi="Arial" w:cs="Arial"/>
          <w:kern w:val="2"/>
          <w14:ligatures w14:val="standardContextual"/>
        </w:rPr>
      </w:pPr>
      <w:r w:rsidRPr="002459D5">
        <w:rPr>
          <w:rFonts w:ascii="Arial" w:eastAsiaTheme="minorHAnsi" w:hAnsi="Arial" w:cs="Arial"/>
          <w:kern w:val="2"/>
          <w14:ligatures w14:val="standardContextual"/>
        </w:rPr>
        <w:t xml:space="preserve">If the PTT flags listed in section I cannot be supressed, we would like to recommend adoption of the respective suggested flags in line with the above. </w:t>
      </w:r>
    </w:p>
    <w:p w14:paraId="13C1BC2A" w14:textId="77777777" w:rsidR="00B42DFE" w:rsidRPr="002459D5" w:rsidRDefault="00B42DFE" w:rsidP="00EC477F">
      <w:pPr>
        <w:spacing w:after="160" w:line="259" w:lineRule="auto"/>
        <w:rPr>
          <w:rFonts w:ascii="Arial" w:eastAsiaTheme="minorHAnsi" w:hAnsi="Arial" w:cs="Arial"/>
          <w:kern w:val="2"/>
          <w14:ligatures w14:val="standardContextual"/>
        </w:rPr>
      </w:pPr>
    </w:p>
    <w:p w14:paraId="0A5C40FF" w14:textId="77777777" w:rsidR="00B42DFE" w:rsidRPr="002459D5" w:rsidRDefault="00B42DFE" w:rsidP="00EC477F">
      <w:pPr>
        <w:spacing w:after="160" w:line="259" w:lineRule="auto"/>
        <w:rPr>
          <w:rFonts w:ascii="Arial" w:eastAsiaTheme="minorHAnsi" w:hAnsi="Arial" w:cs="Arial"/>
          <w:b/>
          <w:bCs/>
          <w:kern w:val="2"/>
          <w14:ligatures w14:val="standardContextual"/>
        </w:rPr>
      </w:pPr>
      <w:r w:rsidRPr="002459D5">
        <w:rPr>
          <w:rFonts w:ascii="Arial" w:eastAsiaTheme="minorHAnsi" w:hAnsi="Arial" w:cs="Arial"/>
          <w:b/>
          <w:bCs/>
          <w:kern w:val="2"/>
          <w14:ligatures w14:val="standardContextual"/>
        </w:rPr>
        <w:t>III. EXECUTION METHOD TRANSPARENCY </w:t>
      </w:r>
    </w:p>
    <w:p w14:paraId="103630C9" w14:textId="77777777" w:rsidR="00B42DFE" w:rsidRPr="002459D5" w:rsidRDefault="00B42DFE" w:rsidP="00EC477F">
      <w:pPr>
        <w:spacing w:after="160" w:line="259" w:lineRule="auto"/>
        <w:rPr>
          <w:rFonts w:ascii="Arial" w:eastAsiaTheme="minorHAnsi" w:hAnsi="Arial" w:cs="Arial"/>
          <w:kern w:val="2"/>
          <w14:ligatures w14:val="standardContextual"/>
        </w:rPr>
      </w:pPr>
      <w:r w:rsidRPr="002459D5">
        <w:rPr>
          <w:rFonts w:ascii="Arial" w:eastAsiaTheme="minorHAnsi" w:hAnsi="Arial" w:cs="Arial"/>
          <w:kern w:val="2"/>
          <w14:ligatures w14:val="standardContextual"/>
        </w:rPr>
        <w:t>A. Execution Method (FIX flag = “</w:t>
      </w:r>
      <w:proofErr w:type="spellStart"/>
      <w:r w:rsidRPr="002459D5">
        <w:rPr>
          <w:rFonts w:ascii="Arial" w:eastAsiaTheme="minorHAnsi" w:hAnsi="Arial" w:cs="Arial"/>
          <w:kern w:val="2"/>
          <w14:ligatures w14:val="standardContextual"/>
        </w:rPr>
        <w:t>ExecMethod</w:t>
      </w:r>
      <w:proofErr w:type="spellEnd"/>
      <w:r w:rsidRPr="002459D5">
        <w:rPr>
          <w:rFonts w:ascii="Arial" w:eastAsiaTheme="minorHAnsi" w:hAnsi="Arial" w:cs="Arial"/>
          <w:kern w:val="2"/>
          <w14:ligatures w14:val="standardContextual"/>
        </w:rPr>
        <w:t>”)</w:t>
      </w:r>
    </w:p>
    <w:p w14:paraId="09FA40B3" w14:textId="77777777" w:rsidR="00B42DFE" w:rsidRPr="002459D5" w:rsidRDefault="00B42DFE" w:rsidP="00EC477F">
      <w:pPr>
        <w:spacing w:after="160" w:line="259" w:lineRule="auto"/>
        <w:ind w:left="720"/>
        <w:rPr>
          <w:rFonts w:ascii="Arial" w:eastAsiaTheme="minorHAnsi" w:hAnsi="Arial" w:cs="Arial"/>
          <w:kern w:val="2"/>
          <w14:ligatures w14:val="standardContextual"/>
        </w:rPr>
      </w:pPr>
      <w:r w:rsidRPr="002459D5">
        <w:rPr>
          <w:rFonts w:ascii="Arial" w:eastAsiaTheme="minorHAnsi" w:hAnsi="Arial" w:cs="Arial"/>
          <w:kern w:val="2"/>
          <w14:ligatures w14:val="standardContextual"/>
        </w:rPr>
        <w:t xml:space="preserve">A recent topic of discussion among our members, which has not yet been presented to regulators, is the importance of understanding execution mechanics when evaluating off-venue trade accessibility. For example, manual benchmark trades have different accessibility profiles compared to systematically traded automated services. Our members would welcome a method for distinguishing between these trade types to support more accurate categorisation of accessibility, </w:t>
      </w:r>
      <w:proofErr w:type="gramStart"/>
      <w:r w:rsidRPr="002459D5">
        <w:rPr>
          <w:rFonts w:ascii="Arial" w:eastAsiaTheme="minorHAnsi" w:hAnsi="Arial" w:cs="Arial"/>
          <w:kern w:val="2"/>
          <w14:ligatures w14:val="standardContextual"/>
        </w:rPr>
        <w:t>similar to</w:t>
      </w:r>
      <w:proofErr w:type="gramEnd"/>
      <w:r w:rsidRPr="002459D5">
        <w:rPr>
          <w:rFonts w:ascii="Arial" w:eastAsiaTheme="minorHAnsi" w:hAnsi="Arial" w:cs="Arial"/>
          <w:kern w:val="2"/>
          <w14:ligatures w14:val="standardContextual"/>
        </w:rPr>
        <w:t xml:space="preserve"> the “ALGO” flag mandated for on venue activity.</w:t>
      </w:r>
    </w:p>
    <w:p w14:paraId="6090D6E9" w14:textId="77777777" w:rsidR="00B42DFE" w:rsidRPr="002459D5" w:rsidRDefault="00B42DFE" w:rsidP="00EC477F">
      <w:pPr>
        <w:spacing w:after="160" w:line="259" w:lineRule="auto"/>
        <w:ind w:left="720"/>
        <w:rPr>
          <w:rFonts w:ascii="Arial" w:eastAsiaTheme="minorHAnsi" w:hAnsi="Arial" w:cs="Arial"/>
          <w:i/>
          <w:iCs/>
          <w:kern w:val="2"/>
          <w14:ligatures w14:val="standardContextual"/>
        </w:rPr>
      </w:pPr>
      <w:r w:rsidRPr="002459D5">
        <w:rPr>
          <w:rFonts w:ascii="Arial" w:eastAsiaTheme="minorHAnsi" w:hAnsi="Arial" w:cs="Arial"/>
          <w:b/>
          <w:bCs/>
          <w:i/>
          <w:iCs/>
          <w:kern w:val="2"/>
          <w14:ligatures w14:val="standardContextual"/>
        </w:rPr>
        <w:t>RECOMMENDATION</w:t>
      </w:r>
      <w:r w:rsidRPr="002459D5">
        <w:rPr>
          <w:rFonts w:ascii="Arial" w:eastAsiaTheme="minorHAnsi" w:hAnsi="Arial" w:cs="Arial"/>
          <w:i/>
          <w:iCs/>
          <w:kern w:val="2"/>
          <w14:ligatures w14:val="standardContextual"/>
        </w:rPr>
        <w:t xml:space="preserve">: To enable proper assessment of trade accessibility, we recommend adding disclosure of trade execution methodology (manual versus automated) through the FIX </w:t>
      </w:r>
      <w:proofErr w:type="spellStart"/>
      <w:r w:rsidRPr="002459D5">
        <w:rPr>
          <w:rFonts w:ascii="Arial" w:eastAsiaTheme="minorHAnsi" w:hAnsi="Arial" w:cs="Arial"/>
          <w:i/>
          <w:iCs/>
          <w:kern w:val="2"/>
          <w14:ligatures w14:val="standardContextual"/>
        </w:rPr>
        <w:t>ExecMethod</w:t>
      </w:r>
      <w:proofErr w:type="spellEnd"/>
      <w:r w:rsidRPr="002459D5">
        <w:rPr>
          <w:rFonts w:ascii="Arial" w:eastAsiaTheme="minorHAnsi" w:hAnsi="Arial" w:cs="Arial"/>
          <w:i/>
          <w:iCs/>
          <w:kern w:val="2"/>
          <w14:ligatures w14:val="standardContextual"/>
        </w:rPr>
        <w:t xml:space="preserve"> flag 2405 for all off-venue trade reports. </w:t>
      </w:r>
    </w:p>
    <w:p w14:paraId="2F919837" w14:textId="77777777" w:rsidR="00B42DFE" w:rsidRPr="002459D5" w:rsidRDefault="00B42DFE" w:rsidP="00EC477F">
      <w:pPr>
        <w:spacing w:after="160" w:line="259" w:lineRule="auto"/>
        <w:ind w:left="720"/>
        <w:rPr>
          <w:rFonts w:ascii="Arial" w:eastAsiaTheme="minorHAnsi" w:hAnsi="Arial" w:cs="Arial"/>
          <w:i/>
          <w:iCs/>
          <w:kern w:val="2"/>
          <w14:ligatures w14:val="standardContextual"/>
        </w:rPr>
      </w:pPr>
    </w:p>
    <w:p w14:paraId="7F893B36" w14:textId="77777777" w:rsidR="00B42DFE" w:rsidRPr="002459D5" w:rsidRDefault="00B42DFE" w:rsidP="00EC477F">
      <w:pPr>
        <w:spacing w:after="160" w:line="259" w:lineRule="auto"/>
        <w:rPr>
          <w:rFonts w:ascii="Arial" w:eastAsiaTheme="minorHAnsi" w:hAnsi="Arial" w:cs="Arial"/>
          <w:b/>
          <w:bCs/>
          <w:kern w:val="2"/>
          <w14:ligatures w14:val="standardContextual"/>
        </w:rPr>
      </w:pPr>
      <w:r w:rsidRPr="002459D5">
        <w:rPr>
          <w:rFonts w:ascii="Arial" w:eastAsiaTheme="minorHAnsi" w:hAnsi="Arial" w:cs="Arial"/>
          <w:b/>
          <w:bCs/>
          <w:kern w:val="2"/>
          <w14:ligatures w14:val="standardContextual"/>
        </w:rPr>
        <w:t>IV. CLARIFICATION OF REPORTING OBLIGATIONS</w:t>
      </w:r>
    </w:p>
    <w:p w14:paraId="4EB18086" w14:textId="77777777" w:rsidR="00B42DFE" w:rsidRPr="002459D5" w:rsidRDefault="00B42DFE" w:rsidP="00EC477F">
      <w:pPr>
        <w:spacing w:after="160" w:line="259" w:lineRule="auto"/>
        <w:rPr>
          <w:rFonts w:ascii="Arial" w:eastAsiaTheme="minorHAnsi" w:hAnsi="Arial" w:cs="Arial"/>
          <w:kern w:val="2"/>
          <w14:ligatures w14:val="standardContextual"/>
        </w:rPr>
      </w:pPr>
      <w:r w:rsidRPr="002459D5">
        <w:rPr>
          <w:rFonts w:ascii="Arial" w:eastAsiaTheme="minorHAnsi" w:hAnsi="Arial" w:cs="Arial"/>
          <w:kern w:val="2"/>
          <w14:ligatures w14:val="standardContextual"/>
        </w:rPr>
        <w:t>A. Chains of counterparties</w:t>
      </w:r>
    </w:p>
    <w:p w14:paraId="0A9C82E7" w14:textId="77777777" w:rsidR="00B42DFE" w:rsidRPr="002459D5" w:rsidRDefault="00B42DFE" w:rsidP="00EC477F">
      <w:pPr>
        <w:spacing w:after="160" w:line="259" w:lineRule="auto"/>
        <w:ind w:left="709"/>
        <w:rPr>
          <w:rFonts w:ascii="Arial" w:eastAsiaTheme="minorHAnsi" w:hAnsi="Arial" w:cs="Arial"/>
          <w:kern w:val="2"/>
          <w14:ligatures w14:val="standardContextual"/>
        </w:rPr>
      </w:pPr>
      <w:r w:rsidRPr="002459D5">
        <w:rPr>
          <w:rFonts w:ascii="Arial" w:eastAsiaTheme="minorHAnsi" w:hAnsi="Arial" w:cs="Arial"/>
          <w:kern w:val="2"/>
          <w14:ligatures w14:val="standardContextual"/>
        </w:rPr>
        <w:t xml:space="preserve">Regulation under the Designated Publishing Entity (DPE) regime states that when an off-venue trade is executed between two DPEs, the seller reports. This is clear when two such entities are the only counterparties to a </w:t>
      </w:r>
      <w:proofErr w:type="gramStart"/>
      <w:r w:rsidRPr="002459D5">
        <w:rPr>
          <w:rFonts w:ascii="Arial" w:eastAsiaTheme="minorHAnsi" w:hAnsi="Arial" w:cs="Arial"/>
          <w:kern w:val="2"/>
          <w14:ligatures w14:val="standardContextual"/>
        </w:rPr>
        <w:t>trade, but</w:t>
      </w:r>
      <w:proofErr w:type="gramEnd"/>
      <w:r w:rsidRPr="002459D5">
        <w:rPr>
          <w:rFonts w:ascii="Arial" w:eastAsiaTheme="minorHAnsi" w:hAnsi="Arial" w:cs="Arial"/>
          <w:kern w:val="2"/>
          <w14:ligatures w14:val="standardContextual"/>
        </w:rPr>
        <w:t xml:space="preserve"> becomes less clear when there is a chain of counterparties, for example if a DPE (firm A) is selling to another DPE (firm B), who sells to another non-DPE Systematic Internaliser (firm C). FIX Trading Community guidance states that the report should be performed by either the executing firm or its counterparty, so in this case firm B should report. However, we believe that not all counterparties are following this logic.</w:t>
      </w:r>
    </w:p>
    <w:p w14:paraId="315692D0" w14:textId="77777777" w:rsidR="00B42DFE" w:rsidRPr="002459D5" w:rsidRDefault="00B42DFE" w:rsidP="00EC477F">
      <w:pPr>
        <w:spacing w:after="160" w:line="259" w:lineRule="auto"/>
        <w:ind w:left="709"/>
        <w:rPr>
          <w:rFonts w:ascii="Arial" w:eastAsiaTheme="minorHAnsi" w:hAnsi="Arial" w:cs="Arial"/>
          <w:i/>
          <w:iCs/>
          <w:kern w:val="2"/>
          <w14:ligatures w14:val="standardContextual"/>
        </w:rPr>
      </w:pPr>
      <w:r w:rsidRPr="002459D5">
        <w:rPr>
          <w:rFonts w:ascii="Arial" w:eastAsiaTheme="minorHAnsi" w:hAnsi="Arial" w:cs="Arial"/>
          <w:b/>
          <w:bCs/>
          <w:i/>
          <w:iCs/>
          <w:kern w:val="2"/>
          <w14:ligatures w14:val="standardContextual"/>
        </w:rPr>
        <w:lastRenderedPageBreak/>
        <w:t xml:space="preserve">RECOMMENDATION: </w:t>
      </w:r>
      <w:r w:rsidRPr="002459D5">
        <w:rPr>
          <w:rFonts w:ascii="Arial" w:eastAsiaTheme="minorHAnsi" w:hAnsi="Arial" w:cs="Arial"/>
          <w:i/>
          <w:iCs/>
          <w:kern w:val="2"/>
          <w14:ligatures w14:val="standardContextual"/>
        </w:rPr>
        <w:t>Clarify via regulatory guidelines that when chains of counterparties are involved in a trade, the trade report should be performed by either the executing counterparty or its direct counterparty.</w:t>
      </w:r>
    </w:p>
    <w:p w14:paraId="614B068F" w14:textId="77777777" w:rsidR="00B42DFE" w:rsidRPr="002459D5" w:rsidRDefault="00B42DFE" w:rsidP="00EC477F">
      <w:pPr>
        <w:spacing w:after="160" w:line="259" w:lineRule="auto"/>
        <w:rPr>
          <w:rFonts w:ascii="Arial" w:eastAsiaTheme="minorHAnsi" w:hAnsi="Arial" w:cs="Arial"/>
          <w:kern w:val="2"/>
          <w14:ligatures w14:val="standardContextual"/>
        </w:rPr>
      </w:pPr>
      <w:r w:rsidRPr="002459D5">
        <w:rPr>
          <w:rFonts w:ascii="Arial" w:eastAsiaTheme="minorHAnsi" w:hAnsi="Arial" w:cs="Arial"/>
          <w:kern w:val="2"/>
          <w14:ligatures w14:val="standardContextual"/>
        </w:rPr>
        <w:t>B. Cross-border scenarios</w:t>
      </w:r>
    </w:p>
    <w:p w14:paraId="1647835A" w14:textId="77777777" w:rsidR="00B42DFE" w:rsidRPr="002459D5" w:rsidRDefault="00B42DFE" w:rsidP="00EC477F">
      <w:pPr>
        <w:spacing w:after="160" w:line="259" w:lineRule="auto"/>
        <w:ind w:left="709"/>
        <w:rPr>
          <w:rFonts w:ascii="Arial" w:eastAsiaTheme="minorHAnsi" w:hAnsi="Arial" w:cs="Arial"/>
          <w:kern w:val="2"/>
          <w14:ligatures w14:val="standardContextual"/>
        </w:rPr>
      </w:pPr>
      <w:r w:rsidRPr="002459D5">
        <w:rPr>
          <w:rFonts w:ascii="Arial" w:eastAsiaTheme="minorHAnsi" w:hAnsi="Arial" w:cs="Arial"/>
          <w:kern w:val="2"/>
          <w14:ligatures w14:val="standardContextual"/>
        </w:rPr>
        <w:t>As mentioned above, due to the lack of recognition of the UK RTS 1 PTT as equivalent, off-book cross-border transactions need to be dual reported. However, there is a lack of clarity around which counterparty within EU should report such a trade, for example is a DPE (firm A) is selling to a non-DPE (firm B), who sells to a Systematic Internaliser based in UK (firm C). FIX Trading Community guidance states that the first investment firm to receive the trade within the EU should always report, so in this case firm B should report, irrespective of whether it is a DPE or not. Again, we believe that not all counterparties are following this logic.</w:t>
      </w:r>
    </w:p>
    <w:p w14:paraId="5086E0A5" w14:textId="77777777" w:rsidR="00B42DFE" w:rsidRPr="002459D5" w:rsidRDefault="00B42DFE" w:rsidP="00EC477F">
      <w:pPr>
        <w:spacing w:after="160" w:line="259" w:lineRule="auto"/>
        <w:ind w:left="709"/>
        <w:rPr>
          <w:rFonts w:ascii="Arial" w:eastAsiaTheme="minorHAnsi" w:hAnsi="Arial" w:cs="Arial"/>
          <w:i/>
          <w:iCs/>
          <w:kern w:val="2"/>
          <w14:ligatures w14:val="standardContextual"/>
        </w:rPr>
      </w:pPr>
      <w:r w:rsidRPr="002459D5">
        <w:rPr>
          <w:rFonts w:ascii="Arial" w:eastAsiaTheme="minorHAnsi" w:hAnsi="Arial" w:cs="Arial"/>
          <w:b/>
          <w:bCs/>
          <w:i/>
          <w:iCs/>
          <w:kern w:val="2"/>
          <w14:ligatures w14:val="standardContextual"/>
        </w:rPr>
        <w:t xml:space="preserve">RECOMMENDATION: </w:t>
      </w:r>
      <w:r w:rsidRPr="002459D5">
        <w:rPr>
          <w:rFonts w:ascii="Arial" w:eastAsiaTheme="minorHAnsi" w:hAnsi="Arial" w:cs="Arial"/>
          <w:i/>
          <w:iCs/>
          <w:kern w:val="2"/>
          <w14:ligatures w14:val="standardContextual"/>
        </w:rPr>
        <w:t>Clarify via regulatory guidelines that when reporting an off-book cross-border transaction, the trade report should be performed by the first investment firm to receive the trade within EU. Note that this would not be necessary if recommendation 1B above (to recognise the UK RTS 1 PTT as equivalent) was followed.</w:t>
      </w:r>
    </w:p>
    <w:p w14:paraId="616508AF" w14:textId="77777777" w:rsidR="00B42DFE" w:rsidRPr="002459D5" w:rsidRDefault="00B42DFE" w:rsidP="00EC477F">
      <w:pPr>
        <w:spacing w:after="160" w:line="259" w:lineRule="auto"/>
        <w:ind w:left="709"/>
        <w:rPr>
          <w:rFonts w:ascii="Arial" w:eastAsiaTheme="minorHAnsi" w:hAnsi="Arial" w:cs="Arial"/>
          <w:i/>
          <w:iCs/>
          <w:kern w:val="2"/>
          <w14:ligatures w14:val="standardContextual"/>
        </w:rPr>
      </w:pPr>
    </w:p>
    <w:p w14:paraId="7C0B0D3E" w14:textId="77777777" w:rsidR="00B42DFE" w:rsidRPr="002459D5" w:rsidRDefault="00B42DFE" w:rsidP="00EC477F">
      <w:pPr>
        <w:spacing w:after="160" w:line="259" w:lineRule="auto"/>
        <w:rPr>
          <w:rFonts w:ascii="Arial" w:eastAsiaTheme="minorHAnsi" w:hAnsi="Arial" w:cs="Arial"/>
          <w:kern w:val="2"/>
          <w14:ligatures w14:val="standardContextual"/>
        </w:rPr>
      </w:pPr>
      <w:r w:rsidRPr="002459D5">
        <w:rPr>
          <w:rFonts w:ascii="Arial" w:eastAsiaTheme="minorHAnsi" w:hAnsi="Arial" w:cs="Arial"/>
          <w:b/>
          <w:bCs/>
          <w:kern w:val="2"/>
          <w14:ligatures w14:val="standardContextual"/>
        </w:rPr>
        <w:t>CONSEQUENCES OF EXISTING GAPS</w:t>
      </w:r>
      <w:r w:rsidRPr="002459D5">
        <w:rPr>
          <w:rFonts w:ascii="Arial" w:eastAsiaTheme="minorHAnsi" w:hAnsi="Arial" w:cs="Arial"/>
          <w:kern w:val="2"/>
          <w14:ligatures w14:val="standardContextual"/>
        </w:rPr>
        <w:t> </w:t>
      </w:r>
    </w:p>
    <w:p w14:paraId="4F080466" w14:textId="77777777" w:rsidR="00B42DFE" w:rsidRPr="002459D5" w:rsidRDefault="00B42DFE" w:rsidP="00EC477F">
      <w:pPr>
        <w:spacing w:after="160" w:line="259" w:lineRule="auto"/>
        <w:rPr>
          <w:rFonts w:ascii="Arial" w:eastAsiaTheme="minorHAnsi" w:hAnsi="Arial" w:cs="Arial"/>
          <w:kern w:val="2"/>
          <w14:ligatures w14:val="standardContextual"/>
        </w:rPr>
      </w:pPr>
      <w:r w:rsidRPr="002459D5">
        <w:rPr>
          <w:rFonts w:ascii="Arial" w:eastAsiaTheme="minorHAnsi" w:hAnsi="Arial" w:cs="Arial"/>
          <w:kern w:val="2"/>
          <w14:ligatures w14:val="standardContextual"/>
        </w:rPr>
        <w:t>We believe that the current gaps in the PTT framework, if not addressed, will result in: </w:t>
      </w:r>
    </w:p>
    <w:p w14:paraId="019DA715" w14:textId="77777777" w:rsidR="00B42DFE" w:rsidRPr="002459D5" w:rsidRDefault="00B42DFE" w:rsidP="00B42DFE">
      <w:pPr>
        <w:numPr>
          <w:ilvl w:val="0"/>
          <w:numId w:val="23"/>
        </w:numPr>
        <w:spacing w:after="160" w:line="259" w:lineRule="auto"/>
        <w:contextualSpacing/>
        <w:jc w:val="left"/>
        <w:rPr>
          <w:rFonts w:ascii="Arial" w:eastAsiaTheme="minorHAnsi" w:hAnsi="Arial" w:cs="Arial"/>
          <w:kern w:val="2"/>
          <w14:ligatures w14:val="standardContextual"/>
        </w:rPr>
      </w:pPr>
      <w:r w:rsidRPr="002459D5">
        <w:rPr>
          <w:rFonts w:ascii="Arial" w:eastAsiaTheme="minorHAnsi" w:hAnsi="Arial" w:cs="Arial"/>
          <w:kern w:val="2"/>
          <w14:ligatures w14:val="standardContextual"/>
        </w:rPr>
        <w:t>Continued undervaluation of European equity markets due to inflated perceived activity of certain OTC categories, which leads to some investors disregarding all off-book liquidity as inaccessible or non-addressable due to a lack of transparency and understanding,</w:t>
      </w:r>
    </w:p>
    <w:p w14:paraId="181F84EE" w14:textId="77777777" w:rsidR="00B42DFE" w:rsidRPr="002459D5" w:rsidRDefault="00B42DFE" w:rsidP="00B42DFE">
      <w:pPr>
        <w:numPr>
          <w:ilvl w:val="0"/>
          <w:numId w:val="23"/>
        </w:numPr>
        <w:spacing w:after="160" w:line="259" w:lineRule="auto"/>
        <w:contextualSpacing/>
        <w:jc w:val="left"/>
        <w:rPr>
          <w:rFonts w:ascii="Arial" w:eastAsiaTheme="minorHAnsi" w:hAnsi="Arial" w:cs="Arial"/>
          <w:kern w:val="2"/>
          <w14:ligatures w14:val="standardContextual"/>
        </w:rPr>
      </w:pPr>
      <w:r w:rsidRPr="002459D5">
        <w:rPr>
          <w:rFonts w:ascii="Arial" w:eastAsiaTheme="minorHAnsi" w:hAnsi="Arial" w:cs="Arial"/>
          <w:kern w:val="2"/>
          <w14:ligatures w14:val="standardContextual"/>
        </w:rPr>
        <w:t>Persistent data quality degradation affecting market confidence,</w:t>
      </w:r>
    </w:p>
    <w:p w14:paraId="0C3B7010" w14:textId="77777777" w:rsidR="00B42DFE" w:rsidRPr="002459D5" w:rsidRDefault="00B42DFE" w:rsidP="00B42DFE">
      <w:pPr>
        <w:numPr>
          <w:ilvl w:val="0"/>
          <w:numId w:val="23"/>
        </w:numPr>
        <w:spacing w:after="160" w:line="259" w:lineRule="auto"/>
        <w:contextualSpacing/>
        <w:jc w:val="left"/>
        <w:rPr>
          <w:rFonts w:ascii="Arial" w:eastAsiaTheme="minorHAnsi" w:hAnsi="Arial" w:cs="Arial"/>
          <w:kern w:val="2"/>
          <w14:ligatures w14:val="standardContextual"/>
        </w:rPr>
      </w:pPr>
      <w:r w:rsidRPr="002459D5">
        <w:rPr>
          <w:rFonts w:ascii="Arial" w:eastAsiaTheme="minorHAnsi" w:hAnsi="Arial" w:cs="Arial"/>
          <w:kern w:val="2"/>
          <w14:ligatures w14:val="standardContextual"/>
        </w:rPr>
        <w:t>Inconsistent reporting standards undermining regulatory objectives, </w:t>
      </w:r>
    </w:p>
    <w:p w14:paraId="5F46CD5F" w14:textId="77777777" w:rsidR="00B42DFE" w:rsidRPr="002459D5" w:rsidRDefault="00B42DFE" w:rsidP="00B42DFE">
      <w:pPr>
        <w:numPr>
          <w:ilvl w:val="0"/>
          <w:numId w:val="23"/>
        </w:numPr>
        <w:spacing w:after="160" w:line="259" w:lineRule="auto"/>
        <w:contextualSpacing/>
        <w:jc w:val="left"/>
        <w:rPr>
          <w:rFonts w:ascii="Arial" w:eastAsiaTheme="minorHAnsi" w:hAnsi="Arial" w:cs="Arial"/>
          <w:kern w:val="2"/>
          <w14:ligatures w14:val="standardContextual"/>
        </w:rPr>
      </w:pPr>
      <w:r w:rsidRPr="002459D5">
        <w:rPr>
          <w:rFonts w:ascii="Arial" w:eastAsiaTheme="minorHAnsi" w:hAnsi="Arial" w:cs="Arial"/>
          <w:kern w:val="2"/>
          <w14:ligatures w14:val="standardContextual"/>
        </w:rPr>
        <w:t>Reduced effectiveness of the upcoming consolidated tape initiative, and</w:t>
      </w:r>
    </w:p>
    <w:p w14:paraId="3A419682" w14:textId="77777777" w:rsidR="00B42DFE" w:rsidRPr="002459D5" w:rsidRDefault="00B42DFE" w:rsidP="00B42DFE">
      <w:pPr>
        <w:numPr>
          <w:ilvl w:val="0"/>
          <w:numId w:val="23"/>
        </w:numPr>
        <w:spacing w:after="160" w:line="259" w:lineRule="auto"/>
        <w:contextualSpacing/>
        <w:jc w:val="left"/>
        <w:rPr>
          <w:rFonts w:ascii="Arial" w:eastAsiaTheme="minorHAnsi" w:hAnsi="Arial" w:cs="Arial"/>
          <w:kern w:val="2"/>
          <w14:ligatures w14:val="standardContextual"/>
        </w:rPr>
      </w:pPr>
      <w:r w:rsidRPr="002459D5">
        <w:rPr>
          <w:rFonts w:ascii="Arial" w:eastAsiaTheme="minorHAnsi" w:hAnsi="Arial" w:cs="Arial"/>
          <w:kern w:val="2"/>
          <w14:ligatures w14:val="standardContextual"/>
        </w:rPr>
        <w:t>Diminished international competitiveness of European markets.</w:t>
      </w:r>
    </w:p>
    <w:p w14:paraId="0137C50F" w14:textId="77777777" w:rsidR="00B42DFE" w:rsidRPr="002459D5" w:rsidRDefault="00B42DFE" w:rsidP="00EC477F">
      <w:pPr>
        <w:spacing w:after="160" w:line="259" w:lineRule="auto"/>
        <w:ind w:left="720"/>
        <w:contextualSpacing/>
        <w:rPr>
          <w:rFonts w:ascii="Arial" w:eastAsiaTheme="minorHAnsi" w:hAnsi="Arial" w:cs="Arial"/>
          <w:kern w:val="2"/>
          <w14:ligatures w14:val="standardContextual"/>
        </w:rPr>
      </w:pPr>
    </w:p>
    <w:p w14:paraId="538F7D08" w14:textId="77777777" w:rsidR="00B42DFE" w:rsidRPr="002459D5" w:rsidRDefault="00B42DFE" w:rsidP="00EC477F">
      <w:pPr>
        <w:spacing w:after="160" w:line="259" w:lineRule="auto"/>
        <w:ind w:left="720"/>
        <w:contextualSpacing/>
        <w:rPr>
          <w:rFonts w:ascii="Arial" w:eastAsiaTheme="minorHAnsi" w:hAnsi="Arial" w:cs="Arial"/>
          <w:kern w:val="2"/>
          <w14:ligatures w14:val="standardContextual"/>
        </w:rPr>
      </w:pPr>
    </w:p>
    <w:p w14:paraId="42BC78AB" w14:textId="77777777" w:rsidR="00B42DFE" w:rsidRPr="002459D5" w:rsidRDefault="00B42DFE" w:rsidP="00EC477F">
      <w:pPr>
        <w:spacing w:after="160" w:line="259" w:lineRule="auto"/>
        <w:rPr>
          <w:rFonts w:ascii="Arial" w:eastAsiaTheme="minorHAnsi" w:hAnsi="Arial" w:cs="Arial"/>
          <w:kern w:val="2"/>
          <w14:ligatures w14:val="standardContextual"/>
        </w:rPr>
      </w:pPr>
      <w:r w:rsidRPr="002459D5">
        <w:rPr>
          <w:rFonts w:ascii="Arial" w:eastAsiaTheme="minorHAnsi" w:hAnsi="Arial" w:cs="Arial"/>
          <w:b/>
          <w:bCs/>
          <w:kern w:val="2"/>
          <w14:ligatures w14:val="standardContextual"/>
        </w:rPr>
        <w:t>IMPLEMENTATION PATHWAY</w:t>
      </w:r>
      <w:r w:rsidRPr="002459D5">
        <w:rPr>
          <w:rFonts w:ascii="Arial" w:eastAsiaTheme="minorHAnsi" w:hAnsi="Arial" w:cs="Arial"/>
          <w:kern w:val="2"/>
          <w14:ligatures w14:val="standardContextual"/>
        </w:rPr>
        <w:t> </w:t>
      </w:r>
    </w:p>
    <w:p w14:paraId="536E187A" w14:textId="77777777" w:rsidR="00B42DFE" w:rsidRPr="002459D5" w:rsidRDefault="00B42DFE" w:rsidP="00EC477F">
      <w:pPr>
        <w:spacing w:after="160" w:line="259" w:lineRule="auto"/>
        <w:rPr>
          <w:rFonts w:ascii="Arial" w:eastAsiaTheme="minorHAnsi" w:hAnsi="Arial" w:cs="Arial"/>
          <w:kern w:val="2"/>
          <w14:ligatures w14:val="standardContextual"/>
        </w:rPr>
      </w:pPr>
      <w:r w:rsidRPr="002459D5">
        <w:rPr>
          <w:rFonts w:ascii="Arial" w:eastAsiaTheme="minorHAnsi" w:hAnsi="Arial" w:cs="Arial"/>
          <w:kern w:val="2"/>
          <w14:ligatures w14:val="standardContextual"/>
        </w:rPr>
        <w:t>We recommend European regulators to consider these proposals due to the reasons outlined above and, if deemed appropriate, to issue updated PTT implementation guidance as a fast-track step while progressing formal RTS changes through the standard legislative process. The implementation of such updated guidance can be achieved through amendments to existing post-trade manuals and handbooks, followed by refits to the RTSs. This approach will encourage rapid industry implementation, therefore enhancing PTT, while formal regulatory amendments to the legal RTSs proceed through standard channels. </w:t>
      </w:r>
    </w:p>
    <w:p w14:paraId="41ADF0CA" w14:textId="77777777" w:rsidR="00B42DFE" w:rsidRPr="002459D5" w:rsidRDefault="00B42DFE" w:rsidP="00EC477F">
      <w:pPr>
        <w:spacing w:after="160" w:line="259" w:lineRule="auto"/>
        <w:rPr>
          <w:rFonts w:ascii="Arial" w:eastAsiaTheme="minorHAnsi" w:hAnsi="Arial" w:cs="Arial"/>
          <w:kern w:val="2"/>
          <w14:ligatures w14:val="standardContextual"/>
        </w:rPr>
      </w:pPr>
      <w:r w:rsidRPr="002459D5">
        <w:rPr>
          <w:rFonts w:ascii="Arial" w:eastAsiaTheme="minorHAnsi" w:hAnsi="Arial" w:cs="Arial"/>
          <w:kern w:val="2"/>
          <w14:ligatures w14:val="standardContextual"/>
        </w:rPr>
        <w:lastRenderedPageBreak/>
        <w:t>We believe the changes we are recommending can be implemented without significant difficulty by most industry participants, though the ease of implementation will depend on each firm’s specific circumstances. For example:</w:t>
      </w:r>
    </w:p>
    <w:p w14:paraId="48FB4182" w14:textId="77777777" w:rsidR="00B42DFE" w:rsidRPr="002459D5" w:rsidRDefault="00B42DFE" w:rsidP="00B42DFE">
      <w:pPr>
        <w:pStyle w:val="ListBullet"/>
        <w:tabs>
          <w:tab w:val="num" w:pos="360"/>
        </w:tabs>
        <w:spacing w:before="0" w:after="160" w:line="259" w:lineRule="auto"/>
        <w:ind w:left="360" w:hanging="360"/>
        <w:rPr>
          <w:rFonts w:ascii="Arial" w:hAnsi="Arial" w:cs="Arial"/>
        </w:rPr>
      </w:pPr>
      <w:r w:rsidRPr="002459D5">
        <w:rPr>
          <w:rFonts w:ascii="Arial" w:hAnsi="Arial" w:cs="Arial"/>
        </w:rPr>
        <w:t xml:space="preserve">The “CLSE” flag is already a requirement in the UK, and hence already adopted by many international market participants, </w:t>
      </w:r>
    </w:p>
    <w:p w14:paraId="6A0D070B" w14:textId="77777777" w:rsidR="00B42DFE" w:rsidRPr="002459D5" w:rsidRDefault="00B42DFE" w:rsidP="00B42DFE">
      <w:pPr>
        <w:pStyle w:val="ListBullet"/>
        <w:tabs>
          <w:tab w:val="num" w:pos="360"/>
        </w:tabs>
        <w:spacing w:before="0" w:after="160" w:line="259" w:lineRule="auto"/>
        <w:ind w:left="360" w:hanging="360"/>
        <w:rPr>
          <w:rFonts w:ascii="Arial" w:hAnsi="Arial" w:cs="Arial"/>
        </w:rPr>
      </w:pPr>
      <w:r w:rsidRPr="002459D5">
        <w:rPr>
          <w:rFonts w:ascii="Arial" w:hAnsi="Arial" w:cs="Arial"/>
        </w:rPr>
        <w:t xml:space="preserve">FIX tag 2405 follows the same functional principles as for on-venue execution. </w:t>
      </w:r>
    </w:p>
    <w:p w14:paraId="10D423A4" w14:textId="77777777" w:rsidR="00B42DFE" w:rsidRPr="002459D5" w:rsidRDefault="00B42DFE" w:rsidP="00B42DFE">
      <w:pPr>
        <w:pStyle w:val="ListBullet"/>
        <w:tabs>
          <w:tab w:val="num" w:pos="360"/>
        </w:tabs>
        <w:spacing w:before="0" w:after="160" w:line="259" w:lineRule="auto"/>
        <w:ind w:left="360" w:hanging="360"/>
        <w:rPr>
          <w:rFonts w:ascii="Arial" w:hAnsi="Arial" w:cs="Arial"/>
        </w:rPr>
      </w:pPr>
      <w:r w:rsidRPr="002459D5">
        <w:rPr>
          <w:rFonts w:ascii="Arial" w:hAnsi="Arial" w:cs="Arial"/>
        </w:rPr>
        <w:t xml:space="preserve">Trading venues accepting off-book on-exchange trade reports were not required to publish NPFT-type transactions prior to MiFID II and could in theory reactivate such suppression. </w:t>
      </w:r>
    </w:p>
    <w:p w14:paraId="3567FA9C" w14:textId="77777777" w:rsidR="00B42DFE" w:rsidRPr="002459D5" w:rsidRDefault="00B42DFE" w:rsidP="00B42DFE">
      <w:pPr>
        <w:pStyle w:val="ListBullet"/>
        <w:tabs>
          <w:tab w:val="num" w:pos="360"/>
        </w:tabs>
        <w:spacing w:before="0" w:after="160" w:line="259" w:lineRule="auto"/>
        <w:ind w:left="360" w:hanging="360"/>
        <w:rPr>
          <w:rFonts w:ascii="Arial" w:hAnsi="Arial" w:cs="Arial"/>
        </w:rPr>
      </w:pPr>
      <w:r w:rsidRPr="002459D5">
        <w:rPr>
          <w:rFonts w:ascii="Arial" w:hAnsi="Arial" w:cs="Arial"/>
        </w:rPr>
        <w:t>The equivalence of reporting regimes would only require the suppression of the second (duplicative) trade report.</w:t>
      </w:r>
    </w:p>
    <w:p w14:paraId="7105F6B4" w14:textId="77777777" w:rsidR="00B42DFE" w:rsidRPr="002459D5" w:rsidRDefault="00B42DFE" w:rsidP="00EC477F">
      <w:pPr>
        <w:spacing w:after="160" w:line="259" w:lineRule="auto"/>
        <w:rPr>
          <w:rFonts w:ascii="Arial" w:eastAsiaTheme="minorHAnsi" w:hAnsi="Arial" w:cs="Arial"/>
          <w:kern w:val="2"/>
          <w14:ligatures w14:val="standardContextual"/>
        </w:rPr>
      </w:pPr>
    </w:p>
    <w:p w14:paraId="0CD654E6" w14:textId="77777777" w:rsidR="00B42DFE" w:rsidRPr="002459D5" w:rsidRDefault="00B42DFE" w:rsidP="00EC477F">
      <w:pPr>
        <w:spacing w:after="160" w:line="259" w:lineRule="auto"/>
        <w:rPr>
          <w:rFonts w:ascii="Arial" w:eastAsiaTheme="minorHAnsi" w:hAnsi="Arial" w:cs="Arial"/>
          <w:kern w:val="2"/>
          <w14:ligatures w14:val="standardContextual"/>
        </w:rPr>
      </w:pPr>
      <w:r w:rsidRPr="002459D5">
        <w:rPr>
          <w:rFonts w:ascii="Arial" w:eastAsiaTheme="minorHAnsi" w:hAnsi="Arial" w:cs="Arial"/>
          <w:b/>
          <w:bCs/>
          <w:kern w:val="2"/>
          <w14:ligatures w14:val="standardContextual"/>
        </w:rPr>
        <w:t>CONCLUSION</w:t>
      </w:r>
      <w:r w:rsidRPr="002459D5">
        <w:rPr>
          <w:rFonts w:ascii="Arial" w:eastAsiaTheme="minorHAnsi" w:hAnsi="Arial" w:cs="Arial"/>
          <w:kern w:val="2"/>
          <w14:ligatures w14:val="standardContextual"/>
        </w:rPr>
        <w:t> </w:t>
      </w:r>
    </w:p>
    <w:p w14:paraId="1583B8A0" w14:textId="77777777" w:rsidR="00B42DFE" w:rsidRPr="002459D5" w:rsidRDefault="00B42DFE" w:rsidP="00EC477F">
      <w:pPr>
        <w:spacing w:after="160" w:line="259" w:lineRule="auto"/>
        <w:rPr>
          <w:rFonts w:ascii="Arial" w:eastAsiaTheme="minorHAnsi" w:hAnsi="Arial" w:cs="Arial"/>
          <w:kern w:val="2"/>
          <w14:ligatures w14:val="standardContextual"/>
        </w:rPr>
      </w:pPr>
      <w:r w:rsidRPr="002459D5">
        <w:rPr>
          <w:rFonts w:ascii="Arial" w:eastAsiaTheme="minorHAnsi" w:hAnsi="Arial" w:cs="Arial"/>
          <w:kern w:val="2"/>
          <w14:ligatures w14:val="standardContextual"/>
        </w:rPr>
        <w:t>These recommendations represent essential post trade transparency improvements that will position European markets for sustained growth and international competitiveness. The proposed amendments align with established international best practices, demonstrating regulatory precedent and feasibility. </w:t>
      </w:r>
    </w:p>
    <w:p w14:paraId="794E8705" w14:textId="77777777" w:rsidR="00B42DFE" w:rsidRPr="002459D5" w:rsidRDefault="00B42DFE" w:rsidP="00EC477F">
      <w:pPr>
        <w:spacing w:after="160" w:line="259" w:lineRule="auto"/>
        <w:rPr>
          <w:rFonts w:ascii="Arial" w:eastAsiaTheme="minorHAnsi" w:hAnsi="Arial" w:cs="Arial"/>
          <w:kern w:val="2"/>
          <w14:ligatures w14:val="standardContextual"/>
        </w:rPr>
      </w:pPr>
      <w:r w:rsidRPr="002459D5">
        <w:rPr>
          <w:rFonts w:ascii="Arial" w:eastAsiaTheme="minorHAnsi" w:hAnsi="Arial" w:cs="Arial"/>
          <w:kern w:val="2"/>
          <w14:ligatures w14:val="standardContextual"/>
        </w:rPr>
        <w:t>We respectfully submit that these modifications are not merely beneficial but essential for European market development. The current framework's deficiencies actively undermine regulatory objectives and market efficiency. Swift implementation of these recommendations will demonstrate European leadership in financial market innovation and transparency. </w:t>
      </w:r>
    </w:p>
    <w:p w14:paraId="505D21A8" w14:textId="77777777" w:rsidR="00B42DFE" w:rsidRDefault="00B42DFE" w:rsidP="003A33E5">
      <w:pPr>
        <w:rPr>
          <w:rFonts w:ascii="Arial" w:eastAsiaTheme="minorHAnsi" w:hAnsi="Arial" w:cs="Arial"/>
          <w:kern w:val="2"/>
          <w14:ligatures w14:val="standardContextual"/>
        </w:rPr>
      </w:pPr>
      <w:r w:rsidRPr="002459D5">
        <w:rPr>
          <w:rFonts w:ascii="Arial" w:eastAsiaTheme="minorHAnsi" w:hAnsi="Arial" w:cs="Arial"/>
          <w:kern w:val="2"/>
          <w14:ligatures w14:val="standardContextual"/>
        </w:rPr>
        <w:t>We stand ready to provide additional technical detail and support implementation efforts. We respectfully request your urgent consideration of these important recommendations.</w:t>
      </w:r>
    </w:p>
    <w:permEnd w:id="1195269664"/>
    <w:p w14:paraId="56D63882" w14:textId="4798EA30" w:rsidR="003A33E5" w:rsidRDefault="003A33E5" w:rsidP="003A33E5">
      <w:r>
        <w:t>&lt;ESMA_QUESTION_MSEM_4</w:t>
      </w:r>
      <w:r w:rsidR="706D62AF">
        <w:t>5</w:t>
      </w:r>
      <w:r>
        <w:t>&gt;</w:t>
      </w:r>
    </w:p>
    <w:p w14:paraId="7342C6D7" w14:textId="77777777" w:rsidR="003A33E5" w:rsidRDefault="003A33E5" w:rsidP="003A33E5"/>
    <w:p w14:paraId="5C13E2AD" w14:textId="4AB95E85" w:rsidR="00B356BE" w:rsidRDefault="00B356BE" w:rsidP="003A33E5">
      <w:pPr>
        <w:pStyle w:val="Questionstyle"/>
        <w:tabs>
          <w:tab w:val="clear" w:pos="567"/>
        </w:tabs>
        <w:spacing w:before="120" w:after="120"/>
        <w:ind w:left="851" w:firstLine="0"/>
      </w:pPr>
    </w:p>
    <w:sectPr w:rsidR="00B356BE" w:rsidSect="00AD0B10">
      <w:headerReference w:type="default" r:id="rId20"/>
      <w:footerReference w:type="default" r:id="rId21"/>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6DD40" w14:textId="77777777" w:rsidR="006F7463" w:rsidRDefault="006F7463" w:rsidP="007E7997">
      <w:pPr>
        <w:spacing w:line="240" w:lineRule="auto"/>
      </w:pPr>
      <w:r>
        <w:separator/>
      </w:r>
    </w:p>
  </w:endnote>
  <w:endnote w:type="continuationSeparator" w:id="0">
    <w:p w14:paraId="3CDB661F" w14:textId="77777777" w:rsidR="006F7463" w:rsidRDefault="006F7463" w:rsidP="007E7997">
      <w:pPr>
        <w:spacing w:line="240" w:lineRule="auto"/>
      </w:pPr>
      <w:r>
        <w:continuationSeparator/>
      </w:r>
    </w:p>
  </w:endnote>
  <w:endnote w:type="continuationNotice" w:id="1">
    <w:p w14:paraId="648F3EDC" w14:textId="77777777" w:rsidR="006F7463" w:rsidRDefault="006F74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07986" w14:textId="77777777" w:rsidR="006F7463" w:rsidRDefault="006F7463" w:rsidP="007E7997">
      <w:pPr>
        <w:spacing w:line="240" w:lineRule="auto"/>
      </w:pPr>
      <w:r>
        <w:separator/>
      </w:r>
    </w:p>
  </w:footnote>
  <w:footnote w:type="continuationSeparator" w:id="0">
    <w:p w14:paraId="5545A905" w14:textId="77777777" w:rsidR="006F7463" w:rsidRDefault="006F7463" w:rsidP="007E7997">
      <w:pPr>
        <w:spacing w:line="240" w:lineRule="auto"/>
      </w:pPr>
      <w:r>
        <w:continuationSeparator/>
      </w:r>
    </w:p>
  </w:footnote>
  <w:footnote w:type="continuationNotice" w:id="1">
    <w:p w14:paraId="6E822AD6" w14:textId="77777777" w:rsidR="006F7463" w:rsidRDefault="006F7463">
      <w:pPr>
        <w:spacing w:after="0" w:line="240" w:lineRule="auto"/>
      </w:pPr>
    </w:p>
  </w:footnote>
  <w:footnote w:id="2">
    <w:p w14:paraId="6C3E00C8" w14:textId="77777777" w:rsidR="00B42DFE" w:rsidRPr="00D72753" w:rsidRDefault="00B42DFE" w:rsidP="00B42DFE">
      <w:pPr>
        <w:pStyle w:val="FootnoteText"/>
        <w:rPr>
          <w:szCs w:val="16"/>
        </w:rPr>
      </w:pPr>
      <w:r w:rsidRPr="00D72753">
        <w:rPr>
          <w:rStyle w:val="FootnoteReference"/>
          <w:szCs w:val="16"/>
        </w:rPr>
        <w:footnoteRef/>
      </w:r>
      <w:r w:rsidRPr="00D72753">
        <w:rPr>
          <w:szCs w:val="16"/>
        </w:rPr>
        <w:t xml:space="preserve"> ESMA Opinion – Determining third-country trading venues for the purpose of transparency under MiFID II/MiFIR: https://www.esma.europa.eu/sites/default/files/library/esma70-154-165_smsc_opinion_transparency_third_countries.pdf</w:t>
      </w:r>
    </w:p>
  </w:footnote>
  <w:footnote w:id="3">
    <w:p w14:paraId="21B0FB55" w14:textId="77777777" w:rsidR="00B42DFE" w:rsidRDefault="00B42DFE" w:rsidP="00B42DFE">
      <w:pPr>
        <w:pStyle w:val="FootnoteText"/>
      </w:pPr>
      <w:r w:rsidRPr="00D72753">
        <w:rPr>
          <w:rStyle w:val="FootnoteReference"/>
          <w:szCs w:val="16"/>
        </w:rPr>
        <w:footnoteRef/>
      </w:r>
      <w:r w:rsidRPr="00D72753">
        <w:rPr>
          <w:szCs w:val="16"/>
        </w:rPr>
        <w:t xml:space="preserve"> ESMA’s List of 3</w:t>
      </w:r>
      <w:r w:rsidRPr="00D72753">
        <w:rPr>
          <w:szCs w:val="16"/>
          <w:vertAlign w:val="superscript"/>
        </w:rPr>
        <w:t>rd</w:t>
      </w:r>
      <w:r w:rsidRPr="00D72753">
        <w:rPr>
          <w:szCs w:val="16"/>
        </w:rPr>
        <w:t xml:space="preserve"> country venues deemed equivalent for the purpose of transparency under MiFIR: https://www.esma.europa.eu/sites/default/files/library/esma70-155-10816_annex_to_transparency_opinion_csv.csv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038FF9F5" w:rsidR="00D77369" w:rsidRPr="00DB2FD6" w:rsidRDefault="00D77369" w:rsidP="008858FE">
    <w:pPr>
      <w:pStyle w:val="Header"/>
      <w:rPr>
        <w:bCs/>
        <w:caps/>
        <w:color w:val="FF0000" w:themeColor="accent6"/>
        <w:sz w:val="22"/>
        <w:highlight w:val="yellow"/>
      </w:rPr>
    </w:pPr>
    <w:r w:rsidRPr="00941BDF">
      <w:rPr>
        <w:rStyle w:val="ESMAConfidentialRestricted"/>
        <w:noProof/>
        <w:highlight w:val="yellow"/>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BD4DCA">
      <w:t>30 April</w:t>
    </w:r>
    <w:r w:rsidR="00D93D74">
      <w:t xml:space="preserve"> 202</w:t>
    </w:r>
    <w:r w:rsidR="00941BDF">
      <w:t>6</w:t>
    </w:r>
  </w:p>
  <w:p w14:paraId="10BD5565" w14:textId="26723225" w:rsidR="008858FE" w:rsidRPr="000C70F0" w:rsidRDefault="00224639" w:rsidP="009C6AE0">
    <w:pPr>
      <w:jc w:val="right"/>
      <w:rPr>
        <w:sz w:val="16"/>
        <w:szCs w:val="16"/>
      </w:rPr>
    </w:pPr>
    <w:r w:rsidRPr="00224639">
      <w:rPr>
        <w:sz w:val="16"/>
        <w:szCs w:val="16"/>
      </w:rPr>
      <w:t>ESMA74-1119406008-1622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AFEB1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83C1C"/>
    <w:multiLevelType w:val="hybridMultilevel"/>
    <w:tmpl w:val="640CA0A0"/>
    <w:lvl w:ilvl="0" w:tplc="DB0C1BB6">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7D60E1"/>
    <w:multiLevelType w:val="multilevel"/>
    <w:tmpl w:val="D9344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2E18052E"/>
    <w:multiLevelType w:val="hybridMultilevel"/>
    <w:tmpl w:val="C9D23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A52232B"/>
    <w:multiLevelType w:val="hybridMultilevel"/>
    <w:tmpl w:val="E474F29A"/>
    <w:lvl w:ilvl="0" w:tplc="91A4A3F4">
      <w:start w:val="1"/>
      <w:numFmt w:val="decimal"/>
      <w:lvlText w:val="Q%1"/>
      <w:lvlJc w:val="left"/>
      <w:pPr>
        <w:ind w:left="2629"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DA5263A"/>
    <w:multiLevelType w:val="hybridMultilevel"/>
    <w:tmpl w:val="62E8B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A61840"/>
    <w:multiLevelType w:val="hybridMultilevel"/>
    <w:tmpl w:val="1EE802E8"/>
    <w:lvl w:ilvl="0" w:tplc="30EC5BE8">
      <w:start w:val="1"/>
      <w:numFmt w:val="bullet"/>
      <w:pStyle w:val="ListParagraph"/>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13"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529E4C87"/>
    <w:multiLevelType w:val="multilevel"/>
    <w:tmpl w:val="24507C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EF0D5D"/>
    <w:multiLevelType w:val="multilevel"/>
    <w:tmpl w:val="938850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071421525">
    <w:abstractNumId w:val="17"/>
  </w:num>
  <w:num w:numId="2" w16cid:durableId="270287514">
    <w:abstractNumId w:val="7"/>
  </w:num>
  <w:num w:numId="3" w16cid:durableId="1675497260">
    <w:abstractNumId w:val="15"/>
  </w:num>
  <w:num w:numId="4" w16cid:durableId="1146706333">
    <w:abstractNumId w:val="6"/>
  </w:num>
  <w:num w:numId="5" w16cid:durableId="1502348752">
    <w:abstractNumId w:val="1"/>
  </w:num>
  <w:num w:numId="6" w16cid:durableId="1544101585">
    <w:abstractNumId w:val="9"/>
  </w:num>
  <w:num w:numId="7" w16cid:durableId="896626050">
    <w:abstractNumId w:val="18"/>
  </w:num>
  <w:num w:numId="8" w16cid:durableId="806780153">
    <w:abstractNumId w:val="4"/>
  </w:num>
  <w:num w:numId="9" w16cid:durableId="1677002603">
    <w:abstractNumId w:val="16"/>
  </w:num>
  <w:num w:numId="10" w16cid:durableId="22487393">
    <w:abstractNumId w:val="13"/>
  </w:num>
  <w:num w:numId="11" w16cid:durableId="270942799">
    <w:abstractNumId w:val="12"/>
  </w:num>
  <w:num w:numId="12" w16cid:durableId="10230698">
    <w:abstractNumId w:val="12"/>
    <w:lvlOverride w:ilvl="0">
      <w:startOverride w:val="1"/>
    </w:lvlOverride>
  </w:num>
  <w:num w:numId="13" w16cid:durableId="1914856611">
    <w:abstractNumId w:val="3"/>
  </w:num>
  <w:num w:numId="14" w16cid:durableId="2976140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10"/>
  </w:num>
  <w:num w:numId="17" w16cid:durableId="1393188431">
    <w:abstractNumId w:val="0"/>
  </w:num>
  <w:num w:numId="18" w16cid:durableId="428501194">
    <w:abstractNumId w:val="2"/>
  </w:num>
  <w:num w:numId="19" w16cid:durableId="577323393">
    <w:abstractNumId w:val="8"/>
  </w:num>
  <w:num w:numId="20" w16cid:durableId="1233734912">
    <w:abstractNumId w:val="14"/>
  </w:num>
  <w:num w:numId="21" w16cid:durableId="606816058">
    <w:abstractNumId w:val="19"/>
  </w:num>
  <w:num w:numId="22" w16cid:durableId="7680146">
    <w:abstractNumId w:val="5"/>
  </w:num>
  <w:num w:numId="23" w16cid:durableId="898902480">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HltZzcBQroKhBBXjV5yi/X3Hp/myOWNFgYIFDznfcmfbhzVxSjPB2LER3Ya830N5xevkdLc5k5MV1oF6ohkGw==" w:salt="kwocwL9wt62DM6aJOGzV+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693C"/>
    <w:rsid w:val="00007464"/>
    <w:rsid w:val="00007779"/>
    <w:rsid w:val="000079F1"/>
    <w:rsid w:val="00007A47"/>
    <w:rsid w:val="00007A85"/>
    <w:rsid w:val="00007F5B"/>
    <w:rsid w:val="0001028C"/>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6"/>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6CEC"/>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B6B"/>
    <w:rsid w:val="00045BA9"/>
    <w:rsid w:val="00045CED"/>
    <w:rsid w:val="000469D2"/>
    <w:rsid w:val="000470E5"/>
    <w:rsid w:val="00047270"/>
    <w:rsid w:val="00047759"/>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926"/>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027"/>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77FCA"/>
    <w:rsid w:val="000801E8"/>
    <w:rsid w:val="00080D13"/>
    <w:rsid w:val="00080DC3"/>
    <w:rsid w:val="00080FC3"/>
    <w:rsid w:val="000812C7"/>
    <w:rsid w:val="00081841"/>
    <w:rsid w:val="00081F58"/>
    <w:rsid w:val="0008237A"/>
    <w:rsid w:val="00082948"/>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732"/>
    <w:rsid w:val="00092AA2"/>
    <w:rsid w:val="0009321F"/>
    <w:rsid w:val="000934DC"/>
    <w:rsid w:val="000934FD"/>
    <w:rsid w:val="0009362A"/>
    <w:rsid w:val="00093884"/>
    <w:rsid w:val="00093EA2"/>
    <w:rsid w:val="000942EA"/>
    <w:rsid w:val="0009498D"/>
    <w:rsid w:val="00094C24"/>
    <w:rsid w:val="00095712"/>
    <w:rsid w:val="0009597A"/>
    <w:rsid w:val="00095B45"/>
    <w:rsid w:val="00095E39"/>
    <w:rsid w:val="000968A1"/>
    <w:rsid w:val="00096AAC"/>
    <w:rsid w:val="00096B28"/>
    <w:rsid w:val="00096D55"/>
    <w:rsid w:val="00096D57"/>
    <w:rsid w:val="00096F0E"/>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605"/>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0F0"/>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564"/>
    <w:rsid w:val="000E4875"/>
    <w:rsid w:val="000E492C"/>
    <w:rsid w:val="000E49FC"/>
    <w:rsid w:val="000E4A13"/>
    <w:rsid w:val="000E4B31"/>
    <w:rsid w:val="000E4B48"/>
    <w:rsid w:val="000E5313"/>
    <w:rsid w:val="000E539E"/>
    <w:rsid w:val="000E5B21"/>
    <w:rsid w:val="000E6341"/>
    <w:rsid w:val="000E686A"/>
    <w:rsid w:val="000E6879"/>
    <w:rsid w:val="000E70F7"/>
    <w:rsid w:val="000E7344"/>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3E80"/>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1D7E"/>
    <w:rsid w:val="00162033"/>
    <w:rsid w:val="00162660"/>
    <w:rsid w:val="00162BE2"/>
    <w:rsid w:val="00162E45"/>
    <w:rsid w:val="0016313B"/>
    <w:rsid w:val="0016369E"/>
    <w:rsid w:val="0016408C"/>
    <w:rsid w:val="00164153"/>
    <w:rsid w:val="00164468"/>
    <w:rsid w:val="001646B2"/>
    <w:rsid w:val="00165689"/>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7AE"/>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0C3"/>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2BDE"/>
    <w:rsid w:val="001E3356"/>
    <w:rsid w:val="001E36EC"/>
    <w:rsid w:val="001E49F9"/>
    <w:rsid w:val="001E49FD"/>
    <w:rsid w:val="001E4E68"/>
    <w:rsid w:val="001E5253"/>
    <w:rsid w:val="001E599B"/>
    <w:rsid w:val="001E5BDC"/>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174"/>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2FED"/>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39"/>
    <w:rsid w:val="00224667"/>
    <w:rsid w:val="002247AF"/>
    <w:rsid w:val="0022488F"/>
    <w:rsid w:val="00224ABF"/>
    <w:rsid w:val="002255A5"/>
    <w:rsid w:val="002262FA"/>
    <w:rsid w:val="00227538"/>
    <w:rsid w:val="00227964"/>
    <w:rsid w:val="00227A16"/>
    <w:rsid w:val="00227A98"/>
    <w:rsid w:val="00227E47"/>
    <w:rsid w:val="00227F6F"/>
    <w:rsid w:val="00227FD5"/>
    <w:rsid w:val="0023008B"/>
    <w:rsid w:val="00230BBE"/>
    <w:rsid w:val="00230FA9"/>
    <w:rsid w:val="00231643"/>
    <w:rsid w:val="00231659"/>
    <w:rsid w:val="002317B0"/>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5B8"/>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6C4"/>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3A0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6F25"/>
    <w:rsid w:val="002B73FB"/>
    <w:rsid w:val="002B7497"/>
    <w:rsid w:val="002B76FE"/>
    <w:rsid w:val="002B7955"/>
    <w:rsid w:val="002B7F6D"/>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6E9E"/>
    <w:rsid w:val="002D7205"/>
    <w:rsid w:val="002D750A"/>
    <w:rsid w:val="002D772D"/>
    <w:rsid w:val="002E0065"/>
    <w:rsid w:val="002E04A9"/>
    <w:rsid w:val="002E064A"/>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5B"/>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903"/>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9"/>
    <w:rsid w:val="003432FA"/>
    <w:rsid w:val="00343507"/>
    <w:rsid w:val="00343A52"/>
    <w:rsid w:val="00343BFD"/>
    <w:rsid w:val="00343FFC"/>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95"/>
    <w:rsid w:val="003519DA"/>
    <w:rsid w:val="00351BE3"/>
    <w:rsid w:val="00351F1F"/>
    <w:rsid w:val="00352A2C"/>
    <w:rsid w:val="00352DA9"/>
    <w:rsid w:val="003535E3"/>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8D8"/>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25"/>
    <w:rsid w:val="0037015B"/>
    <w:rsid w:val="0037020E"/>
    <w:rsid w:val="00370671"/>
    <w:rsid w:val="00370DC9"/>
    <w:rsid w:val="00371A95"/>
    <w:rsid w:val="00371C57"/>
    <w:rsid w:val="00371CBD"/>
    <w:rsid w:val="00372038"/>
    <w:rsid w:val="00372212"/>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33E5"/>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4826"/>
    <w:rsid w:val="003B52FF"/>
    <w:rsid w:val="003B56AF"/>
    <w:rsid w:val="003B6135"/>
    <w:rsid w:val="003B6B26"/>
    <w:rsid w:val="003B6E20"/>
    <w:rsid w:val="003B6F36"/>
    <w:rsid w:val="003B79FB"/>
    <w:rsid w:val="003B7B98"/>
    <w:rsid w:val="003B7CCB"/>
    <w:rsid w:val="003B7D3F"/>
    <w:rsid w:val="003C059F"/>
    <w:rsid w:val="003C16C6"/>
    <w:rsid w:val="003C1710"/>
    <w:rsid w:val="003C1D0D"/>
    <w:rsid w:val="003C232C"/>
    <w:rsid w:val="003C2C9B"/>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2D4"/>
    <w:rsid w:val="003F6714"/>
    <w:rsid w:val="003F6AD4"/>
    <w:rsid w:val="003F7008"/>
    <w:rsid w:val="003F70E0"/>
    <w:rsid w:val="003F7508"/>
    <w:rsid w:val="003F7C9B"/>
    <w:rsid w:val="003F7CCE"/>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271"/>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45A"/>
    <w:rsid w:val="004319ED"/>
    <w:rsid w:val="00431A08"/>
    <w:rsid w:val="00431BB6"/>
    <w:rsid w:val="0043235B"/>
    <w:rsid w:val="0043242D"/>
    <w:rsid w:val="004325FF"/>
    <w:rsid w:val="00432848"/>
    <w:rsid w:val="0043284D"/>
    <w:rsid w:val="00432AC4"/>
    <w:rsid w:val="00432FC9"/>
    <w:rsid w:val="0043354B"/>
    <w:rsid w:val="00433A3D"/>
    <w:rsid w:val="00433AD8"/>
    <w:rsid w:val="00433CA1"/>
    <w:rsid w:val="004348DB"/>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F94"/>
    <w:rsid w:val="00445696"/>
    <w:rsid w:val="00445B7E"/>
    <w:rsid w:val="00445BC4"/>
    <w:rsid w:val="00445E7B"/>
    <w:rsid w:val="00446548"/>
    <w:rsid w:val="004468C4"/>
    <w:rsid w:val="00447737"/>
    <w:rsid w:val="00447D0D"/>
    <w:rsid w:val="00450412"/>
    <w:rsid w:val="004504AA"/>
    <w:rsid w:val="00450C2E"/>
    <w:rsid w:val="00450DA2"/>
    <w:rsid w:val="004510EA"/>
    <w:rsid w:val="004515DA"/>
    <w:rsid w:val="00451618"/>
    <w:rsid w:val="00451A0B"/>
    <w:rsid w:val="00451AD6"/>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818"/>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A18"/>
    <w:rsid w:val="00464D47"/>
    <w:rsid w:val="0046503C"/>
    <w:rsid w:val="0046520D"/>
    <w:rsid w:val="004652F0"/>
    <w:rsid w:val="00465522"/>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3A6"/>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95"/>
    <w:rsid w:val="004914E1"/>
    <w:rsid w:val="00491546"/>
    <w:rsid w:val="0049159C"/>
    <w:rsid w:val="004916FC"/>
    <w:rsid w:val="00491908"/>
    <w:rsid w:val="004920D6"/>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8BB"/>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E1"/>
    <w:rsid w:val="004C47F3"/>
    <w:rsid w:val="004C4E07"/>
    <w:rsid w:val="004C4E65"/>
    <w:rsid w:val="004C5070"/>
    <w:rsid w:val="004C5308"/>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0A02"/>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6F0"/>
    <w:rsid w:val="004E5D1C"/>
    <w:rsid w:val="004E5F2A"/>
    <w:rsid w:val="004E5FA3"/>
    <w:rsid w:val="004E5FF8"/>
    <w:rsid w:val="004E617E"/>
    <w:rsid w:val="004E61AC"/>
    <w:rsid w:val="004E723E"/>
    <w:rsid w:val="004E741E"/>
    <w:rsid w:val="004E7753"/>
    <w:rsid w:val="004E7E26"/>
    <w:rsid w:val="004E7F43"/>
    <w:rsid w:val="004F01A2"/>
    <w:rsid w:val="004F02D7"/>
    <w:rsid w:val="004F0326"/>
    <w:rsid w:val="004F0331"/>
    <w:rsid w:val="004F03A9"/>
    <w:rsid w:val="004F05EF"/>
    <w:rsid w:val="004F17A3"/>
    <w:rsid w:val="004F18EB"/>
    <w:rsid w:val="004F19E6"/>
    <w:rsid w:val="004F1A10"/>
    <w:rsid w:val="004F30AE"/>
    <w:rsid w:val="004F31A6"/>
    <w:rsid w:val="004F3BEE"/>
    <w:rsid w:val="004F4117"/>
    <w:rsid w:val="004F4161"/>
    <w:rsid w:val="004F4296"/>
    <w:rsid w:val="004F4339"/>
    <w:rsid w:val="004F452E"/>
    <w:rsid w:val="004F45B3"/>
    <w:rsid w:val="004F5A02"/>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77"/>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9CE"/>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6F"/>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0C7"/>
    <w:rsid w:val="005551C3"/>
    <w:rsid w:val="00555ED6"/>
    <w:rsid w:val="00555F0B"/>
    <w:rsid w:val="005566AB"/>
    <w:rsid w:val="00556B3C"/>
    <w:rsid w:val="00556CB0"/>
    <w:rsid w:val="00557275"/>
    <w:rsid w:val="005572DC"/>
    <w:rsid w:val="00557349"/>
    <w:rsid w:val="00557442"/>
    <w:rsid w:val="005579EE"/>
    <w:rsid w:val="00560149"/>
    <w:rsid w:val="00560364"/>
    <w:rsid w:val="00560C10"/>
    <w:rsid w:val="00560E0B"/>
    <w:rsid w:val="00561168"/>
    <w:rsid w:val="005611C2"/>
    <w:rsid w:val="00561211"/>
    <w:rsid w:val="005613CF"/>
    <w:rsid w:val="00561A32"/>
    <w:rsid w:val="005621EC"/>
    <w:rsid w:val="0056227D"/>
    <w:rsid w:val="005623FC"/>
    <w:rsid w:val="005625F4"/>
    <w:rsid w:val="005631E8"/>
    <w:rsid w:val="00563221"/>
    <w:rsid w:val="005633E4"/>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C23"/>
    <w:rsid w:val="00570FC2"/>
    <w:rsid w:val="005715C7"/>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2BA"/>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AAE"/>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5CA"/>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C75"/>
    <w:rsid w:val="005B1D17"/>
    <w:rsid w:val="005B1EFA"/>
    <w:rsid w:val="005B2269"/>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1E"/>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4AE"/>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5C54"/>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387"/>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6F0B"/>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A96"/>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2B77"/>
    <w:rsid w:val="00663072"/>
    <w:rsid w:val="006630E0"/>
    <w:rsid w:val="006631EB"/>
    <w:rsid w:val="00663691"/>
    <w:rsid w:val="00663F4C"/>
    <w:rsid w:val="006644F7"/>
    <w:rsid w:val="00664DE9"/>
    <w:rsid w:val="00665825"/>
    <w:rsid w:val="00665A7C"/>
    <w:rsid w:val="00665CF5"/>
    <w:rsid w:val="00665DEC"/>
    <w:rsid w:val="006667A8"/>
    <w:rsid w:val="0066774F"/>
    <w:rsid w:val="00667827"/>
    <w:rsid w:val="0067070C"/>
    <w:rsid w:val="00670818"/>
    <w:rsid w:val="006709B7"/>
    <w:rsid w:val="00671363"/>
    <w:rsid w:val="006719CC"/>
    <w:rsid w:val="00671B52"/>
    <w:rsid w:val="00671B8C"/>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610"/>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1AC"/>
    <w:rsid w:val="006A6374"/>
    <w:rsid w:val="006A64F6"/>
    <w:rsid w:val="006A658C"/>
    <w:rsid w:val="006A66BF"/>
    <w:rsid w:val="006A6A45"/>
    <w:rsid w:val="006A7238"/>
    <w:rsid w:val="006A756A"/>
    <w:rsid w:val="006A761D"/>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BA3"/>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ABA"/>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0C2D"/>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6F7463"/>
    <w:rsid w:val="006F7649"/>
    <w:rsid w:val="007009D6"/>
    <w:rsid w:val="00700C39"/>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2F4"/>
    <w:rsid w:val="007106C0"/>
    <w:rsid w:val="00710E18"/>
    <w:rsid w:val="0071141B"/>
    <w:rsid w:val="007118DF"/>
    <w:rsid w:val="00711E12"/>
    <w:rsid w:val="00712300"/>
    <w:rsid w:val="00713061"/>
    <w:rsid w:val="00713399"/>
    <w:rsid w:val="00713FB1"/>
    <w:rsid w:val="007140FD"/>
    <w:rsid w:val="007144DA"/>
    <w:rsid w:val="007147A4"/>
    <w:rsid w:val="00715098"/>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BC1"/>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7E2"/>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A17"/>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7FA"/>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1A8"/>
    <w:rsid w:val="007B338B"/>
    <w:rsid w:val="007B36C1"/>
    <w:rsid w:val="007B398A"/>
    <w:rsid w:val="007B42C3"/>
    <w:rsid w:val="007B4656"/>
    <w:rsid w:val="007B4676"/>
    <w:rsid w:val="007B4D1F"/>
    <w:rsid w:val="007B4E95"/>
    <w:rsid w:val="007B56BB"/>
    <w:rsid w:val="007B59C8"/>
    <w:rsid w:val="007B5C15"/>
    <w:rsid w:val="007B5DFE"/>
    <w:rsid w:val="007B5F61"/>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3F07"/>
    <w:rsid w:val="007F4A18"/>
    <w:rsid w:val="007F4E2A"/>
    <w:rsid w:val="007F4E73"/>
    <w:rsid w:val="007F5667"/>
    <w:rsid w:val="007F641F"/>
    <w:rsid w:val="007F67F4"/>
    <w:rsid w:val="007F7128"/>
    <w:rsid w:val="007F7316"/>
    <w:rsid w:val="007F752E"/>
    <w:rsid w:val="007F799D"/>
    <w:rsid w:val="007F7D36"/>
    <w:rsid w:val="008000EA"/>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4C6F"/>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DAA"/>
    <w:rsid w:val="00831FC0"/>
    <w:rsid w:val="00832DD0"/>
    <w:rsid w:val="00833405"/>
    <w:rsid w:val="0083411D"/>
    <w:rsid w:val="008345E0"/>
    <w:rsid w:val="00834649"/>
    <w:rsid w:val="0083488C"/>
    <w:rsid w:val="008348FD"/>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412"/>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4EAB"/>
    <w:rsid w:val="00865852"/>
    <w:rsid w:val="0086587C"/>
    <w:rsid w:val="00865D34"/>
    <w:rsid w:val="00865DC6"/>
    <w:rsid w:val="0086668A"/>
    <w:rsid w:val="008673FA"/>
    <w:rsid w:val="00867707"/>
    <w:rsid w:val="00867794"/>
    <w:rsid w:val="00867919"/>
    <w:rsid w:val="00871562"/>
    <w:rsid w:val="00871720"/>
    <w:rsid w:val="008717A9"/>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0AD0"/>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509"/>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428"/>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B07"/>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8FF"/>
    <w:rsid w:val="008D1A97"/>
    <w:rsid w:val="008D2642"/>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6AC"/>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67D"/>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5E"/>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D0B"/>
    <w:rsid w:val="00907F26"/>
    <w:rsid w:val="009109D2"/>
    <w:rsid w:val="009112EF"/>
    <w:rsid w:val="00911732"/>
    <w:rsid w:val="00911828"/>
    <w:rsid w:val="00911AC6"/>
    <w:rsid w:val="00911F2E"/>
    <w:rsid w:val="0091204F"/>
    <w:rsid w:val="009121C2"/>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6221"/>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60E2"/>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299"/>
    <w:rsid w:val="0093555E"/>
    <w:rsid w:val="00936BBF"/>
    <w:rsid w:val="00937290"/>
    <w:rsid w:val="00937301"/>
    <w:rsid w:val="00937342"/>
    <w:rsid w:val="00937390"/>
    <w:rsid w:val="009373BE"/>
    <w:rsid w:val="00937519"/>
    <w:rsid w:val="009377D4"/>
    <w:rsid w:val="00937CA9"/>
    <w:rsid w:val="00937EE2"/>
    <w:rsid w:val="00940055"/>
    <w:rsid w:val="009402EC"/>
    <w:rsid w:val="0094073A"/>
    <w:rsid w:val="0094081B"/>
    <w:rsid w:val="00940A60"/>
    <w:rsid w:val="00940F8E"/>
    <w:rsid w:val="00941681"/>
    <w:rsid w:val="00941BDF"/>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74F"/>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4BF0"/>
    <w:rsid w:val="00964DD3"/>
    <w:rsid w:val="00965764"/>
    <w:rsid w:val="00966824"/>
    <w:rsid w:val="00967052"/>
    <w:rsid w:val="009675D0"/>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5B8D"/>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635"/>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4E4B"/>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A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78F"/>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137"/>
    <w:rsid w:val="00A40419"/>
    <w:rsid w:val="00A404E2"/>
    <w:rsid w:val="00A405BB"/>
    <w:rsid w:val="00A410CC"/>
    <w:rsid w:val="00A412C1"/>
    <w:rsid w:val="00A4135F"/>
    <w:rsid w:val="00A413C0"/>
    <w:rsid w:val="00A41C79"/>
    <w:rsid w:val="00A42C6D"/>
    <w:rsid w:val="00A42D9D"/>
    <w:rsid w:val="00A43A35"/>
    <w:rsid w:val="00A43B9A"/>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0F85"/>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02E"/>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EB8"/>
    <w:rsid w:val="00A67F30"/>
    <w:rsid w:val="00A67F82"/>
    <w:rsid w:val="00A70BA6"/>
    <w:rsid w:val="00A71171"/>
    <w:rsid w:val="00A712FC"/>
    <w:rsid w:val="00A71306"/>
    <w:rsid w:val="00A73D62"/>
    <w:rsid w:val="00A74B55"/>
    <w:rsid w:val="00A7505B"/>
    <w:rsid w:val="00A75A15"/>
    <w:rsid w:val="00A75C4C"/>
    <w:rsid w:val="00A7664A"/>
    <w:rsid w:val="00A767FC"/>
    <w:rsid w:val="00A76A15"/>
    <w:rsid w:val="00A76A1B"/>
    <w:rsid w:val="00A76AD8"/>
    <w:rsid w:val="00A76EDB"/>
    <w:rsid w:val="00A772D0"/>
    <w:rsid w:val="00A773DC"/>
    <w:rsid w:val="00A778BC"/>
    <w:rsid w:val="00A804C7"/>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418"/>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70F"/>
    <w:rsid w:val="00A93A1C"/>
    <w:rsid w:val="00A93AAE"/>
    <w:rsid w:val="00A9464B"/>
    <w:rsid w:val="00A9465B"/>
    <w:rsid w:val="00A94B24"/>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002"/>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09D2"/>
    <w:rsid w:val="00AB16D7"/>
    <w:rsid w:val="00AB201B"/>
    <w:rsid w:val="00AB2227"/>
    <w:rsid w:val="00AB225F"/>
    <w:rsid w:val="00AB29B4"/>
    <w:rsid w:val="00AB2AC8"/>
    <w:rsid w:val="00AB2B0B"/>
    <w:rsid w:val="00AB2C34"/>
    <w:rsid w:val="00AB3628"/>
    <w:rsid w:val="00AB385A"/>
    <w:rsid w:val="00AB3D7D"/>
    <w:rsid w:val="00AB3DBE"/>
    <w:rsid w:val="00AB3E54"/>
    <w:rsid w:val="00AB3E9E"/>
    <w:rsid w:val="00AB3F7F"/>
    <w:rsid w:val="00AB4104"/>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6C2"/>
    <w:rsid w:val="00AD694C"/>
    <w:rsid w:val="00AD6CD5"/>
    <w:rsid w:val="00AE0E18"/>
    <w:rsid w:val="00AE0F32"/>
    <w:rsid w:val="00AE24F3"/>
    <w:rsid w:val="00AE2CC4"/>
    <w:rsid w:val="00AE2F10"/>
    <w:rsid w:val="00AE33F4"/>
    <w:rsid w:val="00AE3D96"/>
    <w:rsid w:val="00AE3FDC"/>
    <w:rsid w:val="00AE4FC7"/>
    <w:rsid w:val="00AE5271"/>
    <w:rsid w:val="00AE5433"/>
    <w:rsid w:val="00AE5481"/>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B3A"/>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990"/>
    <w:rsid w:val="00B23DDF"/>
    <w:rsid w:val="00B243CB"/>
    <w:rsid w:val="00B245C2"/>
    <w:rsid w:val="00B25327"/>
    <w:rsid w:val="00B25399"/>
    <w:rsid w:val="00B25C8A"/>
    <w:rsid w:val="00B26198"/>
    <w:rsid w:val="00B26E5D"/>
    <w:rsid w:val="00B27499"/>
    <w:rsid w:val="00B275D7"/>
    <w:rsid w:val="00B2764F"/>
    <w:rsid w:val="00B27EAB"/>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6BE"/>
    <w:rsid w:val="00B35B5A"/>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DFE"/>
    <w:rsid w:val="00B42FB6"/>
    <w:rsid w:val="00B4325C"/>
    <w:rsid w:val="00B43388"/>
    <w:rsid w:val="00B44AFC"/>
    <w:rsid w:val="00B44F2A"/>
    <w:rsid w:val="00B450E6"/>
    <w:rsid w:val="00B46251"/>
    <w:rsid w:val="00B462B8"/>
    <w:rsid w:val="00B46422"/>
    <w:rsid w:val="00B466BB"/>
    <w:rsid w:val="00B46747"/>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213"/>
    <w:rsid w:val="00B7663D"/>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1F6A"/>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039"/>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DE5"/>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4DCA"/>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54B"/>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BF7812"/>
    <w:rsid w:val="00C0019B"/>
    <w:rsid w:val="00C008C4"/>
    <w:rsid w:val="00C01571"/>
    <w:rsid w:val="00C016FD"/>
    <w:rsid w:val="00C018E0"/>
    <w:rsid w:val="00C01EFF"/>
    <w:rsid w:val="00C024F5"/>
    <w:rsid w:val="00C02BE1"/>
    <w:rsid w:val="00C02D5D"/>
    <w:rsid w:val="00C0370A"/>
    <w:rsid w:val="00C03872"/>
    <w:rsid w:val="00C038E5"/>
    <w:rsid w:val="00C04DFA"/>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0"/>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908"/>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586F"/>
    <w:rsid w:val="00C45E3C"/>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7D3"/>
    <w:rsid w:val="00C64929"/>
    <w:rsid w:val="00C64E25"/>
    <w:rsid w:val="00C65438"/>
    <w:rsid w:val="00C6639C"/>
    <w:rsid w:val="00C6665B"/>
    <w:rsid w:val="00C668F5"/>
    <w:rsid w:val="00C670ED"/>
    <w:rsid w:val="00C67A23"/>
    <w:rsid w:val="00C7017B"/>
    <w:rsid w:val="00C702A3"/>
    <w:rsid w:val="00C71855"/>
    <w:rsid w:val="00C71B41"/>
    <w:rsid w:val="00C71BE6"/>
    <w:rsid w:val="00C71F8B"/>
    <w:rsid w:val="00C72837"/>
    <w:rsid w:val="00C72AC2"/>
    <w:rsid w:val="00C72ACF"/>
    <w:rsid w:val="00C730E2"/>
    <w:rsid w:val="00C7334B"/>
    <w:rsid w:val="00C7367B"/>
    <w:rsid w:val="00C73789"/>
    <w:rsid w:val="00C73DBB"/>
    <w:rsid w:val="00C73EAC"/>
    <w:rsid w:val="00C74093"/>
    <w:rsid w:val="00C744A9"/>
    <w:rsid w:val="00C746B0"/>
    <w:rsid w:val="00C7477F"/>
    <w:rsid w:val="00C748E1"/>
    <w:rsid w:val="00C74F56"/>
    <w:rsid w:val="00C7598E"/>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BF3"/>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BF2"/>
    <w:rsid w:val="00CA4E75"/>
    <w:rsid w:val="00CA5589"/>
    <w:rsid w:val="00CA565A"/>
    <w:rsid w:val="00CA679E"/>
    <w:rsid w:val="00CA719F"/>
    <w:rsid w:val="00CA74DD"/>
    <w:rsid w:val="00CA75B1"/>
    <w:rsid w:val="00CA7F1A"/>
    <w:rsid w:val="00CB0120"/>
    <w:rsid w:val="00CB058B"/>
    <w:rsid w:val="00CB0ADE"/>
    <w:rsid w:val="00CB2255"/>
    <w:rsid w:val="00CB2288"/>
    <w:rsid w:val="00CB23A7"/>
    <w:rsid w:val="00CB254A"/>
    <w:rsid w:val="00CB2D7F"/>
    <w:rsid w:val="00CB330E"/>
    <w:rsid w:val="00CB3571"/>
    <w:rsid w:val="00CB3DBC"/>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0A8"/>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2E3"/>
    <w:rsid w:val="00CE2435"/>
    <w:rsid w:val="00CE2A08"/>
    <w:rsid w:val="00CE2F1E"/>
    <w:rsid w:val="00CE301B"/>
    <w:rsid w:val="00CE31C5"/>
    <w:rsid w:val="00CE36C1"/>
    <w:rsid w:val="00CE42B6"/>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0CEC"/>
    <w:rsid w:val="00D01A3E"/>
    <w:rsid w:val="00D029E1"/>
    <w:rsid w:val="00D02D3F"/>
    <w:rsid w:val="00D03281"/>
    <w:rsid w:val="00D0350F"/>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5F8"/>
    <w:rsid w:val="00D46972"/>
    <w:rsid w:val="00D46BCA"/>
    <w:rsid w:val="00D46D76"/>
    <w:rsid w:val="00D470B7"/>
    <w:rsid w:val="00D4758C"/>
    <w:rsid w:val="00D477AC"/>
    <w:rsid w:val="00D47CCF"/>
    <w:rsid w:val="00D47E56"/>
    <w:rsid w:val="00D47FBF"/>
    <w:rsid w:val="00D50C23"/>
    <w:rsid w:val="00D50D0C"/>
    <w:rsid w:val="00D50E8B"/>
    <w:rsid w:val="00D52095"/>
    <w:rsid w:val="00D52334"/>
    <w:rsid w:val="00D5278C"/>
    <w:rsid w:val="00D52831"/>
    <w:rsid w:val="00D528E5"/>
    <w:rsid w:val="00D52A1C"/>
    <w:rsid w:val="00D52A55"/>
    <w:rsid w:val="00D5300C"/>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3E3A"/>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5ED0"/>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047"/>
    <w:rsid w:val="00D9216C"/>
    <w:rsid w:val="00D92701"/>
    <w:rsid w:val="00D931D3"/>
    <w:rsid w:val="00D93972"/>
    <w:rsid w:val="00D93D74"/>
    <w:rsid w:val="00D93DCC"/>
    <w:rsid w:val="00D94180"/>
    <w:rsid w:val="00D9448F"/>
    <w:rsid w:val="00D9492C"/>
    <w:rsid w:val="00D94B1C"/>
    <w:rsid w:val="00D94C95"/>
    <w:rsid w:val="00D94E85"/>
    <w:rsid w:val="00D94FBD"/>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A16"/>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4EA6"/>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174B"/>
    <w:rsid w:val="00DD2181"/>
    <w:rsid w:val="00DD21C3"/>
    <w:rsid w:val="00DD24BF"/>
    <w:rsid w:val="00DD2AB4"/>
    <w:rsid w:val="00DD2E65"/>
    <w:rsid w:val="00DD2EEE"/>
    <w:rsid w:val="00DD2FCE"/>
    <w:rsid w:val="00DD3013"/>
    <w:rsid w:val="00DD30BE"/>
    <w:rsid w:val="00DD3302"/>
    <w:rsid w:val="00DD3CF8"/>
    <w:rsid w:val="00DD430B"/>
    <w:rsid w:val="00DD5466"/>
    <w:rsid w:val="00DD57BA"/>
    <w:rsid w:val="00DD586F"/>
    <w:rsid w:val="00DD5AA5"/>
    <w:rsid w:val="00DD5C35"/>
    <w:rsid w:val="00DD5CD3"/>
    <w:rsid w:val="00DD5F58"/>
    <w:rsid w:val="00DD682A"/>
    <w:rsid w:val="00DD696D"/>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3D3"/>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13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A8"/>
    <w:rsid w:val="00E35DB3"/>
    <w:rsid w:val="00E366E2"/>
    <w:rsid w:val="00E36EE9"/>
    <w:rsid w:val="00E37244"/>
    <w:rsid w:val="00E3778F"/>
    <w:rsid w:val="00E37F6A"/>
    <w:rsid w:val="00E40274"/>
    <w:rsid w:val="00E40300"/>
    <w:rsid w:val="00E4047A"/>
    <w:rsid w:val="00E40497"/>
    <w:rsid w:val="00E4058E"/>
    <w:rsid w:val="00E40D2C"/>
    <w:rsid w:val="00E40D9D"/>
    <w:rsid w:val="00E4101D"/>
    <w:rsid w:val="00E41188"/>
    <w:rsid w:val="00E41C46"/>
    <w:rsid w:val="00E425DC"/>
    <w:rsid w:val="00E42696"/>
    <w:rsid w:val="00E4287B"/>
    <w:rsid w:val="00E42A57"/>
    <w:rsid w:val="00E43112"/>
    <w:rsid w:val="00E43749"/>
    <w:rsid w:val="00E438B8"/>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182"/>
    <w:rsid w:val="00E534E3"/>
    <w:rsid w:val="00E536A8"/>
    <w:rsid w:val="00E53EFF"/>
    <w:rsid w:val="00E54A3A"/>
    <w:rsid w:val="00E54B51"/>
    <w:rsid w:val="00E55700"/>
    <w:rsid w:val="00E558E9"/>
    <w:rsid w:val="00E55BB9"/>
    <w:rsid w:val="00E55E8A"/>
    <w:rsid w:val="00E56436"/>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734"/>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6A2"/>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5DC"/>
    <w:rsid w:val="00E90685"/>
    <w:rsid w:val="00E90C13"/>
    <w:rsid w:val="00E90E61"/>
    <w:rsid w:val="00E91632"/>
    <w:rsid w:val="00E920E6"/>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5A2"/>
    <w:rsid w:val="00ED7E48"/>
    <w:rsid w:val="00EE0009"/>
    <w:rsid w:val="00EE0983"/>
    <w:rsid w:val="00EE1A96"/>
    <w:rsid w:val="00EE1B99"/>
    <w:rsid w:val="00EE1C5E"/>
    <w:rsid w:val="00EE1DEE"/>
    <w:rsid w:val="00EE219C"/>
    <w:rsid w:val="00EE232B"/>
    <w:rsid w:val="00EE236B"/>
    <w:rsid w:val="00EE29A9"/>
    <w:rsid w:val="00EE2CC4"/>
    <w:rsid w:val="00EE3254"/>
    <w:rsid w:val="00EE3D34"/>
    <w:rsid w:val="00EE40A4"/>
    <w:rsid w:val="00EE41B4"/>
    <w:rsid w:val="00EE48DD"/>
    <w:rsid w:val="00EE4906"/>
    <w:rsid w:val="00EE4C62"/>
    <w:rsid w:val="00EE4E3C"/>
    <w:rsid w:val="00EE5DD9"/>
    <w:rsid w:val="00EE5ED8"/>
    <w:rsid w:val="00EE5F75"/>
    <w:rsid w:val="00EE65F4"/>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2DC8"/>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0FA7"/>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ACA"/>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A73"/>
    <w:rsid w:val="00F36DAD"/>
    <w:rsid w:val="00F37135"/>
    <w:rsid w:val="00F37672"/>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040"/>
    <w:rsid w:val="00F60620"/>
    <w:rsid w:val="00F609CF"/>
    <w:rsid w:val="00F615DC"/>
    <w:rsid w:val="00F61687"/>
    <w:rsid w:val="00F617D8"/>
    <w:rsid w:val="00F61C39"/>
    <w:rsid w:val="00F61FB0"/>
    <w:rsid w:val="00F6217B"/>
    <w:rsid w:val="00F6274F"/>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554"/>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31C"/>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C8A"/>
    <w:rsid w:val="00FA0D39"/>
    <w:rsid w:val="00FA0D71"/>
    <w:rsid w:val="00FA151B"/>
    <w:rsid w:val="00FA1852"/>
    <w:rsid w:val="00FA1BF6"/>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A7F1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696E"/>
    <w:rsid w:val="00FD7328"/>
    <w:rsid w:val="00FD772F"/>
    <w:rsid w:val="00FD77AF"/>
    <w:rsid w:val="00FE0364"/>
    <w:rsid w:val="00FE0EB1"/>
    <w:rsid w:val="00FE1327"/>
    <w:rsid w:val="00FE17B0"/>
    <w:rsid w:val="00FE17F0"/>
    <w:rsid w:val="00FE1DDC"/>
    <w:rsid w:val="00FE2071"/>
    <w:rsid w:val="00FE2356"/>
    <w:rsid w:val="00FE2578"/>
    <w:rsid w:val="00FE2F18"/>
    <w:rsid w:val="00FE3C32"/>
    <w:rsid w:val="00FE4207"/>
    <w:rsid w:val="00FE4306"/>
    <w:rsid w:val="00FE4A62"/>
    <w:rsid w:val="00FE4BCA"/>
    <w:rsid w:val="00FE526A"/>
    <w:rsid w:val="00FE5E65"/>
    <w:rsid w:val="00FE5EDF"/>
    <w:rsid w:val="00FE6973"/>
    <w:rsid w:val="00FE7651"/>
    <w:rsid w:val="00FE7728"/>
    <w:rsid w:val="00FE7B7B"/>
    <w:rsid w:val="00FE7D2C"/>
    <w:rsid w:val="00FE7F60"/>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18E23B1"/>
    <w:rsid w:val="01A1C6AB"/>
    <w:rsid w:val="02987CD4"/>
    <w:rsid w:val="02C63C15"/>
    <w:rsid w:val="051A75EE"/>
    <w:rsid w:val="09279C31"/>
    <w:rsid w:val="09AFE597"/>
    <w:rsid w:val="0BBE5A03"/>
    <w:rsid w:val="0C2EC482"/>
    <w:rsid w:val="0C4E8E1F"/>
    <w:rsid w:val="0D6D60D0"/>
    <w:rsid w:val="0E422046"/>
    <w:rsid w:val="0F455412"/>
    <w:rsid w:val="1009D8DD"/>
    <w:rsid w:val="10FB093F"/>
    <w:rsid w:val="110C20C8"/>
    <w:rsid w:val="12A05C79"/>
    <w:rsid w:val="137217E3"/>
    <w:rsid w:val="137F3E19"/>
    <w:rsid w:val="13F4D292"/>
    <w:rsid w:val="155F5367"/>
    <w:rsid w:val="15B41B58"/>
    <w:rsid w:val="169EBBA7"/>
    <w:rsid w:val="173974A0"/>
    <w:rsid w:val="174AA40C"/>
    <w:rsid w:val="17969A9C"/>
    <w:rsid w:val="1839B6A6"/>
    <w:rsid w:val="1847244F"/>
    <w:rsid w:val="1892F1F3"/>
    <w:rsid w:val="1A6C9CF2"/>
    <w:rsid w:val="1B10D94D"/>
    <w:rsid w:val="1D2DBD5A"/>
    <w:rsid w:val="1D535FB9"/>
    <w:rsid w:val="1DD76949"/>
    <w:rsid w:val="1FF1D947"/>
    <w:rsid w:val="2054CEF9"/>
    <w:rsid w:val="22D17A5E"/>
    <w:rsid w:val="237C673A"/>
    <w:rsid w:val="23A83876"/>
    <w:rsid w:val="23E199AC"/>
    <w:rsid w:val="25391E10"/>
    <w:rsid w:val="25DEF8C4"/>
    <w:rsid w:val="267D91F1"/>
    <w:rsid w:val="26A80769"/>
    <w:rsid w:val="26D23CDC"/>
    <w:rsid w:val="27DE54A4"/>
    <w:rsid w:val="2AE9C5BD"/>
    <w:rsid w:val="2B1A5111"/>
    <w:rsid w:val="2E2D1427"/>
    <w:rsid w:val="2E320E92"/>
    <w:rsid w:val="2ECB3ED5"/>
    <w:rsid w:val="2F00B5C4"/>
    <w:rsid w:val="2F82EB81"/>
    <w:rsid w:val="2F841B35"/>
    <w:rsid w:val="2FCCD809"/>
    <w:rsid w:val="31556F2A"/>
    <w:rsid w:val="31D29135"/>
    <w:rsid w:val="3232A7AB"/>
    <w:rsid w:val="32911453"/>
    <w:rsid w:val="332FDD82"/>
    <w:rsid w:val="3454CE48"/>
    <w:rsid w:val="3477989F"/>
    <w:rsid w:val="34879645"/>
    <w:rsid w:val="36E8C124"/>
    <w:rsid w:val="38EE295F"/>
    <w:rsid w:val="3901CD6E"/>
    <w:rsid w:val="392CD7F1"/>
    <w:rsid w:val="39E32746"/>
    <w:rsid w:val="3A1DF824"/>
    <w:rsid w:val="3AAF919E"/>
    <w:rsid w:val="3B0D5D58"/>
    <w:rsid w:val="3B70C9CE"/>
    <w:rsid w:val="3C57108E"/>
    <w:rsid w:val="3CF683E9"/>
    <w:rsid w:val="3D934457"/>
    <w:rsid w:val="3FF7589E"/>
    <w:rsid w:val="40B621E4"/>
    <w:rsid w:val="41EADA35"/>
    <w:rsid w:val="42E92D4C"/>
    <w:rsid w:val="44150626"/>
    <w:rsid w:val="4448CEBF"/>
    <w:rsid w:val="446522A6"/>
    <w:rsid w:val="463198DC"/>
    <w:rsid w:val="47D52017"/>
    <w:rsid w:val="486B68D9"/>
    <w:rsid w:val="49007739"/>
    <w:rsid w:val="4942E206"/>
    <w:rsid w:val="4A8D5317"/>
    <w:rsid w:val="4B90CC16"/>
    <w:rsid w:val="4BB2E5D4"/>
    <w:rsid w:val="4C56C3A8"/>
    <w:rsid w:val="4CE26CB8"/>
    <w:rsid w:val="4CE3D7C0"/>
    <w:rsid w:val="4E238264"/>
    <w:rsid w:val="4E2CDF55"/>
    <w:rsid w:val="4EE84FC7"/>
    <w:rsid w:val="50220896"/>
    <w:rsid w:val="50A9FD72"/>
    <w:rsid w:val="51274619"/>
    <w:rsid w:val="5222B786"/>
    <w:rsid w:val="52899CB2"/>
    <w:rsid w:val="5323BF33"/>
    <w:rsid w:val="53A6EE7B"/>
    <w:rsid w:val="545F74E8"/>
    <w:rsid w:val="552EE62E"/>
    <w:rsid w:val="56C2794B"/>
    <w:rsid w:val="56DDBE9E"/>
    <w:rsid w:val="59E143DC"/>
    <w:rsid w:val="5A4AE5CE"/>
    <w:rsid w:val="5B9AD059"/>
    <w:rsid w:val="5BFEB223"/>
    <w:rsid w:val="5C931232"/>
    <w:rsid w:val="5DA8971C"/>
    <w:rsid w:val="5DBB31AB"/>
    <w:rsid w:val="5E9E34BA"/>
    <w:rsid w:val="5EE44466"/>
    <w:rsid w:val="60200EDA"/>
    <w:rsid w:val="62417FE6"/>
    <w:rsid w:val="640C1A32"/>
    <w:rsid w:val="671075B2"/>
    <w:rsid w:val="6888A268"/>
    <w:rsid w:val="6993BDF7"/>
    <w:rsid w:val="6A3F1AB1"/>
    <w:rsid w:val="6A69A80F"/>
    <w:rsid w:val="6B538823"/>
    <w:rsid w:val="6C25E304"/>
    <w:rsid w:val="6FD4B664"/>
    <w:rsid w:val="6FDA5F82"/>
    <w:rsid w:val="706D62AF"/>
    <w:rsid w:val="707E4694"/>
    <w:rsid w:val="71EFA1F0"/>
    <w:rsid w:val="750978C6"/>
    <w:rsid w:val="7536AFC4"/>
    <w:rsid w:val="758BB87A"/>
    <w:rsid w:val="7662D4CF"/>
    <w:rsid w:val="76D08CB4"/>
    <w:rsid w:val="7765DA33"/>
    <w:rsid w:val="77D2AA43"/>
    <w:rsid w:val="77D7D101"/>
    <w:rsid w:val="7857EED6"/>
    <w:rsid w:val="7A3AA6B0"/>
    <w:rsid w:val="7A976EEF"/>
    <w:rsid w:val="7AC233B3"/>
    <w:rsid w:val="7B29C50C"/>
    <w:rsid w:val="7DE19745"/>
    <w:rsid w:val="7E489780"/>
    <w:rsid w:val="7E93D1E0"/>
    <w:rsid w:val="7F480B62"/>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01A4A3E3-BA76-41DB-B9E3-C0131A04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FD6"/>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EC6066"/>
    <w:pPr>
      <w:numPr>
        <w:numId w:val="12"/>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DefaultParagraphFon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 w:type="paragraph" w:customStyle="1" w:styleId="para">
    <w:name w:val="para"/>
    <w:basedOn w:val="ListParagraph"/>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DefaultParagraphFont"/>
    <w:link w:val="para"/>
    <w:rsid w:val="00641F03"/>
    <w:rPr>
      <w:bCs/>
      <w:iCs/>
      <w:color w:val="181818" w:themeColor="background1" w:themeShade="1A"/>
      <w:sz w:val="22"/>
      <w:lang w:val="en-GB"/>
    </w:rPr>
  </w:style>
  <w:style w:type="character" w:customStyle="1" w:styleId="normaltextrun">
    <w:name w:val="normaltextrun"/>
    <w:basedOn w:val="DefaultParagraphFont"/>
    <w:rsid w:val="00F60040"/>
  </w:style>
  <w:style w:type="paragraph" w:styleId="ListBullet">
    <w:name w:val="List Bullet"/>
    <w:basedOn w:val="Normal"/>
    <w:uiPriority w:val="99"/>
    <w:unhideWhenUsed/>
    <w:rsid w:val="0001028C"/>
    <w:pPr>
      <w:numPr>
        <w:numId w:val="17"/>
      </w:numPr>
      <w:tabs>
        <w:tab w:val="clear" w:pos="360"/>
      </w:tabs>
      <w:spacing w:before="120" w:after="120" w:line="240" w:lineRule="auto"/>
      <w:ind w:left="0" w:firstLine="0"/>
      <w:contextualSpacing/>
    </w:pPr>
    <w:rPr>
      <w:rFonts w:ascii="Calibri Light" w:eastAsia="Calibri" w:hAnsi="Calibri Light" w:cs="Times New Roman"/>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14531115">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50421945">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534544113">
      <w:bodyDiv w:val="1"/>
      <w:marLeft w:val="0"/>
      <w:marRight w:val="0"/>
      <w:marTop w:val="0"/>
      <w:marBottom w:val="0"/>
      <w:divBdr>
        <w:top w:val="none" w:sz="0" w:space="0" w:color="auto"/>
        <w:left w:val="none" w:sz="0" w:space="0" w:color="auto"/>
        <w:bottom w:val="none" w:sz="0" w:space="0" w:color="auto"/>
        <w:right w:val="none" w:sz="0" w:space="0" w:color="auto"/>
      </w:divBdr>
    </w:div>
    <w:div w:id="587158233">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66757400">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sma.europa.eu"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fixtrading.org/packages/fix-trade-flag-scenarios-european-equit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304192735D4F2E9B95179F2819F853"/>
        <w:category>
          <w:name w:val="General"/>
          <w:gallery w:val="placeholder"/>
        </w:category>
        <w:types>
          <w:type w:val="bbPlcHdr"/>
        </w:types>
        <w:behaviors>
          <w:behavior w:val="content"/>
        </w:behaviors>
        <w:guid w:val="{9DB6FAE4-1871-4E9F-B9AA-DA225D5E24BD}"/>
      </w:docPartPr>
      <w:docPartBody>
        <w:p w:rsidR="002536E7" w:rsidRDefault="00CA74DD" w:rsidP="00CA74DD">
          <w:pPr>
            <w:pStyle w:val="BB304192735D4F2E9B95179F2819F853"/>
          </w:pPr>
          <w:r w:rsidRPr="00DA1A90">
            <w:rPr>
              <w:rStyle w:val="PlaceholderText"/>
            </w:rPr>
            <w:t>Click or tap here to enter text.</w:t>
          </w:r>
        </w:p>
      </w:docPartBody>
    </w:docPart>
    <w:docPart>
      <w:docPartPr>
        <w:name w:val="01EE1C7859204274A669423EC64EE100"/>
        <w:category>
          <w:name w:val="General"/>
          <w:gallery w:val="placeholder"/>
        </w:category>
        <w:types>
          <w:type w:val="bbPlcHdr"/>
        </w:types>
        <w:behaviors>
          <w:behavior w:val="content"/>
        </w:behaviors>
        <w:guid w:val="{757FA870-D7B8-4D07-B038-E1E8D580F7D7}"/>
      </w:docPartPr>
      <w:docPartBody>
        <w:p w:rsidR="002536E7" w:rsidRDefault="00CA74DD" w:rsidP="00CA74DD">
          <w:pPr>
            <w:pStyle w:val="01EE1C7859204274A669423EC64EE100"/>
          </w:pPr>
          <w:r w:rsidRPr="00DA1A90">
            <w:rPr>
              <w:rStyle w:val="PlaceholderText"/>
            </w:rPr>
            <w:t>Choose an item.</w:t>
          </w:r>
        </w:p>
      </w:docPartBody>
    </w:docPart>
    <w:docPart>
      <w:docPartPr>
        <w:name w:val="D404D71EE61B44F68217F5015889DA12"/>
        <w:category>
          <w:name w:val="General"/>
          <w:gallery w:val="placeholder"/>
        </w:category>
        <w:types>
          <w:type w:val="bbPlcHdr"/>
        </w:types>
        <w:behaviors>
          <w:behavior w:val="content"/>
        </w:behaviors>
        <w:guid w:val="{A0BB575F-9042-4C4F-B22F-EEA879E69A3D}"/>
      </w:docPartPr>
      <w:docPartBody>
        <w:p w:rsidR="002536E7" w:rsidRDefault="00CA74DD" w:rsidP="00CA74DD">
          <w:pPr>
            <w:pStyle w:val="D404D71EE61B44F68217F5015889DA12"/>
          </w:pPr>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82948"/>
    <w:rsid w:val="00092732"/>
    <w:rsid w:val="000B5175"/>
    <w:rsid w:val="000C0B68"/>
    <w:rsid w:val="001359BA"/>
    <w:rsid w:val="0015768C"/>
    <w:rsid w:val="002455B8"/>
    <w:rsid w:val="002536E7"/>
    <w:rsid w:val="00254E75"/>
    <w:rsid w:val="0034145D"/>
    <w:rsid w:val="00362C6C"/>
    <w:rsid w:val="00372212"/>
    <w:rsid w:val="004E4CF9"/>
    <w:rsid w:val="004F4339"/>
    <w:rsid w:val="005D66AB"/>
    <w:rsid w:val="006320FF"/>
    <w:rsid w:val="00663894"/>
    <w:rsid w:val="006954E6"/>
    <w:rsid w:val="006D3543"/>
    <w:rsid w:val="00701E25"/>
    <w:rsid w:val="0071141B"/>
    <w:rsid w:val="007C0405"/>
    <w:rsid w:val="00813189"/>
    <w:rsid w:val="008134C9"/>
    <w:rsid w:val="008222A0"/>
    <w:rsid w:val="00836D47"/>
    <w:rsid w:val="009522B0"/>
    <w:rsid w:val="009B6B9C"/>
    <w:rsid w:val="009F25FD"/>
    <w:rsid w:val="00A52CAC"/>
    <w:rsid w:val="00A804C7"/>
    <w:rsid w:val="00A93A1C"/>
    <w:rsid w:val="00AD66C2"/>
    <w:rsid w:val="00B07345"/>
    <w:rsid w:val="00B11B3A"/>
    <w:rsid w:val="00B22006"/>
    <w:rsid w:val="00B46CAE"/>
    <w:rsid w:val="00CA74DD"/>
    <w:rsid w:val="00D52831"/>
    <w:rsid w:val="00D63E3A"/>
    <w:rsid w:val="00DC3796"/>
    <w:rsid w:val="00DC4211"/>
    <w:rsid w:val="00E023D2"/>
    <w:rsid w:val="00E41C46"/>
    <w:rsid w:val="00EE3D34"/>
    <w:rsid w:val="00F81463"/>
    <w:rsid w:val="00FD76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74DD"/>
    <w:rPr>
      <w:color w:val="808080"/>
    </w:rPr>
  </w:style>
  <w:style w:type="paragraph" w:customStyle="1" w:styleId="BB304192735D4F2E9B95179F2819F853">
    <w:name w:val="BB304192735D4F2E9B95179F2819F853"/>
    <w:rsid w:val="00CA74DD"/>
    <w:pPr>
      <w:spacing w:after="250" w:line="276" w:lineRule="auto"/>
      <w:jc w:val="both"/>
    </w:pPr>
    <w:rPr>
      <w:color w:val="1A1A1A" w:themeColor="background1" w:themeShade="1A"/>
      <w:szCs w:val="20"/>
      <w:lang w:eastAsia="en-US"/>
    </w:rPr>
  </w:style>
  <w:style w:type="paragraph" w:customStyle="1" w:styleId="01EE1C7859204274A669423EC64EE100">
    <w:name w:val="01EE1C7859204274A669423EC64EE100"/>
    <w:rsid w:val="00CA74DD"/>
    <w:pPr>
      <w:spacing w:after="250" w:line="276" w:lineRule="auto"/>
      <w:jc w:val="both"/>
    </w:pPr>
    <w:rPr>
      <w:color w:val="1A1A1A" w:themeColor="background1" w:themeShade="1A"/>
      <w:szCs w:val="20"/>
      <w:lang w:eastAsia="en-US"/>
    </w:rPr>
  </w:style>
  <w:style w:type="paragraph" w:customStyle="1" w:styleId="D404D71EE61B44F68217F5015889DA12">
    <w:name w:val="D404D71EE61B44F68217F5015889DA12"/>
    <w:rsid w:val="00CA74DD"/>
    <w:pPr>
      <w:spacing w:after="250" w:line="276" w:lineRule="auto"/>
      <w:jc w:val="both"/>
    </w:pPr>
    <w:rPr>
      <w:color w:val="1A1A1A" w:themeColor="background1" w:themeShade="1A"/>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0B2B05731BEA4BA060E7AE02292DC2" ma:contentTypeVersion="18" ma:contentTypeDescription="Create a new document." ma:contentTypeScope="" ma:versionID="a961ecc5efca9349df3e5cab2fc85d9a">
  <xsd:schema xmlns:xsd="http://www.w3.org/2001/XMLSchema" xmlns:xs="http://www.w3.org/2001/XMLSchema" xmlns:p="http://schemas.microsoft.com/office/2006/metadata/properties" xmlns:ns2="dcf83731-3086-4851-8d0f-20613e53e4a8" xmlns:ns3="692c5ca5-c1a5-4565-81c0-9216d07212e2" targetNamespace="http://schemas.microsoft.com/office/2006/metadata/properties" ma:root="true" ma:fieldsID="b6a2861796b79e1f73cdc7e114388b9d" ns2:_="" ns3:_="">
    <xsd:import namespace="dcf83731-3086-4851-8d0f-20613e53e4a8"/>
    <xsd:import namespace="692c5ca5-c1a5-4565-81c0-9216d07212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83731-3086-4851-8d0f-20613e53e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f74c218-7e7d-42eb-a9d8-ee0b9857390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2c5ca5-c1a5-4565-81c0-9216d07212e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7ec9f1-8905-4462-bfd3-8e5974a0de00}" ma:internalName="TaxCatchAll" ma:showField="CatchAllData" ma:web="692c5ca5-c1a5-4565-81c0-9216d07212e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92c5ca5-c1a5-4565-81c0-9216d07212e2" xsi:nil="true"/>
    <lcf76f155ced4ddcb4097134ff3c332f xmlns="dcf83731-3086-4851-8d0f-20613e53e4a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8A3C27-B0D5-487A-82F7-DEE85E366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83731-3086-4851-8d0f-20613e53e4a8"/>
    <ds:schemaRef ds:uri="692c5ca5-c1a5-4565-81c0-9216d0721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692c5ca5-c1a5-4565-81c0-9216d07212e2"/>
    <ds:schemaRef ds:uri="dcf83731-3086-4851-8d0f-20613e53e4a8"/>
  </ds:schemaRefs>
</ds:datastoreItem>
</file>

<file path=customXml/itemProps3.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4.xml><?xml version="1.0" encoding="utf-8"?>
<ds:datastoreItem xmlns:ds="http://schemas.openxmlformats.org/officeDocument/2006/customXml" ds:itemID="{92F8F2DF-DA9D-4E3B-AF8A-ABDFC91351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37</Pages>
  <Words>8298</Words>
  <Characters>46137</Characters>
  <Application>Microsoft Office Word</Application>
  <DocSecurity>8</DocSecurity>
  <Lines>781</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Jim Kaye</cp:lastModifiedBy>
  <cp:revision>30</cp:revision>
  <cp:lastPrinted>2023-09-09T09:53:00Z</cp:lastPrinted>
  <dcterms:created xsi:type="dcterms:W3CDTF">2026-04-30T06:11:00Z</dcterms:created>
  <dcterms:modified xsi:type="dcterms:W3CDTF">2026-06-30T15:25:00Z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0x010100260B2B05731BEA4BA060E7AE02292DC2</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682955ff-3b77-4048-b72e-f1e10afafa58</vt:lpwstr>
  </property>
  <property fmtid="{D5CDD505-2E9C-101B-9397-08002B2CF9AE}" pid="8" name="Topic">
    <vt:lpwstr>1277</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8;#Secondary Markets|0116aa60-aa30-4997-8f0f-29abf5f5f198</vt:lpwstr>
  </property>
  <property fmtid="{D5CDD505-2E9C-101B-9397-08002B2CF9AE}" pid="14" name="MediaServiceImageTags">
    <vt:lpwstr/>
  </property>
  <property fmtid="{D5CDD505-2E9C-101B-9397-08002B2CF9AE}" pid="15" name="_ExtendedDescription">
    <vt:lpwstr/>
  </property>
  <property fmtid="{D5CDD505-2E9C-101B-9397-08002B2CF9AE}" pid="16" name="URL">
    <vt:lpwstr/>
  </property>
  <property fmtid="{D5CDD505-2E9C-101B-9397-08002B2CF9AE}" pid="17" name="MSIP_Label_05ae7051-b702-462d-8e81-9ac0b6085f00_Removed">
    <vt:lpwstr>False</vt:lpwstr>
  </property>
  <property fmtid="{D5CDD505-2E9C-101B-9397-08002B2CF9AE}" pid="18" name="MSIP_Label_05ae7051-b702-462d-8e81-9ac0b6085f00_ActionId">
    <vt:lpwstr>eed8db07-3a95-4776-bf64-2fe769d96685</vt:lpwstr>
  </property>
  <property fmtid="{D5CDD505-2E9C-101B-9397-08002B2CF9AE}" pid="19" name="MSIP_Label_05ae7051-b702-462d-8e81-9ac0b6085f00_Name">
    <vt:lpwstr>Regular</vt:lpwstr>
  </property>
  <property fmtid="{D5CDD505-2E9C-101B-9397-08002B2CF9AE}" pid="20" name="MSIP_Label_05ae7051-b702-462d-8e81-9ac0b6085f00_SetDate">
    <vt:lpwstr>2025-06-17T16:05:48Z</vt:lpwstr>
  </property>
  <property fmtid="{D5CDD505-2E9C-101B-9397-08002B2CF9AE}" pid="21" name="MSIP_Label_05ae7051-b702-462d-8e81-9ac0b6085f00_SiteId">
    <vt:lpwstr>e406f268-4ae7-4c80-8994-02493da00c03</vt:lpwstr>
  </property>
  <property fmtid="{D5CDD505-2E9C-101B-9397-08002B2CF9AE}" pid="22" name="MSIP_Label_05ae7051-b702-462d-8e81-9ac0b6085f00_Enabled">
    <vt:lpwstr>True</vt:lpwstr>
  </property>
  <property fmtid="{D5CDD505-2E9C-101B-9397-08002B2CF9AE}" pid="23" name="MSIP_Label_05ae7051-b702-462d-8e81-9ac0b6085f00_Extended_MSFT_Method">
    <vt:lpwstr>Standard</vt:lpwstr>
  </property>
  <property fmtid="{D5CDD505-2E9C-101B-9397-08002B2CF9AE}" pid="24" name="Sensitivity">
    <vt:lpwstr>Regular</vt:lpwstr>
  </property>
  <property fmtid="{D5CDD505-2E9C-101B-9397-08002B2CF9AE}" pid="25" name="docLang">
    <vt:lpwstr>en</vt:lpwstr>
  </property>
</Properties>
</file>