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C4B7F"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62D154B0" w:rsidR="00E40D2C" w:rsidRPr="00557BD2" w:rsidRDefault="00D95742">
                <w:r>
                  <w:t>European Fund and Asset Management Association (EFAMA)</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58160573" w:rsidR="00E40D2C" w:rsidRDefault="00C41879">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14C5EF12" w:rsidR="002262FA" w:rsidRDefault="00C41879"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7B06DBB9" w:rsidR="00E40D2C" w:rsidRPr="00557BD2" w:rsidRDefault="00C41879">
                <w:r>
                  <w:t>Belgium</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D9FD946" w14:textId="77777777" w:rsidR="004D51A0" w:rsidRPr="002F3854" w:rsidRDefault="004D51A0" w:rsidP="004D51A0">
      <w:permStart w:id="1150511936" w:edGrp="everyone"/>
      <w:r w:rsidRPr="002F3854">
        <w:t xml:space="preserve">From a buy-side perspective, overall liquidity conditions in European equity markets have improved in recent years, both for institutional and retail investors. For institutions, available liquidity and execution </w:t>
      </w:r>
      <w:r>
        <w:t>quality</w:t>
      </w:r>
      <w:r w:rsidRPr="002F3854">
        <w:t xml:space="preserve"> have strengthened, while for retail investors market access</w:t>
      </w:r>
      <w:r>
        <w:t xml:space="preserve"> has greatly improved</w:t>
      </w:r>
      <w:r w:rsidRPr="002F3854">
        <w:t>, with deep retail liquidity, very tight bid–offer spreads</w:t>
      </w:r>
      <w:r>
        <w:t>,</w:t>
      </w:r>
      <w:r w:rsidRPr="002F3854">
        <w:t xml:space="preserve"> and</w:t>
      </w:r>
      <w:r>
        <w:t xml:space="preserve"> in the case of Germany and some other jurisdictions</w:t>
      </w:r>
      <w:r w:rsidRPr="00CF2ED9">
        <w:t xml:space="preserve"> </w:t>
      </w:r>
      <w:r w:rsidRPr="002F3854">
        <w:t>near</w:t>
      </w:r>
      <w:r w:rsidRPr="002F3854">
        <w:noBreakHyphen/>
        <w:t>zero commissions.</w:t>
      </w:r>
    </w:p>
    <w:p w14:paraId="285F3689" w14:textId="77777777" w:rsidR="004D51A0" w:rsidRDefault="004D51A0" w:rsidP="004D51A0">
      <w:r w:rsidRPr="00B37755">
        <w:t>In describing the difference between addressable and non</w:t>
      </w:r>
      <w:r w:rsidRPr="00B37755">
        <w:noBreakHyphen/>
        <w:t>addressable liquidity, we believe it is important to start from how buy</w:t>
      </w:r>
      <w:r w:rsidRPr="00B37755">
        <w:noBreakHyphen/>
        <w:t xml:space="preserve">side firms actually experience access to markets. </w:t>
      </w:r>
      <w:r w:rsidRPr="00475967">
        <w:t>In other industries, an addressable market means the entire market that can in principle be accessed, but in equity trading the relevant notion for investment firms is narrower: addressable liquidity is the subset of overall trading interest in which a firm is actually able to participate, taking into account its client type, connections to venues and counterparty eligibility. By contrast, non</w:t>
      </w:r>
      <w:r w:rsidRPr="00475967">
        <w:noBreakHyphen/>
        <w:t>addressable liquidity comprises trading interest that is, by design, not open to all participants, for example because it is organised in wholesale or non</w:t>
      </w:r>
      <w:r w:rsidRPr="00475967">
        <w:noBreakHyphen/>
        <w:t>transparent segments to protect execution quality for larger, information</w:t>
      </w:r>
      <w:r w:rsidRPr="00475967">
        <w:noBreakHyphen/>
        <w:t>sensitive institutional orders.</w:t>
      </w:r>
    </w:p>
    <w:p w14:paraId="67BBF305" w14:textId="77777777" w:rsidR="004D51A0" w:rsidRPr="00594DE1" w:rsidRDefault="004D51A0" w:rsidP="004D51A0">
      <w:pPr>
        <w:rPr>
          <w:lang w:val="en"/>
        </w:rPr>
      </w:pPr>
      <w:r w:rsidRPr="00594DE1">
        <w:rPr>
          <w:lang w:val="en"/>
        </w:rPr>
        <w:t xml:space="preserve">This is an evolution from single-channel trading (lit only) to a more diversified mix of execution mechanisms. As buy-side firms, and one of the large seekers of liquidity, this is an evolution </w:t>
      </w:r>
      <w:r w:rsidRPr="00594DE1">
        <w:rPr>
          <w:lang w:val="en"/>
        </w:rPr>
        <w:lastRenderedPageBreak/>
        <w:t xml:space="preserve">we can only be supportive of. It also reflects a greater level of segmentation in how we transact or see liquidity, based on trade sizes and different execution objectives. </w:t>
      </w:r>
    </w:p>
    <w:p w14:paraId="3066EB12" w14:textId="77777777" w:rsidR="004D51A0" w:rsidRPr="00B93514" w:rsidRDefault="004D51A0" w:rsidP="004D51A0">
      <w:r w:rsidRPr="00594DE1">
        <w:rPr>
          <w:lang w:val="en"/>
        </w:rPr>
        <w:t xml:space="preserve">The analytical framework (addressable vs non-addressable; or price-forming vs non price-forming) from the ESMA </w:t>
      </w:r>
      <w:proofErr w:type="spellStart"/>
      <w:r w:rsidRPr="00594DE1">
        <w:rPr>
          <w:lang w:val="en"/>
        </w:rPr>
        <w:t>CfE</w:t>
      </w:r>
      <w:proofErr w:type="spellEnd"/>
      <w:r w:rsidRPr="00594DE1">
        <w:rPr>
          <w:lang w:val="en"/>
        </w:rPr>
        <w:t xml:space="preserve"> is a very useful analytical model,  but it should resist turning such labels into rigid regulatory constraints. To use such labels as “non price-forming” and using that to justify restrictions, that would be counterproductive.</w:t>
      </w:r>
    </w:p>
    <w:p w14:paraId="7754ECB9" w14:textId="77777777" w:rsidR="004D51A0" w:rsidRDefault="004D51A0" w:rsidP="004D51A0">
      <w:pPr>
        <w:rPr>
          <w:lang w:val="en"/>
        </w:rPr>
      </w:pPr>
      <w:r w:rsidRPr="00A516BB">
        <w:rPr>
          <w:lang w:val="en"/>
        </w:rPr>
        <w:t>For EFAMA members, the key objective is that this diverse ecosystem continues to deliver good results for underlying investors, rather than that every single trade should be accessible on identical terms to all market participants at all times.</w:t>
      </w:r>
    </w:p>
    <w:p w14:paraId="100A7796" w14:textId="77777777" w:rsidR="004D51A0" w:rsidRDefault="004D51A0" w:rsidP="004D51A0">
      <w:pPr>
        <w:rPr>
          <w:lang w:val="en"/>
        </w:rPr>
      </w:pPr>
      <w:r>
        <w:rPr>
          <w:lang w:val="en"/>
        </w:rPr>
        <w:t>Market Data:</w:t>
      </w:r>
    </w:p>
    <w:p w14:paraId="7C9A6B10" w14:textId="77777777" w:rsidR="004D51A0" w:rsidRDefault="004D51A0" w:rsidP="004D51A0">
      <w:pPr>
        <w:rPr>
          <w:lang w:val="en"/>
        </w:rPr>
      </w:pPr>
      <w:r>
        <w:rPr>
          <w:lang w:val="en"/>
        </w:rPr>
        <w:t xml:space="preserve">We believe that one dimension is consistently missing from the ESMA analysis. The availability of market data at a reasonable cost.  As strong champions of a consolidated tape we have openly advocated for consolidated tapes on equities and bonds.  </w:t>
      </w:r>
    </w:p>
    <w:p w14:paraId="4B0A4025" w14:textId="77777777" w:rsidR="004D51A0" w:rsidRDefault="004D51A0" w:rsidP="004D51A0">
      <w:pPr>
        <w:rPr>
          <w:lang w:val="en"/>
        </w:rPr>
      </w:pPr>
      <w:r>
        <w:rPr>
          <w:lang w:val="en"/>
        </w:rPr>
        <w:t>We expect the CTs will bring a necessary additional layer of transparency to EU capital markets, with a comprehensive view of pricing and available liquidity.</w:t>
      </w:r>
    </w:p>
    <w:p w14:paraId="634BA4AE" w14:textId="77777777" w:rsidR="004D51A0" w:rsidRDefault="004D51A0" w:rsidP="004D51A0">
      <w:pPr>
        <w:rPr>
          <w:lang w:val="en"/>
        </w:rPr>
      </w:pPr>
      <w:r>
        <w:rPr>
          <w:lang w:val="en"/>
        </w:rPr>
        <w:t>However, the CT will not replace proprietary feeds from the exchanges.  Given the centrality of reference prices produced by the Exchanges, it is critical that an effective Reasonable Commercial Basis approach to pricing market data is adopted and enforced.</w:t>
      </w:r>
    </w:p>
    <w:p w14:paraId="67F98DDC" w14:textId="77777777" w:rsidR="004D51A0" w:rsidRDefault="004D51A0" w:rsidP="004D51A0">
      <w:pPr>
        <w:rPr>
          <w:lang w:val="en"/>
        </w:rPr>
      </w:pPr>
      <w:r>
        <w:rPr>
          <w:lang w:val="en"/>
        </w:rPr>
        <w:t>We have elaborated elsewhere on the disconnect between market data prices, their evolution, and cost of producing data.   Until we have a robust framework for market data costs, it is hard to imagine how new entrants can enter the space for trading, where the barriers to entry (market data costs) are so high.</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319D4056" w14:textId="77777777" w:rsidR="00543079" w:rsidRDefault="00543079" w:rsidP="00543079">
      <w:permStart w:id="1720911874" w:edGrp="everyone"/>
      <w:r w:rsidRPr="002F3854">
        <w:t xml:space="preserve">Members note that the Trading Landscape diagram in the </w:t>
      </w:r>
      <w:proofErr w:type="spellStart"/>
      <w:r w:rsidRPr="002F3854">
        <w:t>CfE</w:t>
      </w:r>
      <w:proofErr w:type="spellEnd"/>
      <w:r w:rsidRPr="002F3854">
        <w:t xml:space="preserve"> appears to over</w:t>
      </w:r>
      <w:r>
        <w:t>represent</w:t>
      </w:r>
      <w:r w:rsidRPr="002F3854">
        <w:t xml:space="preserve"> the share of OTC trading, due in part to dual reporting of trades on both UK and EU APAs. Mutual recognition of APAs, or otherwise addressing the double</w:t>
      </w:r>
      <w:r w:rsidRPr="002F3854">
        <w:noBreakHyphen/>
        <w:t xml:space="preserve">counting, would provide a more accurate view of </w:t>
      </w:r>
      <w:r>
        <w:t>true volumes</w:t>
      </w:r>
      <w:r w:rsidRPr="002F3854">
        <w:t>.</w:t>
      </w:r>
    </w:p>
    <w:p w14:paraId="78B9FC7B" w14:textId="77777777" w:rsidR="00543079" w:rsidRPr="00CD22D2" w:rsidRDefault="00543079" w:rsidP="00543079">
      <w:pPr>
        <w:spacing w:line="259" w:lineRule="auto"/>
      </w:pPr>
      <w:r w:rsidRPr="00CD22D2">
        <w:lastRenderedPageBreak/>
        <w:t xml:space="preserve">We believe that the SI-OTC bucket should not exist and only serves to add confusion when it comes to understanding the liquidity landscape in the EU. These transactions would be better categorised as “OTC” with the stated intention of diving deeper into the underlying causes of OTC transactions being reported by SIs. </w:t>
      </w:r>
    </w:p>
    <w:p w14:paraId="1217E157" w14:textId="77777777" w:rsidR="00543079" w:rsidRPr="00CD22D2" w:rsidRDefault="00543079" w:rsidP="00543079">
      <w:pPr>
        <w:spacing w:line="259" w:lineRule="auto"/>
      </w:pPr>
      <w:r w:rsidRPr="00CD22D2">
        <w:t xml:space="preserve">We are aware of scenarios where UK based SIs - who are authorised in both the EU and UK - have been instructed to report transactions in both jurisdictions regardless of where the trade has been executed. We believe this is a consequence of having duplicate reporting regimes between the EU and UK. </w:t>
      </w:r>
    </w:p>
    <w:p w14:paraId="392C7463" w14:textId="77777777" w:rsidR="00543079" w:rsidRPr="00CD22D2" w:rsidRDefault="00543079" w:rsidP="00543079">
      <w:pPr>
        <w:spacing w:line="259" w:lineRule="auto"/>
      </w:pPr>
      <w:r w:rsidRPr="00CD22D2">
        <w:t>It would be beneficial for ESMA to work with NCAs to establish a common expectation when it comes to cross-border reporting, in order to avoid the duplicative reporting of trades in the EU.</w:t>
      </w:r>
    </w:p>
    <w:p w14:paraId="7979D320" w14:textId="77777777" w:rsidR="00543079" w:rsidRPr="002F3854" w:rsidRDefault="00543079" w:rsidP="00543079">
      <w:r w:rsidRPr="002F3854">
        <w:t>In addition, trades reported as OTC/XOFF should be treated as addressable liquidity where they meet ESMA’s own definition of price forming, rather than being implicitly seen as non</w:t>
      </w:r>
      <w:r w:rsidRPr="002F3854">
        <w:noBreakHyphen/>
        <w:t>addressable or non</w:t>
      </w:r>
      <w:r w:rsidRPr="002F3854">
        <w:noBreakHyphen/>
        <w:t>price</w:t>
      </w:r>
      <w:r w:rsidRPr="002F3854">
        <w:noBreakHyphen/>
        <w:t>forming. OTC trades that result from genuine interaction of buying and selling interests at or around the reference price do contribute to price formation, even if they are not displayed in the same way as lit order</w:t>
      </w:r>
      <w:r w:rsidRPr="002F3854">
        <w:noBreakHyphen/>
        <w:t>book quotes.</w:t>
      </w:r>
    </w:p>
    <w:p w14:paraId="51A578AC" w14:textId="77777777" w:rsidR="00543079" w:rsidRPr="002F3854" w:rsidRDefault="00543079" w:rsidP="00543079">
      <w:r w:rsidRPr="002F3854">
        <w:t>For asset managers, having access to a broad set of execution options</w:t>
      </w:r>
      <w:r>
        <w:t>,</w:t>
      </w:r>
      <w:r w:rsidRPr="002F3854">
        <w:t xml:space="preserve"> across exchanges, MTFs, SIs and OTC channels</w:t>
      </w:r>
      <w:r>
        <w:t>,</w:t>
      </w:r>
      <w:r w:rsidRPr="002F3854">
        <w:t xml:space="preserve"> is essential to manage different trade sizes and strategies and meet best</w:t>
      </w:r>
      <w:r w:rsidRPr="002F3854">
        <w:noBreakHyphen/>
        <w:t xml:space="preserve">execution obligations. </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09406F57" w14:textId="77777777" w:rsidR="00421AB9" w:rsidRPr="00CD22D2" w:rsidRDefault="00421AB9" w:rsidP="00421AB9">
      <w:pPr>
        <w:spacing w:line="259" w:lineRule="auto"/>
      </w:pPr>
      <w:permStart w:id="1070029581" w:edGrp="everyone"/>
      <w:r>
        <w:t>W</w:t>
      </w:r>
      <w:r w:rsidRPr="00CD22D2">
        <w:t xml:space="preserve">e believe that ESMA’s analysis shows that focusing purely on the market share of lit order books as a benchmark for the size of EU equities is not the correct approach. This emphasises the need for a robust consolidated tape for equities which will provide the complete picture to institutional investors considering exposure to EU stocks. </w:t>
      </w:r>
    </w:p>
    <w:p w14:paraId="07FC1508" w14:textId="77777777" w:rsidR="00421AB9" w:rsidRPr="00CD22D2" w:rsidRDefault="00421AB9" w:rsidP="00421AB9">
      <w:pPr>
        <w:spacing w:line="259" w:lineRule="auto"/>
      </w:pPr>
      <w:r w:rsidRPr="00CD22D2">
        <w:t>Although we support the data led approach adopted by ESMA, we do not agree with every conclusion when it comes to describing the trends in EU equity markets. For example, although we recognise a growth in SI volumes, we do not agree with the wording of paragraph 21</w:t>
      </w:r>
      <w:r>
        <w:t>,</w:t>
      </w:r>
      <w:r w:rsidRPr="00CD22D2">
        <w:t xml:space="preserve"> which suggests that this has been the primary cause for a reduction in on-book trading over time. </w:t>
      </w:r>
    </w:p>
    <w:p w14:paraId="6CBF7EC3" w14:textId="77777777" w:rsidR="00421AB9" w:rsidRPr="00CD22D2" w:rsidRDefault="00421AB9" w:rsidP="00421AB9">
      <w:pPr>
        <w:spacing w:line="259" w:lineRule="auto"/>
      </w:pPr>
      <w:r w:rsidRPr="00CD22D2">
        <w:t>Instead, we would point to ESMA’s conclusion that volumes traded “on-book” versus “off-book” have remained stable, with notable shifts in volumes traded within each category. For example, we see that volumes within “on-venue” shifted away from lit venues as a result</w:t>
      </w:r>
      <w:r>
        <w:t xml:space="preserve"> </w:t>
      </w:r>
      <w:r w:rsidRPr="00CD22D2">
        <w:t xml:space="preserve">of the growth of opening/closing auctions and periodic auctions (including frequent batch auctions). In this sense, we believe that there has been a redistribution of liquidity within each category, rather than a significant shift in one direction or the other. </w:t>
      </w:r>
    </w:p>
    <w:p w14:paraId="096EFB26" w14:textId="77777777" w:rsidR="00421AB9" w:rsidRDefault="00421AB9" w:rsidP="00421AB9">
      <w:r w:rsidRPr="002F3854">
        <w:t>More broadly, EFAMA members note that competitive pressures between exchanges, MTFs, SIs and other platforms have contributed to an environment of strong overall liquidity, with narrow spreads and trading costs</w:t>
      </w:r>
      <w:r>
        <w:t xml:space="preserve"> that have been declining over the last few years, and very much on par with other competitive jurisdictions like the US</w:t>
      </w:r>
      <w:r w:rsidRPr="002F3854">
        <w:t>.</w:t>
      </w:r>
    </w:p>
    <w:p w14:paraId="01A5A179" w14:textId="77777777" w:rsidR="00421AB9" w:rsidRPr="00594DE1" w:rsidRDefault="00421AB9" w:rsidP="00421AB9">
      <w:r w:rsidRPr="00594DE1">
        <w:t>The analytical framework and categorisation that ESMA has put together is something we welcome,</w:t>
      </w:r>
      <w:r>
        <w:t xml:space="preserve"> </w:t>
      </w:r>
      <w:r w:rsidRPr="00594DE1">
        <w:t xml:space="preserve">but needs to be cautious that it will not really be restrictive or prohibitive in any sense. </w:t>
      </w:r>
    </w:p>
    <w:p w14:paraId="4A304911" w14:textId="77777777" w:rsidR="00421AB9" w:rsidRPr="00594DE1" w:rsidRDefault="00421AB9" w:rsidP="00421AB9">
      <w:r w:rsidRPr="00594DE1">
        <w:t xml:space="preserve">The analysis can be seen as informative, but we need to avoid the risk of trying to develop a standard, industry-wide definition of “addressable and price-forming liquidity”. These definitions should be used only as an analytical yardstick, and not for intervention. </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lastRenderedPageBreak/>
        <w:t>&lt;ESMA_QUESTION_MSEM_4&gt;</w:t>
      </w:r>
    </w:p>
    <w:p w14:paraId="4E03ACA0" w14:textId="77777777" w:rsidR="00D6720B" w:rsidRPr="002F3854" w:rsidRDefault="00D6720B" w:rsidP="00D6720B">
      <w:permStart w:id="856752782" w:edGrp="everyone"/>
      <w:r w:rsidRPr="00CF2ED9">
        <w:t>EFAMA members see today’s European equity markets as a combination of lit order books and a range of complementary mechanisms such as SIs, closing auctions and periodic auctions, which together create a relatively complex and fragmented trading landscape. Based on their experience however, this complexity has not translated into poorer outcomes for end</w:t>
      </w:r>
      <w:r w:rsidRPr="00CF2ED9">
        <w:noBreakHyphen/>
        <w:t>investors: institutional trading costs in Europe have continued to trend down over time, including in periods of market stress, and are not higher than in more centralised markets like the US</w:t>
      </w:r>
      <w:r>
        <w:t xml:space="preserve">, </w:t>
      </w:r>
      <w:r w:rsidRPr="00CF2ED9">
        <w:t>some members even observe lower trading costs in Europe, notwithstanding that settlement remains more expensive. Retail investors have similarly benefited from very tight spreads and</w:t>
      </w:r>
      <w:r>
        <w:t>, in the case of Germany and some other jurisdictions</w:t>
      </w:r>
      <w:r w:rsidRPr="00CF2ED9">
        <w:t xml:space="preserve"> near</w:t>
      </w:r>
      <w:r w:rsidRPr="00CF2ED9">
        <w:noBreakHyphen/>
        <w:t>zero explicit commissions in this environment</w:t>
      </w:r>
      <w:r>
        <w:t xml:space="preserve">. </w:t>
      </w:r>
    </w:p>
    <w:p w14:paraId="7E0249E4" w14:textId="77777777" w:rsidR="00D6720B" w:rsidRPr="002F3854" w:rsidRDefault="00D6720B" w:rsidP="00D6720B">
      <w:r w:rsidRPr="00DE49EF">
        <w:t>From a buy</w:t>
      </w:r>
      <w:r w:rsidRPr="00DE49EF">
        <w:noBreakHyphen/>
        <w:t>side perspective, lit markets remain essential for price formation and transparency, and there is clear merit in ensuring that they function as effectively as possible. At the same time, other execution channels</w:t>
      </w:r>
      <w:r>
        <w:t>,</w:t>
      </w:r>
      <w:r w:rsidRPr="00DE49EF">
        <w:t xml:space="preserve"> such as SIs, closing auctions, periodic auctions </w:t>
      </w:r>
      <w:r>
        <w:t>(</w:t>
      </w:r>
      <w:r w:rsidRPr="00DE49EF">
        <w:t>FBAs</w:t>
      </w:r>
      <w:r>
        <w:t>),</w:t>
      </w:r>
      <w:r w:rsidRPr="00DE49EF">
        <w:t xml:space="preserve"> serve a different but complementary purpose, often providing liquidity in situations where lit order books may struggle, for example for larger, more complex or less liquid trades. In practice, a significant share of activity in these mechanisms is referenced to prices from the continuous lit market, so that trading outside the CLOB interacts with, rather than replaces, the overall price</w:t>
      </w:r>
      <w:r w:rsidRPr="00DE49EF">
        <w:noBreakHyphen/>
        <w:t>formation process</w:t>
      </w:r>
      <w:r>
        <w:t xml:space="preserve">. </w:t>
      </w:r>
    </w:p>
    <w:p w14:paraId="38D9B2E1" w14:textId="77777777" w:rsidR="00D6720B" w:rsidRDefault="00D6720B" w:rsidP="00D6720B">
      <w:r w:rsidRPr="002F3854">
        <w:t>Historical experience suggests that fragmentation in itself is not necessarily</w:t>
      </w:r>
      <w:r>
        <w:t xml:space="preserve"> bad</w:t>
      </w:r>
      <w:r w:rsidRPr="002F3854">
        <w:t>: the US</w:t>
      </w:r>
      <w:r>
        <w:t xml:space="preserve"> for example</w:t>
      </w:r>
      <w:r w:rsidRPr="002F3854">
        <w:t>, which is substantially more fragmented than Europe</w:t>
      </w:r>
      <w:r>
        <w:t xml:space="preserve"> </w:t>
      </w:r>
      <w:r w:rsidRPr="002F3854">
        <w:t xml:space="preserve">in venue count, still provides deep liquidity and a successful listing environment. </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188439E0" w14:textId="77777777" w:rsidR="00E35B3E" w:rsidRPr="002F3854" w:rsidRDefault="00E35B3E" w:rsidP="00E35B3E">
      <w:permStart w:id="617826185" w:edGrp="everyone"/>
      <w:r w:rsidRPr="002F3854">
        <w:t>In practice, asset managers typically set the objectives and order instructions, while the detailed decisions on how and where to execute are delegated to brokers operating under best</w:t>
      </w:r>
      <w:r w:rsidRPr="002F3854">
        <w:noBreakHyphen/>
        <w:t xml:space="preserve">execution policies. Brokers select among exchanges, MTFs, SIs and other mechanisms, based on market conditions, liquidity characteristics, and the execution objectives defined by </w:t>
      </w:r>
      <w:r w:rsidRPr="002F3854">
        <w:lastRenderedPageBreak/>
        <w:t>the asset manager. Asset managers then assess ex post whether the broker choices have delivered the best possible outcome for end</w:t>
      </w:r>
      <w:r w:rsidRPr="002F3854">
        <w:noBreakHyphen/>
        <w:t>investors.</w:t>
      </w:r>
    </w:p>
    <w:p w14:paraId="23ACF728" w14:textId="77777777" w:rsidR="00E35B3E" w:rsidRDefault="00E35B3E" w:rsidP="00E35B3E">
      <w:r w:rsidRPr="002F3854">
        <w:t>Within this framework, the availability of multiple execution options is critical. SIs supply risk</w:t>
      </w:r>
      <w:r w:rsidRPr="002F3854">
        <w:noBreakHyphen/>
        <w:t xml:space="preserve">based principal liquidity and tailored solutions for large or </w:t>
      </w:r>
      <w:r>
        <w:t>less-liquid orders, where a purely order-book-based approach might make it difficult to achieve a minimum</w:t>
      </w:r>
      <w:r w:rsidRPr="002F3854">
        <w:t xml:space="preserve"> market impact. Periodic and closing auctions, as well as other specialist mechanisms, similarly provide tools for matching execution strategy to order characteristics, such as size, urgency and information</w:t>
      </w:r>
      <w:r w:rsidRPr="002F3854">
        <w:noBreakHyphen/>
        <w:t>sensitivity.</w:t>
      </w:r>
    </w:p>
    <w:p w14:paraId="3D927686" w14:textId="77777777" w:rsidR="00E35B3E" w:rsidRPr="00594DE1" w:rsidRDefault="00E35B3E" w:rsidP="00E35B3E">
      <w:pPr>
        <w:rPr>
          <w:lang w:val="en"/>
        </w:rPr>
      </w:pPr>
      <w:r w:rsidRPr="00594DE1">
        <w:rPr>
          <w:lang w:val="en"/>
        </w:rPr>
        <w:t>Regarding the growth of more trading via SIs</w:t>
      </w:r>
      <w:r>
        <w:rPr>
          <w:lang w:val="en"/>
        </w:rPr>
        <w:t>,</w:t>
      </w:r>
      <w:r w:rsidRPr="00594DE1">
        <w:rPr>
          <w:lang w:val="en"/>
        </w:rPr>
        <w:t xml:space="preserve"> we </w:t>
      </w:r>
      <w:r>
        <w:rPr>
          <w:lang w:val="en"/>
        </w:rPr>
        <w:t>continue to see them as</w:t>
      </w:r>
      <w:r w:rsidRPr="00594DE1">
        <w:rPr>
          <w:lang w:val="en"/>
        </w:rPr>
        <w:t xml:space="preserve"> an important provider of liquidity in the market. It is difficult to predict where SI will be in couple of years. We see there is more ETF trading and more investments in ETFs, which </w:t>
      </w:r>
      <w:r>
        <w:rPr>
          <w:lang w:val="en"/>
        </w:rPr>
        <w:t>also leads</w:t>
      </w:r>
      <w:r w:rsidRPr="00594DE1">
        <w:rPr>
          <w:lang w:val="en"/>
        </w:rPr>
        <w:t xml:space="preserve"> to more SI trading as </w:t>
      </w:r>
      <w:r>
        <w:rPr>
          <w:lang w:val="en"/>
        </w:rPr>
        <w:t>firms</w:t>
      </w:r>
      <w:r w:rsidRPr="00594DE1">
        <w:rPr>
          <w:lang w:val="en"/>
        </w:rPr>
        <w:t xml:space="preserve"> are </w:t>
      </w:r>
      <w:r>
        <w:rPr>
          <w:lang w:val="en"/>
        </w:rPr>
        <w:t>managing</w:t>
      </w:r>
      <w:r w:rsidRPr="00594DE1">
        <w:rPr>
          <w:lang w:val="en"/>
        </w:rPr>
        <w:t xml:space="preserve"> their risk. This is just the nature of the evolution of the market. </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E49BF0C" w14:textId="77777777" w:rsidR="00464036" w:rsidRPr="002F3854" w:rsidRDefault="00464036" w:rsidP="00464036">
      <w:permStart w:id="1898151376" w:edGrp="everyone"/>
      <w:r w:rsidRPr="002F3854">
        <w:t>For most EFAMA members, access to liquidity is mediated through brokers and banks, which connect to the relevant exchanges, MTFs, SIs and other platforms on their behalf. Day</w:t>
      </w:r>
      <w:r w:rsidRPr="002F3854">
        <w:noBreakHyphen/>
        <w:t>to</w:t>
      </w:r>
      <w:r w:rsidRPr="002F3854">
        <w:noBreakHyphen/>
        <w:t>day access to liquidity is therefore generally good, and decisions on which liquidity sources to use are part of brokers’ routine order</w:t>
      </w:r>
      <w:r w:rsidRPr="002F3854">
        <w:noBreakHyphen/>
        <w:t>routing and execution choices.</w:t>
      </w:r>
    </w:p>
    <w:p w14:paraId="4E331629" w14:textId="77777777" w:rsidR="00464036" w:rsidRPr="002F3854" w:rsidRDefault="00464036" w:rsidP="00464036">
      <w:r w:rsidRPr="002F3854">
        <w:t xml:space="preserve">At the same time, members underline that not all liquidity is, or should be, accessible to every participant at all times. Whether a firm can access a specific venue or counterparty depends on factors such as technical connectivity and counterparty eligibility, and some </w:t>
      </w:r>
      <w:r>
        <w:t>retail</w:t>
      </w:r>
      <w:r w:rsidRPr="002F3854">
        <w:t xml:space="preserve"> or institutional mechanisms are intentionally restricted to certain user groups in order to protect execution quality.</w:t>
      </w:r>
    </w:p>
    <w:p w14:paraId="18E604D4" w14:textId="77777777" w:rsidR="00464036" w:rsidRDefault="00464036" w:rsidP="00464036">
      <w:r w:rsidRPr="002F3854">
        <w:t xml:space="preserve">The main concern expressed by members is not </w:t>
      </w:r>
      <w:r>
        <w:t xml:space="preserve">a lack of </w:t>
      </w:r>
      <w:r w:rsidRPr="002F3854">
        <w:t>access, but the risk that future regulatory changes could narrow the range of execution options or impose constraints on particular regimes (</w:t>
      </w:r>
      <w:r>
        <w:t>e.g.</w:t>
      </w:r>
      <w:r w:rsidRPr="002F3854">
        <w:t>, on SIs), thereby reducing the ability of brokers and buy</w:t>
      </w:r>
      <w:r w:rsidRPr="002F3854">
        <w:noBreakHyphen/>
        <w:t xml:space="preserve">side desks to source liquidity effectively and </w:t>
      </w:r>
      <w:proofErr w:type="spellStart"/>
      <w:r>
        <w:t>fulfill</w:t>
      </w:r>
      <w:proofErr w:type="spellEnd"/>
      <w:r w:rsidRPr="002F3854">
        <w:t xml:space="preserve"> best</w:t>
      </w:r>
      <w:r w:rsidRPr="002F3854">
        <w:noBreakHyphen/>
        <w:t>execution obligations.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lastRenderedPageBreak/>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AB21E8" w14:textId="77777777" w:rsidR="003A33E5" w:rsidRDefault="003A33E5" w:rsidP="003A33E5">
      <w:permStart w:id="648821160" w:edGrp="everyone"/>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7777777" w:rsidR="003A33E5" w:rsidRDefault="003A33E5" w:rsidP="003A33E5">
      <w:permStart w:id="733371525" w:edGrp="everyone"/>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132291A3" w14:textId="77777777" w:rsidR="00C401C4" w:rsidRDefault="00C401C4" w:rsidP="00C401C4">
      <w:permStart w:id="14425139" w:edGrp="everyone"/>
      <w:r w:rsidRPr="002F3854">
        <w:t xml:space="preserve">EFAMA members see closing auctions as one component of a broader ecosystem of execution mechanisms that together support efficient markets for both institutional and retail investors. </w:t>
      </w:r>
    </w:p>
    <w:p w14:paraId="377D4F7A" w14:textId="7CC8E76E" w:rsidR="00C401C4" w:rsidRDefault="00C401C4" w:rsidP="00C401C4">
      <w:r>
        <w:t>We agree the stable and growing flows into closing auctions is driven by:</w:t>
      </w:r>
    </w:p>
    <w:p w14:paraId="5D5EDB87" w14:textId="77777777" w:rsidR="00C401C4" w:rsidRDefault="00C401C4" w:rsidP="00C401C4">
      <w:pPr>
        <w:pStyle w:val="ListParagraph"/>
        <w:numPr>
          <w:ilvl w:val="0"/>
          <w:numId w:val="17"/>
        </w:numPr>
        <w:spacing w:after="160" w:line="278" w:lineRule="auto"/>
        <w:contextualSpacing/>
        <w:jc w:val="left"/>
      </w:pPr>
      <w:r>
        <w:t>Rise of passive investing particularly ETFs, and passive indexed funds</w:t>
      </w:r>
    </w:p>
    <w:p w14:paraId="1B18AC94" w14:textId="77777777" w:rsidR="00C401C4" w:rsidRPr="00594DE1" w:rsidRDefault="00C401C4" w:rsidP="00C401C4">
      <w:pPr>
        <w:pStyle w:val="ListParagraph"/>
        <w:numPr>
          <w:ilvl w:val="0"/>
          <w:numId w:val="17"/>
        </w:numPr>
        <w:spacing w:after="160" w:line="278" w:lineRule="auto"/>
        <w:contextualSpacing/>
        <w:jc w:val="left"/>
      </w:pPr>
      <w:r w:rsidRPr="00594DE1">
        <w:t>Being primarily a key liquidity event. Closing auctions are a crucial liquidity event for both active managers and passive trackers. Liquidity tends to attract more liquidity, and the market is experiencing the best execution results during these times.</w:t>
      </w:r>
    </w:p>
    <w:p w14:paraId="1CA157C6" w14:textId="77777777" w:rsidR="00C401C4" w:rsidRPr="00594DE1" w:rsidRDefault="00C401C4" w:rsidP="00C401C4">
      <w:pPr>
        <w:pStyle w:val="ListParagraph"/>
        <w:numPr>
          <w:ilvl w:val="0"/>
          <w:numId w:val="17"/>
        </w:numPr>
        <w:spacing w:after="160" w:line="278" w:lineRule="auto"/>
        <w:contextualSpacing/>
        <w:jc w:val="left"/>
      </w:pPr>
      <w:r w:rsidRPr="00594DE1">
        <w:t xml:space="preserve">Mismanagement during the day occurs in the closing auctions, leading to higher trading volume at that time. Since no other trading happens afterward, except for cancellations, it becomes a liquidity event with minimal risk. </w:t>
      </w:r>
    </w:p>
    <w:p w14:paraId="74B10EA2" w14:textId="77777777" w:rsidR="00C401C4" w:rsidRPr="00594DE1" w:rsidRDefault="00C401C4" w:rsidP="00C401C4">
      <w:r w:rsidRPr="00594DE1">
        <w:lastRenderedPageBreak/>
        <w:t xml:space="preserve">We also see that volumes migrating into the close are not just a European phenomenon but rather a global trend that also occurs outside Europe. </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70AFA4FF" w14:textId="77777777" w:rsidR="00222FB3" w:rsidRDefault="00222FB3" w:rsidP="00222FB3">
      <w:permStart w:id="230633778" w:edGrp="everyone"/>
      <w:r w:rsidRPr="002F3854">
        <w:t>Alternative closing mechanisms on MTFs and SIs are viewed by members as additional tools within a diverse execution landscape, rather than as problematic innovations. EFAMA members approach them in the same way as other mechanisms</w:t>
      </w:r>
      <w:r>
        <w:t>. T</w:t>
      </w:r>
      <w:r w:rsidRPr="002F3854">
        <w:t xml:space="preserve">hey are assessed based on whether they deliver </w:t>
      </w:r>
      <w:r>
        <w:t>improved</w:t>
      </w:r>
      <w:r w:rsidRPr="002F3854">
        <w:t xml:space="preserve"> or complementary access to liquidity.</w:t>
      </w:r>
    </w:p>
    <w:p w14:paraId="1D59BAF5" w14:textId="77777777" w:rsidR="00222FB3" w:rsidRPr="00CD22D2" w:rsidRDefault="00222FB3" w:rsidP="00222FB3">
      <w:pPr>
        <w:spacing w:line="259" w:lineRule="auto"/>
      </w:pPr>
      <w:r w:rsidRPr="00CD22D2">
        <w:t xml:space="preserve">Investor demand for trading following the closing auction should be acknowledged as a legitimate option for investors and we believe that competition at the close should be welcomed. We do not see any evidence that their existence has detracted from price formation at the close. </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E69FDB6" w14:textId="77777777" w:rsidR="00A153A8" w:rsidRPr="002F3854" w:rsidRDefault="00A153A8" w:rsidP="00A153A8">
      <w:permStart w:id="834536465" w:edGrp="everyone"/>
      <w:r w:rsidRPr="002F3854">
        <w:t xml:space="preserve">Members </w:t>
      </w:r>
      <w:r>
        <w:t>believe that different conditions are present in</w:t>
      </w:r>
      <w:r w:rsidRPr="002F3854">
        <w:t xml:space="preserve"> extended or 24</w:t>
      </w:r>
      <w:r w:rsidRPr="002F3854">
        <w:noBreakHyphen/>
        <w:t>hour trading</w:t>
      </w:r>
      <w:r>
        <w:t xml:space="preserve"> as compared to </w:t>
      </w:r>
      <w:r w:rsidRPr="002F3854">
        <w:t>standard trading hours. Outside regular hours,</w:t>
      </w:r>
      <w:r>
        <w:t xml:space="preserve"> given the absence of institutional flow, spreads tend to be wider. However, some retail exchanges are open during extended trading hours, and on the SI side, some neo-brokers provide retail execution to single market makers.</w:t>
      </w:r>
    </w:p>
    <w:p w14:paraId="5336FDB7" w14:textId="77777777" w:rsidR="00A153A8" w:rsidRDefault="00A153A8" w:rsidP="00A153A8">
      <w:r w:rsidRPr="002F3854">
        <w:t xml:space="preserve">In such conditions, retail investors may be more exposed to being “picked off”, especially if they submit </w:t>
      </w:r>
      <w:r>
        <w:t xml:space="preserve">unlimited orders, and they are more reliant on the </w:t>
      </w:r>
      <w:proofErr w:type="spellStart"/>
      <w:r>
        <w:t>behavior</w:t>
      </w:r>
      <w:proofErr w:type="spellEnd"/>
      <w:r w:rsidRPr="002F3854">
        <w:t xml:space="preserve"> of market makers in a less transparent, less liquid environment. </w:t>
      </w:r>
      <w:r w:rsidRPr="00181B04">
        <w:t>For informed retail investors, there are clear limits to how far regulation can protect trading outside regular hours, where they are largely at the mercy of market makers.</w:t>
      </w:r>
    </w:p>
    <w:p w14:paraId="7FB04412" w14:textId="77777777" w:rsidR="00A153A8" w:rsidRDefault="00A153A8" w:rsidP="00A153A8">
      <w:r>
        <w:t xml:space="preserve">In terms of the role of closing auctions, these are a necessary part of the wholesale trading day.  They are absolutely critical for valuation purposes, we rely on the closing reference price, generated by closing auctions for the end of day NAV calculations necessary for ETFs, index tracking and active funds. </w:t>
      </w:r>
    </w:p>
    <w:p w14:paraId="28306AA4" w14:textId="77777777" w:rsidR="00A153A8" w:rsidRDefault="00A153A8" w:rsidP="00A153A8">
      <w:r>
        <w:t>In summary, the 24h trading day is better adapted to direct retail investment, though the issue there is thinner liquidity and higher potential spreads.</w:t>
      </w:r>
    </w:p>
    <w:permEnd w:id="834536465"/>
    <w:p w14:paraId="7C20DB7D" w14:textId="1B046AFF" w:rsidR="003A33E5" w:rsidRDefault="003A33E5" w:rsidP="003A33E5">
      <w:r>
        <w:lastRenderedPageBreak/>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57354FBF" w14:textId="77777777" w:rsidR="00BC0B6F" w:rsidRPr="00594DE1" w:rsidRDefault="00BC0B6F" w:rsidP="00BC0B6F">
      <w:pPr>
        <w:rPr>
          <w:rFonts w:ascii="Arial" w:hAnsi="Arial" w:cs="Arial"/>
          <w:sz w:val="20"/>
        </w:rPr>
      </w:pPr>
      <w:permStart w:id="54361316" w:edGrp="everyone"/>
      <w:r w:rsidRPr="002F3854">
        <w:t>The most notable structural feature highlighted by members is the long</w:t>
      </w:r>
      <w:r w:rsidRPr="002F3854">
        <w:noBreakHyphen/>
        <w:t xml:space="preserve">standing fragmentation of European market infrastructure and the effort required to reintegrate liquidity across multiple venues. </w:t>
      </w:r>
      <w:r w:rsidRPr="00594DE1">
        <w:t xml:space="preserve">With the upcoming launch of the consolidated tape, and this in combination of venue attribution and deeper layers, could help to get a better picture and identifying which venues contribute to EBBO, and thereby improving routing decisions. A consolidated tape containing pre-trade data, would serve as a valuable tool for retail investors to determine </w:t>
      </w:r>
      <w:r>
        <w:t>where to place a trade either on a</w:t>
      </w:r>
      <w:r w:rsidRPr="00594DE1">
        <w:t xml:space="preserve"> single market makers or if the lit markets are offering better services to them</w:t>
      </w:r>
      <w:r>
        <w:t xml:space="preserve">.  </w:t>
      </w:r>
    </w:p>
    <w:p w14:paraId="334138D1" w14:textId="77777777" w:rsidR="00BC0B6F" w:rsidRPr="002F3854" w:rsidRDefault="00BC0B6F" w:rsidP="00BC0B6F">
      <w:r w:rsidRPr="002F3854">
        <w:t>Despite this complexity, measured trading costs in Europe are not higher than in more centralised markets, and may even be lower in some cases, which members see as evidence that the current multi</w:t>
      </w:r>
      <w:r w:rsidRPr="002F3854">
        <w:noBreakHyphen/>
        <w:t>venue model is broadly successful from an investor</w:t>
      </w:r>
      <w:r w:rsidRPr="002F3854">
        <w:noBreakHyphen/>
        <w:t>outcome perspective.</w:t>
      </w:r>
    </w:p>
    <w:p w14:paraId="682D6903" w14:textId="77777777" w:rsidR="00BC0B6F" w:rsidRPr="002F3854" w:rsidRDefault="00BC0B6F" w:rsidP="00BC0B6F">
      <w:r>
        <w:t>Institutional trading costs have trended downward over time, including during recent periods of volatility, supporting the view that markets are complex yet</w:t>
      </w:r>
      <w:r w:rsidRPr="002F3854">
        <w:t xml:space="preserve"> efficient. From a buy</w:t>
      </w:r>
      <w:r w:rsidRPr="002F3854">
        <w:noBreakHyphen/>
        <w:t>side perspective, two principles are central for a successful market structure: traders must retain the ability to choose how to execute each trade, and regulators should avoid micromanaging market structure in the absence of a clear, evidence</w:t>
      </w:r>
      <w:r w:rsidRPr="002F3854">
        <w:noBreakHyphen/>
        <w:t>based public</w:t>
      </w:r>
      <w:r w:rsidRPr="002F3854">
        <w:noBreakHyphen/>
        <w:t>interest justification.</w:t>
      </w:r>
    </w:p>
    <w:p w14:paraId="3122960C" w14:textId="77777777" w:rsidR="00BC0B6F" w:rsidRDefault="00BC0B6F" w:rsidP="00BC0B6F">
      <w:r w:rsidRPr="002F3854">
        <w:t>Members therefore recommend that regulatory attention focus on improving post</w:t>
      </w:r>
      <w:r w:rsidRPr="002F3854">
        <w:noBreakHyphen/>
        <w:t>trade data quality</w:t>
      </w:r>
      <w:r>
        <w:t xml:space="preserve">, </w:t>
      </w:r>
      <w:r w:rsidRPr="002F3854">
        <w:t>including the use of proper flags</w:t>
      </w:r>
      <w:r>
        <w:t>,</w:t>
      </w:r>
      <w:r w:rsidRPr="002F3854">
        <w:t xml:space="preserve"> and reducing post</w:t>
      </w:r>
      <w:r w:rsidRPr="002F3854">
        <w:noBreakHyphen/>
        <w:t>trade frictions and barriers, rather than on far</w:t>
      </w:r>
      <w:r w:rsidRPr="002F3854">
        <w:noBreakHyphen/>
        <w:t>reaching structural interventions in the trading landscape. ESMA’s own data show that markets remain heavily concentrated on multilateral venues and are generally well</w:t>
      </w:r>
      <w:r w:rsidRPr="002F3854">
        <w:noBreakHyphen/>
        <w:t>functioning, which supports a cautious, non</w:t>
      </w:r>
      <w:r w:rsidRPr="002F3854">
        <w:noBreakHyphen/>
        <w:t>interventionist approach that preserves choice while improving transparency and data</w:t>
      </w:r>
      <w:r>
        <w:t>.</w:t>
      </w:r>
    </w:p>
    <w:p w14:paraId="16E30ACD" w14:textId="77777777" w:rsidR="00BC0B6F" w:rsidRDefault="00BC0B6F" w:rsidP="00BC0B6F">
      <w:r>
        <w:t xml:space="preserve">Similarly, we support efforts under the MISP to reduce post-trade frictions by mandating CCP choice and interoperability, as well as building CSD hubs and connectivity where necessary. </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56B27A0C" w14:textId="77777777" w:rsidR="002532BC" w:rsidRPr="00D85962" w:rsidRDefault="002532BC" w:rsidP="002532BC">
      <w:permStart w:id="1032677898" w:edGrp="everyone"/>
      <w:r w:rsidRPr="00594DE1">
        <w:t xml:space="preserve">Specific to FBAs, standardisation </w:t>
      </w:r>
      <w:r>
        <w:t xml:space="preserve">varies </w:t>
      </w:r>
      <w:r w:rsidRPr="00594DE1">
        <w:t xml:space="preserve">across different FBA protocols. </w:t>
      </w:r>
    </w:p>
    <w:p w14:paraId="18010B15" w14:textId="77777777" w:rsidR="002532BC" w:rsidRPr="002F3854" w:rsidRDefault="002532BC" w:rsidP="002532BC">
      <w:r w:rsidRPr="002F3854">
        <w:t>From a market</w:t>
      </w:r>
      <w:r w:rsidRPr="002F3854">
        <w:noBreakHyphen/>
        <w:t>structure perspective, frequent batch auctions (FBAs) are one of several execution mechanisms that contribute to a competitive and resilient European equity market. The coexistence of exchanges, MTFs, SIs, closing auctions, periodic auctions and FBAs has driven innovation, improved efficiency and strengthened competition, ultimately benefiting end</w:t>
      </w:r>
      <w:r w:rsidRPr="002F3854">
        <w:noBreakHyphen/>
        <w:t>investors.</w:t>
      </w:r>
    </w:p>
    <w:p w14:paraId="7B12ED9B" w14:textId="77777777" w:rsidR="002532BC" w:rsidRDefault="002532BC" w:rsidP="002532BC">
      <w:r>
        <w:t>It</w:t>
      </w:r>
      <w:r w:rsidRPr="002F3854">
        <w:t xml:space="preserve"> give</w:t>
      </w:r>
      <w:r>
        <w:t>s</w:t>
      </w:r>
      <w:r w:rsidRPr="002F3854">
        <w:t xml:space="preserve"> traders additional ways to execute orders where continuous lit books may not provide the best solution, for example for larger or more sensitive orders where immediate display could trigger unwarranted market impact. </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5FA773B0" w14:textId="77777777" w:rsidR="005468C7" w:rsidRPr="00C86124" w:rsidRDefault="005468C7" w:rsidP="005468C7">
      <w:permStart w:id="1672904074" w:edGrp="everyone"/>
      <w:r w:rsidRPr="00594DE1">
        <w:t xml:space="preserve">Specific to FBAs, we believe </w:t>
      </w:r>
      <w:r>
        <w:t>that</w:t>
      </w:r>
      <w:r w:rsidRPr="00594DE1">
        <w:t xml:space="preserve"> standardisation </w:t>
      </w:r>
      <w:r>
        <w:t xml:space="preserve">varies </w:t>
      </w:r>
      <w:r w:rsidRPr="00594DE1">
        <w:t xml:space="preserve">across different FBA protocols, so there is a case for further analysis of whether each individual FBA contributes to price formation or not. </w:t>
      </w:r>
    </w:p>
    <w:p w14:paraId="360E0CB1" w14:textId="77777777" w:rsidR="005468C7" w:rsidRPr="002F3854" w:rsidRDefault="005468C7" w:rsidP="005468C7">
      <w:r>
        <w:t>However, b</w:t>
      </w:r>
      <w:r w:rsidRPr="002F3854">
        <w:t>ased on members’ trading experience, FBAs and other auction mechanisms do contribute to price formation. When institutional desks trade in periodic auctions, they typically execute at or around the mid</w:t>
      </w:r>
      <w:r w:rsidRPr="002F3854">
        <w:noBreakHyphen/>
        <w:t>price with lower market impact than in continuous trading, and the resulting trades interact with the overall price</w:t>
      </w:r>
      <w:r w:rsidRPr="002F3854">
        <w:noBreakHyphen/>
        <w:t>formation process at least post</w:t>
      </w:r>
      <w:r w:rsidRPr="002F3854">
        <w:noBreakHyphen/>
        <w:t>trade.</w:t>
      </w:r>
    </w:p>
    <w:p w14:paraId="5409BADD" w14:textId="77777777" w:rsidR="005468C7" w:rsidRPr="002F3854" w:rsidRDefault="005468C7" w:rsidP="005468C7">
      <w:r w:rsidRPr="002F3854">
        <w:t>More generally, whenever there is price improvement in an SI or in an auction</w:t>
      </w:r>
      <w:r>
        <w:t>,</w:t>
      </w:r>
      <w:r w:rsidRPr="002F3854">
        <w:t xml:space="preserve"> or liquidity improvement at the same reference price as on the exchange</w:t>
      </w:r>
      <w:r>
        <w:t>,</w:t>
      </w:r>
      <w:r w:rsidRPr="002F3854">
        <w:t xml:space="preserve"> this activity is contributing to price formation. </w:t>
      </w:r>
    </w:p>
    <w:p w14:paraId="1452A4F4" w14:textId="77777777" w:rsidR="005468C7" w:rsidRPr="002F3854" w:rsidRDefault="005468C7" w:rsidP="005468C7">
      <w:r w:rsidRPr="002F3854">
        <w:t>FBAs clearly meet ESMA’s own definition of price forming as reflecting “a price determined through the genuine interaction of buying and selling trading interests”. Auctions, including closing auctions, literally set a price based on accumulated buy and sell orders that did not exist beforehand</w:t>
      </w:r>
      <w:r>
        <w:t>. T</w:t>
      </w:r>
      <w:r w:rsidRPr="002F3854">
        <w:t xml:space="preserve">hat price is created by the auction process and then feeds into market valuations. </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6D452E12" w14:textId="77777777" w:rsidR="00E63E94" w:rsidRPr="002F3854" w:rsidRDefault="00E63E94" w:rsidP="00E63E94">
      <w:permStart w:id="529949636" w:edGrp="everyone"/>
      <w:r w:rsidRPr="002F3854">
        <w:t>Members observe that SI trading has grown alongside the wider expansion of alternative trading mechanisms such as periodic auctions. A key driver is that decisions to route flow to SIs are often taken by brokers and banks as part of their routine execution logic, including via smart order routers, rather than by asset managers directly.</w:t>
      </w:r>
    </w:p>
    <w:p w14:paraId="12055590" w14:textId="77777777" w:rsidR="00E63E94" w:rsidRPr="002F3854" w:rsidRDefault="00E63E94" w:rsidP="00E63E94">
      <w:r w:rsidRPr="002F3854">
        <w:t>From the buy</w:t>
      </w:r>
      <w:r w:rsidRPr="002F3854">
        <w:noBreakHyphen/>
        <w:t>side standpoint, SIs play a complementary role to lit markets by providing risk</w:t>
      </w:r>
      <w:r w:rsidRPr="002F3854">
        <w:noBreakHyphen/>
        <w:t>based principal liquidity, especially for large, complex or less liquid orders where executing solely on lit order books could cause undue market impact or unfavourable price moves. Most off</w:t>
      </w:r>
      <w:r w:rsidRPr="002F3854">
        <w:noBreakHyphen/>
        <w:t>venue flow executed through MTFs or SIs is strongly benchmarked to the reference price on the continuous lit market, which helps maintain a robust link between SI activity and overall price formation.</w:t>
      </w:r>
    </w:p>
    <w:p w14:paraId="71B033E0" w14:textId="77777777" w:rsidR="00E63E94" w:rsidRDefault="00E63E94" w:rsidP="00E63E94">
      <w:r w:rsidRPr="002F3854">
        <w:t xml:space="preserve">Members also highlight proposals </w:t>
      </w:r>
      <w:r>
        <w:t>under discussion in the market to attribute post-trade reports to individual SIs</w:t>
      </w:r>
      <w:r w:rsidRPr="002F3854">
        <w:t xml:space="preserve"> rather than using a generic “SINT” flag. From the perspective of institutional trading desks, such firm</w:t>
      </w:r>
      <w:r w:rsidRPr="002F3854">
        <w:noBreakHyphen/>
        <w:t>level attribution would fundamentally change the risk profile for SIs as risk</w:t>
      </w:r>
      <w:r w:rsidRPr="002F3854">
        <w:noBreakHyphen/>
        <w:t>takers rather than marketplaces, and could therefore alter the services they can offer and the attractiveness of SI liquidity.</w:t>
      </w:r>
    </w:p>
    <w:p w14:paraId="0FC30BEB" w14:textId="77777777" w:rsidR="00E63E94" w:rsidRDefault="00E63E94" w:rsidP="00E63E94">
      <w:r>
        <w:t xml:space="preserve">Referring to ESMA’s own data there is a high degree of concentration of SI volumes on a few providers.  This makes the idea of publishing SI venue identities highly problematic. </w:t>
      </w:r>
      <w:r w:rsidRPr="002F3854">
        <w:t xml:space="preserve">For </w:t>
      </w:r>
      <w:r>
        <w:t xml:space="preserve">buy-side firms, </w:t>
      </w:r>
      <w:r w:rsidRPr="002F3854">
        <w:t xml:space="preserve">preserving the current “SINT” flagging model is </w:t>
      </w:r>
      <w:r>
        <w:t>essential</w:t>
      </w:r>
      <w:r w:rsidRPr="002F3854">
        <w:t>, as it allows SIs to intermediate risk without exposing their positioning and trading strategies in a way that would undermine their ability to provide competitive liquidity.</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77FEB049" w14:textId="77777777" w:rsidR="00287F72" w:rsidRPr="002F3854" w:rsidRDefault="00287F72" w:rsidP="00287F72">
      <w:permStart w:id="818545257" w:edGrp="everyone"/>
      <w:r w:rsidRPr="002F3854">
        <w:t xml:space="preserve">The available data showing that a large share of SI notional volume is concentrated in sizeable transactions on a relatively small number of SIs is </w:t>
      </w:r>
      <w:r>
        <w:t>clear in the ESMA Call for Evidence</w:t>
      </w:r>
      <w:r w:rsidRPr="002F3854">
        <w:t xml:space="preserve">. </w:t>
      </w:r>
      <w:r>
        <w:t xml:space="preserve">Without an improved flagging system it is difficult to generalise about the small order size flow, as some of it is certainly retail, and some of it is institutional.  </w:t>
      </w:r>
      <w:r w:rsidRPr="002F3854">
        <w:t>However, there is also a significant amount of small</w:t>
      </w:r>
      <w:r w:rsidRPr="002F3854">
        <w:noBreakHyphen/>
        <w:t>sized SI trading, which means that any simple size</w:t>
      </w:r>
      <w:r w:rsidRPr="002F3854">
        <w:noBreakHyphen/>
        <w:t>based categorisation of SI flow would be misleading.</w:t>
      </w:r>
    </w:p>
    <w:p w14:paraId="00BDE166" w14:textId="77777777" w:rsidR="00287F72" w:rsidRDefault="00287F72" w:rsidP="00287F72">
      <w:r w:rsidRPr="002F3854">
        <w:t>This concentration pattern is one of the reasons why EFAMA members are opposed to post</w:t>
      </w:r>
      <w:r w:rsidRPr="002F3854">
        <w:noBreakHyphen/>
        <w:t xml:space="preserve">trade disclosure of individual SI identities, even with delays. </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43A294" w14:textId="77777777" w:rsidR="00BA33FB" w:rsidRDefault="00BA33FB" w:rsidP="00BA33FB">
      <w:permStart w:id="1751220061" w:edGrp="everyone"/>
      <w:r w:rsidRPr="002F3854">
        <w:t>EFAMA members emphasise that a large proportion of their off</w:t>
      </w:r>
      <w:r w:rsidRPr="002F3854">
        <w:noBreakHyphen/>
        <w:t>venue order flow executed through MTFs and SIs is benchmarked to the reference price on the continuous lit market. This means that, in practice, SI executions offering price improvement relative to the lit best bid or offer are a tangible and important source of value for investors, even if there may be some data</w:t>
      </w:r>
      <w:r w:rsidRPr="002F3854">
        <w:noBreakHyphen/>
        <w:t>quality challenges in how price</w:t>
      </w:r>
      <w:r w:rsidRPr="002F3854">
        <w:noBreakHyphen/>
        <w:t>improved trades are flagged.</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092743C" w14:textId="77777777" w:rsidR="00226630" w:rsidRDefault="00226630" w:rsidP="00226630">
      <w:permStart w:id="999231783" w:edGrp="everyone"/>
      <w:r w:rsidRPr="002F3854">
        <w:t>Members have discussed ideas such as introducing size</w:t>
      </w:r>
      <w:r w:rsidRPr="002F3854">
        <w:noBreakHyphen/>
        <w:t xml:space="preserve">based thresholds below which trades could be considered “retail” and required to be executed on exchanges, as an alternative to enforcing explicit retail flags on SIs. </w:t>
      </w:r>
    </w:p>
    <w:p w14:paraId="7D81F7BC" w14:textId="77777777" w:rsidR="00226630" w:rsidRPr="00594DE1" w:rsidRDefault="00226630" w:rsidP="00226630">
      <w:r w:rsidRPr="00594DE1">
        <w:lastRenderedPageBreak/>
        <w:t xml:space="preserve">To boost retail trading on the lit market, regulated markets and exchanges should become more competitive to attract these flows. While retail remains a small segment overall, it is rapidly growing, especially in regions like Germany. </w:t>
      </w:r>
    </w:p>
    <w:p w14:paraId="7E09F49C" w14:textId="77777777" w:rsidR="00226630" w:rsidRPr="00335855" w:rsidRDefault="00226630" w:rsidP="00226630">
      <w:r w:rsidRPr="00594DE1">
        <w:t xml:space="preserve">A key question is whether it is beneficial </w:t>
      </w:r>
      <w:r>
        <w:t>and in the client interest</w:t>
      </w:r>
      <w:r w:rsidRPr="00594DE1">
        <w:t xml:space="preserve"> for all retail orders to be executed by a single provider. To answer this accurately, a reliable and consolidated pre-trade data tape is essential.</w:t>
      </w:r>
      <w:r>
        <w:t xml:space="preserve">  It would allow for comparability of prices across trading venues.  </w:t>
      </w:r>
      <w:r w:rsidRPr="00594DE1">
        <w:t xml:space="preserve"> Such a resource would enable retail investors to assess if single dealer models offer them fair value. </w:t>
      </w:r>
    </w:p>
    <w:p w14:paraId="5EF9F4B0" w14:textId="77777777" w:rsidR="00226630" w:rsidRPr="002F3854" w:rsidRDefault="00226630" w:rsidP="00226630">
      <w:r w:rsidRPr="002F3854">
        <w:t>However, the prevailing view is that such size</w:t>
      </w:r>
      <w:r w:rsidRPr="002F3854">
        <w:noBreakHyphen/>
        <w:t>based approaches would be very unhelpful for institutional investors, as they would inevitably capture a significant amount of genuinely institutional flow, given the large number of small</w:t>
      </w:r>
      <w:r w:rsidRPr="002F3854">
        <w:noBreakHyphen/>
        <w:t>sized transactions executed by SIs as part of institutional execution strategies. Restricting small</w:t>
      </w:r>
      <w:r w:rsidRPr="002F3854">
        <w:noBreakHyphen/>
        <w:t>size SI trades would impair brokers’ ability to optimise execution outcomes, without addressing the underlying concerns.</w:t>
      </w:r>
    </w:p>
    <w:p w14:paraId="362CF30F" w14:textId="77777777" w:rsidR="00226630" w:rsidRPr="002F3854" w:rsidRDefault="00226630" w:rsidP="00226630">
      <w:r w:rsidRPr="002F3854">
        <w:t xml:space="preserve">In this light, EFAMA members see greater value in improving the consistency and </w:t>
      </w:r>
      <w:r>
        <w:t>reliability</w:t>
      </w:r>
      <w:r w:rsidRPr="002F3854">
        <w:t xml:space="preserve"> of existing flags (including those for price improvement and liquidity provision) </w:t>
      </w:r>
      <w:r>
        <w:t>to include a new retail flag</w:t>
      </w:r>
      <w:r w:rsidRPr="002F3854">
        <w:t>.</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C4EB020" w14:textId="77777777" w:rsidR="00AA2835" w:rsidRPr="002F3854" w:rsidRDefault="00AA2835" w:rsidP="00AA2835">
      <w:permStart w:id="797907736" w:edGrp="everyone"/>
      <w:r w:rsidRPr="002F3854">
        <w:t>As noted above, SI trading has grown and become more concentrated in a limited number of providers, reflecting where liquidity naturally aggregates. EFAMA members do not see the scale of SIs as the main structural weakness of current market structure; instead, the more pressing issues lie in data quality, the absence (so far) of a robust consolidated tape, and the need for better post</w:t>
      </w:r>
      <w:r w:rsidRPr="002F3854">
        <w:noBreakHyphen/>
        <w:t>trade transparency standards.</w:t>
      </w:r>
    </w:p>
    <w:p w14:paraId="21C7B29E" w14:textId="77777777" w:rsidR="00AA2835" w:rsidRDefault="00AA2835" w:rsidP="00AA2835">
      <w:r w:rsidRPr="002F3854">
        <w:t>From a buy</w:t>
      </w:r>
      <w:r w:rsidRPr="002F3854">
        <w:noBreakHyphen/>
        <w:t>side perspective, the priority is to preserve a multi</w:t>
      </w:r>
      <w:r w:rsidRPr="002F3854">
        <w:noBreakHyphen/>
        <w:t>venue model in which traders can choose between exchanges, MTFs, SIs, auctions and other mechanisms according to the needs of each order. Regulation should avoid “over</w:t>
      </w:r>
      <w:r w:rsidRPr="002F3854">
        <w:noBreakHyphen/>
      </w:r>
      <w:r>
        <w:t>regulating</w:t>
      </w:r>
      <w:r w:rsidRPr="002F3854">
        <w:t>” SI and dark</w:t>
      </w:r>
      <w:r w:rsidRPr="002F3854">
        <w:noBreakHyphen/>
        <w:t>trading activity in ways that reduce choice, weaken liquidity and impair execution quality, thereby making markets more fragile rather than more resilient.</w:t>
      </w:r>
    </w:p>
    <w:p w14:paraId="051C0CAD" w14:textId="77777777" w:rsidR="00AA2835" w:rsidRPr="00594DE1" w:rsidRDefault="00AA2835" w:rsidP="00AA2835">
      <w:pPr>
        <w:rPr>
          <w:lang w:val="en"/>
        </w:rPr>
      </w:pPr>
      <w:r w:rsidRPr="00594DE1">
        <w:rPr>
          <w:lang w:val="en"/>
        </w:rPr>
        <w:t xml:space="preserve">Whether the markets will evolve as described in the ESMA </w:t>
      </w:r>
      <w:proofErr w:type="spellStart"/>
      <w:r w:rsidRPr="00594DE1">
        <w:rPr>
          <w:lang w:val="en"/>
        </w:rPr>
        <w:t>CfE</w:t>
      </w:r>
      <w:proofErr w:type="spellEnd"/>
      <w:r w:rsidRPr="00594DE1">
        <w:rPr>
          <w:lang w:val="en"/>
        </w:rPr>
        <w:t xml:space="preserve"> and whether trends will continue to set further will depend entirely on how people put their money to work. Today, there </w:t>
      </w:r>
      <w:r w:rsidRPr="00594DE1">
        <w:rPr>
          <w:lang w:val="en"/>
        </w:rPr>
        <w:lastRenderedPageBreak/>
        <w:t xml:space="preserve">are many more options and ways to invest, and the evolution toward a more diversified mix of execution mechanisms </w:t>
      </w:r>
      <w:r>
        <w:rPr>
          <w:lang w:val="en"/>
        </w:rPr>
        <w:t>creates</w:t>
      </w:r>
      <w:r w:rsidRPr="00594DE1">
        <w:rPr>
          <w:lang w:val="en"/>
        </w:rPr>
        <w:t xml:space="preserve"> a market where they can decide how to execute their orders, which can be seen as a positive development. It also reflects a greater level of segmentation in how we transact or see liquidity, based on trade sizes and different execution objectives.</w:t>
      </w:r>
    </w:p>
    <w:p w14:paraId="201F01F2" w14:textId="77777777" w:rsidR="00AA2835" w:rsidRDefault="00AA2835" w:rsidP="00AA2835">
      <w:r w:rsidRPr="002F3854">
        <w:t>In short, the aim should be to refine a broadly functioning market structure by strengthening transparency, resilience and investor outcomes, not to dismantle or significantly curtail SI activity that plays a valuable complementary role.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6F9CB3B5" w14:textId="77777777" w:rsidR="00537B84" w:rsidRPr="002F3854" w:rsidRDefault="00537B84" w:rsidP="00537B84">
      <w:permStart w:id="165951741" w:edGrp="everyone"/>
      <w:r w:rsidRPr="002F3854">
        <w:t>EFAMA members consider that the diversity of execution options in Europe</w:t>
      </w:r>
      <w:r>
        <w:t xml:space="preserve">, </w:t>
      </w:r>
      <w:r w:rsidRPr="002F3854">
        <w:t>across exchanges, MTFs, SIs, auctions and other mechanisms</w:t>
      </w:r>
      <w:r>
        <w:t>,</w:t>
      </w:r>
      <w:r w:rsidRPr="002F3854">
        <w:t xml:space="preserve"> is a core strength of the current market structure. This diversity supports resilience, increases choice and helps deliver better outcomes for end</w:t>
      </w:r>
      <w:r w:rsidRPr="002F3854">
        <w:noBreakHyphen/>
        <w:t>investors by allowing traders to match execution methods to order characteristics and liquidity conditions.</w:t>
      </w:r>
    </w:p>
    <w:p w14:paraId="69A70FBA" w14:textId="77777777" w:rsidR="00537B84" w:rsidRPr="002F3854" w:rsidRDefault="00537B84" w:rsidP="00537B84">
      <w:r w:rsidRPr="002F3854">
        <w:t>Measures that significantly restrict particular venue types risk upsetting this balance, reducing competition and limiting the market’s ability to meet different trading needs efficiently. For asset managers, access to a broad set of execution options is essential to source liquidity, manage diverse trade sizes and strategies, and comply with best</w:t>
      </w:r>
      <w:r w:rsidRPr="002F3854">
        <w:noBreakHyphen/>
        <w:t>execution obligations</w:t>
      </w:r>
      <w:r>
        <w:t>.</w:t>
      </w:r>
    </w:p>
    <w:p w14:paraId="49133ED7" w14:textId="77777777" w:rsidR="00537B84" w:rsidRPr="002F3854" w:rsidRDefault="00537B84" w:rsidP="00537B84">
      <w:r w:rsidRPr="002F3854">
        <w:t>From a buy</w:t>
      </w:r>
      <w:r w:rsidRPr="002F3854">
        <w:noBreakHyphen/>
        <w:t>side perspective, the focus of regulatory intervention should be on improving market data and transparency rather than on broadly limiting specific execution mechanisms. A high</w:t>
      </w:r>
      <w:r w:rsidRPr="002F3854">
        <w:noBreakHyphen/>
        <w:t>quality consolidated tape and stronger, more consistent reporting standards would enable firms to assess execution quality more accurately, see where liquidity is genuinely forming, and make better routing decisions across venues. This, in turn, is a more practical way to support liquidity on lit venues and across the market, while also giving both market participants and regulators a clearer view of how the system operates in practice.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lastRenderedPageBreak/>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lastRenderedPageBreak/>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1D23" w14:textId="77777777" w:rsidR="00C80678" w:rsidRDefault="00C80678" w:rsidP="007E7997">
      <w:pPr>
        <w:spacing w:line="240" w:lineRule="auto"/>
      </w:pPr>
      <w:r>
        <w:separator/>
      </w:r>
    </w:p>
  </w:endnote>
  <w:endnote w:type="continuationSeparator" w:id="0">
    <w:p w14:paraId="4E908DED" w14:textId="77777777" w:rsidR="00C80678" w:rsidRDefault="00C80678" w:rsidP="007E7997">
      <w:pPr>
        <w:spacing w:line="240" w:lineRule="auto"/>
      </w:pPr>
      <w:r>
        <w:continuationSeparator/>
      </w:r>
    </w:p>
  </w:endnote>
  <w:endnote w:type="continuationNotice" w:id="1">
    <w:p w14:paraId="421FFE44" w14:textId="77777777" w:rsidR="00C80678" w:rsidRDefault="00C80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09DB" w14:textId="77777777" w:rsidR="00C80678" w:rsidRDefault="00C80678" w:rsidP="007E7997">
      <w:pPr>
        <w:spacing w:line="240" w:lineRule="auto"/>
      </w:pPr>
      <w:r>
        <w:separator/>
      </w:r>
    </w:p>
  </w:footnote>
  <w:footnote w:type="continuationSeparator" w:id="0">
    <w:p w14:paraId="4A6EF6C1" w14:textId="77777777" w:rsidR="00C80678" w:rsidRDefault="00C80678" w:rsidP="007E7997">
      <w:pPr>
        <w:spacing w:line="240" w:lineRule="auto"/>
      </w:pPr>
      <w:r>
        <w:continuationSeparator/>
      </w:r>
    </w:p>
  </w:footnote>
  <w:footnote w:type="continuationNotice" w:id="1">
    <w:p w14:paraId="13397ABD" w14:textId="77777777" w:rsidR="00C80678" w:rsidRDefault="00C80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AE2324B"/>
    <w:multiLevelType w:val="hybridMultilevel"/>
    <w:tmpl w:val="D1F2C182"/>
    <w:lvl w:ilvl="0" w:tplc="BE0414F8">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3784345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2FB3"/>
    <w:rsid w:val="002236FA"/>
    <w:rsid w:val="00224440"/>
    <w:rsid w:val="00224639"/>
    <w:rsid w:val="00224667"/>
    <w:rsid w:val="002247AF"/>
    <w:rsid w:val="0022488F"/>
    <w:rsid w:val="00224ABF"/>
    <w:rsid w:val="002255A5"/>
    <w:rsid w:val="002262FA"/>
    <w:rsid w:val="00226630"/>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2BC"/>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87F72"/>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1AB9"/>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036"/>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B0E"/>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1A0"/>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37B84"/>
    <w:rsid w:val="00540A41"/>
    <w:rsid w:val="00540F1E"/>
    <w:rsid w:val="005413DF"/>
    <w:rsid w:val="0054184A"/>
    <w:rsid w:val="00543079"/>
    <w:rsid w:val="00543344"/>
    <w:rsid w:val="005434A0"/>
    <w:rsid w:val="005439CE"/>
    <w:rsid w:val="00543E6C"/>
    <w:rsid w:val="00544433"/>
    <w:rsid w:val="00544897"/>
    <w:rsid w:val="00544A94"/>
    <w:rsid w:val="00544CFC"/>
    <w:rsid w:val="00544D67"/>
    <w:rsid w:val="005452DD"/>
    <w:rsid w:val="00545831"/>
    <w:rsid w:val="005463F0"/>
    <w:rsid w:val="005468C7"/>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C1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3A8"/>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835"/>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7C8"/>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3FB"/>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0B6F"/>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1C4"/>
    <w:rsid w:val="00C40219"/>
    <w:rsid w:val="00C40992"/>
    <w:rsid w:val="00C40A9C"/>
    <w:rsid w:val="00C40CD9"/>
    <w:rsid w:val="00C4187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678"/>
    <w:rsid w:val="00C80DDB"/>
    <w:rsid w:val="00C81029"/>
    <w:rsid w:val="00C81169"/>
    <w:rsid w:val="00C8126F"/>
    <w:rsid w:val="00C8292C"/>
    <w:rsid w:val="00C837E5"/>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20B"/>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742"/>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B3E"/>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3E94"/>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A7151"/>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377C8"/>
    <w:rsid w:val="00B46CAE"/>
    <w:rsid w:val="00C837E5"/>
    <w:rsid w:val="00CA74DD"/>
    <w:rsid w:val="00CC332E"/>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984E3E832593459483A65C6D41B012" ma:contentTypeVersion="16" ma:contentTypeDescription="Create a new document." ma:contentTypeScope="" ma:versionID="2ca2a5c88b0a1115d7b65043073c4482">
  <xsd:schema xmlns:xsd="http://www.w3.org/2001/XMLSchema" xmlns:xs="http://www.w3.org/2001/XMLSchema" xmlns:p="http://schemas.microsoft.com/office/2006/metadata/properties" xmlns:ns2="8d04436c-97e7-4ff5-ab8a-2aced667a8e8" xmlns:ns3="19ef4362-ebb2-43d2-99d3-7d30d0204601" targetNamespace="http://schemas.microsoft.com/office/2006/metadata/properties" ma:root="true" ma:fieldsID="1624a333d25e3009fa5f2a2f4ea0ade2" ns2:_="" ns3:_="">
    <xsd:import namespace="8d04436c-97e7-4ff5-ab8a-2aced667a8e8"/>
    <xsd:import namespace="19ef4362-ebb2-43d2-99d3-7d30d0204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436c-97e7-4ff5-ab8a-2aced667a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00e026c-922a-4cff-badf-f3eeb93394e9}" ma:internalName="TaxCatchAll" ma:showField="CatchAllData" ma:web="8d04436c-97e7-4ff5-ab8a-2aced667a8e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4362-ebb2-43d2-99d3-7d30d020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5ee7d-9196-4379-8658-44738156ff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d04436c-97e7-4ff5-ab8a-2aced667a8e8" xsi:nil="true"/>
    <_dlc_DocId xmlns="8d04436c-97e7-4ff5-ab8a-2aced667a8e8">UX3J3NH7HRHJ-167323429-371950</_dlc_DocId>
    <_dlc_DocIdUrl xmlns="8d04436c-97e7-4ff5-ab8a-2aced667a8e8">
      <Url>https://efama.sharepoint.com/sites/Data/_layouts/15/DocIdRedir.aspx?ID=UX3J3NH7HRHJ-167323429-371950</Url>
      <Description>UX3J3NH7HRHJ-167323429-371950</Description>
    </_dlc_DocIdUrl>
    <_dlc_DocIdPersistId xmlns="8d04436c-97e7-4ff5-ab8a-2aced667a8e8" xsi:nil="true"/>
    <lcf76f155ced4ddcb4097134ff3c332f xmlns="19ef4362-ebb2-43d2-99d3-7d30d020460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483FBD35-1B6A-41C3-8480-722E8667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436c-97e7-4ff5-ab8a-2aced667a8e8"/>
    <ds:schemaRef ds:uri="19ef4362-ebb2-43d2-99d3-7d30d020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8d04436c-97e7-4ff5-ab8a-2aced667a8e8"/>
    <ds:schemaRef ds:uri="19ef4362-ebb2-43d2-99d3-7d30d0204601"/>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5906</Words>
  <Characters>33667</Characters>
  <Application>Microsoft Office Word</Application>
  <DocSecurity>8</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Isabelle Van Acker</cp:lastModifiedBy>
  <cp:revision>22</cp:revision>
  <cp:lastPrinted>2023-09-09T09:53:00Z</cp:lastPrinted>
  <dcterms:created xsi:type="dcterms:W3CDTF">2026-06-30T08:19:00Z</dcterms:created>
  <dcterms:modified xsi:type="dcterms:W3CDTF">2026-06-30T14:13:00Z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0x01010065984E3E832593459483A65C6D41B012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5a169faf-4f05-4be9-8dc9-b2a34fc7c421</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y fmtid="{D5CDD505-2E9C-101B-9397-08002B2CF9AE}" pid="26" name="GrammarlyDocumentId">
    <vt:lpwstr>3a9273d6-0396-4a4a-bb09-f3881e2aba79</vt:lpwstr>
  </property>
</Properties>
</file>