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E66898"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5E648FC9" w:rsidR="00E40D2C" w:rsidRPr="004A17C5" w:rsidRDefault="004A17C5">
                <w:pPr>
                  <w:rPr>
                    <w:lang w:val="pl-PL"/>
                  </w:rPr>
                </w:pPr>
                <w:r w:rsidRPr="004A17C5">
                  <w:rPr>
                    <w:lang w:val="pl-PL"/>
                  </w:rPr>
                  <w:t>Bulgarian Stock Exchange AD (BSE)</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0FDAE5A9" w:rsidR="00E40D2C" w:rsidRDefault="00EC0C86">
                <w:r>
                  <w:t>Trading Venues</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permStart w:id="1385105873" w:edGrp="everyone" w:displacedByCustomXml="prev"/>
            <w:tc>
              <w:tcPr>
                <w:tcW w:w="4531" w:type="dxa"/>
                <w:vAlign w:val="center"/>
              </w:tcPr>
              <w:p w14:paraId="7AB9C082" w14:textId="79C5724B" w:rsidR="002262FA" w:rsidRDefault="00EC0C86"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79396EF8" w:rsidR="00E40D2C" w:rsidRPr="00557BD2" w:rsidRDefault="00EC0C86">
                <w:r>
                  <w:t>Bulgaria</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639E4D3B" w14:textId="65442602" w:rsidR="00746DD2" w:rsidRDefault="00746DD2" w:rsidP="00746DD2">
      <w:r>
        <w:t>BSE broadly agrees that Figure 1 is a useful overview, but the transaction-reporting categories do not always reflect the economic nature or genuine addressability of trades, notably for NT3, TNCP and SI-OTC activity. Opening and closing auctions should be separated from FBAs, and price-forming closing auctions should be distinguished from trade-at-close mechanisms. A dedicated post-trade flag for trades executed at or by reference to the official closing price would improve the analysis.</w:t>
      </w:r>
    </w:p>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27E58766" w14:textId="02730594" w:rsidR="00746DD2" w:rsidRDefault="00746DD2" w:rsidP="00746DD2">
      <w:r>
        <w:t>BSE does not have transaction-level data to assess SI-OTC trades. ESMA should verify whether XOFF was correctly applied and whether the transactions were technical or non-price-forming, or represented genuine client-order execution, before classifying them as addressable liquidity.</w:t>
      </w:r>
    </w:p>
    <w:p w14:paraId="7B1C56C5" w14:textId="77777777" w:rsidR="003A33E5" w:rsidRDefault="003A33E5" w:rsidP="003A33E5">
      <w:r>
        <w:lastRenderedPageBreak/>
        <w:t>&lt;ESMA_QUESTION_MSEM_2&gt;</w:t>
      </w:r>
    </w:p>
    <w:p w14:paraId="0939D010" w14:textId="77777777" w:rsidR="003A33E5" w:rsidRDefault="003A33E5" w:rsidP="003A33E5"/>
    <w:p w14:paraId="09EF991B" w14:textId="77777777" w:rsidR="003A33E5" w:rsidRDefault="003A33E5" w:rsidP="003A33E5">
      <w:pPr>
        <w:pStyle w:val="Questionstyle"/>
        <w:numPr>
          <w:ilvl w:val="0"/>
          <w:numId w:val="14"/>
        </w:numPr>
        <w:tabs>
          <w:tab w:val="clear" w:pos="567"/>
        </w:tabs>
        <w:spacing w:before="120" w:after="120"/>
        <w:ind w:left="851" w:hanging="709"/>
      </w:pPr>
      <w:r>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3528E0D2" w14:textId="77777777" w:rsidR="00746DD2" w:rsidRDefault="00746DD2" w:rsidP="00746DD2">
      <w:r>
        <w:t>BSE agrees with the broad trends, but considers the key issue to be the declining share of trading that contributes directly to transparent price formation. In smaller markets, continued migration from lit order books to mechanisms that reference prices formed elsewhere may weaken market depth and create an uneven competitive balance. Closing auctions should be assessed separately because they form the official closing price.</w:t>
      </w:r>
    </w:p>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11537DE9" w14:textId="77777777" w:rsidR="004A17C5" w:rsidRDefault="004A17C5" w:rsidP="004A17C5">
      <w:r>
        <w:t>The decline in CLOB trading is a concern, particularly for smaller and less liquid markets. Reduced displayed depth may make reference prices less representative and less resilient during volatility, while other mechanisms continue to rely on those prices. ESMA should assess depth, spreads, price impact and recovery, and should avoid relying only on EEA-wide turnover shares.</w:t>
      </w:r>
    </w:p>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65EA857C" w14:textId="77777777" w:rsidR="004A17C5" w:rsidRDefault="004A17C5" w:rsidP="004A17C5">
      <w:r>
        <w:lastRenderedPageBreak/>
        <w:t>The main drivers should be total execution cost, available liquidity and depth, execution probability and speed, market impact, information leakage, and clearing and settlement certainty. Routing decisions should reflect the characteristics of the order and a demonstrable benefit to the end-investor. Marginal price improvement against a reference price formed on another venue should not, by itself, justify systematic diversion of executable flow from transparent markets.</w:t>
      </w:r>
    </w:p>
    <w:p w14:paraId="27C70824" w14:textId="77777777" w:rsidR="003A33E5" w:rsidRDefault="003A33E5" w:rsidP="003A33E5">
      <w:r>
        <w:t>&lt;ESMA_QUESTION_MSEM_5&gt;</w:t>
      </w:r>
    </w:p>
    <w:p w14:paraId="199012FE" w14:textId="77777777" w:rsidR="003A33E5" w:rsidRDefault="003A33E5" w:rsidP="003A33E5"/>
    <w:p w14:paraId="473547D4" w14:textId="77777777" w:rsidR="003A33E5" w:rsidRDefault="003A33E5" w:rsidP="003A33E5">
      <w:pPr>
        <w:pStyle w:val="Questionstyle"/>
        <w:numPr>
          <w:ilvl w:val="0"/>
          <w:numId w:val="14"/>
        </w:numPr>
        <w:tabs>
          <w:tab w:val="clear" w:pos="567"/>
        </w:tabs>
        <w:spacing w:before="120" w:after="120"/>
        <w:ind w:left="851" w:hanging="709"/>
      </w:pPr>
      <w:r>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39AAB43" w14:textId="5A4FE874" w:rsidR="003A33E5" w:rsidRDefault="003A33E5" w:rsidP="00746DD2">
      <w:r>
        <w:t>As a trading venue operator, BSE does not route client orders and therefore cannot assess access in the same way as an investment firm. Access to BSE markets is provided on transparent and non-discriminatory terms. By contrast, access to SI liquidity may depend on bilateral onboarding, client segmentation and commercial arrangements, which can reduce comparability and make the effective accessibility of that liquidity difficult to assess.</w:t>
      </w:r>
    </w:p>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34FDCF5" w14:textId="56D531A7" w:rsidR="004A17C5" w:rsidRDefault="009131CE" w:rsidP="009131CE">
      <w:r w:rsidRPr="009131CE">
        <w:t>BSE is both an issuer and a listing venue. From this perspective, the attractiveness of public listing depends significantly on reliable price formation, visible liquidity and access to a broad investor base. Increasing fragmentation into less transparent execution channels may weaken market visibility, increase the liquidity discount and make subsequent capital raising more difficult. BSE therefore considers the listing environment attractive where the market structure supports transparent trading, efficient price discovery and sufficient secondary-market liquidity.</w:t>
      </w:r>
    </w:p>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lastRenderedPageBreak/>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708F0B33" w14:textId="40587B5F" w:rsidR="009908DE" w:rsidRDefault="009908DE" w:rsidP="009908DE">
      <w:pPr>
        <w:rPr>
          <w:lang w:val="bg-BG"/>
        </w:rPr>
      </w:pPr>
      <w:r w:rsidRPr="009908DE">
        <w:t>The distribution of liquidity varies significantly across EEA markets, and EEA-wide averages should not be the sole basis for policy conclusions. In smaller markets, concentrating liquidity in a transparent primary order book may be necessary to maintain sufficient depth and reliable price formation. Regulation should therefore avoid creating incentives for the unnecessary fragmentation of already limited liquidity.</w:t>
      </w:r>
    </w:p>
    <w:p w14:paraId="7FA31DAB" w14:textId="6DE53D94" w:rsidR="004A17C5" w:rsidRDefault="009908DE" w:rsidP="009908DE">
      <w:r w:rsidRPr="009908DE">
        <w:t>A more granular breakdown by ISIN, execution and publication venue, SI status, trade count and trade size would be required before firm conclusions can be drawn. More generally, economically comparable execution mechanisms should be subject to equivalent transparency and regulatory requirements, so that order flow is not diverted from transparent markets without a demonstrable benefit to investors.</w:t>
      </w:r>
    </w:p>
    <w:p w14:paraId="733FC025" w14:textId="486493A9" w:rsidR="003A33E5" w:rsidRDefault="003A33E5" w:rsidP="003A33E5">
      <w:r>
        <w:t>&lt;ESMA_QUESTION_MSEM_</w:t>
      </w:r>
      <w:r w:rsidR="49007739">
        <w:t>8</w:t>
      </w:r>
      <w:r>
        <w:t>&gt;</w:t>
      </w:r>
    </w:p>
    <w:p w14:paraId="6FBB31DE" w14:textId="77777777" w:rsidR="003A33E5" w:rsidRDefault="003A33E5" w:rsidP="003A33E5"/>
    <w:p w14:paraId="7B74F72C"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05C8EFB4" w14:textId="77777777" w:rsidR="0054791B" w:rsidRPr="0054791B" w:rsidRDefault="0054791B" w:rsidP="0054791B">
      <w:r w:rsidRPr="0054791B">
        <w:t>BSE broadly agrees that venue-based dark trading has remained relatively stable. However, the current metrics do not capture all execution taking place without pre-trade transparency, notably transactions executed under the negotiated trade waiver. BSE therefore supports a broader and harmonised definition of dark trading covering all non-pre-trade-transparent execution.</w:t>
      </w:r>
    </w:p>
    <w:p w14:paraId="08A08F88" w14:textId="77777777" w:rsidR="0054791B" w:rsidRPr="0054791B" w:rsidRDefault="0054791B" w:rsidP="0054791B">
      <w:r w:rsidRPr="0054791B">
        <w:t>BSE identifies the increasing routing of retail and standard-sized order flow towards dark and bilateral execution mechanisms as a concerning structural shift. Such orders are generally capable of interacting on transparent multilateral order books, where they contribute to displayed liquidity, competition and price formation. Their migration to non-transparent channels may weaken lit markets and increase reliance on prices formed by a progressively smaller pool of visible orders.</w:t>
      </w:r>
    </w:p>
    <w:p w14:paraId="12AEFE4B" w14:textId="77777777" w:rsidR="0054791B" w:rsidRPr="0054791B" w:rsidRDefault="0054791B" w:rsidP="0054791B">
      <w:r w:rsidRPr="0054791B">
        <w:lastRenderedPageBreak/>
        <w:t>Dark and bilateral mechanisms, including SIs, should complement transparent markets where they provide a clear and demonstrable execution benefit, rather than become a general substitute for lit execution of retail and standard-sized flow. Economically comparable order flow should be subject to equivalent transparency, pricing and execution conditions, with the objective of preserving transparent price formation and a level playing field.</w:t>
      </w:r>
    </w:p>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06C22739" w14:textId="77777777" w:rsidR="003F0FF8" w:rsidRPr="003F0FF8" w:rsidRDefault="003F0FF8" w:rsidP="003F0FF8">
      <w:r w:rsidRPr="003F0FF8">
        <w:t>BSE recognises that non-lit execution may provide legitimate benefits for large or market-sensitive orders by reducing market impact, limiting information leakage and increasing execution certainty. However, such benefits should be demonstrable and linked to the characteristics of the individual order.</w:t>
      </w:r>
    </w:p>
    <w:p w14:paraId="616774B8" w14:textId="77777777" w:rsidR="003F0FF8" w:rsidRPr="003F0FF8" w:rsidRDefault="003F0FF8" w:rsidP="003F0FF8">
      <w:r w:rsidRPr="003F0FF8">
        <w:t>BSE is concerned where dark or bilateral execution mechanisms, including SIs, execute average trade sizes comparable to those observed on lit venues. This may indicate that these mechanisms are increasingly substituting for, rather than complementing, transparent markets. The slicing of larger orders into smaller executions should not, in itself, justify routing those orders away from lit order books, where they could interact with a broader range of market participants and contribute to price formation.</w:t>
      </w:r>
    </w:p>
    <w:p w14:paraId="58F5ADD4" w14:textId="77777777" w:rsidR="003F0FF8" w:rsidRPr="003F0FF8" w:rsidRDefault="003F0FF8" w:rsidP="003F0FF8">
      <w:r w:rsidRPr="003F0FF8">
        <w:t>BSE therefore supports more granular monitoring of dark and bilateral activity, including trade size, price improvement, execution quality and the contribution of each mechanism to price formation. A review of the waiver and volume-cap framework may be appropriate where economically comparable forms of non-transparent trading are not subject to equivalent requirements, with the objective of preserving transparent price formation and a level playing field.</w:t>
      </w:r>
    </w:p>
    <w:p w14:paraId="6A0D8A42" w14:textId="64FF6C32" w:rsidR="003A33E5" w:rsidRPr="003F0FF8" w:rsidRDefault="003A33E5" w:rsidP="003A33E5">
      <w:pPr>
        <w:rPr>
          <w:lang w:val="bg-BG"/>
        </w:rPr>
      </w:pPr>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 xml:space="preserve">What is your view on the evolution and effects of trading in closing auctions on the EU markets? Do you agree with the presented rationale for trading in </w:t>
      </w:r>
      <w:r>
        <w:lastRenderedPageBreak/>
        <w:t>closing auctions or do you consider other drivers more important for explaining the growth and increasing significance of closing auctions trading?</w:t>
      </w:r>
    </w:p>
    <w:p w14:paraId="4196CF22" w14:textId="6C5F2480" w:rsidR="003A33E5" w:rsidRPr="002C4608" w:rsidRDefault="003A33E5" w:rsidP="003A33E5">
      <w:r w:rsidRPr="002C4608">
        <w:t>&lt;ESMA_QUESTION_MSEM_1</w:t>
      </w:r>
      <w:r w:rsidR="7F480B62" w:rsidRPr="002C4608">
        <w:t>1</w:t>
      </w:r>
      <w:r w:rsidRPr="002C4608">
        <w:t>&gt;</w:t>
      </w:r>
    </w:p>
    <w:p w14:paraId="179CA05C" w14:textId="77777777" w:rsidR="002C4608" w:rsidRPr="002C4608" w:rsidRDefault="002C4608" w:rsidP="002C4608">
      <w:r w:rsidRPr="002C4608">
        <w:t>BSE agrees that closing auctions perform a central function in EU equity markets, both as a concentrated end-of-day liquidity event and as the mechanism producing the official closing price. This price is widely used for benchmark calculations, fund valuations, index replication and derivatives settlement, creating sustained demand for execution at the close.</w:t>
      </w:r>
    </w:p>
    <w:p w14:paraId="6EC0B399" w14:textId="77777777" w:rsidR="002C4608" w:rsidRPr="002C4608" w:rsidRDefault="002C4608" w:rsidP="002C4608">
      <w:r w:rsidRPr="002C4608">
        <w:t>The continued importance of closing-auction trading is also consistent with the expansion of passive and index-tracking strategies. Large institutional investors may prefer to execute at the close, where liquidity is concentrated and the market impact of sizeable orders may be reduced.</w:t>
      </w:r>
    </w:p>
    <w:p w14:paraId="71B6EE0A" w14:textId="77777777" w:rsidR="002C4608" w:rsidRPr="002C4608" w:rsidRDefault="002C4608" w:rsidP="002C4608">
      <w:r w:rsidRPr="002C4608">
        <w:t>BSE therefore broadly agrees with ESMA’s assessment. However, price-forming closing auctions should be clearly distinguished from trade-at-close mechanisms that execute at a price determined elsewhere and do not contribute directly to its formation. Changes in the share of closing-auction activity should also be assessed in light of volatility, index-rebalancing events and intraday liquidity conditions.</w:t>
      </w:r>
    </w:p>
    <w:p w14:paraId="5F50D689" w14:textId="7A0E69AD" w:rsidR="003A33E5" w:rsidRDefault="003A33E5" w:rsidP="003A33E5">
      <w:r>
        <w:t>&lt;ESMA_QUESTION_MSEM_1</w:t>
      </w:r>
      <w:r w:rsidR="27DE54A4">
        <w:t>1</w:t>
      </w:r>
      <w:r>
        <w:t>&gt;</w:t>
      </w:r>
    </w:p>
    <w:p w14:paraId="3B432B13" w14:textId="77777777" w:rsidR="003A33E5" w:rsidRDefault="003A33E5" w:rsidP="003A33E5"/>
    <w:p w14:paraId="1AD8418F" w14:textId="77777777" w:rsidR="003A33E5" w:rsidRDefault="003A33E5" w:rsidP="003A33E5">
      <w:pPr>
        <w:pStyle w:val="Questionstyle"/>
        <w:numPr>
          <w:ilvl w:val="0"/>
          <w:numId w:val="14"/>
        </w:numPr>
        <w:tabs>
          <w:tab w:val="clear" w:pos="567"/>
        </w:tabs>
        <w:spacing w:before="120" w:after="120"/>
        <w:ind w:left="851" w:hanging="709"/>
      </w:pPr>
      <w:r>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5282A9AD" w14:textId="6797AED8" w:rsidR="004A17C5" w:rsidRDefault="007F2309" w:rsidP="007F2309">
      <w:r w:rsidRPr="007F2309">
        <w:t>Alternative closing mechanisms may provide execution choice, but many depend on the official closing price formed on the primary market. If they divert orders from the price-forming auction, they may reduce the depth and robustness of that price. In order to enhance transparency, BSE supports the introduction of a harmonised EU post-trade transparency flag identifying trades executed at or by reference to the official closing price across all closing mechanisms.</w:t>
      </w:r>
    </w:p>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30D2CED8" w14:textId="77777777" w:rsidR="004A17C5" w:rsidRDefault="004A17C5" w:rsidP="004A17C5">
      <w:r>
        <w:lastRenderedPageBreak/>
        <w:t>Extended trading may redistribute some liquidity and increase fragmentation, especially in thinner markets. Nevertheless, the closing auction should remain central while the official close continues to be used for valuation, benchmarking and settlement. Any extension of trading hours should be assessed against its effect on auction depth, participation and the quality of the closing price.</w:t>
      </w:r>
    </w:p>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665BA4AE" w14:textId="77777777" w:rsidR="00A003D6" w:rsidRDefault="00A003D6" w:rsidP="00A003D6">
      <w:r>
        <w:t>BSE does not currently identify a need for prescriptive intervention in closing-auction design. Competent authorities should, however, monitor the migration of trading at the official close to alternative mechanisms and its effect on the primary auction. Improved post-trade identification of closing-price trades would provide the evidence needed for any future action.</w:t>
      </w:r>
    </w:p>
    <w:p w14:paraId="7DC56ACA" w14:textId="0FF717A2" w:rsidR="003A33E5" w:rsidRDefault="003A33E5" w:rsidP="003A33E5">
      <w:r>
        <w:t>&lt;ESMA_QUESTION_MSEM_1</w:t>
      </w:r>
      <w:r w:rsidR="2AE9C5BD">
        <w:t>4</w:t>
      </w:r>
      <w:r>
        <w:t>&gt;</w:t>
      </w:r>
    </w:p>
    <w:p w14:paraId="199EC318" w14:textId="77777777" w:rsidR="003A33E5" w:rsidRDefault="003A33E5" w:rsidP="003A33E5"/>
    <w:p w14:paraId="7AAF1EFF" w14:textId="77777777" w:rsidR="003A33E5" w:rsidRPr="00FF41B2" w:rsidRDefault="003A33E5" w:rsidP="003A33E5">
      <w:pPr>
        <w:pStyle w:val="Questionstyle"/>
        <w:numPr>
          <w:ilvl w:val="0"/>
          <w:numId w:val="14"/>
        </w:numPr>
        <w:tabs>
          <w:tab w:val="clear" w:pos="567"/>
        </w:tabs>
        <w:spacing w:before="120" w:after="120"/>
        <w:ind w:left="851" w:hanging="709"/>
      </w:pPr>
      <w:r w:rsidRPr="00FF41B2">
        <w:t>What is your view on the evolution of trading in FBAs on EU markets? Why are those mechanisms gaining traction in your view? Which are the benefits and shortcomings they offer? (please elaborate)</w:t>
      </w:r>
    </w:p>
    <w:p w14:paraId="2B450E14" w14:textId="0D336DA5" w:rsidR="003A33E5" w:rsidRPr="00FF41B2" w:rsidRDefault="003A33E5" w:rsidP="003A33E5">
      <w:r w:rsidRPr="00FF41B2">
        <w:t>&lt;ESMA_QUESTION_MSEM_1</w:t>
      </w:r>
      <w:r w:rsidR="7765DA33" w:rsidRPr="00FF41B2">
        <w:t>5</w:t>
      </w:r>
      <w:r w:rsidRPr="00FF41B2">
        <w:t>&gt;</w:t>
      </w:r>
    </w:p>
    <w:p w14:paraId="30A22FF7" w14:textId="4D2ED734" w:rsidR="003A33E5" w:rsidRPr="00FF41B2" w:rsidRDefault="003A33E5" w:rsidP="003A33E5">
      <w:r w:rsidRPr="00FF41B2">
        <w:t>&lt;ESMA_QUESTION_MSEM_1</w:t>
      </w:r>
      <w:r w:rsidR="09AFE597" w:rsidRPr="00FF41B2">
        <w:t>5</w:t>
      </w:r>
      <w:r w:rsidRPr="00FF41B2">
        <w:t>&gt;</w:t>
      </w:r>
    </w:p>
    <w:p w14:paraId="5916DFA2" w14:textId="77777777" w:rsidR="003A33E5" w:rsidRPr="00FF41B2" w:rsidRDefault="003A33E5" w:rsidP="003A33E5"/>
    <w:p w14:paraId="5D8E3FF0" w14:textId="77777777" w:rsidR="003A33E5" w:rsidRPr="00FF41B2" w:rsidRDefault="003A33E5" w:rsidP="003A33E5">
      <w:pPr>
        <w:pStyle w:val="Questionstyle"/>
        <w:numPr>
          <w:ilvl w:val="0"/>
          <w:numId w:val="14"/>
        </w:numPr>
        <w:tabs>
          <w:tab w:val="clear" w:pos="567"/>
        </w:tabs>
        <w:spacing w:before="120" w:after="120"/>
        <w:ind w:left="851" w:hanging="709"/>
      </w:pPr>
      <w:r w:rsidRPr="00FF41B2">
        <w:t>Do you have any particular observations as regards the impact of SVC on FBAs?</w:t>
      </w:r>
    </w:p>
    <w:p w14:paraId="3537BE38" w14:textId="6D064585" w:rsidR="003A33E5" w:rsidRDefault="003A33E5" w:rsidP="003A33E5">
      <w:r>
        <w:t>&lt;ESMA_QUESTION_MSEM_1</w:t>
      </w:r>
      <w:r w:rsidR="40B621E4">
        <w:t>6</w:t>
      </w:r>
      <w:r>
        <w:t>&gt;</w:t>
      </w:r>
    </w:p>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Pr="00FF41B2" w:rsidRDefault="003A33E5" w:rsidP="003A33E5">
      <w:pPr>
        <w:pStyle w:val="Questionstyle"/>
        <w:numPr>
          <w:ilvl w:val="0"/>
          <w:numId w:val="14"/>
        </w:numPr>
        <w:tabs>
          <w:tab w:val="clear" w:pos="567"/>
        </w:tabs>
        <w:spacing w:before="120" w:after="120"/>
        <w:ind w:left="851" w:hanging="709"/>
      </w:pPr>
      <w:r w:rsidRPr="00FF41B2">
        <w:t>Are there any emerging structural shifts which you believe would warrant closer monitoring? (please elaborate)</w:t>
      </w:r>
    </w:p>
    <w:p w14:paraId="24384EC3" w14:textId="0FEEFD51" w:rsidR="003A33E5" w:rsidRPr="00FF41B2" w:rsidRDefault="003A33E5" w:rsidP="003A33E5">
      <w:r w:rsidRPr="00FF41B2">
        <w:t>&lt;ESMA_QUESTION_MSEM_1</w:t>
      </w:r>
      <w:r w:rsidR="17969A9C" w:rsidRPr="00FF41B2">
        <w:t>7</w:t>
      </w:r>
      <w:r w:rsidRPr="00FF41B2">
        <w:t>&gt;</w:t>
      </w:r>
    </w:p>
    <w:p w14:paraId="6AE3F885" w14:textId="2DE7F287" w:rsidR="003A33E5" w:rsidRPr="00FF41B2" w:rsidRDefault="003A33E5" w:rsidP="003A33E5">
      <w:r w:rsidRPr="00FF41B2">
        <w:t>&lt;ESMA_QUESTION_MSEM_1</w:t>
      </w:r>
      <w:r w:rsidR="137F3E19" w:rsidRPr="00FF41B2">
        <w:t>7</w:t>
      </w:r>
      <w:r w:rsidRPr="00FF41B2">
        <w:t>&gt;</w:t>
      </w:r>
    </w:p>
    <w:p w14:paraId="46C1F955" w14:textId="77777777" w:rsidR="003A33E5" w:rsidRPr="00FF41B2" w:rsidRDefault="003A33E5" w:rsidP="003A33E5"/>
    <w:p w14:paraId="1A8704D4" w14:textId="77777777" w:rsidR="003A33E5" w:rsidRPr="00FF41B2" w:rsidRDefault="003A33E5" w:rsidP="003A33E5">
      <w:pPr>
        <w:pStyle w:val="Questionstyle"/>
        <w:numPr>
          <w:ilvl w:val="0"/>
          <w:numId w:val="14"/>
        </w:numPr>
        <w:tabs>
          <w:tab w:val="clear" w:pos="567"/>
        </w:tabs>
        <w:spacing w:before="120" w:after="120"/>
        <w:ind w:left="851" w:hanging="709"/>
      </w:pPr>
      <w:r w:rsidRPr="00FF41B2">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rsidRPr="00FF41B2">
        <w:t>&lt;ESMA_QUESTION_MSEM_1</w:t>
      </w:r>
      <w:r w:rsidR="1847244F" w:rsidRPr="00FF41B2">
        <w:t>8</w:t>
      </w:r>
      <w:r w:rsidRPr="00FF41B2">
        <w:t>&gt;</w:t>
      </w:r>
    </w:p>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r>
        <w:t>Economically comparable execution mechanisms should be subject to consistent tick-size principles. Differences should be justified by the design and price-formation role of the mechanism, not by venue type. ESMA should provide clear, harmonised guidance to prevent regulatory arbitrage while preserving legitimate auction innovation.</w:t>
      </w:r>
    </w:p>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73D07BBD" w14:textId="77777777" w:rsidR="00AB6461" w:rsidRPr="00AB6461" w:rsidRDefault="00AB6461" w:rsidP="00AB6461">
      <w:r w:rsidRPr="00AB6461">
        <w:lastRenderedPageBreak/>
        <w:t>BSE considers the continued growth of SI trading to be a material development in the EEA equity market structure. The available data indicate both an increasing share of turnover executed through SIs and a broader presence of active SIs. These trends should nevertheless be interpreted cautiously, given the acknowledged limitations in transaction reporting and the application of SI-related flags.</w:t>
      </w:r>
    </w:p>
    <w:p w14:paraId="202804C9" w14:textId="77777777" w:rsidR="00AB6461" w:rsidRPr="00AB6461" w:rsidRDefault="00AB6461" w:rsidP="00AB6461">
      <w:r w:rsidRPr="00AB6461">
        <w:t>A significant driver may be the unequal regulatory treatment of midpoint execution. SIs may execute orders of any size at the midpoint of the prevailing bid and offer, whereas regulated markets and MTFs may generally execute off-tick at midpoint only where the applicable size conditions are met. This asymmetry may incentivise the routing of order flow away from transparent venues for regulatory rather than execution-quality reasons.</w:t>
      </w:r>
    </w:p>
    <w:p w14:paraId="3A4C6810" w14:textId="77777777" w:rsidR="00AB6461" w:rsidRPr="00AB6461" w:rsidRDefault="00AB6461" w:rsidP="00AB6461">
      <w:r w:rsidRPr="00AB6461">
        <w:t>BSE is particularly concerned that SI activity extends beyond genuinely large or market-sensitive orders and increasingly includes small and standard-sized transactions. Such orders could normally interact on transparent, multilateral order books and contribute directly to liquidity and price formation.</w:t>
      </w:r>
    </w:p>
    <w:p w14:paraId="20410DDF" w14:textId="77777777" w:rsidR="00AB6461" w:rsidRPr="00AB6461" w:rsidRDefault="00AB6461" w:rsidP="00AB6461">
      <w:r w:rsidRPr="00AB6461">
        <w:t>The argument that larger orders must be divided into smaller executions also requires closer examination. Where the resulting child orders are economically suitable for lit execution, it should be assessed why they are retained within the SI instead of being exposed to a broader range of market participants.</w:t>
      </w:r>
    </w:p>
    <w:p w14:paraId="7ABDF89A" w14:textId="77777777" w:rsidR="00AB6461" w:rsidRPr="00AB6461" w:rsidRDefault="00AB6461" w:rsidP="00AB6461">
      <w:r w:rsidRPr="00AB6461">
        <w:t>Bilateral execution may be justified where it addresses a specific client need or provides a demonstrable execution benefit. It should not, however, enjoy more favourable execution parameters as a general channel for order flow that could otherwise be executed on transparent markets. BSE therefore supports a thorough review of SI execution practices and considers that economically comparable order flow should be subject to equivalent regulatory conditions, with the objective of preserving transparent price formation and a level playing field.</w:t>
      </w:r>
    </w:p>
    <w:p w14:paraId="3C751F7F" w14:textId="64F5E42A" w:rsidR="003A33E5" w:rsidRDefault="003A33E5" w:rsidP="003A33E5">
      <w:r>
        <w:t>&lt;ESMA_QUESTION_MSEM_</w:t>
      </w:r>
      <w:r w:rsidR="3AAF919E">
        <w:t>20</w:t>
      </w:r>
      <w:r>
        <w:t>&gt;</w:t>
      </w:r>
    </w:p>
    <w:p w14:paraId="7446317C" w14:textId="77777777" w:rsidR="003A33E5" w:rsidRDefault="003A33E5" w:rsidP="003A33E5"/>
    <w:p w14:paraId="43E566E5" w14:textId="77777777" w:rsidR="003A33E5" w:rsidRDefault="003A33E5" w:rsidP="003A33E5">
      <w:pPr>
        <w:pStyle w:val="Questionstyle"/>
        <w:numPr>
          <w:ilvl w:val="0"/>
          <w:numId w:val="14"/>
        </w:numPr>
        <w:tabs>
          <w:tab w:val="clear" w:pos="567"/>
        </w:tabs>
        <w:spacing w:before="120" w:after="120"/>
        <w:ind w:left="851" w:hanging="709"/>
      </w:pPr>
      <w:r>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09395E77" w14:textId="77777777" w:rsidR="007C7515" w:rsidRPr="007C7515" w:rsidRDefault="007C7515" w:rsidP="007C7515">
      <w:r w:rsidRPr="007C7515">
        <w:t>The data indicate that SIs execute both large and small trades, with a substantial number of small and standard-sized transactions. This may reflect different client segments and business models, but more granular information is needed on client type, effective price improvement, order-slicing practices and whether comparable execution was available on a lit venue.</w:t>
      </w:r>
    </w:p>
    <w:p w14:paraId="78E9BE96" w14:textId="77777777" w:rsidR="007C7515" w:rsidRPr="007C7515" w:rsidRDefault="007C7515" w:rsidP="007C7515">
      <w:r w:rsidRPr="007C7515">
        <w:lastRenderedPageBreak/>
        <w:t>Where SI execution competes directly with transparent markets for economically comparable order flow, the applicable regulatory and execution conditions should be equivalent. Bilateral execution should not benefit from more favourable pricing parameters, transparency requirements or other regulatory advantages unless these are objectively justified by the characteristics of the order and provide a demonstrable benefit to the client. This is important to preserve transparent price formation and ensure a level playing field between SIs and lit trading venues.</w:t>
      </w:r>
    </w:p>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81D0A2F" w14:textId="33D6CB82" w:rsidR="007C7515" w:rsidRPr="007C7515" w:rsidRDefault="007C7515" w:rsidP="007C7515">
      <w:r>
        <w:t>We</w:t>
      </w:r>
      <w:r w:rsidRPr="007C7515">
        <w:t xml:space="preserve"> note that the very limited use of the RPRI flag in the reported SI data appears difficult to reconcile with the emphasis that SI operators commonly place on price improvement as a key benefit of bilateral execution. This discrepancy warrants closer examination, as it makes it difficult for investors and supervisors to assess whether the claimed execution advantage is being delivered in practice.</w:t>
      </w:r>
    </w:p>
    <w:p w14:paraId="4D1C766E" w14:textId="77777777" w:rsidR="007C7515" w:rsidRPr="007C7515" w:rsidRDefault="007C7515" w:rsidP="007C7515">
      <w:r w:rsidRPr="007C7515">
        <w:t>The available evidence may indicate either that meaningful price improvement is less frequent than suggested, or that the current reporting and flagging framework does not capture it accurately. It is also possible that the improvement provided is often only marginal and does not represent a material benefit compared with execution against prices formed on transparent markets.</w:t>
      </w:r>
    </w:p>
    <w:p w14:paraId="57F82D21" w14:textId="77777777" w:rsidR="007C7515" w:rsidRPr="007C7515" w:rsidRDefault="007C7515" w:rsidP="007C7515">
      <w:r w:rsidRPr="007C7515">
        <w:t>In BSE’s view, price improvement should not remain a broadly stated or self-assessed benefit. Where it is used to justify routing order flow to an SI, it should be clearly quantifiable, assessed against an observable and transparent benchmark, and sufficiently material to provide a genuine benefit to the client. The relevant information should also be reflected consistently in quotes and post-trade reports.</w:t>
      </w:r>
    </w:p>
    <w:p w14:paraId="66E83CA7" w14:textId="77777777" w:rsidR="007C7515" w:rsidRPr="007C7515" w:rsidRDefault="007C7515" w:rsidP="007C7515">
      <w:r w:rsidRPr="007C7515">
        <w:t xml:space="preserve">BSE therefore supports stronger and more harmonised requirements for SI reporting, including clearer RPRI flagging rules, greater data granularity and effective supervisory enforcement. Where SIs compete with lit venues for comparable order flow, claimed price improvement should be subject to equivalent standards of transparency and verification, so that bilateral execution does not obtain a regulatory or commercial advantage that cannot be independently </w:t>
      </w:r>
      <w:r w:rsidRPr="007C7515">
        <w:lastRenderedPageBreak/>
        <w:t>demonstrated. This is necessary to support best execution, market integrity, transparent price formation and a level playing field.</w:t>
      </w:r>
    </w:p>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5F7238CE" w14:textId="77777777" w:rsidR="00A003D6" w:rsidRDefault="00A003D6" w:rsidP="00A003D6">
      <w:r>
        <w:t>Useful SI indicators should identify trade size relative to SMS, instrument liquidity, midpoint or off-tick execution, the existence and magnitude of price improvement, client category at an appropriately aggregated level, the SI's trading direction, intragroup activity and execution at the official closing price. Any removal of existing flags should be matched by equivalent analytical information.</w:t>
      </w:r>
    </w:p>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762DE0FC" w14:textId="73272EAA" w:rsidR="00A003D6" w:rsidRDefault="00A003D6" w:rsidP="00A003D6">
      <w:r>
        <w:t xml:space="preserve">BSE </w:t>
      </w:r>
      <w:r w:rsidR="00833AB3">
        <w:t>recognizes</w:t>
      </w:r>
      <w:r>
        <w:t xml:space="preserve"> </w:t>
      </w:r>
      <w:r w:rsidR="00833AB3">
        <w:t>the</w:t>
      </w:r>
      <w:r>
        <w:t xml:space="preserve"> structural increase in SI activity, including in small trade sizes, alongside reduced reliance on continuous lit order books. Authorities should monitor market concentration, the quality of SI data, price improvement, midpoint execution and the migration of price-informative order flow. Targeted action may be needed if regulatory asymmetries continue to weaken transparent price formation.</w:t>
      </w:r>
    </w:p>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4676A7C9" w14:textId="42C05057" w:rsidR="007B29F6" w:rsidRDefault="00833AB3" w:rsidP="007B29F6">
      <w:r>
        <w:lastRenderedPageBreak/>
        <w:t xml:space="preserve">In general </w:t>
      </w:r>
      <w:r w:rsidR="007B29F6">
        <w:t>BSE's main concerns are the migration of small, price-informative flow from multilateral lit venues, insufficient visibility of SI activity and uncertainty over the execution benefit delivered to clients. Priority measures should improve SI reporting and flagging, ensure meaningful and verifiable price improvement, and apply comparable rules to economically comparable execution. Any intervention should remain proportionate and preserve legitimate bilateral execution for orders that genuinely require it.</w:t>
      </w:r>
    </w:p>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Pr="00FF41B2" w:rsidRDefault="003A33E5" w:rsidP="003A33E5">
      <w:pPr>
        <w:pStyle w:val="Questionstyle"/>
        <w:numPr>
          <w:ilvl w:val="0"/>
          <w:numId w:val="14"/>
        </w:numPr>
        <w:tabs>
          <w:tab w:val="clear" w:pos="567"/>
        </w:tabs>
        <w:spacing w:before="120" w:after="120"/>
        <w:ind w:left="851" w:hanging="709"/>
      </w:pPr>
      <w:r w:rsidRPr="00FF41B2">
        <w:t>Have you witnessed an increase in the use of benchmark trades? If so, what are the drivers of such increase on venue and on SI?</w:t>
      </w:r>
    </w:p>
    <w:p w14:paraId="516675CC" w14:textId="348B3D9F" w:rsidR="003A33E5" w:rsidRPr="00FF41B2" w:rsidRDefault="003A33E5" w:rsidP="003A33E5">
      <w:r w:rsidRPr="00FF41B2">
        <w:t>&lt;ESMA_QUESTION_MSEM_2</w:t>
      </w:r>
      <w:r w:rsidR="169EBBA7" w:rsidRPr="00FF41B2">
        <w:t>6</w:t>
      </w:r>
      <w:r w:rsidRPr="00FF41B2">
        <w:t>&gt;</w:t>
      </w:r>
    </w:p>
    <w:p w14:paraId="4701DD0D" w14:textId="64EB1F1E" w:rsidR="003A33E5" w:rsidRPr="00FF41B2" w:rsidRDefault="003A33E5" w:rsidP="003A33E5">
      <w:r w:rsidRPr="00FF41B2">
        <w:t>&lt;ESMA_QUESTION_MSEM_2</w:t>
      </w:r>
      <w:r w:rsidR="4C56C3A8" w:rsidRPr="00FF41B2">
        <w:t>6</w:t>
      </w:r>
      <w:r w:rsidRPr="00FF41B2">
        <w:t>&gt;</w:t>
      </w:r>
    </w:p>
    <w:p w14:paraId="2D8A07ED" w14:textId="77777777" w:rsidR="003A33E5" w:rsidRPr="00FF41B2" w:rsidRDefault="003A33E5" w:rsidP="003A33E5"/>
    <w:p w14:paraId="235EDE86" w14:textId="77777777" w:rsidR="003A33E5" w:rsidRPr="00FF41B2" w:rsidRDefault="003A33E5" w:rsidP="003A33E5">
      <w:pPr>
        <w:pStyle w:val="Questionstyle"/>
        <w:numPr>
          <w:ilvl w:val="0"/>
          <w:numId w:val="14"/>
        </w:numPr>
        <w:tabs>
          <w:tab w:val="clear" w:pos="567"/>
        </w:tabs>
        <w:spacing w:before="120" w:after="120"/>
        <w:ind w:left="851" w:hanging="709"/>
      </w:pPr>
      <w:r w:rsidRPr="00FF41B2">
        <w:t>Should the use of transactions from multiple trading venues be allowed when calculating the benchmark?</w:t>
      </w:r>
    </w:p>
    <w:p w14:paraId="098B82D7" w14:textId="71A0A481" w:rsidR="003A33E5" w:rsidRPr="00FF41B2" w:rsidRDefault="003A33E5" w:rsidP="003A33E5">
      <w:r w:rsidRPr="00FF41B2">
        <w:t>&lt;ESMA_QUESTION_MSEM_2</w:t>
      </w:r>
      <w:r w:rsidR="47D52017" w:rsidRPr="00FF41B2">
        <w:t>7</w:t>
      </w:r>
      <w:r w:rsidRPr="00FF41B2">
        <w:t>&gt;</w:t>
      </w:r>
    </w:p>
    <w:p w14:paraId="2063BC1B" w14:textId="7AEB31CD" w:rsidR="003A33E5" w:rsidRPr="00FF41B2" w:rsidRDefault="003A33E5" w:rsidP="003A33E5">
      <w:r w:rsidRPr="00FF41B2">
        <w:t>&lt;ESMA_QUESTION_MSEM_2</w:t>
      </w:r>
      <w:r w:rsidR="4B90CC16" w:rsidRPr="00FF41B2">
        <w:t>7</w:t>
      </w:r>
      <w:r w:rsidRPr="00FF41B2">
        <w:t>&gt;</w:t>
      </w:r>
    </w:p>
    <w:p w14:paraId="2D341A59" w14:textId="77777777" w:rsidR="003A33E5" w:rsidRPr="00FF41B2" w:rsidRDefault="003A33E5" w:rsidP="003A33E5"/>
    <w:p w14:paraId="42E38732" w14:textId="77777777" w:rsidR="003A33E5" w:rsidRPr="00FF41B2" w:rsidRDefault="003A33E5" w:rsidP="003A33E5">
      <w:pPr>
        <w:pStyle w:val="Questionstyle"/>
        <w:numPr>
          <w:ilvl w:val="0"/>
          <w:numId w:val="14"/>
        </w:numPr>
        <w:tabs>
          <w:tab w:val="clear" w:pos="567"/>
        </w:tabs>
        <w:spacing w:before="120" w:after="120"/>
        <w:ind w:left="851" w:hanging="709"/>
      </w:pPr>
      <w:r w:rsidRPr="00FF41B2">
        <w:t>When performing benchmark trades, on how many transactions is the calculation of the benchmark trade based (on average, min, max, liquid vs. illiquid instruments)?</w:t>
      </w:r>
    </w:p>
    <w:p w14:paraId="2DC67237" w14:textId="55B3481E" w:rsidR="003A33E5" w:rsidRPr="00FF41B2" w:rsidRDefault="003A33E5" w:rsidP="003A33E5">
      <w:r w:rsidRPr="00FF41B2">
        <w:t>&lt;ESMA_QUESTION_MSEM_2</w:t>
      </w:r>
      <w:r w:rsidR="545F74E8" w:rsidRPr="00FF41B2">
        <w:t>8</w:t>
      </w:r>
      <w:r w:rsidRPr="00FF41B2">
        <w:t>&gt;</w:t>
      </w:r>
    </w:p>
    <w:p w14:paraId="1244FD77" w14:textId="0573732A" w:rsidR="003A33E5" w:rsidRDefault="003A33E5" w:rsidP="003A33E5">
      <w:r w:rsidRPr="00FF41B2">
        <w:t>&lt;ESMA_QUESTION_MSEM_2</w:t>
      </w:r>
      <w:r w:rsidR="155F5367" w:rsidRPr="00FF41B2">
        <w:t>8</w:t>
      </w:r>
      <w:r w:rsidRPr="00FF41B2">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r>
        <w:lastRenderedPageBreak/>
        <w:t>BSE has no direct visibility of the extent to which SIs rely on Article 15(3) of MiFIR. ESMA should obtain supervisory data identifying benchmark transactions executed under this provision, including the methodology, time window and number of observations used.</w:t>
      </w:r>
    </w:p>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Pr="00FF41B2" w:rsidRDefault="003A33E5" w:rsidP="003A33E5">
      <w:pPr>
        <w:pStyle w:val="Questionstyle"/>
        <w:numPr>
          <w:ilvl w:val="0"/>
          <w:numId w:val="14"/>
        </w:numPr>
        <w:tabs>
          <w:tab w:val="clear" w:pos="567"/>
        </w:tabs>
        <w:spacing w:before="120" w:after="120"/>
        <w:ind w:left="851" w:hanging="709"/>
      </w:pPr>
      <w:r w:rsidRPr="00FF41B2">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Pr="00FF41B2" w:rsidRDefault="003A33E5" w:rsidP="003A33E5">
      <w:r w:rsidRPr="00FF41B2">
        <w:t>&lt;ESMA_QUESTION_MSEM_</w:t>
      </w:r>
      <w:r w:rsidR="486B68D9" w:rsidRPr="00FF41B2">
        <w:t>30</w:t>
      </w:r>
      <w:r w:rsidRPr="00FF41B2">
        <w:t>&gt;</w:t>
      </w:r>
    </w:p>
    <w:p w14:paraId="375C0B3C" w14:textId="6A980FE0" w:rsidR="003A33E5" w:rsidRPr="00FF41B2" w:rsidRDefault="003A33E5" w:rsidP="003A33E5">
      <w:r w:rsidRPr="00FF41B2">
        <w:t>&lt;ESMA_QUESTION_MSEM_</w:t>
      </w:r>
      <w:r w:rsidR="446522A6" w:rsidRPr="00FF41B2">
        <w:t>30</w:t>
      </w:r>
      <w:r w:rsidRPr="00FF41B2">
        <w:t>&gt;</w:t>
      </w:r>
    </w:p>
    <w:p w14:paraId="6127D702" w14:textId="77777777" w:rsidR="003A33E5" w:rsidRPr="00FF41B2" w:rsidRDefault="003A33E5" w:rsidP="003A33E5"/>
    <w:p w14:paraId="50705C3D" w14:textId="77777777" w:rsidR="003A33E5" w:rsidRPr="00FF41B2" w:rsidRDefault="003A33E5" w:rsidP="003A33E5">
      <w:pPr>
        <w:pStyle w:val="Questionstyle"/>
        <w:numPr>
          <w:ilvl w:val="0"/>
          <w:numId w:val="14"/>
        </w:numPr>
        <w:tabs>
          <w:tab w:val="clear" w:pos="567"/>
        </w:tabs>
        <w:spacing w:before="120" w:after="120"/>
        <w:ind w:left="851" w:hanging="709"/>
      </w:pPr>
      <w:r w:rsidRPr="00FF41B2">
        <w:t>Does member preferencing lead to unfair outcomes for end-investors, other members or the markets? Please explain, if possible on the basis of data.</w:t>
      </w:r>
    </w:p>
    <w:p w14:paraId="569CF8F9" w14:textId="77777777" w:rsidR="00047EB7" w:rsidRPr="00FF41B2" w:rsidRDefault="003A33E5" w:rsidP="00047EB7">
      <w:pPr>
        <w:rPr>
          <w:rFonts w:ascii="Times New Roman" w:eastAsia="Times New Roman" w:hAnsi="Times New Roman" w:cs="Times New Roman"/>
          <w:sz w:val="24"/>
          <w:szCs w:val="24"/>
          <w:lang w:val="bg-BG" w:eastAsia="bg-BG"/>
        </w:rPr>
      </w:pPr>
      <w:r w:rsidRPr="00FF41B2">
        <w:t>&lt;ESMA_QUESTION_MSEM_3</w:t>
      </w:r>
      <w:r w:rsidR="7DE19745" w:rsidRPr="00FF41B2">
        <w:t>1</w:t>
      </w:r>
      <w:r w:rsidRPr="00FF41B2">
        <w:t>&gt;</w:t>
      </w:r>
      <w:r w:rsidR="00047EB7" w:rsidRPr="00FF41B2">
        <w:rPr>
          <w:rFonts w:ascii="Times New Roman" w:eastAsia="Times New Roman" w:hAnsi="Times New Roman" w:cs="Times New Roman"/>
          <w:sz w:val="24"/>
          <w:szCs w:val="24"/>
          <w:lang w:val="bg-BG" w:eastAsia="bg-BG"/>
        </w:rPr>
        <w:t xml:space="preserve"> </w:t>
      </w:r>
    </w:p>
    <w:p w14:paraId="083A539F" w14:textId="68B0C152" w:rsidR="003A33E5" w:rsidRDefault="003A33E5" w:rsidP="003A33E5">
      <w:r w:rsidRPr="00FF41B2">
        <w:t>&lt;ESMA_QUESTION_MSEM_3</w:t>
      </w:r>
      <w:r w:rsidR="552EE62E" w:rsidRPr="00FF41B2">
        <w:t>1</w:t>
      </w:r>
      <w:r w:rsidRPr="00FF41B2">
        <w:t>&gt;</w:t>
      </w:r>
    </w:p>
    <w:p w14:paraId="40A6B7FA" w14:textId="77777777" w:rsidR="003A33E5" w:rsidRDefault="003A33E5" w:rsidP="003A33E5"/>
    <w:p w14:paraId="56ECDB05" w14:textId="77777777" w:rsidR="003A33E5" w:rsidRDefault="003A33E5" w:rsidP="003A33E5">
      <w:pPr>
        <w:pStyle w:val="Questionstyle"/>
        <w:numPr>
          <w:ilvl w:val="0"/>
          <w:numId w:val="14"/>
        </w:numPr>
        <w:tabs>
          <w:tab w:val="clear" w:pos="567"/>
        </w:tabs>
        <w:spacing w:before="120" w:after="120"/>
        <w:ind w:left="851" w:hanging="709"/>
      </w:pPr>
      <w:r>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r>
        <w:t>BSE does not have evidence allowing it to quantify the practice. However, any mechanism that permits a preferred member to trade ahead of a better-priced order would conflict with price priority and should not be permitted. Supervisory analysis should distinguish time-priority exceptions from any override of price priority.</w:t>
      </w:r>
    </w:p>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Pr="00FF41B2" w:rsidRDefault="003A33E5" w:rsidP="003A33E5">
      <w:pPr>
        <w:pStyle w:val="Questionstyle"/>
        <w:numPr>
          <w:ilvl w:val="0"/>
          <w:numId w:val="14"/>
        </w:numPr>
        <w:tabs>
          <w:tab w:val="clear" w:pos="567"/>
        </w:tabs>
        <w:spacing w:before="120" w:after="120"/>
        <w:ind w:left="851" w:hanging="709"/>
      </w:pPr>
      <w:r w:rsidRPr="00FF41B2">
        <w:lastRenderedPageBreak/>
        <w:t>Should member preferencing be (a) prohibited, (b) should there be rules restricting the practice, or (c) should nothing be done? If you suggest there should be rules (b), which rules would you suggest? Please explain.</w:t>
      </w:r>
    </w:p>
    <w:p w14:paraId="0720652E" w14:textId="5DC2323D" w:rsidR="003A33E5" w:rsidRPr="00FF41B2" w:rsidRDefault="003A33E5" w:rsidP="003A33E5">
      <w:r w:rsidRPr="00FF41B2">
        <w:t>&lt;ESMA_QUESTION_MSEM_3</w:t>
      </w:r>
      <w:r w:rsidR="23A83876" w:rsidRPr="00FF41B2">
        <w:t>3</w:t>
      </w:r>
      <w:r w:rsidRPr="00FF41B2">
        <w:t>&gt;</w:t>
      </w:r>
    </w:p>
    <w:p w14:paraId="35DF9DD6" w14:textId="00BB2FEF" w:rsidR="003A33E5" w:rsidRPr="00FF41B2" w:rsidRDefault="003A33E5" w:rsidP="003A33E5">
      <w:r w:rsidRPr="00FF41B2">
        <w:t>&lt;ESMA_QUESTION_MSEM_3</w:t>
      </w:r>
      <w:r w:rsidR="56DDBE9E" w:rsidRPr="00FF41B2">
        <w:t>3</w:t>
      </w:r>
      <w:r w:rsidRPr="00FF41B2">
        <w:t>&gt;</w:t>
      </w:r>
    </w:p>
    <w:p w14:paraId="5EB6F5EE" w14:textId="77777777" w:rsidR="003A33E5" w:rsidRPr="00FF41B2" w:rsidRDefault="003A33E5" w:rsidP="003A33E5"/>
    <w:p w14:paraId="2C0592F0" w14:textId="77777777" w:rsidR="003A33E5" w:rsidRPr="00FF41B2" w:rsidRDefault="003A33E5" w:rsidP="003A33E5">
      <w:pPr>
        <w:pStyle w:val="Questionstyle"/>
        <w:numPr>
          <w:ilvl w:val="0"/>
          <w:numId w:val="14"/>
        </w:numPr>
        <w:tabs>
          <w:tab w:val="clear" w:pos="567"/>
        </w:tabs>
        <w:spacing w:before="120" w:after="120"/>
        <w:ind w:left="851" w:hanging="709"/>
      </w:pPr>
      <w:r w:rsidRPr="00FF41B2">
        <w:t>What would be the consequence of prohibiting certain forms of member preferencing? Please explain, if possible on the basis of data.</w:t>
      </w:r>
    </w:p>
    <w:p w14:paraId="6CE2D51B" w14:textId="0BA87D94" w:rsidR="003A33E5" w:rsidRPr="00FF41B2" w:rsidRDefault="003A33E5" w:rsidP="003A33E5">
      <w:r w:rsidRPr="00FF41B2">
        <w:t>&lt;ESMA_QUESTION_MSEM_3</w:t>
      </w:r>
      <w:r w:rsidR="56C2794B" w:rsidRPr="00FF41B2">
        <w:t>4</w:t>
      </w:r>
      <w:r w:rsidRPr="00FF41B2">
        <w:t>&gt;</w:t>
      </w:r>
    </w:p>
    <w:p w14:paraId="55250315" w14:textId="1F2FCB5D" w:rsidR="003A33E5" w:rsidRPr="00FF41B2" w:rsidRDefault="003A33E5" w:rsidP="003A33E5">
      <w:r w:rsidRPr="00FF41B2">
        <w:t>&lt;ESMA_QUESTION_MSEM_3</w:t>
      </w:r>
      <w:r w:rsidR="4E2CDF55" w:rsidRPr="00FF41B2">
        <w:t>4</w:t>
      </w:r>
      <w:r w:rsidRPr="00FF41B2">
        <w:t>&gt;</w:t>
      </w:r>
    </w:p>
    <w:p w14:paraId="07F41A98" w14:textId="77777777" w:rsidR="003A33E5" w:rsidRPr="00FF41B2" w:rsidRDefault="003A33E5" w:rsidP="003A33E5"/>
    <w:p w14:paraId="3AACE427" w14:textId="77777777" w:rsidR="003A33E5" w:rsidRPr="00FF41B2" w:rsidRDefault="003A33E5" w:rsidP="003A33E5">
      <w:pPr>
        <w:pStyle w:val="Questionstyle"/>
        <w:numPr>
          <w:ilvl w:val="0"/>
          <w:numId w:val="14"/>
        </w:numPr>
        <w:tabs>
          <w:tab w:val="clear" w:pos="567"/>
        </w:tabs>
        <w:spacing w:before="120" w:after="120"/>
        <w:ind w:left="851" w:hanging="709"/>
      </w:pPr>
      <w:r w:rsidRPr="00FF41B2">
        <w:t>Are you aware of other similar and common practices, for example on RFQs, where on venue competition is limited to the detriment of other investors or members? Please explain, if possible with data.</w:t>
      </w:r>
    </w:p>
    <w:p w14:paraId="15B98915" w14:textId="0455F90D" w:rsidR="003A33E5" w:rsidRPr="00FF41B2" w:rsidRDefault="003A33E5" w:rsidP="003A33E5">
      <w:r w:rsidRPr="00FF41B2">
        <w:t>&lt;ESMA_QUESTION_MSEM_3</w:t>
      </w:r>
      <w:r w:rsidR="77D7D101" w:rsidRPr="00FF41B2">
        <w:t>5</w:t>
      </w:r>
      <w:r w:rsidRPr="00FF41B2">
        <w:t>&gt;</w:t>
      </w:r>
    </w:p>
    <w:p w14:paraId="0B3333F7" w14:textId="61C0F782" w:rsidR="003A33E5" w:rsidRDefault="003A33E5" w:rsidP="003A33E5">
      <w:r w:rsidRPr="00FF41B2">
        <w:t>&lt;ESMA_QUESTION_MSEM_3</w:t>
      </w:r>
      <w:r w:rsidR="0C2EC482" w:rsidRPr="00FF41B2">
        <w:t>5</w:t>
      </w:r>
      <w:r w:rsidRPr="00FF41B2">
        <w:t>&gt;</w:t>
      </w:r>
    </w:p>
    <w:p w14:paraId="465D41F4" w14:textId="77777777" w:rsidR="003A33E5" w:rsidRDefault="003A33E5" w:rsidP="003A33E5"/>
    <w:p w14:paraId="02B80277" w14:textId="77777777" w:rsidR="003A33E5" w:rsidRPr="00FF41B2" w:rsidRDefault="003A33E5" w:rsidP="003A33E5">
      <w:pPr>
        <w:pStyle w:val="Questionstyle"/>
        <w:numPr>
          <w:ilvl w:val="0"/>
          <w:numId w:val="14"/>
        </w:numPr>
        <w:tabs>
          <w:tab w:val="clear" w:pos="567"/>
        </w:tabs>
        <w:spacing w:before="120" w:after="120"/>
        <w:ind w:left="851" w:hanging="709"/>
      </w:pPr>
      <w:r w:rsidRPr="00FF41B2">
        <w:t>Do you agree with the above three approaches?</w:t>
      </w:r>
    </w:p>
    <w:p w14:paraId="68433405" w14:textId="76FF2B2D" w:rsidR="003A33E5" w:rsidRPr="00FF41B2" w:rsidRDefault="003A33E5" w:rsidP="003A33E5">
      <w:r w:rsidRPr="00FF41B2">
        <w:t>&lt;ESMA_QUESTION_MSEM_3</w:t>
      </w:r>
      <w:r w:rsidR="174AA40C" w:rsidRPr="00FF41B2">
        <w:t>6</w:t>
      </w:r>
      <w:r w:rsidRPr="00FF41B2">
        <w:t>&gt;</w:t>
      </w:r>
    </w:p>
    <w:p w14:paraId="3B05926C" w14:textId="7373E645" w:rsidR="003A33E5" w:rsidRPr="00FF41B2" w:rsidRDefault="003A33E5" w:rsidP="003A33E5">
      <w:r w:rsidRPr="00FF41B2">
        <w:t>&lt;ESMA_QUESTION_MSEM_3</w:t>
      </w:r>
      <w:r w:rsidR="5DA8971C" w:rsidRPr="00FF41B2">
        <w:t>6</w:t>
      </w:r>
      <w:r w:rsidRPr="00FF41B2">
        <w:t>&gt;</w:t>
      </w:r>
    </w:p>
    <w:p w14:paraId="5FCF01B0" w14:textId="77777777" w:rsidR="003A33E5" w:rsidRPr="00FF41B2" w:rsidRDefault="003A33E5" w:rsidP="003A33E5"/>
    <w:p w14:paraId="2380AF94" w14:textId="77777777" w:rsidR="003A33E5" w:rsidRPr="00FF41B2" w:rsidRDefault="003A33E5" w:rsidP="003A33E5">
      <w:pPr>
        <w:pStyle w:val="Questionstyle"/>
        <w:numPr>
          <w:ilvl w:val="0"/>
          <w:numId w:val="14"/>
        </w:numPr>
        <w:tabs>
          <w:tab w:val="clear" w:pos="567"/>
        </w:tabs>
        <w:spacing w:before="120" w:after="120"/>
        <w:ind w:left="851" w:hanging="709"/>
      </w:pPr>
      <w:r w:rsidRPr="00FF41B2">
        <w:t>Do you agree with this first part of the table on addressable liquidity and price forming?</w:t>
      </w:r>
    </w:p>
    <w:p w14:paraId="1ADC9729" w14:textId="7AE26CB6" w:rsidR="003A33E5" w:rsidRPr="00FF41B2" w:rsidRDefault="003A33E5" w:rsidP="003A33E5">
      <w:r w:rsidRPr="00FF41B2">
        <w:t>&lt;ESMA_QUESTION_MSEM_3</w:t>
      </w:r>
      <w:r w:rsidR="237C673A" w:rsidRPr="00FF41B2">
        <w:t>7</w:t>
      </w:r>
      <w:r w:rsidRPr="00FF41B2">
        <w:t>&gt;</w:t>
      </w:r>
    </w:p>
    <w:p w14:paraId="5B2C589A" w14:textId="5E581229" w:rsidR="003A33E5" w:rsidRPr="00FF41B2" w:rsidRDefault="003A33E5" w:rsidP="003A33E5">
      <w:r w:rsidRPr="00FF41B2">
        <w:t>&lt;ESMA_QUESTION_MSEM_3</w:t>
      </w:r>
      <w:r w:rsidR="10FB093F" w:rsidRPr="00FF41B2">
        <w:t>7</w:t>
      </w:r>
      <w:r w:rsidRPr="00FF41B2">
        <w:t>&gt;</w:t>
      </w:r>
    </w:p>
    <w:p w14:paraId="4F4FEF4D" w14:textId="77777777" w:rsidR="003A33E5" w:rsidRPr="00FF41B2" w:rsidRDefault="003A33E5" w:rsidP="003A33E5"/>
    <w:p w14:paraId="489C3144" w14:textId="77777777" w:rsidR="003A33E5" w:rsidRPr="00FF41B2" w:rsidRDefault="003A33E5" w:rsidP="003A33E5">
      <w:pPr>
        <w:pStyle w:val="Questionstyle"/>
        <w:numPr>
          <w:ilvl w:val="0"/>
          <w:numId w:val="14"/>
        </w:numPr>
        <w:tabs>
          <w:tab w:val="clear" w:pos="567"/>
        </w:tabs>
        <w:spacing w:before="120" w:after="120"/>
        <w:ind w:left="851" w:hanging="709"/>
      </w:pPr>
      <w:r w:rsidRPr="00FF41B2">
        <w:lastRenderedPageBreak/>
        <w:t>Do you agree with this second part of the table on addressable liquidity and price forming?</w:t>
      </w:r>
    </w:p>
    <w:p w14:paraId="2B1AE4CE" w14:textId="08482850" w:rsidR="003A33E5" w:rsidRPr="00FF41B2" w:rsidRDefault="003A33E5" w:rsidP="003A33E5">
      <w:r w:rsidRPr="00FF41B2">
        <w:t>&lt;ESMA_QUESTION_MSEM_3</w:t>
      </w:r>
      <w:r w:rsidR="1892F1F3" w:rsidRPr="00FF41B2">
        <w:t>8</w:t>
      </w:r>
      <w:r w:rsidRPr="00FF41B2">
        <w:t>&gt;</w:t>
      </w:r>
    </w:p>
    <w:p w14:paraId="456D9EA8" w14:textId="3174D8FD" w:rsidR="003A33E5" w:rsidRPr="00FF41B2" w:rsidRDefault="003A33E5" w:rsidP="003A33E5">
      <w:r w:rsidRPr="00FF41B2">
        <w:t>&lt;ESMA_QUESTION_MSEM_3</w:t>
      </w:r>
      <w:r w:rsidR="42E92D4C" w:rsidRPr="00FF41B2">
        <w:t>8</w:t>
      </w:r>
      <w:r w:rsidRPr="00FF41B2">
        <w:t>&gt;</w:t>
      </w:r>
    </w:p>
    <w:p w14:paraId="196C7D35" w14:textId="77777777" w:rsidR="003A33E5" w:rsidRPr="00FF41B2" w:rsidRDefault="003A33E5" w:rsidP="003A33E5"/>
    <w:p w14:paraId="720C1C7D" w14:textId="77777777" w:rsidR="003A33E5" w:rsidRPr="00FF41B2" w:rsidRDefault="003A33E5" w:rsidP="003A33E5">
      <w:pPr>
        <w:pStyle w:val="Questionstyle"/>
        <w:numPr>
          <w:ilvl w:val="0"/>
          <w:numId w:val="14"/>
        </w:numPr>
        <w:tabs>
          <w:tab w:val="clear" w:pos="567"/>
        </w:tabs>
        <w:spacing w:before="120" w:after="120"/>
        <w:ind w:left="851" w:hanging="709"/>
      </w:pPr>
      <w:r w:rsidRPr="00FF41B2">
        <w:t>Would you consider that some benchmark transactions should be classified as non-addressable and non-price forming? If so, provide a clear description of the case and rationale.</w:t>
      </w:r>
    </w:p>
    <w:p w14:paraId="55ADD721" w14:textId="1DA9F3BF" w:rsidR="003A33E5" w:rsidRPr="00FF41B2" w:rsidRDefault="003A33E5" w:rsidP="003A33E5">
      <w:r w:rsidRPr="00FF41B2">
        <w:t>&lt;ESMA_QUESTION_MSEM_3</w:t>
      </w:r>
      <w:r w:rsidR="76D08CB4" w:rsidRPr="00FF41B2">
        <w:t>9</w:t>
      </w:r>
      <w:r w:rsidRPr="00FF41B2">
        <w:t>&gt;</w:t>
      </w:r>
    </w:p>
    <w:p w14:paraId="1A013012" w14:textId="31BF458C" w:rsidR="003A33E5" w:rsidRPr="00FF41B2" w:rsidRDefault="003A33E5" w:rsidP="003A33E5">
      <w:r w:rsidRPr="00FF41B2">
        <w:t>&lt;ESMA_QUESTION_MSEM_</w:t>
      </w:r>
      <w:r w:rsidR="3232A7AB" w:rsidRPr="00FF41B2">
        <w:t>39</w:t>
      </w:r>
      <w:r w:rsidRPr="00FF41B2">
        <w:t>&gt;</w:t>
      </w:r>
    </w:p>
    <w:p w14:paraId="3A9DE6F3" w14:textId="77777777" w:rsidR="003A33E5" w:rsidRPr="00FF41B2" w:rsidRDefault="003A33E5" w:rsidP="003A33E5"/>
    <w:p w14:paraId="56B1CBE5" w14:textId="77777777" w:rsidR="003A33E5" w:rsidRPr="00FF41B2" w:rsidRDefault="003A33E5" w:rsidP="003A33E5">
      <w:pPr>
        <w:pStyle w:val="Questionstyle"/>
        <w:numPr>
          <w:ilvl w:val="0"/>
          <w:numId w:val="14"/>
        </w:numPr>
        <w:tabs>
          <w:tab w:val="clear" w:pos="567"/>
        </w:tabs>
        <w:spacing w:before="120" w:after="120"/>
        <w:ind w:left="851" w:hanging="709"/>
      </w:pPr>
      <w:r w:rsidRPr="00FF41B2">
        <w:t>Do you agree with this third part of the table on addressable liquidity and price forming?</w:t>
      </w:r>
    </w:p>
    <w:p w14:paraId="7DE8054D" w14:textId="4CB1E0EF" w:rsidR="003A33E5" w:rsidRPr="00FF41B2" w:rsidRDefault="003A33E5" w:rsidP="003A33E5">
      <w:r w:rsidRPr="00FF41B2">
        <w:t>&lt;ESMA_QUESTION_MSEM_</w:t>
      </w:r>
      <w:r w:rsidR="051A75EE" w:rsidRPr="00FF41B2">
        <w:t>40</w:t>
      </w:r>
      <w:r w:rsidRPr="00FF41B2">
        <w:t>&gt;</w:t>
      </w:r>
    </w:p>
    <w:p w14:paraId="78C9C581" w14:textId="3BB478B7" w:rsidR="003A33E5" w:rsidRPr="00FF41B2" w:rsidRDefault="003A33E5" w:rsidP="003A33E5">
      <w:r w:rsidRPr="00FF41B2">
        <w:t>&lt;ESMA_QUESTION_MSEM_</w:t>
      </w:r>
      <w:r w:rsidR="2F82EB81" w:rsidRPr="00FF41B2">
        <w:t>40</w:t>
      </w:r>
      <w:r w:rsidRPr="00FF41B2">
        <w:t>&gt;</w:t>
      </w:r>
    </w:p>
    <w:p w14:paraId="6FAAD74D" w14:textId="77777777" w:rsidR="003A33E5" w:rsidRPr="00FF41B2" w:rsidRDefault="003A33E5" w:rsidP="003A33E5"/>
    <w:p w14:paraId="0812A57A" w14:textId="77777777" w:rsidR="003A33E5" w:rsidRPr="00FF41B2" w:rsidRDefault="003A33E5" w:rsidP="003A33E5">
      <w:pPr>
        <w:pStyle w:val="Questionstyle"/>
        <w:numPr>
          <w:ilvl w:val="0"/>
          <w:numId w:val="14"/>
        </w:numPr>
        <w:tabs>
          <w:tab w:val="clear" w:pos="567"/>
        </w:tabs>
        <w:spacing w:before="120" w:after="120"/>
        <w:ind w:left="851" w:hanging="709"/>
      </w:pPr>
      <w:r w:rsidRPr="00FF41B2">
        <w:t>Do you agree that all transactions without a flag should be considered addressable liquidity and price forming?</w:t>
      </w:r>
    </w:p>
    <w:p w14:paraId="4E630094" w14:textId="4EF977C7" w:rsidR="003A33E5" w:rsidRPr="00FF41B2" w:rsidRDefault="003A33E5" w:rsidP="003A33E5">
      <w:r w:rsidRPr="00FF41B2">
        <w:t>&lt;ESMA_QUESTION_MSEM_4</w:t>
      </w:r>
      <w:r w:rsidR="5E9E34BA" w:rsidRPr="00FF41B2">
        <w:t>1</w:t>
      </w:r>
      <w:r w:rsidRPr="00FF41B2">
        <w:t>&gt;</w:t>
      </w:r>
    </w:p>
    <w:p w14:paraId="4B24482E" w14:textId="0AE4DFC1" w:rsidR="003A33E5" w:rsidRPr="00FF41B2" w:rsidRDefault="003A33E5" w:rsidP="003A33E5">
      <w:r w:rsidRPr="00FF41B2">
        <w:t>&lt;ESMA_QUESTION_MSEM_4</w:t>
      </w:r>
      <w:r w:rsidR="2F841B35" w:rsidRPr="00FF41B2">
        <w:t>1</w:t>
      </w:r>
      <w:r w:rsidRPr="00FF41B2">
        <w:t>&gt;</w:t>
      </w:r>
    </w:p>
    <w:p w14:paraId="49F1F11D" w14:textId="77777777" w:rsidR="003A33E5" w:rsidRPr="00FF41B2" w:rsidRDefault="003A33E5" w:rsidP="003A33E5"/>
    <w:p w14:paraId="61BBCEA8" w14:textId="77777777" w:rsidR="003A33E5" w:rsidRPr="00FF41B2" w:rsidRDefault="003A33E5" w:rsidP="003A33E5">
      <w:pPr>
        <w:pStyle w:val="Questionstyle"/>
        <w:numPr>
          <w:ilvl w:val="0"/>
          <w:numId w:val="14"/>
        </w:numPr>
        <w:tabs>
          <w:tab w:val="clear" w:pos="567"/>
        </w:tabs>
        <w:spacing w:before="120" w:after="120"/>
        <w:ind w:left="851" w:hanging="709"/>
      </w:pPr>
      <w:r w:rsidRPr="00FF41B2">
        <w:t>Do you agree with this fourth and last part of the table on addressable liquidity and price forming?</w:t>
      </w:r>
    </w:p>
    <w:p w14:paraId="7CF3FD29" w14:textId="49480A7A" w:rsidR="003A33E5" w:rsidRPr="00FF41B2" w:rsidRDefault="003A33E5" w:rsidP="003A33E5">
      <w:r w:rsidRPr="00FF41B2">
        <w:t>&lt;ESMA_QUESTION_MSEM_4</w:t>
      </w:r>
      <w:r w:rsidR="2FCCD809" w:rsidRPr="00FF41B2">
        <w:t>2</w:t>
      </w:r>
      <w:r w:rsidRPr="00FF41B2">
        <w:t>&gt;</w:t>
      </w:r>
    </w:p>
    <w:p w14:paraId="494AE1EA" w14:textId="534DA5D0" w:rsidR="003A33E5" w:rsidRPr="00FF41B2" w:rsidRDefault="003A33E5" w:rsidP="003A33E5">
      <w:r w:rsidRPr="00FF41B2">
        <w:t>&lt;ESMA_QUESTION_MSEM_4</w:t>
      </w:r>
      <w:r w:rsidR="0BBE5A03" w:rsidRPr="00FF41B2">
        <w:t>2</w:t>
      </w:r>
      <w:r w:rsidRPr="00FF41B2">
        <w:t>&gt;</w:t>
      </w:r>
    </w:p>
    <w:p w14:paraId="58C9AB38" w14:textId="77777777" w:rsidR="003A33E5" w:rsidRPr="00FF41B2" w:rsidRDefault="003A33E5" w:rsidP="003A33E5"/>
    <w:p w14:paraId="4BBA5BAF" w14:textId="77777777" w:rsidR="003A33E5" w:rsidRPr="00FF41B2" w:rsidRDefault="003A33E5" w:rsidP="003A33E5">
      <w:pPr>
        <w:pStyle w:val="Questionstyle"/>
        <w:numPr>
          <w:ilvl w:val="0"/>
          <w:numId w:val="14"/>
        </w:numPr>
        <w:tabs>
          <w:tab w:val="clear" w:pos="567"/>
        </w:tabs>
        <w:spacing w:before="120" w:after="120"/>
        <w:ind w:left="851" w:hanging="709"/>
      </w:pPr>
      <w:r w:rsidRPr="00FF41B2">
        <w:lastRenderedPageBreak/>
        <w:t>Do you agree with the approach on the combination of flags in the case of addressable liquidity?</w:t>
      </w:r>
    </w:p>
    <w:p w14:paraId="475C2855" w14:textId="210CEB5C" w:rsidR="003A33E5" w:rsidRPr="00FF41B2" w:rsidRDefault="003A33E5" w:rsidP="003A33E5">
      <w:r w:rsidRPr="00FF41B2">
        <w:t>&lt;ESMA_QUESTION_MSEM_4</w:t>
      </w:r>
      <w:r w:rsidR="7536AFC4" w:rsidRPr="00FF41B2">
        <w:t>3</w:t>
      </w:r>
      <w:r w:rsidRPr="00FF41B2">
        <w:t>&gt;</w:t>
      </w:r>
    </w:p>
    <w:p w14:paraId="29648177" w14:textId="5936428E" w:rsidR="003A33E5" w:rsidRPr="00FF41B2" w:rsidRDefault="003A33E5" w:rsidP="003A33E5">
      <w:r w:rsidRPr="00FF41B2">
        <w:t>&lt;ESMA_QUESTION_MSEM_4</w:t>
      </w:r>
      <w:r w:rsidR="52899CB2" w:rsidRPr="00FF41B2">
        <w:t>3</w:t>
      </w:r>
      <w:r w:rsidRPr="00FF41B2">
        <w:t>&gt;</w:t>
      </w:r>
    </w:p>
    <w:p w14:paraId="0FC777B1" w14:textId="77777777" w:rsidR="003A33E5" w:rsidRPr="00FF41B2" w:rsidRDefault="003A33E5" w:rsidP="003A33E5"/>
    <w:p w14:paraId="72478363" w14:textId="77777777" w:rsidR="003A33E5" w:rsidRPr="00FF41B2" w:rsidRDefault="003A33E5" w:rsidP="003A33E5">
      <w:pPr>
        <w:pStyle w:val="Questionstyle"/>
        <w:numPr>
          <w:ilvl w:val="0"/>
          <w:numId w:val="14"/>
        </w:numPr>
        <w:tabs>
          <w:tab w:val="clear" w:pos="567"/>
        </w:tabs>
        <w:spacing w:before="120" w:after="120"/>
        <w:ind w:left="851" w:hanging="709"/>
      </w:pPr>
      <w:r w:rsidRPr="00FF41B2">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Pr="00FF41B2" w:rsidRDefault="003A33E5" w:rsidP="003A33E5">
      <w:r w:rsidRPr="00FF41B2">
        <w:t>&lt;ESMA_QUESTION_MSEM_4</w:t>
      </w:r>
      <w:r w:rsidR="392CD7F1" w:rsidRPr="00FF41B2">
        <w:t>4</w:t>
      </w:r>
      <w:r w:rsidRPr="00FF41B2">
        <w:t>&gt;</w:t>
      </w:r>
    </w:p>
    <w:p w14:paraId="5441D0E0" w14:textId="77777777" w:rsidR="003A33E5" w:rsidRPr="00FF41B2" w:rsidRDefault="003A33E5" w:rsidP="003A33E5">
      <w:r w:rsidRPr="00FF41B2">
        <w:t>BSE agrees. SI intragroup transactions are not available to independent market participants and do not result from genuine interaction of buying and selling interests. They should therefore be separately flagged and classified as non-addressable and non-price-forming.</w:t>
      </w:r>
    </w:p>
    <w:p w14:paraId="7BF6F2E5" w14:textId="746E1B47" w:rsidR="003A33E5" w:rsidRPr="00FF41B2" w:rsidRDefault="003A33E5" w:rsidP="003A33E5">
      <w:r w:rsidRPr="00FF41B2">
        <w:t>&lt;ESMA_QUESTION_MSEM_4</w:t>
      </w:r>
      <w:r w:rsidR="25DEF8C4" w:rsidRPr="00FF41B2">
        <w:t>4</w:t>
      </w:r>
      <w:r w:rsidRPr="00FF41B2">
        <w:t>&gt;</w:t>
      </w:r>
    </w:p>
    <w:p w14:paraId="4BD12D02" w14:textId="77777777" w:rsidR="003A33E5" w:rsidRPr="00FF41B2" w:rsidRDefault="003A33E5" w:rsidP="003A33E5"/>
    <w:p w14:paraId="32B87C45" w14:textId="77777777" w:rsidR="003A33E5" w:rsidRPr="00FF41B2" w:rsidRDefault="003A33E5" w:rsidP="003A33E5">
      <w:pPr>
        <w:pStyle w:val="Questionstyle"/>
        <w:numPr>
          <w:ilvl w:val="0"/>
          <w:numId w:val="14"/>
        </w:numPr>
        <w:tabs>
          <w:tab w:val="clear" w:pos="567"/>
        </w:tabs>
        <w:spacing w:before="120" w:after="120"/>
        <w:ind w:left="851" w:hanging="709"/>
      </w:pPr>
      <w:r w:rsidRPr="00FF41B2">
        <w:t>Do you believe that other transactions should be flagged and excluded from the calculation of addressable liquidity (i.e. a new flag in RTS 1 should be added to disentangle those transactions)?</w:t>
      </w:r>
    </w:p>
    <w:p w14:paraId="6A843509" w14:textId="58D13421" w:rsidR="003A33E5" w:rsidRPr="00FF41B2" w:rsidRDefault="003A33E5" w:rsidP="003A33E5">
      <w:r w:rsidRPr="00FF41B2">
        <w:t>&lt;ESMA_QUESTION_MSEM_4</w:t>
      </w:r>
      <w:r w:rsidR="758BB87A" w:rsidRPr="00FF41B2">
        <w:t>5</w:t>
      </w:r>
      <w:r w:rsidRPr="00FF41B2">
        <w:t>&gt;</w:t>
      </w:r>
    </w:p>
    <w:p w14:paraId="56D63882" w14:textId="7BDE29F2" w:rsidR="003A33E5" w:rsidRDefault="003A33E5" w:rsidP="003A33E5">
      <w:r w:rsidRPr="00FF41B2">
        <w:t>&lt;ESMA_QUESTION_MSEM_4</w:t>
      </w:r>
      <w:r w:rsidR="706D62AF" w:rsidRPr="00FF41B2">
        <w:t>5</w:t>
      </w:r>
      <w:r w:rsidRPr="00FF41B2">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AC42" w14:textId="77777777" w:rsidR="004865A3" w:rsidRDefault="004865A3" w:rsidP="007E7997">
      <w:pPr>
        <w:spacing w:line="240" w:lineRule="auto"/>
      </w:pPr>
      <w:r>
        <w:separator/>
      </w:r>
    </w:p>
  </w:endnote>
  <w:endnote w:type="continuationSeparator" w:id="0">
    <w:p w14:paraId="5CFF4048" w14:textId="77777777" w:rsidR="004865A3" w:rsidRDefault="004865A3" w:rsidP="007E7997">
      <w:pPr>
        <w:spacing w:line="240" w:lineRule="auto"/>
      </w:pPr>
      <w:r>
        <w:continuationSeparator/>
      </w:r>
    </w:p>
  </w:endnote>
  <w:endnote w:type="continuationNotice" w:id="1">
    <w:p w14:paraId="30338ACE" w14:textId="77777777" w:rsidR="004865A3" w:rsidRDefault="00486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B7EB" w14:textId="77777777" w:rsidR="004865A3" w:rsidRDefault="004865A3" w:rsidP="007E7997">
      <w:pPr>
        <w:spacing w:line="240" w:lineRule="auto"/>
      </w:pPr>
      <w:r>
        <w:separator/>
      </w:r>
    </w:p>
  </w:footnote>
  <w:footnote w:type="continuationSeparator" w:id="0">
    <w:p w14:paraId="34DD1205" w14:textId="77777777" w:rsidR="004865A3" w:rsidRDefault="004865A3" w:rsidP="007E7997">
      <w:pPr>
        <w:spacing w:line="240" w:lineRule="auto"/>
      </w:pPr>
      <w:r>
        <w:continuationSeparator/>
      </w:r>
    </w:p>
  </w:footnote>
  <w:footnote w:type="continuationNotice" w:id="1">
    <w:p w14:paraId="1992B6BE" w14:textId="77777777" w:rsidR="004865A3" w:rsidRDefault="00486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106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47EB7"/>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4F4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2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427"/>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7C0"/>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6B4"/>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608"/>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23"/>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0FF8"/>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59"/>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5A3"/>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7C5"/>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518"/>
    <w:rsid w:val="004B25E4"/>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A3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91B"/>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1EC"/>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80A"/>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00"/>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2EBB"/>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6DD2"/>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5EF0"/>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2D12"/>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9F6"/>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15"/>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309"/>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3AB3"/>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2EB"/>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1CE"/>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CD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8DE"/>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3D6"/>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61"/>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6D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BAE"/>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32"/>
    <w:rsid w:val="00BC2647"/>
    <w:rsid w:val="00BC27AA"/>
    <w:rsid w:val="00BC2B58"/>
    <w:rsid w:val="00BC313A"/>
    <w:rsid w:val="00BC323F"/>
    <w:rsid w:val="00BC33D0"/>
    <w:rsid w:val="00BC3ADB"/>
    <w:rsid w:val="00BC3B72"/>
    <w:rsid w:val="00BC3CC2"/>
    <w:rsid w:val="00BC3D9B"/>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3DB"/>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46E"/>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131"/>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7A5"/>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6898"/>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C86"/>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1D1"/>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6EA"/>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1B2"/>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74F40"/>
    <w:rsid w:val="00082948"/>
    <w:rsid w:val="00092732"/>
    <w:rsid w:val="000B5175"/>
    <w:rsid w:val="000C0B68"/>
    <w:rsid w:val="001359BA"/>
    <w:rsid w:val="0015768C"/>
    <w:rsid w:val="002536E7"/>
    <w:rsid w:val="00254E75"/>
    <w:rsid w:val="0034145D"/>
    <w:rsid w:val="00372212"/>
    <w:rsid w:val="004B2518"/>
    <w:rsid w:val="004E4CF9"/>
    <w:rsid w:val="004F4339"/>
    <w:rsid w:val="005B11EC"/>
    <w:rsid w:val="005D66AB"/>
    <w:rsid w:val="005E5BC3"/>
    <w:rsid w:val="005F28E5"/>
    <w:rsid w:val="006320FF"/>
    <w:rsid w:val="00662EBB"/>
    <w:rsid w:val="00663894"/>
    <w:rsid w:val="0068174C"/>
    <w:rsid w:val="006954E6"/>
    <w:rsid w:val="006D3543"/>
    <w:rsid w:val="00701E25"/>
    <w:rsid w:val="0071141B"/>
    <w:rsid w:val="00762D12"/>
    <w:rsid w:val="007C0405"/>
    <w:rsid w:val="00813189"/>
    <w:rsid w:val="008134C9"/>
    <w:rsid w:val="008222A0"/>
    <w:rsid w:val="00836D47"/>
    <w:rsid w:val="008B3E1F"/>
    <w:rsid w:val="009125EF"/>
    <w:rsid w:val="00951CDD"/>
    <w:rsid w:val="009522B0"/>
    <w:rsid w:val="009B6B9C"/>
    <w:rsid w:val="009F25FD"/>
    <w:rsid w:val="00A804C7"/>
    <w:rsid w:val="00A93A1C"/>
    <w:rsid w:val="00AD66C2"/>
    <w:rsid w:val="00B07345"/>
    <w:rsid w:val="00B11B3A"/>
    <w:rsid w:val="00B22006"/>
    <w:rsid w:val="00B236D7"/>
    <w:rsid w:val="00B46CAE"/>
    <w:rsid w:val="00CA74DD"/>
    <w:rsid w:val="00D52831"/>
    <w:rsid w:val="00D63E3A"/>
    <w:rsid w:val="00DC3796"/>
    <w:rsid w:val="00DC4211"/>
    <w:rsid w:val="00DF4131"/>
    <w:rsid w:val="00E023D2"/>
    <w:rsid w:val="00E257A5"/>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2.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Metadata/LabelInfo.xml><?xml version="1.0" encoding="utf-8"?>
<clbl:labelList xmlns:clbl="http://schemas.microsoft.com/office/2020/mipLabelMetadata">
  <clbl:label id="{63828489-b6e0-442e-bd0b-e115b427d056}" enabled="1" method="Privileged" siteId="{a340375a-1ea0-4cdd-8a49-9cd1039ff159}"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19</Pages>
  <Words>4440</Words>
  <Characters>25314</Characters>
  <Application>Microsoft Office Word</Application>
  <DocSecurity>0</DocSecurity>
  <Lines>210</Lines>
  <Paragraphs>59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Bulgarian Stock Exchange AD</dc:creator>
  <cp:keywords>#Kategoria: [Wewnętrzne/Nie zawiera danych osobowych]#</cp:keywords>
  <cp:lastModifiedBy>Konstantin Dimitrov</cp:lastModifiedBy>
  <cp:revision>3</cp:revision>
  <cp:lastPrinted>2023-09-09T09:53:00Z</cp:lastPrinted>
  <dcterms:created xsi:type="dcterms:W3CDTF">2026-06-30T13:44:00Z</dcterms:created>
  <dcterms:modified xsi:type="dcterms:W3CDTF">2026-06-30T13:48:00Z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y fmtid="{D5CDD505-2E9C-101B-9397-08002B2CF9AE}" pid="26" name="docIndexRef">
    <vt:lpwstr>1ed82b71-de2e-43d9-bc7b-5c55a335f383</vt:lpwstr>
  </property>
  <property fmtid="{D5CDD505-2E9C-101B-9397-08002B2CF9AE}" pid="27" name="bjSaver">
    <vt:lpwstr>ufxNj7aHkgzC8Tk8mQiTQLI0JcI+jayZ</vt:lpwstr>
  </property>
  <property fmtid="{D5CDD505-2E9C-101B-9397-08002B2CF9AE}" pid="28"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29" name="bjDocumentLabelXML-0">
    <vt:lpwstr>ames.com/2008/01/sie/internal/label"&gt;&lt;element uid="697367d0-0d11-4d4e-80a2-256155fcabe6" value="" /&gt;&lt;element uid="d9569de3-fae5-4e2d-a5c1-e0a5a3c84173" value="" /&gt;&lt;/sisl&gt;</vt:lpwstr>
  </property>
  <property fmtid="{D5CDD505-2E9C-101B-9397-08002B2CF9AE}" pid="30" name="bjDocumentSecurityLabel">
    <vt:lpwstr>Kategoria: Wewnętrzne/Nie zawiera danych osobowych</vt:lpwstr>
  </property>
</Properties>
</file>