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B02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10E69DDE" w:rsidR="00E40D2C" w:rsidRPr="00557BD2" w:rsidRDefault="00290F9F">
                <w:r>
                  <w:t>Nasdaq</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310D9B8D" w:rsidR="00E40D2C" w:rsidRDefault="00290F9F">
                <w:r>
                  <w:t>Trading Venues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3D64D0A3" w:rsidR="002262FA" w:rsidRDefault="00C4586F"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57C25853" w:rsidR="00E40D2C" w:rsidRPr="00557BD2" w:rsidRDefault="00EB434A">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2634D182" w14:textId="77777777" w:rsidR="00DA3A4A" w:rsidRDefault="0021211A" w:rsidP="003A33E5">
      <w:permStart w:id="1150511936" w:edGrp="everyone"/>
      <w:r>
        <w:t>Yes, in principle this is a good description.</w:t>
      </w:r>
    </w:p>
    <w:p w14:paraId="05949FAC" w14:textId="77777777" w:rsidR="00DA3A4A" w:rsidRDefault="004F7604" w:rsidP="003A33E5">
      <w:r>
        <w:t xml:space="preserve">However, </w:t>
      </w:r>
      <w:r w:rsidR="000817FA">
        <w:t xml:space="preserve">as already acknowledged by ESMA, </w:t>
      </w:r>
      <w:r w:rsidR="003474A2">
        <w:t xml:space="preserve">the picture provided using this structure may be impacted by </w:t>
      </w:r>
      <w:r w:rsidR="00660AD7">
        <w:t>low quality data and uncertainties in the reporting</w:t>
      </w:r>
      <w:r w:rsidR="002A15D4">
        <w:t xml:space="preserve">. These issues must be addressed with high priority </w:t>
      </w:r>
      <w:proofErr w:type="gramStart"/>
      <w:r w:rsidR="002A15D4">
        <w:t>in order for</w:t>
      </w:r>
      <w:proofErr w:type="gramEnd"/>
      <w:r w:rsidR="002A15D4">
        <w:t xml:space="preserve"> this structure and categorisation </w:t>
      </w:r>
      <w:r w:rsidR="00265A2F">
        <w:t>to be effective and more useful.</w:t>
      </w:r>
    </w:p>
    <w:p w14:paraId="3DD80904" w14:textId="77777777" w:rsidR="00F80C1D" w:rsidRDefault="00C54AF2" w:rsidP="003A33E5">
      <w:r>
        <w:t>Further, we are not convinced it is fully correct to group FBAs and standard auctions in the</w:t>
      </w:r>
      <w:r w:rsidR="00D61DFB">
        <w:t xml:space="preserve"> same</w:t>
      </w:r>
      <w:r>
        <w:t xml:space="preserve"> ‘periodic auction’ category, </w:t>
      </w:r>
      <w:r w:rsidR="002C6751">
        <w:t>as they serve different func</w:t>
      </w:r>
      <w:r w:rsidR="00D61DFB">
        <w:t>tions.</w:t>
      </w:r>
    </w:p>
    <w:p w14:paraId="74845BAD" w14:textId="642267DC" w:rsidR="003A33E5" w:rsidRDefault="00641BB7" w:rsidP="003A33E5">
      <w:r>
        <w:t xml:space="preserve">Also, </w:t>
      </w:r>
      <w:r w:rsidR="0009766E">
        <w:t>i</w:t>
      </w:r>
      <w:r w:rsidR="00B2060A">
        <w:t xml:space="preserve">t would be more correct to distinguish between </w:t>
      </w:r>
      <w:r w:rsidR="002E00EE">
        <w:t xml:space="preserve">closing auctions and trade at close, possibly by adding a </w:t>
      </w:r>
      <w:r w:rsidR="00AD13BD">
        <w:t>flag CLSE allowing for identification of transactions outside normal trading hours, by RMs, MTFs and investment firms alike.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lastRenderedPageBreak/>
        <w:t>&lt;ESMA_QUESTION_MSEM_2&gt;</w:t>
      </w:r>
    </w:p>
    <w:p w14:paraId="5B486FC9" w14:textId="7C2EE1E7" w:rsidR="00501901" w:rsidRDefault="00D5183B" w:rsidP="003A33E5">
      <w:permStart w:id="1720911874" w:edGrp="everyone"/>
      <w:r>
        <w:t>The quality of this data is often questionable, so we would suggest</w:t>
      </w:r>
      <w:r w:rsidR="00501901">
        <w:t xml:space="preserve"> </w:t>
      </w:r>
      <w:r w:rsidR="00501901" w:rsidRPr="00501901">
        <w:t>more needs to be done in respect of data reporting requirements, oversight and enforcement so that such data can be relied upon by the market in general and contribute accurately to overall data analysis</w:t>
      </w:r>
      <w:r w:rsidR="00501901">
        <w:t>.</w:t>
      </w:r>
    </w:p>
    <w:p w14:paraId="7B1C56C5" w14:textId="614CD306" w:rsidR="003A33E5" w:rsidRDefault="00D5183B" w:rsidP="003A33E5">
      <w:r>
        <w:t xml:space="preserve"> </w:t>
      </w:r>
      <w:permEnd w:id="1720911874"/>
      <w:r w:rsidR="003A33E5">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2B3FB9C6" w14:textId="77777777" w:rsidR="00BD2E12" w:rsidRDefault="00BD2E12" w:rsidP="00BD2E12">
      <w:permStart w:id="1070029581" w:edGrp="everyone"/>
      <w:r>
        <w:t xml:space="preserve">In this context, we wish to comment on the fact that ESMA in this Call for Evidence </w:t>
      </w:r>
      <w:r w:rsidRPr="009F2858">
        <w:t>focus</w:t>
      </w:r>
      <w:r>
        <w:t>es</w:t>
      </w:r>
      <w:r w:rsidRPr="009F2858">
        <w:t xml:space="preserve"> on trading of EEA shares on EEA trading venues</w:t>
      </w:r>
      <w:r>
        <w:t xml:space="preserve">, and the consequences and conclusions that can be drawn given this limitation. We agree with ESMA that </w:t>
      </w:r>
      <w:r w:rsidRPr="00024908">
        <w:t xml:space="preserve">UK trading activity in EU shares </w:t>
      </w:r>
      <w:r>
        <w:t>consists</w:t>
      </w:r>
      <w:r w:rsidRPr="00024908">
        <w:t xml:space="preserve"> largely </w:t>
      </w:r>
      <w:r>
        <w:t>of</w:t>
      </w:r>
      <w:r w:rsidRPr="00024908">
        <w:t xml:space="preserve"> OTC and SI trading as well as a large share of technical trades</w:t>
      </w:r>
      <w:r>
        <w:t xml:space="preserve">. We also agree, and wish to underline, </w:t>
      </w:r>
      <w:r w:rsidRPr="002B36E7">
        <w:t xml:space="preserve">that developments in other jurisdictions, notably the UK, </w:t>
      </w:r>
      <w:r>
        <w:t>need to be</w:t>
      </w:r>
      <w:r w:rsidRPr="002B36E7">
        <w:t xml:space="preserve"> considered when reflecting on regulatory changes or when re-calibrating the transparency regime.</w:t>
      </w:r>
    </w:p>
    <w:p w14:paraId="46C69EE5" w14:textId="77777777" w:rsidR="00BD2E12" w:rsidRDefault="00BD2E12" w:rsidP="00BD2E12">
      <w:r>
        <w:t xml:space="preserve">From our conversations with issuers, investors as well as other participants in the broader capital markets ecosystem, we know that the general view of EU secondary market liquidity is that it is not good enough. When considering measures to improve it, one needs to truly recognise that a lot of dark/bilateral trading, whether it is in the EU or outside the EU, is damaging to the competitiveness of the European capital markets. For this </w:t>
      </w:r>
      <w:proofErr w:type="gramStart"/>
      <w:r>
        <w:t>reason</w:t>
      </w:r>
      <w:proofErr w:type="gramEnd"/>
      <w:r>
        <w:t xml:space="preserve"> one must not ignore or dismiss the amount of and types of trading activity taking place also outside the EU, importantly in the UK.</w:t>
      </w:r>
    </w:p>
    <w:p w14:paraId="0748A365" w14:textId="63226E31" w:rsidR="0054165C" w:rsidRDefault="0054165C" w:rsidP="00BD2E12">
      <w:r>
        <w:t xml:space="preserve">Looking at </w:t>
      </w:r>
      <w:r w:rsidR="0078446E">
        <w:t xml:space="preserve">both EEA data and at </w:t>
      </w:r>
      <w:r>
        <w:t>UK data not collected by ESMA for this</w:t>
      </w:r>
      <w:r w:rsidR="00BD00F6">
        <w:t xml:space="preserve"> exercise, but still available, </w:t>
      </w:r>
      <w:r w:rsidR="00981FA9">
        <w:t xml:space="preserve">we would underline </w:t>
      </w:r>
      <w:r w:rsidR="0078446E">
        <w:t xml:space="preserve">a trend of reduction in </w:t>
      </w:r>
      <w:r w:rsidR="00F708DD">
        <w:t xml:space="preserve">multilateral </w:t>
      </w:r>
      <w:r w:rsidR="0078446E">
        <w:t xml:space="preserve">liquidity that is available to </w:t>
      </w:r>
      <w:r w:rsidR="00F708DD">
        <w:t xml:space="preserve">all investors. </w:t>
      </w:r>
      <w:r w:rsidR="00AB5F3F">
        <w:t>The trend is that liquidity moves away from RMs and MTFs</w:t>
      </w:r>
      <w:r w:rsidR="00FB306C">
        <w:t xml:space="preserve"> towards execution which is bilateral</w:t>
      </w:r>
      <w:r w:rsidR="000404A0">
        <w:t>, dark,</w:t>
      </w:r>
      <w:r w:rsidR="00071543">
        <w:t xml:space="preserve"> and </w:t>
      </w:r>
      <w:r w:rsidR="000404A0">
        <w:t>access is not non-discriminatory</w:t>
      </w:r>
      <w:r w:rsidR="00071543">
        <w:t>, hence</w:t>
      </w:r>
      <w:r w:rsidR="00B00CD9">
        <w:t xml:space="preserve"> </w:t>
      </w:r>
      <w:r w:rsidR="000404A0">
        <w:t>matching may</w:t>
      </w:r>
      <w:r w:rsidR="00C15C49">
        <w:t xml:space="preserve"> </w:t>
      </w:r>
      <w:r w:rsidR="000404A0">
        <w:t>be selective.</w:t>
      </w:r>
    </w:p>
    <w:p w14:paraId="315B8165" w14:textId="4EA5162D" w:rsidR="00F04AB9" w:rsidRDefault="00F04AB9" w:rsidP="00BD2E12">
      <w:r>
        <w:t>This development is worrying in terms of competitiveness of EU capital markets</w:t>
      </w:r>
      <w:r w:rsidR="0014219E">
        <w:t xml:space="preserve">. Companies and investors looking for financing and considering tapping the capital markets, are looking for deep and liquid markets which are more likely to </w:t>
      </w:r>
      <w:r w:rsidR="00F055B6">
        <w:t>provide a successful financing environment at IPO and, importantly, for secondary capital raisings.</w:t>
      </w:r>
      <w:r w:rsidR="00FC6A9F">
        <w:t xml:space="preserve"> When liquidity shifts away from the venues </w:t>
      </w:r>
      <w:r w:rsidR="009C3100">
        <w:t>which contribute</w:t>
      </w:r>
      <w:r w:rsidR="00FC6A9F">
        <w:t xml:space="preserve"> price formation, non-discriminatory access and long-</w:t>
      </w:r>
      <w:r w:rsidR="009C3100">
        <w:t xml:space="preserve">term liquidity to the market, </w:t>
      </w:r>
      <w:r w:rsidR="0052323E">
        <w:t>the EU capital market does not look attractive in comparison with other jurisdictions or regions.</w:t>
      </w:r>
      <w:r w:rsidR="000143C5">
        <w:t xml:space="preserve"> F</w:t>
      </w:r>
      <w:r w:rsidR="00B00CD9">
        <w:t xml:space="preserve">urther, EU’s rules on market integrity do not reach outside the EU, meaning that EU market surveillance rules cannot be enforced for the transactions taking place outside the EU. </w:t>
      </w:r>
    </w:p>
    <w:p w14:paraId="3B639298" w14:textId="360BC142" w:rsidR="004C40B9" w:rsidRDefault="004C2BF9" w:rsidP="00BD2E12">
      <w:r>
        <w:t xml:space="preserve">While data supporting this development is available and can be </w:t>
      </w:r>
      <w:proofErr w:type="gramStart"/>
      <w:r w:rsidR="00290C2C">
        <w:t>taken into account</w:t>
      </w:r>
      <w:proofErr w:type="gramEnd"/>
      <w:r w:rsidR="00290C2C">
        <w:t xml:space="preserve"> when considering appropriate measures, we suggest that ESMA includes UK data </w:t>
      </w:r>
      <w:r w:rsidR="00AB43A1">
        <w:t>in a more comprehensive and complete way in future analyses and exercises like this one.</w:t>
      </w:r>
    </w:p>
    <w:p w14:paraId="037A0892" w14:textId="77777777" w:rsidR="00E56010" w:rsidRPr="00E56010" w:rsidRDefault="00E56010" w:rsidP="00E56010">
      <w:pPr>
        <w:rPr>
          <w:b/>
          <w:bCs/>
          <w:u w:val="single"/>
        </w:rPr>
      </w:pPr>
      <w:r w:rsidRPr="00E56010">
        <w:rPr>
          <w:b/>
          <w:bCs/>
          <w:u w:val="single"/>
        </w:rPr>
        <w:t>Key concerning trend: decline in lit multilateral activity</w:t>
      </w:r>
    </w:p>
    <w:p w14:paraId="7BA78222" w14:textId="192D019E" w:rsidR="00E56010" w:rsidRPr="00E56010" w:rsidRDefault="00B00CD9" w:rsidP="00E56010">
      <w:r>
        <w:lastRenderedPageBreak/>
        <w:t>T</w:t>
      </w:r>
      <w:r w:rsidR="00E56010" w:rsidRPr="00E56010">
        <w:t xml:space="preserve">he continued shift of activity away from price-forming venues, i.e. regulated markets and MTFs (including CLOBs and closing auctions), towards bilateral (e.g. SIs) and dark execution </w:t>
      </w:r>
      <w:r w:rsidR="00E56010" w:rsidRPr="00B00CD9">
        <w:rPr>
          <w:color w:val="auto"/>
        </w:rPr>
        <w:t>mechanisms</w:t>
      </w:r>
      <w:r w:rsidR="00913F74">
        <w:rPr>
          <w:color w:val="auto"/>
        </w:rPr>
        <w:t xml:space="preserve">, is the most concerning trend. It </w:t>
      </w:r>
      <w:r w:rsidR="00E56010" w:rsidRPr="00B00CD9">
        <w:rPr>
          <w:color w:val="auto"/>
        </w:rPr>
        <w:t xml:space="preserve">can </w:t>
      </w:r>
      <w:r w:rsidR="00E56010" w:rsidRPr="00E56010">
        <w:t>be observed since the implementation of MiFID II in 2018.</w:t>
      </w:r>
    </w:p>
    <w:p w14:paraId="64383BEC" w14:textId="78C11EEF" w:rsidR="00E56010" w:rsidRPr="00E56010" w:rsidRDefault="00E56010" w:rsidP="00E56010">
      <w:r w:rsidRPr="00E56010">
        <w:t>MiFID II/</w:t>
      </w:r>
      <w:proofErr w:type="spellStart"/>
      <w:r w:rsidRPr="00E56010">
        <w:t>MiFIR</w:t>
      </w:r>
      <w:proofErr w:type="spellEnd"/>
      <w:r w:rsidR="00AC7742">
        <w:t xml:space="preserve"> has delivered on </w:t>
      </w:r>
      <w:r w:rsidRPr="00E56010">
        <w:t xml:space="preserve">innovation and competition, </w:t>
      </w:r>
      <w:r w:rsidR="00AC7742">
        <w:t xml:space="preserve">but </w:t>
      </w:r>
      <w:r w:rsidRPr="00E56010">
        <w:t xml:space="preserve">it </w:t>
      </w:r>
      <w:r w:rsidR="00AC7742">
        <w:t xml:space="preserve">is also MiFID II </w:t>
      </w:r>
      <w:proofErr w:type="spellStart"/>
      <w:r w:rsidR="00AC7742">
        <w:t>MiFIR</w:t>
      </w:r>
      <w:proofErr w:type="spellEnd"/>
      <w:r w:rsidR="00AC7742">
        <w:t xml:space="preserve"> which has resulted in </w:t>
      </w:r>
      <w:proofErr w:type="gramStart"/>
      <w:r w:rsidR="00AC7742">
        <w:t>more and more</w:t>
      </w:r>
      <w:proofErr w:type="gramEnd"/>
      <w:r w:rsidR="00AC7742">
        <w:t xml:space="preserve"> </w:t>
      </w:r>
      <w:r w:rsidRPr="00E56010">
        <w:t>fragmentation of liquidity</w:t>
      </w:r>
      <w:r w:rsidR="00AC7742">
        <w:t>. The MiFID II/</w:t>
      </w:r>
      <w:proofErr w:type="spellStart"/>
      <w:r w:rsidR="00AC7742">
        <w:t>MiFIR</w:t>
      </w:r>
      <w:proofErr w:type="spellEnd"/>
      <w:r w:rsidR="00AC7742">
        <w:t xml:space="preserve"> framework includes no incentives such as to support transparent execution, so significant volumes have fragmented to darker environments. </w:t>
      </w:r>
      <w:r w:rsidRPr="00E56010">
        <w:t>This development raises concerns from the perspective of transparency, price formation, investor access and protection, and</w:t>
      </w:r>
      <w:r w:rsidR="00C705C2">
        <w:t xml:space="preserve"> it contributes to the suboptimal </w:t>
      </w:r>
      <w:r w:rsidRPr="00E56010">
        <w:t xml:space="preserve">attractiveness of EU </w:t>
      </w:r>
      <w:r w:rsidR="00C705C2">
        <w:t xml:space="preserve">capital </w:t>
      </w:r>
      <w:r w:rsidRPr="00E56010">
        <w:t>markets.</w:t>
      </w:r>
    </w:p>
    <w:p w14:paraId="5C5FCA63" w14:textId="77777777" w:rsidR="00E56010" w:rsidRPr="00E56010" w:rsidRDefault="00E56010" w:rsidP="00E56010">
      <w:pPr>
        <w:rPr>
          <w:b/>
          <w:u w:val="single"/>
        </w:rPr>
      </w:pPr>
      <w:r w:rsidRPr="00E56010">
        <w:rPr>
          <w:b/>
          <w:u w:val="single"/>
        </w:rPr>
        <w:t>Recommendation: including UK activity on EEA shares</w:t>
      </w:r>
    </w:p>
    <w:p w14:paraId="61E42941" w14:textId="77777777" w:rsidR="00E56010" w:rsidRPr="00E56010" w:rsidRDefault="00E56010" w:rsidP="00E56010">
      <w:r w:rsidRPr="00E56010">
        <w:t>It is also important to consider the methodological impact of excluding UK activity in EEA shares from the analysis. The UK represents a significant centre for trading in EEA shares, particularly in bilateral and dark segments (including SIs, OBOE and OTC trading). Its exclusion may therefore lead to an underestimation of the overall share of off</w:t>
      </w:r>
      <w:r w:rsidRPr="00E56010">
        <w:noBreakHyphen/>
        <w:t>venue trading on EEA shares and a partial view of competitive dynamics.</w:t>
      </w:r>
    </w:p>
    <w:p w14:paraId="090F9508" w14:textId="4075B104" w:rsidR="00E56010" w:rsidRPr="00E56010" w:rsidRDefault="00E56010" w:rsidP="00E56010">
      <w:proofErr w:type="gramStart"/>
      <w:r w:rsidRPr="00E56010">
        <w:t>In particular, based</w:t>
      </w:r>
      <w:proofErr w:type="gramEnd"/>
      <w:r w:rsidRPr="00E56010">
        <w:t xml:space="preserve"> on</w:t>
      </w:r>
      <w:r w:rsidR="00C705C2">
        <w:t xml:space="preserve"> calculations done by </w:t>
      </w:r>
      <w:r w:rsidRPr="00E56010">
        <w:t>FESE</w:t>
      </w:r>
      <w:r w:rsidR="00C705C2">
        <w:t xml:space="preserve">, </w:t>
      </w:r>
      <w:r w:rsidRPr="00E56010">
        <w:t xml:space="preserve">using </w:t>
      </w:r>
      <w:proofErr w:type="spellStart"/>
      <w:r w:rsidRPr="00E56010">
        <w:t>xyt</w:t>
      </w:r>
      <w:proofErr w:type="spellEnd"/>
      <w:r w:rsidRPr="00E56010">
        <w:t xml:space="preserve"> statistics, UK venues recorded €9.7 trillion in total trading of STOXX 600 EEA shares in 2024, of which 25% was executed through SIs, 23% on OBOE, and 46% OTC. This amount is even higher than the total trading in STOXX 600 EEA shares recorded on EEA venues, which amounted to €7.2 trillion in 2024. When adjusting for the addressability condition applied by </w:t>
      </w:r>
      <w:proofErr w:type="spellStart"/>
      <w:r w:rsidRPr="00E56010">
        <w:t>xyt</w:t>
      </w:r>
      <w:proofErr w:type="spellEnd"/>
      <w:r w:rsidRPr="00E56010">
        <w:t xml:space="preserve">, addressable trading in STOXX 600 EEA shares amounted to €4.2 trillion on UK venues, with 48% executed through SIs, 12% on OBOE, and 26% OTC, compared with €7.2 trillion on EEA venues. Such figures illustrate the extent to which actual bilateral activity in EEA shares could be underestimated in the current Call for Evidence. </w:t>
      </w:r>
      <w:r w:rsidR="002D598E">
        <w:t xml:space="preserve">We </w:t>
      </w:r>
      <w:r w:rsidRPr="00E56010">
        <w:t xml:space="preserve">strongly believe </w:t>
      </w:r>
      <w:r w:rsidRPr="002D598E">
        <w:t>that an enhanced data cooperation between ESMA and the UK FCA would contribute to a more comprehensive and evidence</w:t>
      </w:r>
      <w:r w:rsidRPr="002D598E">
        <w:noBreakHyphen/>
        <w:t>based assessment of market structure developments</w:t>
      </w:r>
      <w:r w:rsidRPr="00E56010">
        <w:t>. Trading in EEA shares remains economically and operationally interconnected across EU and UK markets. Without incorporating this dimension, current analyses provide only a partial representation of effective liquidity and substitution effects across execution mechanisms.</w:t>
      </w:r>
    </w:p>
    <w:p w14:paraId="35D51565" w14:textId="77777777" w:rsidR="00E56010" w:rsidRPr="00E56010" w:rsidRDefault="00E56010" w:rsidP="00E56010">
      <w:r w:rsidRPr="00E56010">
        <w:t>Key considerations include:</w:t>
      </w:r>
    </w:p>
    <w:p w14:paraId="4AA29417" w14:textId="77777777" w:rsidR="00E56010" w:rsidRPr="00E56010" w:rsidRDefault="00E56010" w:rsidP="00E56010">
      <w:r w:rsidRPr="00E56010">
        <w:t xml:space="preserve">(1) </w:t>
      </w:r>
      <w:r w:rsidRPr="00E56010">
        <w:rPr>
          <w:b/>
        </w:rPr>
        <w:t>Material activity outside the EEA:</w:t>
      </w:r>
      <w:r w:rsidRPr="00E56010">
        <w:t xml:space="preserve"> A significant portion of trading in EEA shares takes place on UK bilateral and dark channels. Visibility across jurisdictions is important given the close interlinkages between markets.</w:t>
      </w:r>
    </w:p>
    <w:p w14:paraId="5A180C5F" w14:textId="6C4DADDA" w:rsidR="00E56010" w:rsidRPr="00E56010" w:rsidRDefault="00E56010" w:rsidP="00E56010">
      <w:r w:rsidRPr="00E56010">
        <w:lastRenderedPageBreak/>
        <w:t xml:space="preserve">(2) </w:t>
      </w:r>
      <w:r w:rsidRPr="00E56010">
        <w:rPr>
          <w:b/>
        </w:rPr>
        <w:t>Implications for issuers and market efficiency:</w:t>
      </w:r>
      <w:r w:rsidRPr="00E56010">
        <w:t xml:space="preserve"> These trading flows directly affect EU market dynamics and carry important implications for policy decisions. EEA issuers are directly affected by insufficient depth and liquidity on EU lit venues. High volumes on </w:t>
      </w:r>
      <w:r w:rsidR="002D598E">
        <w:t>non-EU</w:t>
      </w:r>
      <w:r w:rsidRPr="00E56010">
        <w:t xml:space="preserve"> venues may increase capital costs, reduce investor visibility, and weaken price discovery in EU markets.</w:t>
      </w:r>
    </w:p>
    <w:p w14:paraId="679F866E" w14:textId="77777777" w:rsidR="00E56010" w:rsidRPr="00E56010" w:rsidRDefault="00E56010" w:rsidP="00E56010">
      <w:r w:rsidRPr="00E56010">
        <w:t xml:space="preserve">(3) </w:t>
      </w:r>
      <w:r w:rsidRPr="00E56010">
        <w:rPr>
          <w:b/>
        </w:rPr>
        <w:t>Assessment of market structure and regulatory effectiveness:</w:t>
      </w:r>
      <w:r w:rsidRPr="00E56010">
        <w:t xml:space="preserve"> Incorporating UK data for analytical purposes would improve the calibration of transparency regimes (including waivers and volume caps) and support the assessment of whether the functioning of the STO and reverse solicitation mechanisms are operating and enforced as intended.</w:t>
      </w:r>
    </w:p>
    <w:p w14:paraId="353E1D95" w14:textId="77777777" w:rsidR="002D598E" w:rsidRDefault="00E56010" w:rsidP="00E56010">
      <w:r w:rsidRPr="00E56010">
        <w:t>(4)</w:t>
      </w:r>
      <w:r w:rsidRPr="00E56010">
        <w:rPr>
          <w:b/>
        </w:rPr>
        <w:t xml:space="preserve"> Transaction reporting and supervision:</w:t>
      </w:r>
      <w:r w:rsidRPr="00E56010">
        <w:t xml:space="preserve"> Greater visibility on UK</w:t>
      </w:r>
      <w:r w:rsidRPr="00E56010">
        <w:noBreakHyphen/>
        <w:t>related activity would support the verification of transaction reporting quality by EU investment firms and the consistent application of trade flags, particularly in cross</w:t>
      </w:r>
      <w:r w:rsidRPr="00E56010">
        <w:noBreakHyphen/>
        <w:t>border trading scenarios. This would strengthen the overall supervisory framework and evidence base.</w:t>
      </w:r>
      <w:r w:rsidR="002D598E">
        <w:t xml:space="preserve"> Further, transactions in EEA shares taking place outside the EU should be part of strengthened trading surveillance. </w:t>
      </w:r>
    </w:p>
    <w:p w14:paraId="75C2BECF" w14:textId="59B2BDC6" w:rsidR="00C67112" w:rsidRDefault="00C67112" w:rsidP="00BD2E12"/>
    <w:permEnd w:id="1070029581"/>
    <w:p w14:paraId="7BB7AE3F" w14:textId="2CAF236F"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3DC46831" w14:textId="47BB9A0A" w:rsidR="00556BE0" w:rsidRPr="00556BE0" w:rsidRDefault="00556BE0" w:rsidP="00556BE0">
      <w:permStart w:id="856752782" w:edGrp="everyone"/>
      <w:r w:rsidRPr="00383DE1">
        <w:t>The gradual migration of liquidity away from lit multilateral markets raises important concerns about the long-term resilience and quality of price discovery</w:t>
      </w:r>
      <w:r w:rsidRPr="00556BE0">
        <w:t xml:space="preserve">.  </w:t>
      </w:r>
    </w:p>
    <w:p w14:paraId="2F30CFBC" w14:textId="440E1494" w:rsidR="00383DE1" w:rsidRPr="00383DE1" w:rsidRDefault="00556BE0" w:rsidP="00383DE1">
      <w:r w:rsidRPr="00556BE0">
        <w:t>An increasing share of trading activity today depends on prices formed on lit venues, while a declining share of overall trading contributes directly to that process. This creates a structural imbalance in market design: alternative execution mechanisms benefit from the transparency and efficiency generated by lit markets, yet are not subject to equivalent transparency obligations, nor do they contribute proportionately to sustaining those markets</w:t>
      </w:r>
      <w:r w:rsidR="003878DD">
        <w:t xml:space="preserve">, and </w:t>
      </w:r>
      <w:proofErr w:type="gramStart"/>
      <w:r w:rsidR="003878DD">
        <w:t>also</w:t>
      </w:r>
      <w:proofErr w:type="gramEnd"/>
      <w:r w:rsidR="003878DD">
        <w:t xml:space="preserve"> they are not accessible to all investors on a non-discriminatory basis</w:t>
      </w:r>
      <w:r w:rsidRPr="00556BE0">
        <w:t>. While alternative execution channels remain important for facilitating larg</w:t>
      </w:r>
      <w:r w:rsidR="004B04B0">
        <w:t>e</w:t>
      </w:r>
      <w:r w:rsidR="00383DE1">
        <w:t xml:space="preserve"> </w:t>
      </w:r>
      <w:r w:rsidR="00383DE1" w:rsidRPr="00383DE1">
        <w:t xml:space="preserve">transactions and reducing market impact, their growing prominence risks weakening the very pricing infrastructure upon which they depend. </w:t>
      </w:r>
    </w:p>
    <w:p w14:paraId="7E9E310A" w14:textId="0334010A" w:rsidR="00383DE1" w:rsidRPr="00383DE1" w:rsidRDefault="00EA7363" w:rsidP="00383DE1">
      <w:r>
        <w:lastRenderedPageBreak/>
        <w:t>This shift means</w:t>
      </w:r>
      <w:r w:rsidR="00755F4C">
        <w:t xml:space="preserve"> </w:t>
      </w:r>
      <w:r>
        <w:t xml:space="preserve">that </w:t>
      </w:r>
      <w:r w:rsidR="00755F4C">
        <w:t>the European capital market</w:t>
      </w:r>
      <w:r w:rsidR="00383DE1" w:rsidRPr="00755F4C">
        <w:t xml:space="preserve"> </w:t>
      </w:r>
      <w:r>
        <w:t>is</w:t>
      </w:r>
      <w:r w:rsidR="00383DE1" w:rsidRPr="00755F4C">
        <w:t xml:space="preserve"> a significant erosion of liquidity, undermining both market transparency and the robustness of reference prices across the broader </w:t>
      </w:r>
      <w:r w:rsidR="00967CB0">
        <w:t xml:space="preserve">European </w:t>
      </w:r>
      <w:r w:rsidR="00383DE1" w:rsidRPr="00755F4C">
        <w:t>ecosystem</w:t>
      </w:r>
      <w:r w:rsidR="00383DE1" w:rsidRPr="00383DE1">
        <w:t xml:space="preserve">. </w:t>
      </w:r>
    </w:p>
    <w:p w14:paraId="15CC535B" w14:textId="03B7CC12" w:rsidR="00383DE1" w:rsidRPr="00383DE1" w:rsidRDefault="00383DE1" w:rsidP="00383DE1">
      <w:r w:rsidRPr="00540C29">
        <w:t>Protecting the integrity of the price formation process is essential for</w:t>
      </w:r>
      <w:r w:rsidR="00540C29">
        <w:t xml:space="preserve"> both primary and</w:t>
      </w:r>
      <w:r w:rsidRPr="00540C29">
        <w:t xml:space="preserve"> secondary market functioning, for issuers’ ability to raise capital, and the overall attractiveness and competitiveness of the EU financial ecosystem.</w:t>
      </w:r>
      <w:r w:rsidRPr="00383DE1">
        <w:rPr>
          <w:b/>
          <w:bCs/>
        </w:rPr>
        <w:t xml:space="preserve"> </w:t>
      </w:r>
      <w:r w:rsidRPr="00383DE1">
        <w:t xml:space="preserve">Investors need confidence that European capital markets remain fair, transparent, efficient, and properly regulated. Ensuring investor confidence must remain central to the EU’s regulatory agenda. </w:t>
      </w:r>
    </w:p>
    <w:p w14:paraId="51DE5BF6" w14:textId="5D4D0C69" w:rsidR="004B04B0" w:rsidRPr="00223EDC" w:rsidRDefault="00967CB0" w:rsidP="00383DE1">
      <w:r>
        <w:t xml:space="preserve">We would encourage ESMA to analyse the contributions of various trading models to the price formation process </w:t>
      </w:r>
      <w:r w:rsidR="00FE7110">
        <w:t xml:space="preserve">and the impact of dark </w:t>
      </w:r>
      <w:r w:rsidR="00FE7110" w:rsidRPr="00223EDC">
        <w:t xml:space="preserve">and </w:t>
      </w:r>
      <w:r w:rsidR="00383DE1" w:rsidRPr="00223EDC">
        <w:t xml:space="preserve">bilateral trading on price efficiency. </w:t>
      </w:r>
    </w:p>
    <w:p w14:paraId="36236D9F" w14:textId="77777777" w:rsidR="004B04B0" w:rsidRDefault="004B04B0" w:rsidP="003A33E5"/>
    <w:permEnd w:id="856752782"/>
    <w:p w14:paraId="2A3F17E9" w14:textId="5A7ADAA9"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6F4CD999" w14:textId="61539EC1" w:rsidR="0089219F" w:rsidRPr="0089219F" w:rsidRDefault="0089219F" w:rsidP="00F633F4">
      <w:permStart w:id="617826185" w:edGrp="everyone"/>
      <w:r>
        <w:t>While</w:t>
      </w:r>
      <w:r w:rsidRPr="0089219F">
        <w:t xml:space="preserve"> the drivers guiding market participants’ choice of execution venue or method may vary across firms and trading strategies</w:t>
      </w:r>
      <w:r w:rsidR="00F633F4">
        <w:t>, and while i</w:t>
      </w:r>
      <w:r w:rsidRPr="0089219F">
        <w:t>ndividual market participants apply their own execution policies and may weigh a range of commercial and operational considerations</w:t>
      </w:r>
      <w:r w:rsidR="00F633F4">
        <w:t xml:space="preserve">, we believe it is </w:t>
      </w:r>
      <w:r w:rsidRPr="0089219F">
        <w:t xml:space="preserve">important to highlight that regulatory design plays a significant role in shaping market incentives and outcomes. </w:t>
      </w:r>
      <w:proofErr w:type="gramStart"/>
      <w:r w:rsidRPr="0089219F">
        <w:t>In particular</w:t>
      </w:r>
      <w:r w:rsidRPr="00F633F4">
        <w:t>, regulatory</w:t>
      </w:r>
      <w:proofErr w:type="gramEnd"/>
      <w:r w:rsidRPr="00F633F4">
        <w:t xml:space="preserve"> asymmetries between SIs and multilateral trading venues create distortions in incentives and competitive conditions. </w:t>
      </w:r>
      <w:r w:rsidRPr="0089219F">
        <w:t>These asymmetries can make certain execution models comparatively more attractive, irrespective of intrinsic execution quality.</w:t>
      </w:r>
    </w:p>
    <w:p w14:paraId="75DF2950" w14:textId="265DA510" w:rsidR="0045337C" w:rsidRDefault="0089219F" w:rsidP="003A33E5">
      <w:r w:rsidRPr="0089219F">
        <w:t xml:space="preserve">For example, where SIs benefit from more flexible regulatory treatment compared to trading venues, irrespective of order sizes (e.g., the ability to select counterparties and execute each counterparty differently, to execute off-tick, etc.), the incentives to internalise order flow may be heightened, while there are limited mechanisms to steer activity towards lit multilateral markets. As a result, order flow may be diverted away from lit venues not necessarily </w:t>
      </w:r>
      <w:proofErr w:type="gramStart"/>
      <w:r w:rsidRPr="0089219F">
        <w:t>on the basis of</w:t>
      </w:r>
      <w:proofErr w:type="gramEnd"/>
      <w:r w:rsidRPr="0089219F">
        <w:t xml:space="preserve"> best execution outcomes, but due to differences in regulatory frameworks.</w:t>
      </w:r>
    </w:p>
    <w:permEnd w:id="617826185"/>
    <w:p w14:paraId="27C70824" w14:textId="6C0E2646"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3014C236" w:rsidR="003A33E5" w:rsidRDefault="00D46B85" w:rsidP="003A33E5">
      <w:permStart w:id="1898151376" w:edGrp="everyone"/>
      <w:r>
        <w:t xml:space="preserve">In this context, it must be underlined that </w:t>
      </w:r>
      <w:r w:rsidR="007402AA">
        <w:t xml:space="preserve">it is only the regulated markets and the MTFs that are required by legislation to provide non-discriminatory access. </w:t>
      </w:r>
      <w:r w:rsidR="00D9448A">
        <w:t>S</w:t>
      </w:r>
      <w:r w:rsidR="007402AA">
        <w:t xml:space="preserve">ystematic </w:t>
      </w:r>
      <w:proofErr w:type="spellStart"/>
      <w:r w:rsidR="00D9448A">
        <w:t>i</w:t>
      </w:r>
      <w:r w:rsidR="007402AA">
        <w:t>nternalisers</w:t>
      </w:r>
      <w:proofErr w:type="spellEnd"/>
      <w:r w:rsidR="007402AA">
        <w:t xml:space="preserve"> are allowed to discriminate </w:t>
      </w:r>
      <w:r w:rsidR="00D9448A">
        <w:t xml:space="preserve">who is allowed access, and the activity in systematic </w:t>
      </w:r>
      <w:proofErr w:type="spellStart"/>
      <w:r w:rsidR="00D9448A">
        <w:t>internalisers</w:t>
      </w:r>
      <w:proofErr w:type="spellEnd"/>
      <w:r w:rsidR="00D9448A">
        <w:t xml:space="preserve"> is bilateral.</w:t>
      </w:r>
      <w:r w:rsidR="00915AA6">
        <w:t xml:space="preserve"> </w:t>
      </w:r>
      <w:r w:rsidR="00166BD1">
        <w:t xml:space="preserve">By now </w:t>
      </w:r>
      <w:r w:rsidR="004F44DE">
        <w:t xml:space="preserve">it has become recognised that retail </w:t>
      </w:r>
      <w:r w:rsidR="009121A5">
        <w:t xml:space="preserve">investor </w:t>
      </w:r>
      <w:r w:rsidR="004F44DE">
        <w:t xml:space="preserve">participation is key to the improvement of European capital markets, for the benefit of </w:t>
      </w:r>
      <w:r w:rsidR="009121A5">
        <w:t xml:space="preserve">the </w:t>
      </w:r>
      <w:r w:rsidR="004F44DE">
        <w:t>retail investors themselves</w:t>
      </w:r>
      <w:r w:rsidR="009121A5">
        <w:t xml:space="preserve"> as well as </w:t>
      </w:r>
      <w:r w:rsidR="00F0407F">
        <w:t>for creating an efficient growth en</w:t>
      </w:r>
      <w:r w:rsidR="005F10A4">
        <w:t>v</w:t>
      </w:r>
      <w:r w:rsidR="00F0407F">
        <w:t>ironment for companies in Europe</w:t>
      </w:r>
      <w:r w:rsidR="005F10A4">
        <w:t xml:space="preserve">. It is the venues where all investors have equal access </w:t>
      </w:r>
      <w:r w:rsidR="0067263A">
        <w:t>where</w:t>
      </w:r>
      <w:r w:rsidR="005F10A4">
        <w:t xml:space="preserve"> the liquidity is created</w:t>
      </w:r>
      <w:r w:rsidR="00566C28">
        <w:t>.</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6B53FD6E" w:rsidR="005439CE" w:rsidRDefault="00D01214" w:rsidP="005439CE">
      <w:permStart w:id="1102657477" w:edGrp="everyone"/>
      <w:r>
        <w:t xml:space="preserve">Nasdaq replies to this question as an operator of listing venues across </w:t>
      </w:r>
      <w:r w:rsidR="007E34BC">
        <w:t>the Nordics and Baltics, and we want to share our observations.</w:t>
      </w:r>
      <w:r w:rsidR="006B05CF">
        <w:t xml:space="preserve"> </w:t>
      </w:r>
    </w:p>
    <w:p w14:paraId="5AE6BC4D" w14:textId="47B23E8F" w:rsidR="006B05CF" w:rsidRDefault="001A6E71" w:rsidP="005439CE">
      <w:r>
        <w:t xml:space="preserve">In our conversations with not only issuers but also </w:t>
      </w:r>
      <w:r w:rsidR="00F44868">
        <w:t xml:space="preserve">investors, about considerations for if, when or where to list shares, </w:t>
      </w:r>
      <w:proofErr w:type="gramStart"/>
      <w:r w:rsidR="00F44868">
        <w:t>it is clear that listings</w:t>
      </w:r>
      <w:proofErr w:type="gramEnd"/>
      <w:r w:rsidR="00F44868">
        <w:t xml:space="preserve"> require </w:t>
      </w:r>
      <w:r w:rsidR="00CE552A">
        <w:t>certainty about liquidity</w:t>
      </w:r>
      <w:r w:rsidR="00404FF9">
        <w:t>, both at IPO and very much beyond, for secondary capital raisings</w:t>
      </w:r>
      <w:r w:rsidR="00CE552A">
        <w:t xml:space="preserve">. We observe a clear link between secondary market liquidity and the decision for a listing on the primary market. </w:t>
      </w:r>
      <w:r w:rsidR="00606047">
        <w:t xml:space="preserve">In these conversations, </w:t>
      </w:r>
      <w:r w:rsidR="002929D8">
        <w:t xml:space="preserve">the liquidity that counts </w:t>
      </w:r>
      <w:proofErr w:type="gramStart"/>
      <w:r w:rsidR="002929D8">
        <w:t>is</w:t>
      </w:r>
      <w:proofErr w:type="gramEnd"/>
      <w:r w:rsidR="002929D8">
        <w:t xml:space="preserve"> the one visible </w:t>
      </w:r>
      <w:r w:rsidR="009F3950">
        <w:t>in the transparent, multilateral and non-discriminatory trading, the price-forming trading</w:t>
      </w:r>
      <w:r w:rsidR="00C30E37">
        <w:t xml:space="preserve">. </w:t>
      </w:r>
      <w:r w:rsidR="00AE4DE0">
        <w:t xml:space="preserve">We have observed numerous decisions to not list, or to list outside the EU, </w:t>
      </w:r>
      <w:proofErr w:type="gramStart"/>
      <w:r w:rsidR="00AE4DE0">
        <w:t>based on the fact that</w:t>
      </w:r>
      <w:proofErr w:type="gramEnd"/>
      <w:r w:rsidR="00AE4DE0">
        <w:t xml:space="preserve"> liquidity is not good enough</w:t>
      </w:r>
      <w:r w:rsidR="00731349">
        <w:t>.</w:t>
      </w:r>
    </w:p>
    <w:p w14:paraId="1218CE2D" w14:textId="076D000F" w:rsidR="00731349" w:rsidRDefault="00B94E7D" w:rsidP="005439CE">
      <w:r>
        <w:t xml:space="preserve">In a time when the EU </w:t>
      </w:r>
      <w:r w:rsidR="00B0569A">
        <w:t xml:space="preserve">within the Savings and Investment Union project is </w:t>
      </w:r>
      <w:r w:rsidR="00117851">
        <w:t xml:space="preserve">prioritising efforts to improve the competitiveness of its capital markets </w:t>
      </w:r>
      <w:proofErr w:type="gramStart"/>
      <w:r w:rsidR="00117851">
        <w:t>in order for</w:t>
      </w:r>
      <w:proofErr w:type="gramEnd"/>
      <w:r w:rsidR="00117851">
        <w:t xml:space="preserve"> more companies to </w:t>
      </w:r>
      <w:r w:rsidR="003E327D">
        <w:t xml:space="preserve">grow in Europe, the answer to this Q7 must be that no, the </w:t>
      </w:r>
      <w:r w:rsidR="00286D3C">
        <w:t>environment is not yet attractive enough for listings.</w:t>
      </w:r>
      <w:r w:rsidR="004E30BA">
        <w:t xml:space="preserve"> More efforts are needed to </w:t>
      </w:r>
      <w:r w:rsidR="008002EE">
        <w:t xml:space="preserve">show the capital markets ecosystems better </w:t>
      </w:r>
      <w:r w:rsidR="001D4C84">
        <w:t xml:space="preserve">secondary market liquidity </w:t>
      </w:r>
      <w:proofErr w:type="gramStart"/>
      <w:r w:rsidR="001D4C84">
        <w:t>in order to</w:t>
      </w:r>
      <w:proofErr w:type="gramEnd"/>
      <w:r w:rsidR="001D4C84">
        <w:t xml:space="preserve"> provide a better environment for listings.</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ABAF2C8" w14:textId="77777777" w:rsidR="005F6242" w:rsidRDefault="005F6242" w:rsidP="0070419F">
      <w:permStart w:id="1746406015" w:edGrp="everyone"/>
      <w:r>
        <w:t xml:space="preserve">Besides this analysis on the distribution </w:t>
      </w:r>
      <w:r w:rsidRPr="00EB653B">
        <w:t xml:space="preserve">of liquidity across EEA ISINs, it could be interesting to examine the distribution of trading volumes by type of shares (e.g., blue chips, mid- and </w:t>
      </w:r>
      <w:proofErr w:type="gramStart"/>
      <w:r w:rsidRPr="00EB653B">
        <w:t>small-caps</w:t>
      </w:r>
      <w:proofErr w:type="gramEnd"/>
      <w:r w:rsidRPr="00EB653B">
        <w:t>). This would help assess whether increasing fragmentation is associated with a concentration of liquidity in the largest caps.</w:t>
      </w:r>
    </w:p>
    <w:p w14:paraId="4411663A" w14:textId="6D1A1949" w:rsidR="001442A8" w:rsidRPr="001442A8" w:rsidRDefault="001442A8" w:rsidP="0070419F">
      <w:pPr>
        <w:rPr>
          <w:color w:val="auto"/>
        </w:rPr>
      </w:pPr>
      <w:r>
        <w:rPr>
          <w:color w:val="auto"/>
        </w:rPr>
        <w:t>And as already mentioned above</w:t>
      </w:r>
      <w:r w:rsidRPr="001442A8">
        <w:rPr>
          <w:color w:val="auto"/>
        </w:rPr>
        <w:t xml:space="preserve">, the absence of UK trading data on EEA shares represents a significant limitation. A material share of trading in EEA equities takes place in the UK, especially through bilateral, SI and OTC channels. In 2024, based on FESE calculations </w:t>
      </w:r>
      <w:proofErr w:type="gramStart"/>
      <w:r w:rsidRPr="001442A8">
        <w:rPr>
          <w:color w:val="auto"/>
        </w:rPr>
        <w:t>on the basis of</w:t>
      </w:r>
      <w:proofErr w:type="gramEnd"/>
      <w:r w:rsidRPr="001442A8">
        <w:rPr>
          <w:color w:val="auto"/>
        </w:rPr>
        <w:t xml:space="preserve"> </w:t>
      </w:r>
      <w:proofErr w:type="spellStart"/>
      <w:r w:rsidRPr="001442A8">
        <w:rPr>
          <w:color w:val="auto"/>
        </w:rPr>
        <w:t>xyt</w:t>
      </w:r>
      <w:proofErr w:type="spellEnd"/>
      <w:r w:rsidRPr="001442A8">
        <w:rPr>
          <w:color w:val="auto"/>
        </w:rPr>
        <w:t xml:space="preserve"> data, UK’s recorded trading volumes in STOXX 600 EEA shares was 1.35 times that recorded on EEA venues (25% through SIs, 23% on OBOE, and 46% OTC). As a result, the current analysis risks providing only a partial view of </w:t>
      </w:r>
      <w:r w:rsidR="00846BC8">
        <w:rPr>
          <w:color w:val="auto"/>
        </w:rPr>
        <w:t xml:space="preserve">the EEA </w:t>
      </w:r>
      <w:r w:rsidR="00832D2F">
        <w:rPr>
          <w:color w:val="auto"/>
        </w:rPr>
        <w:t xml:space="preserve">capital market </w:t>
      </w:r>
      <w:r w:rsidRPr="001442A8">
        <w:rPr>
          <w:color w:val="auto"/>
        </w:rPr>
        <w:t>liquidity</w:t>
      </w:r>
      <w:r w:rsidR="00832D2F">
        <w:rPr>
          <w:color w:val="auto"/>
        </w:rPr>
        <w:t xml:space="preserve"> situation</w:t>
      </w:r>
      <w:r w:rsidRPr="001442A8">
        <w:rPr>
          <w:color w:val="auto"/>
        </w:rPr>
        <w:t xml:space="preserve">. </w:t>
      </w:r>
      <w:r w:rsidR="00832D2F">
        <w:rPr>
          <w:color w:val="auto"/>
        </w:rPr>
        <w:t>I</w:t>
      </w:r>
      <w:r w:rsidRPr="001442A8">
        <w:rPr>
          <w:color w:val="auto"/>
        </w:rPr>
        <w:t>t is essential to work towards a more comprehensive and holistic view of trading activity across jurisdictions, reflecting the economic reality of interconnected EU and UK markets</w:t>
      </w:r>
      <w:r w:rsidR="00832D2F">
        <w:rPr>
          <w:color w:val="auto"/>
        </w:rPr>
        <w:t xml:space="preserve"> and the competitiveness of the European capital market</w:t>
      </w:r>
      <w:r w:rsidR="00EE6C4F">
        <w:rPr>
          <w:color w:val="auto"/>
        </w:rPr>
        <w:t xml:space="preserve"> for issuers as well as investors.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4AE1CDA0" w14:textId="77777777" w:rsidR="001542D6" w:rsidRDefault="00D41097" w:rsidP="003A33E5">
      <w:permStart w:id="648821160" w:edGrp="everyone"/>
      <w:r>
        <w:t>W</w:t>
      </w:r>
      <w:r w:rsidRPr="00D41097">
        <w:t xml:space="preserve">e </w:t>
      </w:r>
      <w:r>
        <w:t>agree</w:t>
      </w:r>
      <w:r w:rsidRPr="00D41097">
        <w:t xml:space="preserve"> with ESMA’s observation that dark trading has remained relatively stable over the period, and the trades below </w:t>
      </w:r>
      <w:proofErr w:type="gramStart"/>
      <w:r w:rsidRPr="00D41097">
        <w:t>LIS in particular</w:t>
      </w:r>
      <w:proofErr w:type="gramEnd"/>
      <w:r w:rsidRPr="00D41097">
        <w:t xml:space="preserve">. This </w:t>
      </w:r>
      <w:r w:rsidR="00BF5187">
        <w:t>is</w:t>
      </w:r>
      <w:r w:rsidRPr="00D41097">
        <w:t xml:space="preserve"> the direct consequence of the DVC, proving the effectiveness of the mechanism, at least within its defined scope. While the introduction of the former DVC resulted in limiting trading under the waivers, analysis has shown that when the RPW was suspended, much of this flow appeared to be redirected towards execution mechanisms other than continuous order books. This has accelerated under the revised SVC. We suggest further analysis of these trends is warranted.</w:t>
      </w:r>
    </w:p>
    <w:p w14:paraId="70E4627D" w14:textId="400ADBB6" w:rsidR="001542D6" w:rsidRPr="001542D6" w:rsidRDefault="001542D6" w:rsidP="001542D6">
      <w:r>
        <w:t>W</w:t>
      </w:r>
      <w:r w:rsidRPr="001542D6">
        <w:t xml:space="preserve">e consider that the term “dark trading” as defined by ESMA (namely, trades executed under the reference price waiver or the large in scale waiver) does not fully capture the scope of trading that should properly be regarded as dark. </w:t>
      </w:r>
      <w:r w:rsidR="00783822">
        <w:t>A</w:t>
      </w:r>
      <w:r w:rsidRPr="001542D6">
        <w:t xml:space="preserve">ny trade executed under a waiver, and therefore not subject to pre-trade transparency, should be considered dark trading. </w:t>
      </w:r>
      <w:r w:rsidR="00783822">
        <w:t xml:space="preserve">We note that </w:t>
      </w:r>
      <w:r w:rsidRPr="001542D6">
        <w:t>while ESMA includes transactions executed under the negotiated trade waiver in Figure 13, it does not classify them as dark trading in its broader categorisation.</w:t>
      </w:r>
    </w:p>
    <w:p w14:paraId="7C40A66E" w14:textId="50864A6B" w:rsidR="003A33E5" w:rsidRDefault="00D41097" w:rsidP="003A33E5">
      <w:r w:rsidRPr="00D41097">
        <w:t xml:space="preserve">  </w:t>
      </w:r>
      <w:permEnd w:id="648821160"/>
      <w:r w:rsidR="003A33E5">
        <w:t>&lt;ESMA_QUESTION_MSEM_</w:t>
      </w:r>
      <w:r w:rsidR="1D2DBD5A">
        <w:t>9</w:t>
      </w:r>
      <w:r w:rsidR="003A33E5">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301A0EEF" w:rsidR="003A33E5" w:rsidRDefault="0045094E" w:rsidP="003A33E5">
      <w:permStart w:id="733371525" w:edGrp="everyone"/>
      <w:r>
        <w:t xml:space="preserve">We would encourage ESMA to continue to </w:t>
      </w:r>
      <w:r w:rsidR="00F229E3">
        <w:t xml:space="preserve">monitor and analyse the trends, as they are key for understanding and taking appropriate measures </w:t>
      </w:r>
      <w:r w:rsidR="00E429B2">
        <w:t xml:space="preserve">of various kinds </w:t>
      </w:r>
      <w:proofErr w:type="gramStart"/>
      <w:r w:rsidR="00E429B2">
        <w:t>in order to</w:t>
      </w:r>
      <w:proofErr w:type="gramEnd"/>
      <w:r w:rsidR="00E429B2">
        <w:t xml:space="preserve"> ensure the efficiency and competitiveness of the European capital market</w:t>
      </w:r>
      <w:r w:rsidR="00351245">
        <w:t xml:space="preserve"> for issuers as well as investors</w:t>
      </w:r>
      <w:r w:rsidR="00E429B2">
        <w:t>.</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 xml:space="preserve">What is your view on the evolution and effects of trading in closing auctions on the EU markets? Do you agree with the presented rationale for trading in </w:t>
      </w:r>
      <w:r>
        <w:lastRenderedPageBreak/>
        <w:t>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0D366F8" w14:textId="41689A35" w:rsidR="00684375" w:rsidRDefault="00C126DB" w:rsidP="0070419F">
      <w:pPr>
        <w:rPr>
          <w:color w:val="00379F" w:themeColor="text1"/>
        </w:rPr>
      </w:pPr>
      <w:permStart w:id="14425139" w:edGrp="everyone"/>
      <w:r>
        <w:t>We agree</w:t>
      </w:r>
      <w:r w:rsidR="00684375">
        <w:t xml:space="preserve"> with ESMA on the importance of closing auctions for the functioning of equity markets, both in terms of their relevance for market participants and their contribution to price formation. </w:t>
      </w:r>
    </w:p>
    <w:p w14:paraId="5922215E" w14:textId="2DACE966" w:rsidR="00684375" w:rsidRDefault="00684375" w:rsidP="0070419F">
      <w:r>
        <w:t xml:space="preserve">Closing auctions are </w:t>
      </w:r>
      <w:r w:rsidRPr="002B62DC">
        <w:t>an important complement to strong and continuous price formation on transparent markets. They concentrat</w:t>
      </w:r>
      <w:r w:rsidR="002B62DC">
        <w:t>e</w:t>
      </w:r>
      <w:r w:rsidRPr="002B62DC">
        <w:t xml:space="preserve"> liquidity at the end of the trading day and deliver a robust closing price that is critical for transparency and market stability,</w:t>
      </w:r>
      <w:r>
        <w:t xml:space="preserve"> without undermining lit order books during the trading session. </w:t>
      </w:r>
    </w:p>
    <w:p w14:paraId="0D66F4DC" w14:textId="77777777" w:rsidR="00684375" w:rsidRDefault="00684375" w:rsidP="0070419F">
      <w:r>
        <w:t xml:space="preserve">Their growing importance can be partly explained by the rise of index-tracking and passive investment strategies, which require execution at the end-of-day price for accurate replication. This trend reflects genuine investor demand and structural shifts in market behaviour rather than any lack of competitive dynamics. </w:t>
      </w:r>
    </w:p>
    <w:p w14:paraId="41CC4A01" w14:textId="4727AE4D" w:rsidR="00684375" w:rsidRDefault="00684375" w:rsidP="0070419F">
      <w:r>
        <w:t xml:space="preserve">One factor behind the growth of closing auctions in the EU may be linked to MiFID II itself. This trend has been driven in part by the increased market fragmentation following the framework’s introduction, which has weakened liquidity sourcing </w:t>
      </w:r>
      <w:r w:rsidR="00317504">
        <w:t xml:space="preserve">intraday </w:t>
      </w:r>
      <w:r>
        <w:t xml:space="preserve">and transparent price formation through the increase of systematic </w:t>
      </w:r>
      <w:proofErr w:type="spellStart"/>
      <w:r>
        <w:t>internalisers</w:t>
      </w:r>
      <w:proofErr w:type="spellEnd"/>
      <w:r>
        <w:t xml:space="preserve"> and alternative trading systems, as well as the growing number of venues operating under pre-trade transparency waivers. This strengthens the need for a robust and accessible-to-all liquidity and price formation event during the day.</w:t>
      </w:r>
    </w:p>
    <w:p w14:paraId="553FD709" w14:textId="298DAE46" w:rsidR="00684375" w:rsidRDefault="00684375" w:rsidP="0070419F">
      <w:proofErr w:type="gramStart"/>
      <w:r>
        <w:t>In light of</w:t>
      </w:r>
      <w:proofErr w:type="gramEnd"/>
      <w:r>
        <w:t xml:space="preserve"> these developments, </w:t>
      </w:r>
      <w:r w:rsidR="00C6771C">
        <w:t xml:space="preserve">Nasdaq in cooperation with other market operators </w:t>
      </w:r>
      <w:r w:rsidR="00896441">
        <w:t>under the umbrella of</w:t>
      </w:r>
      <w:r>
        <w:t xml:space="preserve"> FESE</w:t>
      </w:r>
      <w:r w:rsidR="00896441">
        <w:t>,</w:t>
      </w:r>
      <w:r>
        <w:t xml:space="preserve"> have co-developed public playbooks</w:t>
      </w:r>
      <w:r w:rsidR="00C638FC">
        <w:t xml:space="preserve"> </w:t>
      </w:r>
      <w:r>
        <w:t>(</w:t>
      </w:r>
      <w:hyperlink r:id="rId18" w:history="1">
        <w:r>
          <w:rPr>
            <w:rStyle w:val="Hyperlink"/>
          </w:rPr>
          <w:t>https://www.fese.eu/publications/exchange-playbooks-on-outage-protocols/</w:t>
        </w:r>
      </w:hyperlink>
      <w:r>
        <w:t>) to support market participants in the event of potential outages. It is worth noting that, despite their size, there has not been any major failure of closing auctions in the last 5 years. It is also worth noting that the growing trend for closing auctions is not deterministic or always constant in time, as it depends on a range of factors.</w:t>
      </w:r>
      <w:r>
        <w:rPr>
          <w:rFonts w:ascii="Segoe UI" w:eastAsia="Times New Roman" w:hAnsi="Segoe UI" w:cs="Segoe UI"/>
          <w:color w:val="auto"/>
          <w:sz w:val="18"/>
          <w:szCs w:val="18"/>
          <w:lang w:eastAsia="en-GB"/>
        </w:rPr>
        <w:t xml:space="preserve"> </w:t>
      </w:r>
      <w:r>
        <w:t>For instance, during the Covid crisis, the high volatility led to a drop in the closing auctions volumes to the benefit of continuous trading.</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5356998C" w14:textId="0504B202" w:rsidR="000C15D7" w:rsidRDefault="000C15D7" w:rsidP="00ED4B46">
      <w:permStart w:id="230633778" w:edGrp="everyone"/>
      <w:r>
        <w:t xml:space="preserve">As an initial comment, </w:t>
      </w:r>
      <w:r w:rsidR="009515BE">
        <w:t xml:space="preserve">we underline that </w:t>
      </w:r>
      <w:r w:rsidRPr="000C15D7">
        <w:t xml:space="preserve">matching on principal at close, is de facto </w:t>
      </w:r>
      <w:r w:rsidR="00692F8B" w:rsidRPr="000C15D7">
        <w:t>risk-free</w:t>
      </w:r>
      <w:r w:rsidRPr="000C15D7">
        <w:t xml:space="preserve"> matching. From accepting the trade (at close) to the time of execution, the broker can offload the trade to customers with opposite interest, without principal risk, and any imbalance can be offloaded in the lit venue’s closing auction.</w:t>
      </w:r>
    </w:p>
    <w:p w14:paraId="16EA825C" w14:textId="732F8711" w:rsidR="00ED4B46" w:rsidRPr="00ED4B46" w:rsidRDefault="00ED4B46" w:rsidP="00ED4B46">
      <w:r>
        <w:t>T</w:t>
      </w:r>
      <w:r w:rsidRPr="00ED4B46">
        <w:t xml:space="preserve">here is a good level of competition in the closing space among trading venues </w:t>
      </w:r>
      <w:proofErr w:type="gramStart"/>
      <w:r w:rsidRPr="00ED4B46">
        <w:t>and also</w:t>
      </w:r>
      <w:proofErr w:type="gramEnd"/>
      <w:r w:rsidRPr="00ED4B46">
        <w:t xml:space="preserve"> with the alternative solutions offered by MTFs and SIs (Market at Close mechanisms). These alternative products typically operate in parallel with the official closing auction and match orders at the official closing price once it is fixed. For example, some investment banks offer “market at close” products that match orders internally to avoid exchange auction fees. This includes principal liquidity guaranteed at the close via their S</w:t>
      </w:r>
      <w:r w:rsidR="00DF0614">
        <w:t>I</w:t>
      </w:r>
      <w:r w:rsidRPr="00ED4B46">
        <w:t xml:space="preserve">. </w:t>
      </w:r>
    </w:p>
    <w:p w14:paraId="7472729A" w14:textId="47D9E53E" w:rsidR="00E40742" w:rsidRDefault="00ED4B46" w:rsidP="003A33E5">
      <w:proofErr w:type="gramStart"/>
      <w:r w:rsidRPr="00ED4B46">
        <w:t>In order to</w:t>
      </w:r>
      <w:proofErr w:type="gramEnd"/>
      <w:r w:rsidRPr="00ED4B46">
        <w:t xml:space="preserve"> improve the visibility of activity executed at the closing price across execution mechanisms, </w:t>
      </w:r>
      <w:r w:rsidR="001D41DB">
        <w:t>we propose</w:t>
      </w:r>
      <w:r w:rsidRPr="00ED4B46">
        <w:t xml:space="preserve"> introduc</w:t>
      </w:r>
      <w:r w:rsidR="001D41DB">
        <w:t>ing</w:t>
      </w:r>
      <w:r w:rsidRPr="00ED4B46">
        <w:t xml:space="preserve"> a dedicated post-trade flag, </w:t>
      </w:r>
      <w:proofErr w:type="gramStart"/>
      <w:r w:rsidRPr="00ED4B46">
        <w:t>similar to</w:t>
      </w:r>
      <w:proofErr w:type="gramEnd"/>
      <w:r w:rsidRPr="00ED4B46">
        <w:t xml:space="preserve"> the CLSE </w:t>
      </w:r>
      <w:r w:rsidR="00E40742">
        <w:t>flag</w:t>
      </w:r>
      <w:r w:rsidRPr="00ED4B46">
        <w:t xml:space="preserve"> used in the UK. This would provide greater clarity on the extent and impact of alternative closing mechanisms and support a more comprehensive analysis of market dynamics</w:t>
      </w:r>
      <w:r w:rsidR="00E40742">
        <w:t xml:space="preserve"> in the European capital market.</w:t>
      </w:r>
    </w:p>
    <w:permEnd w:id="230633778"/>
    <w:p w14:paraId="5B799896" w14:textId="0AE0FDBA"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33F01A6C" w14:textId="40A049AC" w:rsidR="003C5031" w:rsidRDefault="003C5031" w:rsidP="002A3BCD">
      <w:pPr>
        <w:rPr>
          <w:color w:val="00379F" w:themeColor="text1"/>
        </w:rPr>
      </w:pPr>
      <w:permStart w:id="834536465" w:edGrp="everyone"/>
      <w:r>
        <w:t>Liquidity in European equity markets remains highly concentrated in opening and closing auctions, which play a central role in price formation</w:t>
      </w:r>
      <w:r w:rsidR="007F2ACA">
        <w:t xml:space="preserve"> and </w:t>
      </w:r>
      <w:r w:rsidR="00000F6E">
        <w:t>liquidity transfer</w:t>
      </w:r>
      <w:r>
        <w:t xml:space="preserve">. The potential introduction of 24-hour trading or extended trading hours may lead to a partial redistribution of liquidity across the trading day. </w:t>
      </w:r>
    </w:p>
    <w:p w14:paraId="1D325EE7" w14:textId="7CFBD43B" w:rsidR="003C5031" w:rsidRDefault="003C5031" w:rsidP="002A3BCD">
      <w:r>
        <w:t>Unlike in other jurisdictions, such as the US, closing auctions in Europe do not operate in parallel with continuous trading but rather constitute a price formation mechanism that determines the final reference price of the trading da</w:t>
      </w:r>
      <w:r w:rsidR="002D6DAA">
        <w:t xml:space="preserve">y. </w:t>
      </w:r>
      <w:r w:rsidR="00893FE4">
        <w:t>However, the US venues currently aiming at moving to</w:t>
      </w:r>
      <w:r w:rsidR="00F8104E">
        <w:t xml:space="preserve"> 24/7</w:t>
      </w:r>
      <w:r w:rsidR="00893FE4" w:rsidRPr="00330C0E">
        <w:rPr>
          <w:color w:val="FF0000"/>
        </w:rPr>
        <w:t xml:space="preserve"> </w:t>
      </w:r>
      <w:r w:rsidR="00893FE4">
        <w:t>or 22/5 trading appear to be committed</w:t>
      </w:r>
      <w:r w:rsidR="001F65D0">
        <w:t xml:space="preserve"> to maintaining a closing auction</w:t>
      </w:r>
      <w:r w:rsidR="00F8104E">
        <w:t>s</w:t>
      </w:r>
      <w:r w:rsidR="001F65D0">
        <w:t xml:space="preserve"> at the same time as currently. This means that for the time being, this liquidity and </w:t>
      </w:r>
      <w:r w:rsidR="001F65D0">
        <w:lastRenderedPageBreak/>
        <w:t>price formation event will stay, even in a near 24/7 environment, such as what is evolving in the US.</w:t>
      </w:r>
    </w:p>
    <w:p w14:paraId="4215AEE7" w14:textId="4EC35E40" w:rsidR="003C5031" w:rsidRDefault="002A3BCD" w:rsidP="00F8104E">
      <w:pPr>
        <w:spacing w:after="0"/>
        <w:jc w:val="left"/>
      </w:pPr>
      <w:r>
        <w:t>Extended trading hours, where available in Europe, are typically limited in scope and largely oriented towards retail participants</w:t>
      </w:r>
      <w:r w:rsidR="00F8104E">
        <w:t xml:space="preserve"> and Asian investors.</w:t>
      </w:r>
    </w:p>
    <w:p w14:paraId="4FF4FE46" w14:textId="77777777" w:rsidR="003C5031" w:rsidRDefault="003C5031" w:rsidP="003C5031"/>
    <w:permEnd w:id="834536465"/>
    <w:p w14:paraId="7C20DB7D" w14:textId="54E3AEBB"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2FE9505C" w:rsidR="003A33E5" w:rsidRDefault="00AB11AB" w:rsidP="003A33E5">
      <w:permStart w:id="54361316" w:edGrp="everyone"/>
      <w:r>
        <w:t xml:space="preserve">Monitoring is appropriate but </w:t>
      </w:r>
      <w:proofErr w:type="gramStart"/>
      <w:r>
        <w:t>at this time</w:t>
      </w:r>
      <w:proofErr w:type="gramEnd"/>
      <w:r>
        <w:t xml:space="preserve"> we do not see any </w:t>
      </w:r>
      <w:r w:rsidR="00833C6F">
        <w:t>need for regulatory interventions.</w:t>
      </w:r>
    </w:p>
    <w:p w14:paraId="05F3706A" w14:textId="130BA944" w:rsidR="00277157" w:rsidRPr="00277157" w:rsidRDefault="00277157" w:rsidP="00277157">
      <w:r>
        <w:t>There is competition in the closing auction space. N</w:t>
      </w:r>
      <w:r w:rsidRPr="00277157">
        <w:t xml:space="preserve">o structural or regulatory barriers prevent </w:t>
      </w:r>
      <w:r>
        <w:t>new entrants</w:t>
      </w:r>
      <w:r w:rsidRPr="00277157">
        <w:t xml:space="preserve"> or competition</w:t>
      </w:r>
      <w:r>
        <w:t>. T</w:t>
      </w:r>
      <w:r w:rsidRPr="00277157">
        <w:t xml:space="preserve">rading venues compete both among themselves and with bilateral execution models, including systematic internalisation. Alternative solutions exist, allowing participants to execute transactions without participating at the primary market’s closing auction. </w:t>
      </w:r>
    </w:p>
    <w:p w14:paraId="6945B550" w14:textId="1D12408C" w:rsidR="00277157" w:rsidRDefault="00277157" w:rsidP="00277157">
      <w:r w:rsidRPr="00277157">
        <w:t>The growing use of closing auctions should therefore be understood as a market-driven development reflecting investor demand, rather than a consequence of limited competition or market failures. Pricing practices of trading venues reflect normal commercial strategies, competitive positioning and cost structures, and market entry and innovation remain possible, as evidenced by the emergence of competing solutions in recent years.</w:t>
      </w:r>
    </w:p>
    <w:p w14:paraId="7BB7CF0C" w14:textId="36AEA529" w:rsidR="00A0132B" w:rsidRPr="009712EF" w:rsidRDefault="00916FE7" w:rsidP="00A0132B">
      <w:pPr>
        <w:rPr>
          <w:lang w:val="en-US"/>
        </w:rPr>
      </w:pPr>
      <w:r>
        <w:t>From the perspective of monitoring retail investor</w:t>
      </w:r>
      <w:r w:rsidR="00F5209F">
        <w:t xml:space="preserve"> development</w:t>
      </w:r>
      <w:r w:rsidR="00651B11">
        <w:t xml:space="preserve"> broadly</w:t>
      </w:r>
      <w:r w:rsidR="00F5209F">
        <w:t xml:space="preserve">, both in terms of opportunities and </w:t>
      </w:r>
      <w:r w:rsidR="003F4D4F">
        <w:t xml:space="preserve">in terms of </w:t>
      </w:r>
      <w:r w:rsidR="00651B11">
        <w:t xml:space="preserve">investor </w:t>
      </w:r>
      <w:r>
        <w:t>protection,</w:t>
      </w:r>
      <w:r w:rsidR="00A0132B">
        <w:t xml:space="preserve"> it needs to be noted that </w:t>
      </w:r>
      <w:r w:rsidR="00A0132B" w:rsidRPr="00A0132B">
        <w:rPr>
          <w:lang w:val="en-US"/>
        </w:rPr>
        <w:t xml:space="preserve">use of the closing auction is growing due to passive investments. </w:t>
      </w:r>
      <w:r w:rsidR="00A0132B">
        <w:rPr>
          <w:lang w:val="en-US"/>
        </w:rPr>
        <w:t>P</w:t>
      </w:r>
      <w:r w:rsidR="00A0132B" w:rsidRPr="00A0132B">
        <w:rPr>
          <w:lang w:val="en-US"/>
        </w:rPr>
        <w:t xml:space="preserve">assive investments track indexes based on the closing price. </w:t>
      </w:r>
      <w:r w:rsidR="009712EF">
        <w:rPr>
          <w:lang w:val="en-US"/>
        </w:rPr>
        <w:t>A</w:t>
      </w:r>
      <w:r w:rsidR="00A0132B" w:rsidRPr="00A0132B">
        <w:rPr>
          <w:lang w:val="en-US"/>
        </w:rPr>
        <w:t>void</w:t>
      </w:r>
      <w:r w:rsidR="009712EF">
        <w:rPr>
          <w:lang w:val="en-US"/>
        </w:rPr>
        <w:t>ing</w:t>
      </w:r>
      <w:r w:rsidR="00A0132B" w:rsidRPr="00A0132B">
        <w:rPr>
          <w:lang w:val="en-US"/>
        </w:rPr>
        <w:t xml:space="preserve"> closing auction volatility and securing </w:t>
      </w:r>
      <w:r w:rsidR="00412388">
        <w:rPr>
          <w:lang w:val="en-US"/>
        </w:rPr>
        <w:t>closing auctions as a</w:t>
      </w:r>
      <w:r w:rsidR="00A0132B" w:rsidRPr="00A0132B">
        <w:rPr>
          <w:lang w:val="en-US"/>
        </w:rPr>
        <w:t xml:space="preserve"> liquidity event with certainty of execution, is paramount to </w:t>
      </w:r>
      <w:proofErr w:type="spellStart"/>
      <w:r w:rsidR="00A0132B" w:rsidRPr="00A0132B">
        <w:rPr>
          <w:lang w:val="en-US"/>
        </w:rPr>
        <w:t>eg.</w:t>
      </w:r>
      <w:proofErr w:type="spellEnd"/>
      <w:r w:rsidR="00A0132B" w:rsidRPr="00A0132B">
        <w:rPr>
          <w:lang w:val="en-US"/>
        </w:rPr>
        <w:t xml:space="preserve"> </w:t>
      </w:r>
      <w:r w:rsidR="00A0132B" w:rsidRPr="009712EF">
        <w:rPr>
          <w:lang w:val="en-US"/>
        </w:rPr>
        <w:t xml:space="preserve">ETFs </w:t>
      </w:r>
      <w:r w:rsidR="009712EF">
        <w:rPr>
          <w:lang w:val="en-US"/>
        </w:rPr>
        <w:t>–</w:t>
      </w:r>
      <w:r w:rsidR="00A0132B" w:rsidRPr="009712EF">
        <w:rPr>
          <w:lang w:val="en-US"/>
        </w:rPr>
        <w:t xml:space="preserve"> </w:t>
      </w:r>
      <w:r w:rsidR="009712EF">
        <w:rPr>
          <w:lang w:val="en-US"/>
        </w:rPr>
        <w:t xml:space="preserve">which is a </w:t>
      </w:r>
      <w:r w:rsidR="00A0132B" w:rsidRPr="009712EF">
        <w:rPr>
          <w:lang w:val="en-US"/>
        </w:rPr>
        <w:t xml:space="preserve">vehicle widely used among retail investors. </w:t>
      </w:r>
    </w:p>
    <w:p w14:paraId="40374454" w14:textId="558F0076" w:rsidR="00A0132B" w:rsidRDefault="00A0132B" w:rsidP="00277157"/>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7072CE7A" w14:textId="1BF401FF" w:rsidR="00970AB9" w:rsidRPr="00970AB9" w:rsidRDefault="00970AB9" w:rsidP="00970AB9">
      <w:pPr>
        <w:rPr>
          <w:lang w:val="en-US"/>
        </w:rPr>
      </w:pPr>
      <w:permStart w:id="1032677898" w:edGrp="everyone"/>
      <w:r w:rsidRPr="00970AB9">
        <w:rPr>
          <w:lang w:val="en-US"/>
        </w:rPr>
        <w:t>Nasdaq observes a gradual expansion of FBAs across EU markets. This development reflects targeted experimentation within market structures, rather than a fundamental shift away from continuous trading as the primary mechanism for price formation.</w:t>
      </w:r>
    </w:p>
    <w:p w14:paraId="5808F0C5" w14:textId="77777777" w:rsidR="00970AB9" w:rsidRPr="00970AB9" w:rsidRDefault="00970AB9" w:rsidP="00970AB9">
      <w:pPr>
        <w:rPr>
          <w:lang w:val="en-US"/>
        </w:rPr>
      </w:pPr>
      <w:r w:rsidRPr="00970AB9">
        <w:rPr>
          <w:lang w:val="en-US"/>
        </w:rPr>
        <w:t>In Nasdaq’s view, the increased use of FBAs is driven by a combination of:</w:t>
      </w:r>
    </w:p>
    <w:p w14:paraId="6A098B82" w14:textId="77777777" w:rsidR="00970AB9" w:rsidRPr="00970AB9" w:rsidRDefault="00970AB9" w:rsidP="00970AB9">
      <w:pPr>
        <w:numPr>
          <w:ilvl w:val="0"/>
          <w:numId w:val="41"/>
        </w:numPr>
        <w:rPr>
          <w:lang w:val="en-US"/>
        </w:rPr>
      </w:pPr>
      <w:r w:rsidRPr="00970AB9">
        <w:rPr>
          <w:lang w:val="en-US"/>
        </w:rPr>
        <w:t>efforts to mitigate latency-sensitive trading dynamics, through discrete-time matching;</w:t>
      </w:r>
    </w:p>
    <w:p w14:paraId="0B39E12E" w14:textId="77777777" w:rsidR="00970AB9" w:rsidRPr="00970AB9" w:rsidRDefault="00970AB9" w:rsidP="00970AB9">
      <w:pPr>
        <w:numPr>
          <w:ilvl w:val="0"/>
          <w:numId w:val="41"/>
        </w:numPr>
        <w:rPr>
          <w:lang w:val="en-US"/>
        </w:rPr>
      </w:pPr>
      <w:r w:rsidRPr="00970AB9">
        <w:rPr>
          <w:lang w:val="en-US"/>
        </w:rPr>
        <w:t>venue-level innovation and competition, including differentiation of execution models; and</w:t>
      </w:r>
    </w:p>
    <w:p w14:paraId="46806B37" w14:textId="7EA5498E" w:rsidR="00970AB9" w:rsidRPr="00970AB9" w:rsidRDefault="00970AB9" w:rsidP="00970AB9">
      <w:pPr>
        <w:numPr>
          <w:ilvl w:val="0"/>
          <w:numId w:val="41"/>
        </w:numPr>
        <w:rPr>
          <w:lang w:val="en-US"/>
        </w:rPr>
      </w:pPr>
      <w:r w:rsidRPr="00970AB9">
        <w:rPr>
          <w:lang w:val="en-US"/>
        </w:rPr>
        <w:t xml:space="preserve">specific participant demand for mechanisms that can reduce </w:t>
      </w:r>
      <w:r w:rsidR="00F8104E" w:rsidRPr="00970AB9">
        <w:rPr>
          <w:lang w:val="en-US"/>
        </w:rPr>
        <w:t>signaling</w:t>
      </w:r>
      <w:r w:rsidRPr="00970AB9">
        <w:rPr>
          <w:lang w:val="en-US"/>
        </w:rPr>
        <w:t xml:space="preserve"> risk in certain trading scenarios.</w:t>
      </w:r>
    </w:p>
    <w:p w14:paraId="13297B6B" w14:textId="77777777" w:rsidR="00970AB9" w:rsidRPr="00970AB9" w:rsidRDefault="00970AB9" w:rsidP="00970AB9">
      <w:pPr>
        <w:rPr>
          <w:lang w:val="en-US"/>
        </w:rPr>
      </w:pPr>
      <w:r w:rsidRPr="00970AB9">
        <w:rPr>
          <w:lang w:val="en-US"/>
        </w:rPr>
        <w:t>Consistent with Nasdaq’s experience in designing auction-based mechanisms, FBAs can deliver benefits where their design successfully concentrates liquidity, including:</w:t>
      </w:r>
    </w:p>
    <w:p w14:paraId="39708127" w14:textId="77777777" w:rsidR="00970AB9" w:rsidRPr="00970AB9" w:rsidRDefault="00970AB9" w:rsidP="00970AB9">
      <w:pPr>
        <w:numPr>
          <w:ilvl w:val="0"/>
          <w:numId w:val="42"/>
        </w:numPr>
        <w:rPr>
          <w:lang w:val="en-US"/>
        </w:rPr>
      </w:pPr>
      <w:r w:rsidRPr="00970AB9">
        <w:rPr>
          <w:lang w:val="en-US"/>
        </w:rPr>
        <w:t>aggregation of liquidity within defined intervals, supporting robust execution prices;</w:t>
      </w:r>
    </w:p>
    <w:p w14:paraId="2C17815F" w14:textId="77777777" w:rsidR="00970AB9" w:rsidRPr="00970AB9" w:rsidRDefault="00970AB9" w:rsidP="00970AB9">
      <w:pPr>
        <w:numPr>
          <w:ilvl w:val="0"/>
          <w:numId w:val="42"/>
        </w:numPr>
        <w:rPr>
          <w:lang w:val="en-US"/>
        </w:rPr>
      </w:pPr>
      <w:r w:rsidRPr="00970AB9">
        <w:rPr>
          <w:lang w:val="en-US"/>
        </w:rPr>
        <w:t>reduced exposure to latency arbitrage, by limiting continuous time-priority advantages; and</w:t>
      </w:r>
    </w:p>
    <w:p w14:paraId="1CCAE8F0" w14:textId="77777777" w:rsidR="00970AB9" w:rsidRPr="00970AB9" w:rsidRDefault="00970AB9" w:rsidP="00970AB9">
      <w:pPr>
        <w:numPr>
          <w:ilvl w:val="0"/>
          <w:numId w:val="42"/>
        </w:numPr>
        <w:rPr>
          <w:lang w:val="en-US"/>
        </w:rPr>
      </w:pPr>
      <w:r w:rsidRPr="00970AB9">
        <w:rPr>
          <w:lang w:val="en-US"/>
        </w:rPr>
        <w:t>clear post-trade transparency, through a single auction price and volume.</w:t>
      </w:r>
    </w:p>
    <w:p w14:paraId="2F570758" w14:textId="77777777" w:rsidR="00970AB9" w:rsidRPr="00970AB9" w:rsidRDefault="00970AB9" w:rsidP="00970AB9">
      <w:pPr>
        <w:rPr>
          <w:lang w:val="en-US"/>
        </w:rPr>
      </w:pPr>
      <w:r w:rsidRPr="00970AB9">
        <w:rPr>
          <w:lang w:val="en-US"/>
        </w:rPr>
        <w:t>These benefits are, however, context-dependent and typically arise in specific use cases.</w:t>
      </w:r>
    </w:p>
    <w:p w14:paraId="4973CDB0" w14:textId="77777777" w:rsidR="00970AB9" w:rsidRPr="00970AB9" w:rsidRDefault="00970AB9" w:rsidP="00970AB9">
      <w:pPr>
        <w:rPr>
          <w:lang w:val="en-US"/>
        </w:rPr>
      </w:pPr>
      <w:r w:rsidRPr="00970AB9">
        <w:rPr>
          <w:lang w:val="en-US"/>
        </w:rPr>
        <w:t>Nasdaq’s overall view is that FBAs represent a complementary mechanism, rather than an alternative, to continuous trading, which remains the primary driver of price formation in EU equity markets.</w:t>
      </w:r>
    </w:p>
    <w:p w14:paraId="6A6842B1" w14:textId="6C0D7097" w:rsidR="00970AB9" w:rsidRPr="00970AB9" w:rsidRDefault="00970AB9" w:rsidP="00CD7520">
      <w:pPr>
        <w:rPr>
          <w:lang w:val="en-US"/>
        </w:rPr>
      </w:pPr>
      <w:r w:rsidRPr="00970AB9">
        <w:rPr>
          <w:lang w:val="en-US"/>
        </w:rPr>
        <w:t xml:space="preserve">This evolution further underscores the importance of a holistic and </w:t>
      </w:r>
      <w:proofErr w:type="spellStart"/>
      <w:r w:rsidRPr="00970AB9">
        <w:rPr>
          <w:lang w:val="en-US"/>
        </w:rPr>
        <w:t>centralised</w:t>
      </w:r>
      <w:proofErr w:type="spellEnd"/>
      <w:r w:rsidRPr="00970AB9">
        <w:rPr>
          <w:lang w:val="en-US"/>
        </w:rPr>
        <w:t xml:space="preserve"> supervisory perspective at EU level. As highlighted in response to Q18, the impact of FBAs is highly design-specific and depends on their interaction with other trading mechanisms. </w:t>
      </w:r>
      <w:r w:rsidRPr="00CD7520">
        <w:rPr>
          <w:lang w:val="en-US"/>
        </w:rPr>
        <w:t>A stronger role for ESMA would enable</w:t>
      </w:r>
      <w:r w:rsidR="00CD7520">
        <w:rPr>
          <w:lang w:val="en-US"/>
        </w:rPr>
        <w:t xml:space="preserve"> </w:t>
      </w:r>
      <w:r w:rsidRPr="00970AB9">
        <w:rPr>
          <w:lang w:val="en-US"/>
        </w:rPr>
        <w:t>consistent assessment across venues and mechanisms</w:t>
      </w:r>
      <w:r w:rsidR="00CD7520">
        <w:rPr>
          <w:lang w:val="en-US"/>
        </w:rPr>
        <w:t xml:space="preserve"> and </w:t>
      </w:r>
      <w:r w:rsidRPr="00970AB9">
        <w:rPr>
          <w:lang w:val="en-US"/>
        </w:rPr>
        <w:t xml:space="preserve">effective monitoring of cumulative effects on price formation, liquidity, and transparency across </w:t>
      </w:r>
      <w:r w:rsidR="00CD7520">
        <w:rPr>
          <w:lang w:val="en-US"/>
        </w:rPr>
        <w:t>Europe</w:t>
      </w:r>
      <w:r w:rsidRPr="00970AB9">
        <w:rPr>
          <w:lang w:val="en-US"/>
        </w:rPr>
        <w:t>.</w:t>
      </w:r>
    </w:p>
    <w:p w14:paraId="1339EF68" w14:textId="27B28EBA" w:rsidR="003A33E5" w:rsidRPr="00970AB9" w:rsidRDefault="003A33E5" w:rsidP="003A33E5">
      <w:pPr>
        <w:rPr>
          <w:lang w:val="en-US"/>
        </w:rPr>
      </w:pPr>
    </w:p>
    <w:permEnd w:id="1032677898"/>
    <w:p w14:paraId="30A22FF7" w14:textId="4D2ED734" w:rsidR="003A33E5" w:rsidRDefault="003A33E5" w:rsidP="003A33E5">
      <w:r>
        <w:lastRenderedPageBreak/>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5B4E8DA4" w14:textId="36481A01" w:rsidR="00D36BD8" w:rsidRPr="003C18A3" w:rsidRDefault="00D36BD8" w:rsidP="00D36BD8">
      <w:pPr>
        <w:rPr>
          <w:lang w:val="en-US"/>
        </w:rPr>
      </w:pPr>
      <w:permStart w:id="1672904074" w:edGrp="everyone"/>
      <w:r w:rsidRPr="003C18A3">
        <w:rPr>
          <w:lang w:val="en-US"/>
        </w:rPr>
        <w:t>Nasdaq considers that the contribution of FBAs to price formation and transparency is inherently design-specific and should therefore be assessed on a case-by-case basis</w:t>
      </w:r>
      <w:r w:rsidR="004133B7" w:rsidRPr="003C18A3">
        <w:rPr>
          <w:lang w:val="en-US"/>
        </w:rPr>
        <w:t>.</w:t>
      </w:r>
    </w:p>
    <w:p w14:paraId="6B15E119" w14:textId="3B18BC16" w:rsidR="00D36BD8" w:rsidRPr="00CB7C7A" w:rsidRDefault="00D36BD8" w:rsidP="004133B7">
      <w:pPr>
        <w:rPr>
          <w:lang w:val="en-US"/>
        </w:rPr>
      </w:pPr>
      <w:r w:rsidRPr="003C18A3">
        <w:rPr>
          <w:lang w:val="en-US"/>
        </w:rPr>
        <w:t>Based on Nasdaq’s experience in designing and operating auction-based mechanisms, including its own implementations of frequent or periodic auctions, FBAs can contribute to price formation where they succeed in concentrating meaningful liquidity within each auction cycle. In such circumstances, the resulting clearing price may constitute a robust and reliable execution price reflecting contemporaneous supply and demand.</w:t>
      </w:r>
    </w:p>
    <w:p w14:paraId="025F817C" w14:textId="75A000F4" w:rsidR="00D36BD8" w:rsidRPr="003C18A3" w:rsidRDefault="00D36BD8" w:rsidP="0051011C">
      <w:pPr>
        <w:rPr>
          <w:lang w:val="en-US"/>
        </w:rPr>
      </w:pPr>
      <w:r w:rsidRPr="003C18A3">
        <w:rPr>
          <w:lang w:val="en-US"/>
        </w:rPr>
        <w:t xml:space="preserve">However, Nasdaq does not consider FBAs, in isolation, to fulfil the same role as continuous order books in supporting ongoing price discovery. Continuous trading remains the primary mechanism for incorporating information in real time and establishing reference prices throughout the trading day. By contrast, FBAs inherently </w:t>
      </w:r>
      <w:proofErr w:type="spellStart"/>
      <w:r w:rsidRPr="003C18A3">
        <w:rPr>
          <w:lang w:val="en-US"/>
        </w:rPr>
        <w:t>discretise</w:t>
      </w:r>
      <w:proofErr w:type="spellEnd"/>
      <w:r w:rsidRPr="003C18A3">
        <w:rPr>
          <w:lang w:val="en-US"/>
        </w:rPr>
        <w:t xml:space="preserve"> trading and may therefore slow the incorporation of new information and reduce the continuity of price signals, particularly in highly liquid instruments</w:t>
      </w:r>
      <w:r w:rsidR="0051011C" w:rsidRPr="003C18A3">
        <w:rPr>
          <w:lang w:val="en-US"/>
        </w:rPr>
        <w:t xml:space="preserve">. </w:t>
      </w:r>
      <w:r w:rsidRPr="003C18A3">
        <w:rPr>
          <w:lang w:val="en-US"/>
        </w:rPr>
        <w:t>Accordingly, in Nasdaq’s market model, FBAs are designed as a complement to continuous trading rather than a substitute, and their contribution to price formation must be assessed in the context of this interaction.</w:t>
      </w:r>
    </w:p>
    <w:p w14:paraId="36BB0AA0" w14:textId="77777777" w:rsidR="00D36BD8" w:rsidRPr="003C18A3" w:rsidRDefault="00D36BD8" w:rsidP="0051011C">
      <w:pPr>
        <w:rPr>
          <w:lang w:val="en-US"/>
        </w:rPr>
      </w:pPr>
      <w:r w:rsidRPr="003C18A3">
        <w:rPr>
          <w:lang w:val="en-US"/>
        </w:rPr>
        <w:t>Nasdaq considers that the transparency characteristics of FBAs are similarly dependent on their specific design:</w:t>
      </w:r>
    </w:p>
    <w:p w14:paraId="40936661" w14:textId="77777777" w:rsidR="00D36BD8" w:rsidRPr="003C18A3" w:rsidRDefault="00D36BD8" w:rsidP="00D36BD8">
      <w:pPr>
        <w:numPr>
          <w:ilvl w:val="0"/>
          <w:numId w:val="37"/>
        </w:numPr>
        <w:rPr>
          <w:lang w:val="en-US"/>
        </w:rPr>
      </w:pPr>
      <w:r w:rsidRPr="003C18A3">
        <w:rPr>
          <w:lang w:val="en-US"/>
        </w:rPr>
        <w:t>FBAs generally provide strong post-trade transparency, through the publication of a single clearing price and associated volumes;</w:t>
      </w:r>
    </w:p>
    <w:p w14:paraId="71CB714D" w14:textId="77777777" w:rsidR="00D36BD8" w:rsidRPr="003C18A3" w:rsidRDefault="00D36BD8" w:rsidP="00D36BD8">
      <w:pPr>
        <w:numPr>
          <w:ilvl w:val="0"/>
          <w:numId w:val="37"/>
        </w:numPr>
        <w:rPr>
          <w:lang w:val="en-US"/>
        </w:rPr>
      </w:pPr>
      <w:r w:rsidRPr="003C18A3">
        <w:rPr>
          <w:lang w:val="en-US"/>
        </w:rPr>
        <w:t>Pre-trade transparency varies significantly depending on whether indicative prices, imbalances, and order information are disseminated during the auction process.</w:t>
      </w:r>
    </w:p>
    <w:p w14:paraId="70939C05" w14:textId="6CC110BA" w:rsidR="00D36BD8" w:rsidRPr="003C18A3" w:rsidRDefault="00D36BD8" w:rsidP="00742C6B">
      <w:pPr>
        <w:rPr>
          <w:lang w:val="en-US"/>
        </w:rPr>
      </w:pPr>
      <w:r w:rsidRPr="003C18A3">
        <w:rPr>
          <w:lang w:val="en-US"/>
        </w:rPr>
        <w:t>Nasdaq’s operational experience indicates that auction mechanisms can contribute meaningfully to price formation when they attract concentrated liquidity, as demonstrated by opening and closing auctions. However, there is no conclusive evidence that frequent batch mechanisms outperform continuous trading in delivering overall market quality or price discovery in highly liquid markets.</w:t>
      </w:r>
      <w:r w:rsidR="00742C6B" w:rsidRPr="003C18A3">
        <w:rPr>
          <w:lang w:val="en-US"/>
        </w:rPr>
        <w:t xml:space="preserve"> </w:t>
      </w:r>
      <w:r w:rsidRPr="003C18A3">
        <w:rPr>
          <w:lang w:val="en-US"/>
        </w:rPr>
        <w:t>This has informed Nasdaq’s design approach, whereby FBAs are integrated alongside continuous trading, which continues to serve as the principal reference for price formation.</w:t>
      </w:r>
    </w:p>
    <w:p w14:paraId="3BD46B2E" w14:textId="6CF13508" w:rsidR="00D36BD8" w:rsidRPr="003C18A3" w:rsidRDefault="00D36BD8" w:rsidP="00742C6B">
      <w:pPr>
        <w:rPr>
          <w:lang w:val="sv-SE"/>
        </w:rPr>
      </w:pPr>
      <w:proofErr w:type="gramStart"/>
      <w:r w:rsidRPr="003C18A3">
        <w:rPr>
          <w:lang w:val="en-US"/>
        </w:rPr>
        <w:lastRenderedPageBreak/>
        <w:t>In light of</w:t>
      </w:r>
      <w:proofErr w:type="gramEnd"/>
      <w:r w:rsidRPr="003C18A3">
        <w:rPr>
          <w:lang w:val="en-US"/>
        </w:rPr>
        <w:t xml:space="preserve"> the above, Nasdaq supports an evidence-based, case-by-case assessment of FBAs. Key factors should include:</w:t>
      </w:r>
    </w:p>
    <w:p w14:paraId="5F20A976" w14:textId="77777777" w:rsidR="00D36BD8" w:rsidRPr="003C18A3" w:rsidRDefault="00D36BD8" w:rsidP="00D36BD8">
      <w:pPr>
        <w:numPr>
          <w:ilvl w:val="0"/>
          <w:numId w:val="37"/>
        </w:numPr>
        <w:rPr>
          <w:lang w:val="sv-SE"/>
        </w:rPr>
      </w:pPr>
      <w:proofErr w:type="spellStart"/>
      <w:r w:rsidRPr="003C18A3">
        <w:rPr>
          <w:lang w:val="sv-SE"/>
        </w:rPr>
        <w:t>auction</w:t>
      </w:r>
      <w:proofErr w:type="spellEnd"/>
      <w:r w:rsidRPr="003C18A3">
        <w:rPr>
          <w:lang w:val="sv-SE"/>
        </w:rPr>
        <w:t xml:space="preserve"> </w:t>
      </w:r>
      <w:proofErr w:type="spellStart"/>
      <w:r w:rsidRPr="003C18A3">
        <w:rPr>
          <w:lang w:val="sv-SE"/>
        </w:rPr>
        <w:t>frequency</w:t>
      </w:r>
      <w:proofErr w:type="spellEnd"/>
      <w:r w:rsidRPr="003C18A3">
        <w:rPr>
          <w:lang w:val="sv-SE"/>
        </w:rPr>
        <w:t xml:space="preserve"> </w:t>
      </w:r>
      <w:proofErr w:type="gramStart"/>
      <w:r w:rsidRPr="003C18A3">
        <w:rPr>
          <w:lang w:val="sv-SE"/>
        </w:rPr>
        <w:t>and duration</w:t>
      </w:r>
      <w:proofErr w:type="gramEnd"/>
      <w:r w:rsidRPr="003C18A3">
        <w:rPr>
          <w:lang w:val="sv-SE"/>
        </w:rPr>
        <w:t>;</w:t>
      </w:r>
    </w:p>
    <w:p w14:paraId="03120756" w14:textId="77777777" w:rsidR="00D36BD8" w:rsidRPr="003C18A3" w:rsidRDefault="00D36BD8" w:rsidP="00D36BD8">
      <w:pPr>
        <w:numPr>
          <w:ilvl w:val="0"/>
          <w:numId w:val="37"/>
        </w:numPr>
        <w:rPr>
          <w:lang w:val="en-US"/>
        </w:rPr>
      </w:pPr>
      <w:r w:rsidRPr="003C18A3">
        <w:rPr>
          <w:lang w:val="en-US"/>
        </w:rPr>
        <w:t>level of liquidity participation and execution outcomes;</w:t>
      </w:r>
    </w:p>
    <w:p w14:paraId="65B01E32" w14:textId="77777777" w:rsidR="00D36BD8" w:rsidRPr="003C18A3" w:rsidRDefault="00D36BD8" w:rsidP="00D36BD8">
      <w:pPr>
        <w:numPr>
          <w:ilvl w:val="0"/>
          <w:numId w:val="37"/>
        </w:numPr>
        <w:rPr>
          <w:lang w:val="en-US"/>
        </w:rPr>
      </w:pPr>
      <w:r w:rsidRPr="003C18A3">
        <w:rPr>
          <w:lang w:val="en-US"/>
        </w:rPr>
        <w:t>degree of pre- and post-trade transparency;</w:t>
      </w:r>
    </w:p>
    <w:p w14:paraId="30834799" w14:textId="77777777" w:rsidR="00D36BD8" w:rsidRPr="003C18A3" w:rsidRDefault="00D36BD8" w:rsidP="00D36BD8">
      <w:pPr>
        <w:numPr>
          <w:ilvl w:val="0"/>
          <w:numId w:val="37"/>
        </w:numPr>
        <w:rPr>
          <w:lang w:val="en-US"/>
        </w:rPr>
      </w:pPr>
      <w:r w:rsidRPr="003C18A3">
        <w:rPr>
          <w:lang w:val="en-US"/>
        </w:rPr>
        <w:t>interaction with continuous order books and other trading venues; and</w:t>
      </w:r>
    </w:p>
    <w:p w14:paraId="375E847C" w14:textId="77777777" w:rsidR="00D36BD8" w:rsidRPr="003C18A3" w:rsidRDefault="00D36BD8" w:rsidP="00D36BD8">
      <w:pPr>
        <w:numPr>
          <w:ilvl w:val="0"/>
          <w:numId w:val="37"/>
        </w:numPr>
        <w:rPr>
          <w:lang w:val="en-US"/>
        </w:rPr>
      </w:pPr>
      <w:r w:rsidRPr="003C18A3">
        <w:rPr>
          <w:lang w:val="en-US"/>
        </w:rPr>
        <w:t>whether the resulting prices are relied upon by market participants as reference prices.</w:t>
      </w:r>
    </w:p>
    <w:p w14:paraId="26FC31FF" w14:textId="10E0D282" w:rsidR="00D36BD8" w:rsidRPr="003C18A3" w:rsidRDefault="00D36BD8" w:rsidP="00742C6B">
      <w:pPr>
        <w:rPr>
          <w:lang w:val="en-US"/>
        </w:rPr>
      </w:pPr>
      <w:r w:rsidRPr="003C18A3">
        <w:rPr>
          <w:lang w:val="en-US"/>
        </w:rPr>
        <w:t xml:space="preserve">Nasdaq further considers that this design-specific assessment underscores the importance of a </w:t>
      </w:r>
      <w:proofErr w:type="spellStart"/>
      <w:r w:rsidRPr="003C18A3">
        <w:rPr>
          <w:lang w:val="en-US"/>
        </w:rPr>
        <w:t>centralised</w:t>
      </w:r>
      <w:proofErr w:type="spellEnd"/>
      <w:r w:rsidRPr="003C18A3">
        <w:rPr>
          <w:lang w:val="en-US"/>
        </w:rPr>
        <w:t xml:space="preserve"> supervisory perspective at EU level.</w:t>
      </w:r>
      <w:r w:rsidR="00742C6B" w:rsidRPr="003C18A3">
        <w:rPr>
          <w:lang w:val="en-US"/>
        </w:rPr>
        <w:t xml:space="preserve"> </w:t>
      </w:r>
      <w:r w:rsidRPr="003C18A3">
        <w:rPr>
          <w:lang w:val="en-US"/>
        </w:rPr>
        <w:t>Given the increasing complexity of market structures and the coexistence of multiple trading mechanisms across venues, a fragmented supervisory approach risks inconsistent classifications and regulatory outcomes for economically similar features. FBAs</w:t>
      </w:r>
      <w:proofErr w:type="gramStart"/>
      <w:r w:rsidRPr="003C18A3">
        <w:rPr>
          <w:lang w:val="en-US"/>
        </w:rPr>
        <w:t>, in particular, illustrate</w:t>
      </w:r>
      <w:proofErr w:type="gramEnd"/>
      <w:r w:rsidRPr="003C18A3">
        <w:rPr>
          <w:lang w:val="en-US"/>
        </w:rPr>
        <w:t xml:space="preserve"> how relatively small design differences can materially affect their contribution to price formation and transparency.</w:t>
      </w:r>
    </w:p>
    <w:p w14:paraId="1A59BC40" w14:textId="0ACD681E" w:rsidR="00884C32" w:rsidRPr="003C18A3" w:rsidRDefault="00D36BD8" w:rsidP="00C41839">
      <w:pPr>
        <w:rPr>
          <w:lang w:val="en-US"/>
        </w:rPr>
      </w:pPr>
      <w:r w:rsidRPr="003C18A3">
        <w:rPr>
          <w:lang w:val="en-US"/>
        </w:rPr>
        <w:t xml:space="preserve">A more </w:t>
      </w:r>
      <w:proofErr w:type="spellStart"/>
      <w:r w:rsidRPr="003C18A3">
        <w:rPr>
          <w:lang w:val="en-US"/>
        </w:rPr>
        <w:t>centralised</w:t>
      </w:r>
      <w:proofErr w:type="spellEnd"/>
      <w:r w:rsidRPr="003C18A3">
        <w:rPr>
          <w:lang w:val="en-US"/>
        </w:rPr>
        <w:t xml:space="preserve"> role for ESMA would allow for</w:t>
      </w:r>
      <w:r w:rsidR="00C41839" w:rsidRPr="003C18A3">
        <w:rPr>
          <w:lang w:val="en-US"/>
        </w:rPr>
        <w:t xml:space="preserve"> </w:t>
      </w:r>
      <w:r w:rsidRPr="003C18A3">
        <w:rPr>
          <w:lang w:val="en-US"/>
        </w:rPr>
        <w:t>a holistic, cross-market assessment of how different trading mechanisms (including FBAs) interact and evolve over time;</w:t>
      </w:r>
      <w:r w:rsidR="00C41839" w:rsidRPr="003C18A3">
        <w:rPr>
          <w:lang w:val="en-US"/>
        </w:rPr>
        <w:t xml:space="preserve"> </w:t>
      </w:r>
      <w:r w:rsidRPr="003C18A3">
        <w:rPr>
          <w:lang w:val="en-US"/>
        </w:rPr>
        <w:t>greater consistency in determining what constitutes price-forming activity across the Union; and</w:t>
      </w:r>
      <w:r w:rsidR="00C41839" w:rsidRPr="003C18A3">
        <w:rPr>
          <w:lang w:val="en-US"/>
        </w:rPr>
        <w:t xml:space="preserve"> </w:t>
      </w:r>
      <w:r w:rsidRPr="003C18A3">
        <w:rPr>
          <w:lang w:val="en-US"/>
        </w:rPr>
        <w:t>an enhanced ability to monitor systemic effects on price discovery, liquidity formation, and transparency, in line with the objectives of the Capital Markets Union</w:t>
      </w:r>
      <w:r w:rsidR="00884C32" w:rsidRPr="003C18A3">
        <w:rPr>
          <w:lang w:val="en-US"/>
        </w:rPr>
        <w:t>.</w:t>
      </w:r>
    </w:p>
    <w:p w14:paraId="127D8A68" w14:textId="79886A58" w:rsidR="003A33E5" w:rsidRPr="003C18A3" w:rsidRDefault="003A33E5" w:rsidP="003A33E5">
      <w:pPr>
        <w:rPr>
          <w:lang w:val="en-US"/>
        </w:rPr>
      </w:pP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55D6273D" w14:textId="77777777" w:rsidR="00892D4E" w:rsidRDefault="00CB7C7A" w:rsidP="003A33E5">
      <w:permStart w:id="1032158778" w:edGrp="everyone"/>
      <w:r w:rsidRPr="00CB7C7A">
        <w:t>Nasdaq considers that the tick size regime should apply to both orders (quotes) and executed transactions. However, there would need to be a carve out in relation to off-tick mid-price executions to cater for situation where the spread between bid and ask prices encompasses an uneven number of ticks.</w:t>
      </w:r>
    </w:p>
    <w:p w14:paraId="7C463076" w14:textId="288A1F0E" w:rsidR="003A33E5" w:rsidRDefault="002531D0" w:rsidP="003A33E5">
      <w:r w:rsidRPr="002531D0">
        <w:lastRenderedPageBreak/>
        <w:t>Regulatory asymmetries, particularly around tick size flexibility and midpoint execution, have contributed to a structural shift of liquidity towards bilateral trading. Any refinement should therefore ensure that comparable trading outcomes are subject to comparable rules, preserving the integrity of price formation and preventing regulatory arbitrage.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0EC1EBFC" w14:textId="61FF226D" w:rsidR="00016E4D" w:rsidRPr="00FE4F5A" w:rsidRDefault="00016E4D" w:rsidP="00016E4D">
      <w:permStart w:id="529949636" w:edGrp="everyone"/>
      <w:r w:rsidRPr="00FE4F5A">
        <w:t>As regards the main drivers of this growth, the rapid expansion of SI activity reflects a broader structural shift in market design, likely driven by regulatory asymmetries. Differences in regulatory treatment between SIs and trading venues create distortion in incentives and competitive conditions, potentially diverting order flow away from lit</w:t>
      </w:r>
      <w:r w:rsidR="008B06F7">
        <w:t>,</w:t>
      </w:r>
      <w:r w:rsidRPr="00FE4F5A">
        <w:t xml:space="preserve"> multilateral venues</w:t>
      </w:r>
      <w:r w:rsidR="008B06F7">
        <w:t xml:space="preserve"> with non-discriminatory access</w:t>
      </w:r>
      <w:r w:rsidRPr="00FE4F5A">
        <w:t xml:space="preserve">—not necessarily </w:t>
      </w:r>
      <w:proofErr w:type="gramStart"/>
      <w:r w:rsidRPr="00FE4F5A">
        <w:t>on the basis of</w:t>
      </w:r>
      <w:proofErr w:type="gramEnd"/>
      <w:r w:rsidRPr="00FE4F5A">
        <w:t xml:space="preserve"> execution quality, but </w:t>
      </w:r>
      <w:proofErr w:type="gramStart"/>
      <w:r w:rsidRPr="00FE4F5A">
        <w:t>as a consequence of</w:t>
      </w:r>
      <w:proofErr w:type="gramEnd"/>
      <w:r w:rsidRPr="00FE4F5A">
        <w:t xml:space="preserve"> regulatory design. Key drivers include:</w:t>
      </w:r>
    </w:p>
    <w:p w14:paraId="4086E8AE" w14:textId="1E39D5F4" w:rsidR="00016E4D" w:rsidRPr="00FE4F5A" w:rsidRDefault="00016E4D" w:rsidP="00016E4D">
      <w:r w:rsidRPr="00FE4F5A">
        <w:t xml:space="preserve">(a) ESMA explicitly points to the more lenient tick-size regime and midpoint execution flexibility for SIs as a factor contributing to the redirection of flows. We </w:t>
      </w:r>
      <w:r w:rsidR="005C3A23">
        <w:t>agree</w:t>
      </w:r>
      <w:r w:rsidRPr="00FE4F5A">
        <w:t>.</w:t>
      </w:r>
    </w:p>
    <w:p w14:paraId="57ED282D" w14:textId="259093CA" w:rsidR="00FE4F5A" w:rsidRPr="00FE4F5A" w:rsidRDefault="00016E4D" w:rsidP="00FE4F5A">
      <w:r w:rsidRPr="00FE4F5A">
        <w:t xml:space="preserve">(b) </w:t>
      </w:r>
      <w:proofErr w:type="spellStart"/>
      <w:r w:rsidRPr="00FE4F5A">
        <w:t>MiFIR</w:t>
      </w:r>
      <w:proofErr w:type="spellEnd"/>
      <w:r w:rsidRPr="00FE4F5A">
        <w:t xml:space="preserve"> already recognises, in Recital 13, the low level of pre-trade transparency for SIs and the need to ensure a level playing field with trading venues. However, the revised MiFI</w:t>
      </w:r>
      <w:r w:rsidR="00FA010A">
        <w:t>D II</w:t>
      </w:r>
      <w:r w:rsidRPr="00FE4F5A">
        <w:t>/</w:t>
      </w:r>
      <w:r w:rsidR="00FA010A">
        <w:t>R</w:t>
      </w:r>
      <w:r w:rsidRPr="00FE4F5A">
        <w:t xml:space="preserve"> framework and RTS 1 have not fully addressed this issue. Persisting differences in transparency and oversight, combined with weaker data quality in SI reporting, including insufficient pre- and post-trade information and inconsistent</w:t>
      </w:r>
      <w:r w:rsidR="00FE4F5A" w:rsidRPr="00FE4F5A">
        <w:t xml:space="preserve"> flagging, limit supervisors’ ability to monitor activity effectively. This points to the need </w:t>
      </w:r>
      <w:r w:rsidR="00D27007">
        <w:t xml:space="preserve">not only </w:t>
      </w:r>
      <w:r w:rsidR="00FE4F5A" w:rsidRPr="00FE4F5A">
        <w:t>for a stronger transparency framework for S</w:t>
      </w:r>
      <w:r w:rsidR="00F8104E">
        <w:t>I</w:t>
      </w:r>
      <w:r w:rsidR="00FE4F5A" w:rsidRPr="00FE4F5A">
        <w:t>s</w:t>
      </w:r>
      <w:r w:rsidR="00D27007">
        <w:t xml:space="preserve"> but also a stronger supervisory framework</w:t>
      </w:r>
      <w:r w:rsidR="00FE4F5A" w:rsidRPr="00FE4F5A">
        <w:t>.</w:t>
      </w:r>
    </w:p>
    <w:p w14:paraId="402B3D42" w14:textId="151D8B7C" w:rsidR="00FE4F5A" w:rsidRPr="00FE4F5A" w:rsidRDefault="00FE4F5A" w:rsidP="00FE4F5A">
      <w:r w:rsidRPr="00FE4F5A">
        <w:rPr>
          <w:lang w:val="en-US"/>
        </w:rPr>
        <w:t xml:space="preserve">(c) </w:t>
      </w:r>
      <w:r w:rsidRPr="00FE4F5A">
        <w:t>The increasing capacity of SIs to capture smaller and more frequent order flow in a bilateral setting, often characteristic of retail activity</w:t>
      </w:r>
      <w:r w:rsidR="00C87C09">
        <w:t xml:space="preserve"> (but not alwa</w:t>
      </w:r>
      <w:r w:rsidR="008D0790">
        <w:t>y</w:t>
      </w:r>
      <w:r w:rsidR="00C87C09">
        <w:t>s, as sli</w:t>
      </w:r>
      <w:r w:rsidR="008D0790">
        <w:t>c</w:t>
      </w:r>
      <w:r w:rsidR="00C87C09">
        <w:t xml:space="preserve">ing of institutional orders can also result in </w:t>
      </w:r>
      <w:r w:rsidR="008D0790">
        <w:t>smaller order sizes)</w:t>
      </w:r>
      <w:r w:rsidRPr="00FE4F5A">
        <w:t>, as highlighted in the ESMA report. This reflects a structural drift away from the intended role of SIs in executing larger orders</w:t>
      </w:r>
      <w:r w:rsidR="00C87C09">
        <w:t>.</w:t>
      </w:r>
      <w:r w:rsidRPr="00FE4F5A">
        <w:t xml:space="preserve"> </w:t>
      </w:r>
      <w:r w:rsidR="00C87C09">
        <w:t>It</w:t>
      </w:r>
      <w:r w:rsidRPr="00FE4F5A">
        <w:t xml:space="preserve"> raises concerns regarding liquidity fragmentation, the weakening of price formation, and investor protection risks.</w:t>
      </w:r>
    </w:p>
    <w:p w14:paraId="55D9F0EE" w14:textId="330D7E3E" w:rsidR="00FE4F5A" w:rsidRPr="00FE4F5A" w:rsidRDefault="000513F3" w:rsidP="00FE4F5A">
      <w:r>
        <w:t>Cum</w:t>
      </w:r>
      <w:r w:rsidR="00AE138E">
        <w:t>u</w:t>
      </w:r>
      <w:r>
        <w:t>latively</w:t>
      </w:r>
      <w:r w:rsidR="00FE4F5A" w:rsidRPr="00FE4F5A">
        <w:t>, these regulatory-driven factors risk displacing liquidity from transparent markets. Targeted reforms are therefore needed to ensure a</w:t>
      </w:r>
      <w:r w:rsidR="00AE138E">
        <w:t xml:space="preserve">n appropriate and useful </w:t>
      </w:r>
      <w:r w:rsidR="00FE4F5A" w:rsidRPr="00FE4F5A">
        <w:t>coexistence between bilateral and multilateral trading models.</w:t>
      </w:r>
    </w:p>
    <w:p w14:paraId="411F5861" w14:textId="38970ABA" w:rsidR="00FE4F5A" w:rsidRPr="00FE4F5A" w:rsidRDefault="00FE4F5A" w:rsidP="003A33E5">
      <w:r w:rsidRPr="00FE4F5A">
        <w:lastRenderedPageBreak/>
        <w:t xml:space="preserve">Finally, as noted </w:t>
      </w:r>
      <w:r w:rsidR="00AE138E">
        <w:t>above</w:t>
      </w:r>
      <w:r w:rsidRPr="00FE4F5A">
        <w:t xml:space="preserve">, it should be borne in mind that the ESMA analysis excludes UK trading activity in EEA shares. In 2024, based on </w:t>
      </w:r>
      <w:r w:rsidR="000442DF">
        <w:t xml:space="preserve">calculations by </w:t>
      </w:r>
      <w:r w:rsidRPr="00FE4F5A">
        <w:t>FESE</w:t>
      </w:r>
      <w:r w:rsidR="000442DF">
        <w:t xml:space="preserve">, </w:t>
      </w:r>
      <w:proofErr w:type="gramStart"/>
      <w:r w:rsidRPr="00FE4F5A">
        <w:t>on the basis of</w:t>
      </w:r>
      <w:proofErr w:type="gramEnd"/>
      <w:r w:rsidRPr="00FE4F5A">
        <w:t xml:space="preserve"> </w:t>
      </w:r>
      <w:proofErr w:type="spellStart"/>
      <w:r w:rsidRPr="00FE4F5A">
        <w:t>xyt</w:t>
      </w:r>
      <w:proofErr w:type="spellEnd"/>
      <w:r w:rsidRPr="00FE4F5A">
        <w:t xml:space="preserve"> data, UK’s recorded trading volumes in STOXX 600 EEA shares was 1.35 times that recorded on EEA venues (25% through SIs, 23% on OBOE, and 46% OTC). Given that such activity is largely conducted in the SI and OTC space, this may result in an underestimation of bilateral trading in the ESMA call for evidence and provide only a partial view of market dynamics, including implications for issuers, market efficiency, and the effectiveness of the regulatory framework. Enhanced data cooperation between ESMA and the UK FCA would help address this gap.</w:t>
      </w:r>
    </w:p>
    <w:p w14:paraId="42E389C0" w14:textId="77777777" w:rsidR="00FA010A" w:rsidRDefault="00016E4D" w:rsidP="003A33E5">
      <w:pPr>
        <w:rPr>
          <w:b/>
          <w:bCs/>
        </w:rPr>
      </w:pPr>
      <w:r w:rsidRPr="00016E4D">
        <w:rPr>
          <w:b/>
          <w:bCs/>
        </w:rPr>
        <w:t xml:space="preserve"> </w:t>
      </w:r>
    </w:p>
    <w:permEnd w:id="529949636"/>
    <w:p w14:paraId="3C751F7F" w14:textId="36826182"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7C8FE6EB" w14:textId="3691344C" w:rsidR="00FF0142" w:rsidRPr="00FF0142" w:rsidRDefault="00E66F5F" w:rsidP="00FF0142">
      <w:permStart w:id="818545257" w:edGrp="everyone"/>
      <w:r>
        <w:t>We agree.</w:t>
      </w:r>
      <w:r w:rsidR="00FF0142" w:rsidRPr="00FF0142">
        <w:t xml:space="preserve"> This raises an important policy question as to whether the observed mix remains consistent with the intended role of SIs and the efficient functioning of EU equity markets.</w:t>
      </w:r>
    </w:p>
    <w:p w14:paraId="379AB756" w14:textId="4909558E" w:rsidR="00FF0142" w:rsidRPr="00FF0142" w:rsidRDefault="00FF0142" w:rsidP="00FF0142">
      <w:r w:rsidRPr="00FF0142">
        <w:t>S</w:t>
      </w:r>
      <w:r w:rsidR="00B5751B">
        <w:t>I</w:t>
      </w:r>
      <w:r w:rsidRPr="00FF0142">
        <w:t>s</w:t>
      </w:r>
      <w:r w:rsidR="0012223F">
        <w:t xml:space="preserve"> play a role</w:t>
      </w:r>
      <w:r w:rsidRPr="00FF0142">
        <w:t xml:space="preserve"> in facilitating large, bespoke, risk</w:t>
      </w:r>
      <w:r w:rsidRPr="00FF0142">
        <w:noBreakHyphen/>
        <w:t>trading quotes that enable institutional investors to execute sizeable orders with reduced market impact. However, there has been a structural drift towards the internalisation of a high proportion of very small trades. This development can fragment liquidity across more opaque execution channels, reduce the visibility that investors</w:t>
      </w:r>
      <w:r w:rsidR="00F5771E">
        <w:t>, in particular retail investors,</w:t>
      </w:r>
      <w:r w:rsidRPr="00FF0142">
        <w:t xml:space="preserve"> have over true market conditions, and weaken the overall price formation process</w:t>
      </w:r>
      <w:r w:rsidR="00FA010A">
        <w:t xml:space="preserve"> – </w:t>
      </w:r>
      <w:r w:rsidRPr="00FF0142">
        <w:t>especially considering that such smaller trades tend to carry a higher informational content.</w:t>
      </w:r>
    </w:p>
    <w:p w14:paraId="457842B9" w14:textId="4AFF8571" w:rsidR="00FF0142" w:rsidRPr="00FF0142" w:rsidRDefault="00FF0142" w:rsidP="00FF0142">
      <w:r w:rsidRPr="00FF0142">
        <w:t xml:space="preserve">The trade size does not necessarily reflect the type of client: whilst retail clients almost exclusively trade in smaller sizes, institutional clients trade smaller and larger sizes, especially as the use of execution algorithms is becoming prevalent. </w:t>
      </w:r>
      <w:r w:rsidR="00AA67A0">
        <w:t>W</w:t>
      </w:r>
      <w:r w:rsidRPr="00FF0142">
        <w:t>hen it comes to market structure rules the type of clients matters</w:t>
      </w:r>
      <w:r w:rsidR="00AA67A0">
        <w:t>,</w:t>
      </w:r>
      <w:r w:rsidRPr="00FF0142">
        <w:t xml:space="preserve"> but so does the size of orders. The purpose of markets is to reduce information asymmetries without compromising the execution outcome. A smaller order can be absorbed and executed on a multilateral price forming venue, thereby contributing to price formation, whilst this is more complex or not even possible without an adverse outcome for a larger order. </w:t>
      </w:r>
      <w:proofErr w:type="gramStart"/>
      <w:r w:rsidRPr="00FF0142">
        <w:t>So</w:t>
      </w:r>
      <w:proofErr w:type="gramEnd"/>
      <w:r w:rsidRPr="00FF0142">
        <w:t xml:space="preserve"> the increasing prevalence of smaller orders on SIs is problematic, as these </w:t>
      </w:r>
      <w:r w:rsidR="00E80B21">
        <w:t>orders are</w:t>
      </w:r>
      <w:r w:rsidRPr="00FF0142">
        <w:t xml:space="preserve"> not contribut</w:t>
      </w:r>
      <w:r w:rsidR="00E80B21">
        <w:t>ing</w:t>
      </w:r>
      <w:r w:rsidRPr="00FF0142">
        <w:t xml:space="preserve"> to price formation.</w:t>
      </w:r>
      <w:r w:rsidR="00E80B21">
        <w:t xml:space="preserve"> On the contrary, they use the price formed on the</w:t>
      </w:r>
      <w:r w:rsidR="00F43544">
        <w:t xml:space="preserve"> multilateral markets.</w:t>
      </w:r>
      <w:r w:rsidRPr="00FF0142">
        <w:t xml:space="preserve"> Given the very particular</w:t>
      </w:r>
      <w:r w:rsidR="00F43544">
        <w:t xml:space="preserve"> SI regulatory</w:t>
      </w:r>
      <w:r w:rsidRPr="00FF0142">
        <w:t xml:space="preserve"> regime (discretionary access, discretionary execution, </w:t>
      </w:r>
      <w:proofErr w:type="gramStart"/>
      <w:r w:rsidRPr="00FF0142">
        <w:t>off-tick</w:t>
      </w:r>
      <w:proofErr w:type="gramEnd"/>
      <w:r w:rsidRPr="00FF0142">
        <w:t>) this raises important concerns.</w:t>
      </w:r>
    </w:p>
    <w:p w14:paraId="0831FF8D" w14:textId="7C398F6E" w:rsidR="00F57405" w:rsidRPr="002754B6" w:rsidRDefault="002754B6" w:rsidP="003A33E5">
      <w:r>
        <w:t>We propose</w:t>
      </w:r>
      <w:r w:rsidR="00FF0142" w:rsidRPr="002754B6">
        <w:t xml:space="preserve"> considering regulatory approaches that encourage the execution of below</w:t>
      </w:r>
      <w:r w:rsidR="00FF0142" w:rsidRPr="002754B6">
        <w:noBreakHyphen/>
        <w:t>SMS trades on multilateral trading venues. This would enhance</w:t>
      </w:r>
      <w:r w:rsidR="00F57405" w:rsidRPr="002754B6">
        <w:t xml:space="preserve"> investor protection for retail participants, strengthen market transparency, support more robust price formation</w:t>
      </w:r>
      <w:r w:rsidR="00BD769C">
        <w:t>, and thereby create a more competitive European capital market</w:t>
      </w:r>
      <w:r w:rsidR="007B53CB">
        <w:t>, to the benefit of companies, investors and overall growth</w:t>
      </w:r>
      <w:r w:rsidR="00F57405" w:rsidRPr="002754B6">
        <w:t>.</w:t>
      </w:r>
    </w:p>
    <w:p w14:paraId="13EBFD51" w14:textId="1123098C" w:rsidR="003A33E5" w:rsidRDefault="00FF0142" w:rsidP="003A33E5">
      <w:r w:rsidRPr="00FF0142">
        <w:t xml:space="preserve"> </w:t>
      </w:r>
      <w:permEnd w:id="818545257"/>
      <w:r w:rsidR="003A33E5">
        <w:t>&lt;ESMA_QUESTION_MSEM_2</w:t>
      </w:r>
      <w:r w:rsidR="7A3AA6B0">
        <w:t>1</w:t>
      </w:r>
      <w:r w:rsidR="003A33E5">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lastRenderedPageBreak/>
        <w:t>&lt;ESMA_QUESTION_MSEM_2</w:t>
      </w:r>
      <w:r w:rsidR="62417FE6">
        <w:t>2</w:t>
      </w:r>
      <w:r>
        <w:t>&gt;</w:t>
      </w:r>
    </w:p>
    <w:p w14:paraId="06BBB4CC" w14:textId="62E66FF6" w:rsidR="0045611A" w:rsidRPr="0045611A" w:rsidRDefault="0045611A" w:rsidP="0045611A">
      <w:permStart w:id="1751220061" w:edGrp="everyone"/>
      <w:r>
        <w:t xml:space="preserve">The </w:t>
      </w:r>
      <w:r w:rsidRPr="0045611A">
        <w:t>finding that RPRI</w:t>
      </w:r>
      <w:r w:rsidRPr="0045611A">
        <w:noBreakHyphen/>
        <w:t xml:space="preserve">flagged trades account for only a negligible portion of SI turnover is a concern, particularly when contrasted with </w:t>
      </w:r>
      <w:r w:rsidR="009B5209">
        <w:t xml:space="preserve">frequent </w:t>
      </w:r>
      <w:r w:rsidRPr="0045611A">
        <w:t xml:space="preserve">claims that price improvement is </w:t>
      </w:r>
      <w:r w:rsidR="009B5209">
        <w:t xml:space="preserve">indeed </w:t>
      </w:r>
      <w:r w:rsidRPr="0045611A">
        <w:t>regularly provided. This discrepancy raises fundamental questions regarding transparency, execution quality, and the credibility of bilateral trading outcomes</w:t>
      </w:r>
      <w:r w:rsidRPr="0045611A">
        <w:rPr>
          <w:b/>
        </w:rPr>
        <w:t xml:space="preserve">. </w:t>
      </w:r>
      <w:r w:rsidRPr="0045611A">
        <w:rPr>
          <w:bCs/>
        </w:rPr>
        <w:t>Two complementary explanations</w:t>
      </w:r>
      <w:r w:rsidRPr="0045611A">
        <w:t xml:space="preserve"> are plausible, and both warrant regulatory attention:</w:t>
      </w:r>
    </w:p>
    <w:p w14:paraId="6A13B3D9" w14:textId="6BBD2849" w:rsidR="0045611A" w:rsidRPr="00DC2367" w:rsidRDefault="0045611A" w:rsidP="0045611A">
      <w:pPr>
        <w:rPr>
          <w:lang w:val="en-US"/>
        </w:rPr>
      </w:pPr>
      <w:r w:rsidRPr="00DC2367">
        <w:t xml:space="preserve">(a) Price improvement may not be delivered in a meaningful way in </w:t>
      </w:r>
      <w:proofErr w:type="gramStart"/>
      <w:r w:rsidRPr="00DC2367">
        <w:t>practice, or</w:t>
      </w:r>
      <w:proofErr w:type="gramEnd"/>
      <w:r w:rsidRPr="00DC2367">
        <w:t xml:space="preserve"> may be only marginal</w:t>
      </w:r>
      <w:r w:rsidR="00FA010A">
        <w:t xml:space="preserve"> </w:t>
      </w:r>
      <w:proofErr w:type="gramStart"/>
      <w:r w:rsidR="00FA010A">
        <w:t xml:space="preserve">and </w:t>
      </w:r>
      <w:r w:rsidR="00D5042E">
        <w:t>also</w:t>
      </w:r>
      <w:proofErr w:type="gramEnd"/>
      <w:r w:rsidR="00D5042E">
        <w:t xml:space="preserve"> </w:t>
      </w:r>
      <w:r w:rsidR="00FA010A">
        <w:t>discriminatory</w:t>
      </w:r>
      <w:r w:rsidRPr="00DC2367">
        <w:t xml:space="preserve">. This would be consistent with empirical findings, including those of the AMF, which indicate that around 90% of SI transactions are executed at prices equal to, worse than, or only marginally better than primary-market prices </w:t>
      </w:r>
      <w:r w:rsidRPr="00DC2367">
        <w:rPr>
          <w:lang w:val="en-US"/>
        </w:rPr>
        <w:t>(see Lucas, I. (2020). “</w:t>
      </w:r>
      <w:hyperlink r:id="rId19" w:history="1">
        <w:r w:rsidRPr="00DC2367">
          <w:rPr>
            <w:rStyle w:val="Hyperlink"/>
            <w:lang w:val="en-US"/>
          </w:rPr>
          <w:t xml:space="preserve">Quantifying systematic </w:t>
        </w:r>
        <w:proofErr w:type="spellStart"/>
        <w:r w:rsidRPr="00DC2367">
          <w:rPr>
            <w:rStyle w:val="Hyperlink"/>
            <w:lang w:val="en-US"/>
          </w:rPr>
          <w:t>internalisers</w:t>
        </w:r>
        <w:proofErr w:type="spellEnd"/>
        <w:r w:rsidRPr="00DC2367">
          <w:rPr>
            <w:rStyle w:val="Hyperlink"/>
            <w:lang w:val="en-US"/>
          </w:rPr>
          <w:t>’ activity: their share in the equity m</w:t>
        </w:r>
        <w:r w:rsidRPr="00DC2367">
          <w:rPr>
            <w:rStyle w:val="Hyperlink"/>
            <w:lang w:val="en-US"/>
          </w:rPr>
          <w:t>a</w:t>
        </w:r>
        <w:r w:rsidRPr="00DC2367">
          <w:rPr>
            <w:rStyle w:val="Hyperlink"/>
            <w:lang w:val="en-US"/>
          </w:rPr>
          <w:t>rket structure and role in the price discovery process</w:t>
        </w:r>
      </w:hyperlink>
      <w:r w:rsidRPr="00DC2367">
        <w:rPr>
          <w:lang w:val="en-US"/>
        </w:rPr>
        <w:t xml:space="preserve">”, </w:t>
      </w:r>
      <w:r w:rsidRPr="00DC2367">
        <w:rPr>
          <w:i/>
          <w:lang w:val="en-US"/>
        </w:rPr>
        <w:t xml:space="preserve">Autorité des </w:t>
      </w:r>
      <w:proofErr w:type="spellStart"/>
      <w:r w:rsidRPr="00DC2367">
        <w:rPr>
          <w:i/>
          <w:lang w:val="en-US"/>
        </w:rPr>
        <w:t>marchés</w:t>
      </w:r>
      <w:proofErr w:type="spellEnd"/>
      <w:r w:rsidRPr="00DC2367">
        <w:rPr>
          <w:i/>
          <w:lang w:val="en-US"/>
        </w:rPr>
        <w:t xml:space="preserve"> financiers (AMF)</w:t>
      </w:r>
      <w:r w:rsidRPr="00DC2367">
        <w:t xml:space="preserve">. Further research confirms this trend, showing that approximately 85% of immediate transactions do not benefit from price improvement compared to the EBBO (see </w:t>
      </w:r>
      <w:r w:rsidRPr="00DC2367">
        <w:rPr>
          <w:lang w:val="en-US"/>
        </w:rPr>
        <w:t>Besson, P. &amp; Gu, C. (2024), “</w:t>
      </w:r>
      <w:hyperlink r:id="rId20" w:history="1">
        <w:r w:rsidRPr="00DC2367">
          <w:rPr>
            <w:rStyle w:val="Hyperlink"/>
            <w:lang w:val="en-US"/>
          </w:rPr>
          <w:t xml:space="preserve">When Do Systematic </w:t>
        </w:r>
        <w:proofErr w:type="spellStart"/>
        <w:r w:rsidRPr="00DC2367">
          <w:rPr>
            <w:rStyle w:val="Hyperlink"/>
            <w:lang w:val="en-US"/>
          </w:rPr>
          <w:t>Internalisers</w:t>
        </w:r>
        <w:proofErr w:type="spellEnd"/>
        <w:r w:rsidRPr="00DC2367">
          <w:rPr>
            <w:rStyle w:val="Hyperlink"/>
            <w:lang w:val="en-US"/>
          </w:rPr>
          <w:t xml:space="preserve"> Choose to Provide Passive Liquidity to Investors?</w:t>
        </w:r>
      </w:hyperlink>
      <w:r w:rsidRPr="00DC2367">
        <w:rPr>
          <w:lang w:val="en-US"/>
        </w:rPr>
        <w:t xml:space="preserve">”, </w:t>
      </w:r>
      <w:r w:rsidRPr="00DC2367">
        <w:rPr>
          <w:i/>
          <w:lang w:val="en-US"/>
        </w:rPr>
        <w:t>Journal of Investing</w:t>
      </w:r>
      <w:r w:rsidRPr="00DC2367">
        <w:rPr>
          <w:lang w:val="en-US"/>
        </w:rPr>
        <w:t>, 34(1), pp. 94–123).</w:t>
      </w:r>
    </w:p>
    <w:p w14:paraId="10E77F73" w14:textId="50779F49" w:rsidR="0045611A" w:rsidRPr="00DC2367" w:rsidRDefault="0045611A" w:rsidP="0045611A">
      <w:r w:rsidRPr="00DC2367">
        <w:t xml:space="preserve">(b) Data quality and flagging practices may be incomplete or inconsistent. We </w:t>
      </w:r>
      <w:r w:rsidR="00D62E10">
        <w:t>agree</w:t>
      </w:r>
      <w:r w:rsidRPr="00DC2367">
        <w:t xml:space="preserve"> with ESMA’s assessment that SI data quality is less robust than that of trading venues. The use of SI flags, not only for price improvement, requires significant improvement.</w:t>
      </w:r>
    </w:p>
    <w:p w14:paraId="1C111CAC" w14:textId="77777777" w:rsidR="0045611A" w:rsidRPr="00DC2367" w:rsidRDefault="0045611A" w:rsidP="0045611A">
      <w:r w:rsidRPr="00DC2367">
        <w:t>In both cases, the current framework does not provide sufficient assurance that price improvement can be effectively observed, verified, and assessed by investors and supervisors. In this context, and as part of the MISP negotiations, there is a need to strengthen both transparency requirements and the supervisory framework to ensure that any claimed price improvement is visible, meaningful, and enforceable. In particular, the following measures should be considered:</w:t>
      </w:r>
    </w:p>
    <w:p w14:paraId="5785A74F" w14:textId="77777777" w:rsidR="0045611A" w:rsidRPr="00DC2367" w:rsidRDefault="0045611A" w:rsidP="0045611A">
      <w:r w:rsidRPr="00DC2367">
        <w:t>(1) Quote</w:t>
      </w:r>
      <w:r w:rsidRPr="00DC2367">
        <w:noBreakHyphen/>
        <w:t>update obligations should apply to all orders subject to SI quoting requirements, not only to retail orders, as currently envisaged under the proposed Article 15(2)(b). This would ensure that any price improvement is reflected in firm and public quotes prior to execution.</w:t>
      </w:r>
    </w:p>
    <w:p w14:paraId="3D705DB6" w14:textId="5618B8E3" w:rsidR="0045611A" w:rsidRPr="00DC2367" w:rsidRDefault="0045611A" w:rsidP="0045611A">
      <w:r w:rsidRPr="00DC2367">
        <w:t>(2) The practice of private quoting requires further examination. SI quotes are required to be public and firm below twice the standard market size (2xSMS)</w:t>
      </w:r>
      <w:r w:rsidR="005538CB" w:rsidRPr="005538CB">
        <w:rPr>
          <w:lang w:val="en-US"/>
        </w:rPr>
        <w:t xml:space="preserve">. </w:t>
      </w:r>
      <w:r w:rsidR="00D5042E">
        <w:rPr>
          <w:lang w:val="en-US"/>
        </w:rPr>
        <w:t>However,</w:t>
      </w:r>
      <w:r w:rsidRPr="00DC2367">
        <w:t xml:space="preserve"> under Article 15(2) </w:t>
      </w:r>
      <w:proofErr w:type="spellStart"/>
      <w:r w:rsidRPr="00DC2367">
        <w:t>MiFIR</w:t>
      </w:r>
      <w:proofErr w:type="spellEnd"/>
      <w:r w:rsidRPr="00DC2367">
        <w:t xml:space="preserve">, such quotes may be subject to price improvement in “justified cases”. This raises questions regarding how consistently the notion of “justified cases” is interpreted and applied, and, importantly, how this may affect the balance between public and private quoting, potentially undermining the (already </w:t>
      </w:r>
      <w:r w:rsidR="00BF7C86">
        <w:t>more limited</w:t>
      </w:r>
      <w:r w:rsidRPr="00DC2367">
        <w:t>) transparency requirements applicable to SIs quotes.</w:t>
      </w:r>
    </w:p>
    <w:p w14:paraId="1AC7EB0F" w14:textId="31A1E894" w:rsidR="0045611A" w:rsidRPr="00DC2367" w:rsidRDefault="0045611A" w:rsidP="0045611A">
      <w:pPr>
        <w:rPr>
          <w:bCs/>
        </w:rPr>
      </w:pPr>
      <w:r w:rsidRPr="0045611A">
        <w:rPr>
          <w:bCs/>
        </w:rPr>
        <w:lastRenderedPageBreak/>
        <w:t>(</w:t>
      </w:r>
      <w:r w:rsidRPr="00DC2367">
        <w:rPr>
          <w:bCs/>
        </w:rPr>
        <w:t>3) Price improvement should be clearly defined and meaningful, including through a minimum improvement threshold (e.g. at least one tick relative to the Primary Best Bid and Offer (PBBO)) to ensure that it justifies the bilateral nature of execution and effectively contributes to best execution outcomes</w:t>
      </w:r>
      <w:r w:rsidR="00B1078C">
        <w:rPr>
          <w:bCs/>
        </w:rPr>
        <w:t>, a</w:t>
      </w:r>
      <w:r w:rsidR="00CD5E31">
        <w:rPr>
          <w:bCs/>
        </w:rPr>
        <w:t xml:space="preserve">nd </w:t>
      </w:r>
      <w:r w:rsidR="00B726CE">
        <w:rPr>
          <w:bCs/>
        </w:rPr>
        <w:t xml:space="preserve">to </w:t>
      </w:r>
      <w:r w:rsidR="00CD5E31">
        <w:rPr>
          <w:bCs/>
        </w:rPr>
        <w:t>ensure a level playing field with trading venues</w:t>
      </w:r>
      <w:r w:rsidRPr="00DC2367">
        <w:rPr>
          <w:bCs/>
        </w:rPr>
        <w:t>.</w:t>
      </w:r>
    </w:p>
    <w:p w14:paraId="5DD35850" w14:textId="77777777" w:rsidR="0002253D" w:rsidRDefault="0045611A" w:rsidP="003A33E5">
      <w:pPr>
        <w:rPr>
          <w:bCs/>
        </w:rPr>
      </w:pPr>
      <w:r w:rsidRPr="00DC2367">
        <w:rPr>
          <w:bCs/>
        </w:rPr>
        <w:t>(4) Strengthen SI reporting discipline and post</w:t>
      </w:r>
      <w:r w:rsidRPr="00DC2367">
        <w:rPr>
          <w:bCs/>
        </w:rPr>
        <w:noBreakHyphen/>
        <w:t>trade data quality in conjunction with a reinforced supervisory framework. Reliable, granular post</w:t>
      </w:r>
      <w:r w:rsidRPr="00DC2367">
        <w:rPr>
          <w:bCs/>
        </w:rPr>
        <w:noBreakHyphen/>
        <w:t>trade data is a prerequisite for effective market monitoring and evidence-based supervision.</w:t>
      </w:r>
    </w:p>
    <w:p w14:paraId="4536D5CA" w14:textId="69412F08" w:rsidR="00DC2367" w:rsidRPr="00DC2367" w:rsidRDefault="0002253D" w:rsidP="003A33E5">
      <w:pPr>
        <w:rPr>
          <w:bCs/>
        </w:rPr>
      </w:pPr>
      <w:r>
        <w:rPr>
          <w:bCs/>
        </w:rPr>
        <w:t>(5) The above</w:t>
      </w:r>
      <w:r w:rsidR="0045611A" w:rsidRPr="00DC2367">
        <w:rPr>
          <w:bCs/>
        </w:rPr>
        <w:t>, in turn, requires stronger supervisory expectations and enforcement, including the provision of more standardised information to competent authorities on SI execution models and stricter compliance with reporting and flagging obligations, so that observed discrepancies can be credibly assessed and addressed</w:t>
      </w:r>
      <w:r w:rsidR="00DC2367" w:rsidRPr="00DC2367">
        <w:rPr>
          <w:bCs/>
        </w:rPr>
        <w:t>.</w:t>
      </w:r>
      <w:r>
        <w:rPr>
          <w:bCs/>
        </w:rPr>
        <w:t xml:space="preserve"> In our opinion, </w:t>
      </w:r>
      <w:r w:rsidR="006916E1">
        <w:rPr>
          <w:bCs/>
        </w:rPr>
        <w:t xml:space="preserve">also </w:t>
      </w:r>
      <w:r>
        <w:rPr>
          <w:bCs/>
        </w:rPr>
        <w:t xml:space="preserve">centralised supervision of SIs would contribute </w:t>
      </w:r>
      <w:r w:rsidR="006916E1">
        <w:rPr>
          <w:bCs/>
        </w:rPr>
        <w:t xml:space="preserve">not only to more consistent supervision and enforcement, but also to a better overall view of </w:t>
      </w:r>
      <w:r w:rsidR="003E50ED">
        <w:rPr>
          <w:bCs/>
        </w:rPr>
        <w:t xml:space="preserve">market developments, thereby also </w:t>
      </w:r>
      <w:r w:rsidR="007E1038">
        <w:rPr>
          <w:bCs/>
        </w:rPr>
        <w:t>placing one central supervisor in a better position when it comes to taking or proposing appropriate regulatory measures.</w:t>
      </w:r>
    </w:p>
    <w:permEnd w:id="1751220061"/>
    <w:p w14:paraId="4602E310" w14:textId="726FC71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7718E5C5" w14:textId="4F53C1C0" w:rsidR="0032038F" w:rsidRPr="0032038F" w:rsidRDefault="0032038F" w:rsidP="0032038F">
      <w:permStart w:id="999231783" w:edGrp="everyone"/>
      <w:r>
        <w:t>P</w:t>
      </w:r>
      <w:r w:rsidRPr="0032038F">
        <w:t>ersisting deficiencies in SI flagging and reporting are a concern, as they undermine the ability to accurately assess execution quality, price formation, and overall market dynamics. Reliable and granular data is essential for effective supervision, market monitoring, and evidence</w:t>
      </w:r>
      <w:r w:rsidRPr="0032038F">
        <w:noBreakHyphen/>
        <w:t>based policymaking. Ensuring adequate visibility in the bilateral space is therefore critical, both for regulators and for market participants seeking a comprehensive view of liquidity available in EU equity markets.</w:t>
      </w:r>
    </w:p>
    <w:p w14:paraId="064288F9" w14:textId="0E36F20B" w:rsidR="0032038F" w:rsidRPr="0032038F" w:rsidRDefault="0032038F" w:rsidP="0032038F">
      <w:r w:rsidRPr="0032038F">
        <w:t xml:space="preserve">In this </w:t>
      </w:r>
      <w:r w:rsidRPr="00D97F1D">
        <w:t xml:space="preserve">context, strengthening data quality, consistency, and the enforcement of reporting obligations for SIs should be a priority. </w:t>
      </w:r>
      <w:proofErr w:type="gramStart"/>
      <w:r w:rsidRPr="00D97F1D">
        <w:t>In spite of</w:t>
      </w:r>
      <w:proofErr w:type="gramEnd"/>
      <w:r w:rsidRPr="00D97F1D">
        <w:t xml:space="preserve"> the observed data quality issues, the SI flags used in the</w:t>
      </w:r>
      <w:r w:rsidRPr="0032038F">
        <w:t xml:space="preserve"> Call for Evidence (SIZE, ILQD, RPRI) have proven useful in assessing market dynamics. However, it should be noted that Commission Delegated Regulation (EU) 2025/1246 amending RTS 1 has removed these flags following ESMA’s recommendation in its final report on equity transparency.</w:t>
      </w:r>
      <w:r w:rsidR="00AA60A9">
        <w:t xml:space="preserve"> We are</w:t>
      </w:r>
      <w:r w:rsidRPr="0032038F">
        <w:t xml:space="preserve"> concern</w:t>
      </w:r>
      <w:r w:rsidR="00AA60A9">
        <w:t>ed</w:t>
      </w:r>
      <w:r w:rsidRPr="0032038F">
        <w:t xml:space="preserve"> about the removal of these flags in the absence of suitable alternative granular indicators. This raises questions as to how</w:t>
      </w:r>
      <w:r w:rsidR="00BA3BED">
        <w:t xml:space="preserve"> supervisors and</w:t>
      </w:r>
      <w:r w:rsidRPr="0032038F">
        <w:t xml:space="preserve"> ESMA will be able to monitor key aspects of SI activity from now on, including </w:t>
      </w:r>
      <w:r w:rsidRPr="0032038F">
        <w:lastRenderedPageBreak/>
        <w:t>trade size, execution in illiquid instruments, and the provision of price improvement. Ensuring sufficiently robust and accurate post</w:t>
      </w:r>
      <w:r w:rsidRPr="0032038F">
        <w:noBreakHyphen/>
        <w:t xml:space="preserve">trade transparency should therefore precede any simplification of the SI flagging framework. </w:t>
      </w:r>
    </w:p>
    <w:p w14:paraId="418D7F0A" w14:textId="77777777" w:rsidR="0032038F" w:rsidRPr="0032038F" w:rsidRDefault="0032038F" w:rsidP="0032038F">
      <w:r w:rsidRPr="0032038F">
        <w:t>Moreover, despite the RTS 1 review, it remains difficult to distinguish the extent to which SI volume is executed at midpoint, off</w:t>
      </w:r>
      <w:r w:rsidRPr="0032038F">
        <w:noBreakHyphen/>
        <w:t>tick or in a retail</w:t>
      </w:r>
      <w:r w:rsidRPr="0032038F">
        <w:noBreakHyphen/>
        <w:t>driven context. This lack of granularity limits the ability to take informed decisions on key market structure parameters, including dark caps, tick size regimes, and the calibration of SI rules.</w:t>
      </w:r>
    </w:p>
    <w:p w14:paraId="6C4F8084" w14:textId="77777777" w:rsidR="0032038F" w:rsidRPr="0032038F" w:rsidRDefault="0032038F" w:rsidP="0032038F">
      <w:r w:rsidRPr="0032038F">
        <w:t>In this context, the following flags are considered particularly important to capture SI activity:</w:t>
      </w:r>
    </w:p>
    <w:p w14:paraId="410238A5" w14:textId="77777777" w:rsidR="0032038F" w:rsidRPr="00FE4A3D" w:rsidRDefault="0032038F" w:rsidP="0032038F">
      <w:r w:rsidRPr="00FE4A3D">
        <w:t xml:space="preserve">(1) Retention (or replacement) of SIZE, ILQD and RPRI flags in RTS 22 and RTS 1: In the absence of suitable alternative indicators, these flags provided valuable information to both supervisors and market participants and should either be retained or replaced with equivalent, sufficiently granular measures. For example, the “SIZE” flag or an alternative “above or below SMS” flag, remains important to provide greater visibility on the distribution of trade sizes in SI activity, helping to assess whether SIs are aligned with their intended use case of facilitating larger transactions. </w:t>
      </w:r>
    </w:p>
    <w:p w14:paraId="0D43F2FA" w14:textId="77777777" w:rsidR="0032038F" w:rsidRPr="00FE4A3D" w:rsidRDefault="0032038F" w:rsidP="0032038F">
      <w:r w:rsidRPr="00FE4A3D">
        <w:rPr>
          <w:lang w:val="en-US"/>
        </w:rPr>
        <w:t xml:space="preserve">(2) Midpoint flag (MIDP) in RTS 22 and RTS 1: </w:t>
      </w:r>
      <w:proofErr w:type="gramStart"/>
      <w:r w:rsidRPr="00FE4A3D">
        <w:t>In light of</w:t>
      </w:r>
      <w:proofErr w:type="gramEnd"/>
      <w:r w:rsidRPr="00FE4A3D">
        <w:t xml:space="preserve"> the increased midpoint trading possibilities available to SIs following the Level 1 review, a MIDP flag would allow regulators to monitor developments in this area. This is particularly relevant given the need to ensure a level playing field with trading venues, as highlighted in Recital 13 of the </w:t>
      </w:r>
      <w:proofErr w:type="spellStart"/>
      <w:r w:rsidRPr="00FE4A3D">
        <w:t>MiFIR</w:t>
      </w:r>
      <w:proofErr w:type="spellEnd"/>
      <w:r w:rsidRPr="00FE4A3D">
        <w:t xml:space="preserve"> review.</w:t>
      </w:r>
    </w:p>
    <w:p w14:paraId="02CD1CEB" w14:textId="77777777" w:rsidR="0032038F" w:rsidRPr="0032038F" w:rsidRDefault="0032038F" w:rsidP="0032038F">
      <w:pPr>
        <w:rPr>
          <w:b/>
        </w:rPr>
      </w:pPr>
      <w:r w:rsidRPr="00FE4A3D">
        <w:rPr>
          <w:lang w:val="en-US"/>
        </w:rPr>
        <w:t xml:space="preserve">(3) SI-direction flag (BAGR/SAGR) in RTS 1: </w:t>
      </w:r>
      <w:r w:rsidRPr="00FE4A3D">
        <w:t xml:space="preserve">A flag indicating whether the SI is on the buy or sell </w:t>
      </w:r>
      <w:proofErr w:type="gramStart"/>
      <w:r w:rsidRPr="00FE4A3D">
        <w:t>side (‘</w:t>
      </w:r>
      <w:proofErr w:type="gramEnd"/>
      <w:r w:rsidRPr="00FE4A3D">
        <w:t>BAGR’ or ‘SAGR’, respectively), would</w:t>
      </w:r>
      <w:r w:rsidRPr="0032038F">
        <w:t xml:space="preserve"> allow market participants to conduct transaction cost analysis and</w:t>
      </w:r>
      <w:proofErr w:type="gramStart"/>
      <w:r w:rsidRPr="0032038F">
        <w:t>, in particular, toxicity</w:t>
      </w:r>
      <w:proofErr w:type="gramEnd"/>
      <w:r w:rsidRPr="0032038F">
        <w:t xml:space="preserve"> analysis. Even if published with a one-month delay, such information would still provide significant value to the industry.</w:t>
      </w:r>
    </w:p>
    <w:p w14:paraId="1B2B29FA" w14:textId="0B1C5BB3" w:rsidR="0032038F" w:rsidRPr="00FE4A3D" w:rsidRDefault="0032038F" w:rsidP="0032038F">
      <w:pPr>
        <w:rPr>
          <w:bCs/>
        </w:rPr>
      </w:pPr>
      <w:r w:rsidRPr="00FE4A3D">
        <w:rPr>
          <w:bCs/>
          <w:lang w:val="en-US"/>
        </w:rPr>
        <w:t xml:space="preserve">(4) Closing price flag (CLSE) in RTS 22 and RTS 1: </w:t>
      </w:r>
      <w:r w:rsidRPr="00FE4A3D">
        <w:rPr>
          <w:bCs/>
        </w:rPr>
        <w:t xml:space="preserve">This flag would </w:t>
      </w:r>
      <w:proofErr w:type="gramStart"/>
      <w:r w:rsidRPr="00FE4A3D">
        <w:rPr>
          <w:bCs/>
        </w:rPr>
        <w:t>allow to</w:t>
      </w:r>
      <w:proofErr w:type="gramEnd"/>
      <w:r w:rsidRPr="00FE4A3D">
        <w:rPr>
          <w:bCs/>
        </w:rPr>
        <w:t xml:space="preserve"> better map volumes executed at the closing price across execution venues, similarly to the UK present regime.</w:t>
      </w:r>
    </w:p>
    <w:p w14:paraId="61F61F67" w14:textId="3CFD9D25" w:rsidR="0032038F" w:rsidRPr="0032038F" w:rsidRDefault="0032038F" w:rsidP="0032038F">
      <w:r w:rsidRPr="0032038F">
        <w:t xml:space="preserve">Finally, </w:t>
      </w:r>
      <w:proofErr w:type="gramStart"/>
      <w:r w:rsidRPr="0032038F">
        <w:t>and also</w:t>
      </w:r>
      <w:proofErr w:type="gramEnd"/>
      <w:r w:rsidRPr="0032038F">
        <w:t xml:space="preserve"> linked to post-trade </w:t>
      </w:r>
      <w:r w:rsidRPr="0022654E">
        <w:t xml:space="preserve">transparency reporting, we consider </w:t>
      </w:r>
      <w:r w:rsidR="004F0267">
        <w:t xml:space="preserve">it </w:t>
      </w:r>
      <w:r w:rsidRPr="0022654E">
        <w:t xml:space="preserve">crucial that, </w:t>
      </w:r>
      <w:proofErr w:type="gramStart"/>
      <w:r w:rsidRPr="0022654E">
        <w:t>similar to</w:t>
      </w:r>
      <w:proofErr w:type="gramEnd"/>
      <w:r w:rsidRPr="0022654E">
        <w:t xml:space="preserve"> trading venues, SIs </w:t>
      </w:r>
      <w:r w:rsidR="0022654E" w:rsidRPr="0022654E">
        <w:t>should</w:t>
      </w:r>
      <w:r w:rsidRPr="0022654E">
        <w:t xml:space="preserve"> also</w:t>
      </w:r>
      <w:r w:rsidR="0022654E" w:rsidRPr="0022654E">
        <w:t xml:space="preserve"> be</w:t>
      </w:r>
      <w:r w:rsidRPr="0022654E">
        <w:t xml:space="preserve"> required to use a unique, venue-like identifier in all post-trade transparency reports, w</w:t>
      </w:r>
      <w:r w:rsidR="004F0267">
        <w:t>ith</w:t>
      </w:r>
      <w:r w:rsidRPr="0032038F">
        <w:t xml:space="preserve"> a Delegated Act specifying which identifier should be used (e.g., a dedicated MIC). Such an SI identifier in post-trade feeds could be deferred if needed, following a system </w:t>
      </w:r>
      <w:proofErr w:type="gramStart"/>
      <w:r w:rsidRPr="0032038F">
        <w:t>similar to</w:t>
      </w:r>
      <w:proofErr w:type="gramEnd"/>
      <w:r w:rsidRPr="0032038F">
        <w:t xml:space="preserve"> that in place for bonds (Article 11 </w:t>
      </w:r>
      <w:proofErr w:type="spellStart"/>
      <w:r w:rsidRPr="0032038F">
        <w:t>MiFIR</w:t>
      </w:r>
      <w:proofErr w:type="spellEnd"/>
      <w:r w:rsidRPr="0032038F">
        <w:t>), enriching the SI post-trade feeds to fill after a specific delay (e.g. one month) the field related to the SI identifier.</w:t>
      </w:r>
    </w:p>
    <w:p w14:paraId="2E0738C9" w14:textId="2AA01745" w:rsidR="00251567" w:rsidRDefault="0032038F" w:rsidP="003A33E5">
      <w:r w:rsidRPr="0032038F">
        <w:t xml:space="preserve">Venue-like SI identifiers (rather than generic labels such as “SINT” or “OTC”) would enhance market transparency by making SI activity visible to the market. This would also support better </w:t>
      </w:r>
      <w:r w:rsidRPr="0032038F">
        <w:lastRenderedPageBreak/>
        <w:t>analysis of fragmentation and execution quality and allow more targeted and proportionate policy responses</w:t>
      </w:r>
      <w:r w:rsidR="00251567">
        <w:t>.</w:t>
      </w:r>
    </w:p>
    <w:permEnd w:id="999231783"/>
    <w:p w14:paraId="658038BB" w14:textId="2135F510"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D3DED59" w14:textId="0B7DAC14" w:rsidR="00AB2EF4" w:rsidRDefault="00AB2EF4" w:rsidP="003A33E5">
      <w:permStart w:id="797907736" w:edGrp="everyone"/>
      <w:r>
        <w:t xml:space="preserve">Please see </w:t>
      </w:r>
      <w:r w:rsidR="009F5000" w:rsidRPr="009F5000">
        <w:t>Q20–23 and Q25. We believe the trends described therein warrant both continued scrutiny and regulatory action. In short, this would concern the continued increase in SI activity, often at the expense of continuous order books, reinforced by existing regulatory asymmetries and not sufficiently supported by reliable data or adequate scrutiny. If these deficiencies are not addressed, they may further exacerbate these concerning developments, with potential negative consequences for price formation, as well as the efficiency, transparency, and competitiveness of EU capital markets</w:t>
      </w:r>
      <w:r>
        <w:t>.</w:t>
      </w:r>
    </w:p>
    <w:permEnd w:id="797907736"/>
    <w:p w14:paraId="2EE0D27E" w14:textId="453A00CF"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E8776C6" w14:textId="148DBD91" w:rsidR="002E6188" w:rsidRPr="002E6188" w:rsidRDefault="005A230F" w:rsidP="002E6188">
      <w:permStart w:id="165951741" w:edGrp="everyone"/>
      <w:r>
        <w:t>We remain</w:t>
      </w:r>
      <w:r w:rsidR="002E6188" w:rsidRPr="002E6188">
        <w:t xml:space="preserve"> concerned about current trends in the EU equity market structure, which point to a gradual but persistent shift away from multilateral lit trading towards alternative execution mechanisms, including bilateral trading through </w:t>
      </w:r>
      <w:r>
        <w:t>SIs</w:t>
      </w:r>
      <w:r w:rsidR="002E6188" w:rsidRPr="002E6188">
        <w:t>. Without corrective action, existing regulatory asymmetries between SIs and trading venues risk further reinforcing these trends, with potential negative consequences for the efficiency, transparency, and competitiveness of EU capital markets.</w:t>
      </w:r>
    </w:p>
    <w:p w14:paraId="3DE4650B" w14:textId="77777777" w:rsidR="002E6188" w:rsidRPr="002E6188" w:rsidRDefault="002E6188" w:rsidP="002E6188">
      <w:r w:rsidRPr="002E6188">
        <w:t>While these concerns have been elaborated in previous questions, the key issues can be summarised as follows:</w:t>
      </w:r>
    </w:p>
    <w:p w14:paraId="7E052C09" w14:textId="77777777" w:rsidR="002E6188" w:rsidRPr="002E6188" w:rsidRDefault="002E6188" w:rsidP="002E6188">
      <w:r w:rsidRPr="002E6188">
        <w:rPr>
          <w:b/>
          <w:lang w:val="en-US"/>
        </w:rPr>
        <w:lastRenderedPageBreak/>
        <w:t>- Level</w:t>
      </w:r>
      <w:r w:rsidRPr="002E6188">
        <w:rPr>
          <w:b/>
          <w:lang w:val="en-US"/>
        </w:rPr>
        <w:noBreakHyphen/>
        <w:t>playing</w:t>
      </w:r>
      <w:r w:rsidRPr="002E6188">
        <w:rPr>
          <w:b/>
          <w:lang w:val="en-US"/>
        </w:rPr>
        <w:noBreakHyphen/>
        <w:t>field distortions:</w:t>
      </w:r>
      <w:r w:rsidRPr="002E6188">
        <w:rPr>
          <w:lang w:val="en-US"/>
        </w:rPr>
        <w:t xml:space="preserve"> </w:t>
      </w:r>
      <w:r w:rsidRPr="002E6188">
        <w:t xml:space="preserve">regulatory asymmetries, particularly in relation to pre- and post-trade transparency and supervision, may steer order flow away from trading venues </w:t>
      </w:r>
      <w:proofErr w:type="gramStart"/>
      <w:r w:rsidRPr="002E6188">
        <w:t>on the basis of</w:t>
      </w:r>
      <w:proofErr w:type="gramEnd"/>
      <w:r w:rsidRPr="002E6188">
        <w:t xml:space="preserve"> regulatory design rather than execution quality.</w:t>
      </w:r>
    </w:p>
    <w:p w14:paraId="27775BB1" w14:textId="77777777" w:rsidR="002E6188" w:rsidRPr="002E6188" w:rsidRDefault="002E6188" w:rsidP="002E6188">
      <w:r w:rsidRPr="002E6188">
        <w:t xml:space="preserve">- </w:t>
      </w:r>
      <w:r w:rsidRPr="002E6188">
        <w:rPr>
          <w:b/>
          <w:lang w:val="en-US"/>
        </w:rPr>
        <w:t xml:space="preserve">Market integrity and price formation: </w:t>
      </w:r>
      <w:r w:rsidRPr="002E6188">
        <w:t>the continued migration of small, price</w:t>
      </w:r>
      <w:r w:rsidRPr="002E6188">
        <w:noBreakHyphen/>
        <w:t>informative order flow from multilateral lit venues to bilateral execution risks weakening visible liquidity and the robustness of reference prices relied upon by the wider market ecosystem.</w:t>
      </w:r>
    </w:p>
    <w:p w14:paraId="29056A0C" w14:textId="77777777" w:rsidR="002E6188" w:rsidRPr="002E6188" w:rsidRDefault="002E6188" w:rsidP="002E6188">
      <w:r w:rsidRPr="002E6188">
        <w:rPr>
          <w:b/>
        </w:rPr>
        <w:t xml:space="preserve">- </w:t>
      </w:r>
      <w:r w:rsidRPr="002E6188">
        <w:rPr>
          <w:b/>
          <w:lang w:val="en-US"/>
        </w:rPr>
        <w:t xml:space="preserve">Investor protection: </w:t>
      </w:r>
      <w:r w:rsidRPr="002E6188">
        <w:t>retail investors generally benefit from transparent, open, and non</w:t>
      </w:r>
      <w:r w:rsidRPr="002E6188">
        <w:noBreakHyphen/>
        <w:t>discretionary multilateral execution. Increasing levels of retail</w:t>
      </w:r>
      <w:r w:rsidRPr="002E6188">
        <w:noBreakHyphen/>
        <w:t>like internalisation within SIs are difficult to reconcile with demonstrable price improvement and may raise conflicts</w:t>
      </w:r>
      <w:r w:rsidRPr="002E6188">
        <w:noBreakHyphen/>
        <w:t>of</w:t>
      </w:r>
      <w:r w:rsidRPr="002E6188">
        <w:noBreakHyphen/>
        <w:t>interest concerns.</w:t>
      </w:r>
    </w:p>
    <w:p w14:paraId="4FC2128B" w14:textId="4D46FA59" w:rsidR="002E6188" w:rsidRPr="002E6188" w:rsidRDefault="002E6188" w:rsidP="002E6188">
      <w:r w:rsidRPr="002E6188">
        <w:rPr>
          <w:b/>
          <w:lang w:val="en-US"/>
        </w:rPr>
        <w:t xml:space="preserve">- Transparency and data quality gaps: </w:t>
      </w:r>
      <w:r w:rsidRPr="002E6188">
        <w:t>ESMA has recognised that SI data quality is weaker than on</w:t>
      </w:r>
      <w:r w:rsidRPr="002E6188">
        <w:noBreakHyphen/>
        <w:t xml:space="preserve">venue data and that SI flagging requires improvement. </w:t>
      </w:r>
      <w:r w:rsidR="00F76F33">
        <w:t>This</w:t>
      </w:r>
      <w:r w:rsidRPr="002E6188">
        <w:t xml:space="preserve"> is a significant obstacle to effective supervision and evidence</w:t>
      </w:r>
      <w:r w:rsidRPr="002E6188">
        <w:noBreakHyphen/>
        <w:t>based policymaking.</w:t>
      </w:r>
    </w:p>
    <w:p w14:paraId="634E4393" w14:textId="77777777" w:rsidR="002E6188" w:rsidRPr="002E6188" w:rsidRDefault="002E6188" w:rsidP="002E6188">
      <w:r w:rsidRPr="002E6188">
        <w:rPr>
          <w:lang w:val="en-US"/>
        </w:rPr>
        <w:t xml:space="preserve">- </w:t>
      </w:r>
      <w:r w:rsidRPr="002E6188">
        <w:rPr>
          <w:b/>
          <w:lang w:val="en-US"/>
        </w:rPr>
        <w:t>Unverifiable claims of price improvement:</w:t>
      </w:r>
      <w:r w:rsidRPr="002E6188">
        <w:rPr>
          <w:lang w:val="en-US"/>
        </w:rPr>
        <w:t xml:space="preserve"> </w:t>
      </w:r>
      <w:r w:rsidRPr="002E6188">
        <w:t>the discrepancy between industry claims and the negligible use of the RPRI flag undermines confidence in execution outcomes. This suggests that price improvement may either not be delivered meaningfully, not be properly reported, or both.</w:t>
      </w:r>
    </w:p>
    <w:p w14:paraId="4C833984" w14:textId="77777777" w:rsidR="002E6188" w:rsidRPr="002E6188" w:rsidRDefault="002E6188" w:rsidP="002E6188">
      <w:r w:rsidRPr="002E6188">
        <w:rPr>
          <w:lang w:val="en-US"/>
        </w:rPr>
        <w:t xml:space="preserve">- </w:t>
      </w:r>
      <w:r w:rsidRPr="002E6188">
        <w:rPr>
          <w:b/>
          <w:lang w:val="en-US"/>
        </w:rPr>
        <w:t>Implications on primary markets:</w:t>
      </w:r>
      <w:r w:rsidRPr="002E6188">
        <w:rPr>
          <w:lang w:val="en-US"/>
        </w:rPr>
        <w:t xml:space="preserve"> </w:t>
      </w:r>
      <w:r w:rsidRPr="002E6188">
        <w:t>The implications of these dynamics extend beyond secondary market trading. The quality of price formation is intrinsically linked to the attractiveness of EU capital markets for listings and capital raising. Fragmentation of liquidity and reduced transparency can negatively affect valuations, increase the cost of capital, and weaken the attractiveness of EU markets for issuers.</w:t>
      </w:r>
    </w:p>
    <w:p w14:paraId="614251FF" w14:textId="77777777" w:rsidR="002E6188" w:rsidRPr="002E6188" w:rsidRDefault="002E6188" w:rsidP="002E6188">
      <w:pPr>
        <w:rPr>
          <w:b/>
          <w:u w:val="single"/>
          <w:lang w:val="en-US"/>
        </w:rPr>
      </w:pPr>
      <w:r w:rsidRPr="002E6188">
        <w:rPr>
          <w:b/>
          <w:u w:val="single"/>
          <w:lang w:val="en-US"/>
        </w:rPr>
        <w:t xml:space="preserve">Targeted regulatory interventions </w:t>
      </w:r>
    </w:p>
    <w:p w14:paraId="485083B2" w14:textId="77777777" w:rsidR="002E6188" w:rsidRPr="002E6188" w:rsidRDefault="002E6188" w:rsidP="002E6188">
      <w:r w:rsidRPr="002E6188">
        <w:t>The above trends call for targeted and proportionate regulatory action. While some measures have been referenced in previous responses, the following elements are particularly relevant:</w:t>
      </w:r>
    </w:p>
    <w:p w14:paraId="53D91842" w14:textId="77777777" w:rsidR="002E6188" w:rsidRPr="002E6188" w:rsidRDefault="002E6188" w:rsidP="002E6188">
      <w:pPr>
        <w:rPr>
          <w:lang w:val="en-US"/>
        </w:rPr>
      </w:pPr>
      <w:r w:rsidRPr="002E6188">
        <w:rPr>
          <w:b/>
          <w:lang w:val="en-US"/>
        </w:rPr>
        <w:t>1. Introduce SI-level identifiability in post-trade transparency (venue-like identifier / dedicated MIC)</w:t>
      </w:r>
    </w:p>
    <w:p w14:paraId="4A847896" w14:textId="163FF402" w:rsidR="002E6188" w:rsidRPr="002E6188" w:rsidRDefault="002E6188" w:rsidP="002E6188">
      <w:r w:rsidRPr="002E6188">
        <w:t>This would address a key transparency gap by allowing supervisors and market participants to distinguish activity across individual SIs, rather than relying on generic labels such as “SINT” or “OTC.” Greater granularity is essential to assess fragmentation and monitor execution quality, as well as to understand how much volume individual SIs internalise and how this activity interacts with lit markets and retail execution, including for transaction cost analysis.</w:t>
      </w:r>
      <w:r w:rsidRPr="002E6188">
        <w:rPr>
          <w:lang w:val="en-US"/>
        </w:rPr>
        <w:t xml:space="preserve"> A </w:t>
      </w:r>
      <w:proofErr w:type="spellStart"/>
      <w:r w:rsidRPr="002E6188">
        <w:rPr>
          <w:lang w:val="en-US"/>
        </w:rPr>
        <w:t>harmonised</w:t>
      </w:r>
      <w:proofErr w:type="spellEnd"/>
      <w:r w:rsidRPr="002E6188">
        <w:rPr>
          <w:lang w:val="en-US"/>
        </w:rPr>
        <w:t xml:space="preserve"> deferral approach (e.g. one month) could also be introduced where appropriate.</w:t>
      </w:r>
    </w:p>
    <w:p w14:paraId="5712FFD0" w14:textId="77777777" w:rsidR="002E6188" w:rsidRPr="002E6188" w:rsidRDefault="002E6188" w:rsidP="002E6188">
      <w:pPr>
        <w:rPr>
          <w:b/>
          <w:lang w:val="en-US"/>
        </w:rPr>
      </w:pPr>
      <w:r w:rsidRPr="002E6188">
        <w:rPr>
          <w:b/>
          <w:lang w:val="en-US"/>
        </w:rPr>
        <w:lastRenderedPageBreak/>
        <w:t xml:space="preserve">2. Strengthen SI flagging and reporting quality (and enforcement), including SI-specific flags </w:t>
      </w:r>
    </w:p>
    <w:p w14:paraId="0EECA8EE" w14:textId="572272F3" w:rsidR="002E6188" w:rsidRPr="002E6188" w:rsidRDefault="002E6188" w:rsidP="002E6188">
      <w:r w:rsidRPr="002E6188">
        <w:t>Improving the consistency, completeness, and correct use of flags (e.g. midpoint, price improvement, below/above SMS, SI direction) is critical to ensure that post</w:t>
      </w:r>
      <w:r w:rsidRPr="002E6188">
        <w:noBreakHyphen/>
        <w:t>trade data accurately reflects execution outcomes. Enhanced reporting discipline should be combined with stronger supervisory oversight and enforcement to ensure compliance and support effective, evidence</w:t>
      </w:r>
      <w:r w:rsidRPr="002E6188">
        <w:noBreakHyphen/>
        <w:t>based policymaking.</w:t>
      </w:r>
    </w:p>
    <w:p w14:paraId="28196830" w14:textId="77777777" w:rsidR="002E6188" w:rsidRPr="002E6188" w:rsidRDefault="002E6188" w:rsidP="002E6188">
      <w:pPr>
        <w:rPr>
          <w:lang w:val="en-US"/>
        </w:rPr>
      </w:pPr>
      <w:r w:rsidRPr="002E6188">
        <w:rPr>
          <w:b/>
          <w:lang w:val="en-US"/>
        </w:rPr>
        <w:t xml:space="preserve">3. </w:t>
      </w:r>
      <w:r w:rsidRPr="002E6188">
        <w:rPr>
          <w:b/>
        </w:rPr>
        <w:t>Reinforce the authorisation and supervision of SIs</w:t>
      </w:r>
      <w:r w:rsidRPr="002E6188">
        <w:t xml:space="preserve"> </w:t>
      </w:r>
    </w:p>
    <w:p w14:paraId="71BEB5FA" w14:textId="3D24C8EF" w:rsidR="002E6188" w:rsidRPr="002E6188" w:rsidRDefault="002E6188" w:rsidP="002E6188">
      <w:r w:rsidRPr="002E6188">
        <w:t>As SI activity has become more systemic and, in some cases, functionally closer in nature to venue</w:t>
      </w:r>
      <w:r w:rsidRPr="002E6188">
        <w:noBreakHyphen/>
        <w:t>like execution, supervisory frameworks should evolve accordingly. Requiring SIs to publish rulebooks and provide authorities with detailed information on their execution models, compliance with best execution, and interactions with other market participants would strengthen supervisory convergence, reduce the risk of regulatory arbitrage, and help ensure that SI activity remains consistent with its intended bilateral nature.</w:t>
      </w:r>
      <w:r w:rsidR="0076041B">
        <w:t xml:space="preserve"> We also believe central supervision of SIs </w:t>
      </w:r>
      <w:r w:rsidR="00B032A5">
        <w:t>should be part of the reinforcement.</w:t>
      </w:r>
    </w:p>
    <w:p w14:paraId="3C582F08" w14:textId="77777777" w:rsidR="002E6188" w:rsidRPr="002E6188" w:rsidRDefault="002E6188" w:rsidP="002E6188">
      <w:pPr>
        <w:rPr>
          <w:b/>
          <w:lang w:val="en-US"/>
        </w:rPr>
      </w:pPr>
      <w:r w:rsidRPr="002E6188">
        <w:t xml:space="preserve">4. </w:t>
      </w:r>
      <w:r w:rsidRPr="002E6188">
        <w:rPr>
          <w:b/>
          <w:lang w:val="en-US"/>
        </w:rPr>
        <w:t>Expand the SIs’ quoting scope</w:t>
      </w:r>
    </w:p>
    <w:p w14:paraId="1E111F73" w14:textId="3A3CF227" w:rsidR="002E6188" w:rsidRPr="002E6188" w:rsidRDefault="002E6188" w:rsidP="002E6188">
      <w:pPr>
        <w:rPr>
          <w:lang w:val="en-US"/>
        </w:rPr>
      </w:pPr>
      <w:r w:rsidRPr="002E6188">
        <w:t xml:space="preserve">Enhancing quoting requirements—either through an expanded liquid market definition [at least 70% of shares admitted to trading in the EU] or by extending transparency obligations to all instruments regardless of the liquidity— would improve visibility of available liquidity in the bilateral space and support a more consistent transparency framework. This would contribute to better price discovery and help rebalance the current asymmetry with trading venues. Current liquidity thresholds appear too low, with only a small proportion of shares classified as liquid under the existing framework (e.g. 8.2% for 2023 </w:t>
      </w:r>
      <w:r w:rsidRPr="002E6188">
        <w:rPr>
          <w:lang w:val="en-US"/>
        </w:rPr>
        <w:t>based on ESMA’s Table 17 in its third consultation package on MIFIR). In addition, the practice of private quotes should also be investigated</w:t>
      </w:r>
      <w:r w:rsidR="006870F3">
        <w:rPr>
          <w:lang w:val="en-US"/>
        </w:rPr>
        <w:t>.</w:t>
      </w:r>
    </w:p>
    <w:p w14:paraId="11F03494" w14:textId="77777777" w:rsidR="002E6188" w:rsidRPr="002E6188" w:rsidRDefault="002E6188" w:rsidP="002E6188">
      <w:pPr>
        <w:rPr>
          <w:b/>
          <w:lang w:val="en-US"/>
        </w:rPr>
      </w:pPr>
      <w:r w:rsidRPr="002E6188">
        <w:rPr>
          <w:b/>
        </w:rPr>
        <w:t>5. Strengthen SIs quote-update obligations for price improvement</w:t>
      </w:r>
    </w:p>
    <w:p w14:paraId="471DD547" w14:textId="7F85F15E" w:rsidR="002E6188" w:rsidRPr="002E6188" w:rsidRDefault="002E6188" w:rsidP="002E6188">
      <w:r w:rsidRPr="002E6188">
        <w:t>Given the limited observable evidence of price improvement, it is important to ensure that any such improvement is both genuine and visible. This requires applying quote</w:t>
      </w:r>
      <w:r w:rsidRPr="002E6188">
        <w:noBreakHyphen/>
        <w:t>update obligations to all relevant orders and defining a minimum level of price improvement (e.g. at least one tick versus PBBO). This would enhance transparency, ensure that price improvement is meaningful and contributes to execution quality, and allow for broader interaction with SI quotes.</w:t>
      </w:r>
    </w:p>
    <w:p w14:paraId="5E8BD185" w14:textId="77777777" w:rsidR="002E6188" w:rsidRPr="002E6188" w:rsidRDefault="002E6188" w:rsidP="002E6188">
      <w:pPr>
        <w:rPr>
          <w:lang w:val="en-US"/>
        </w:rPr>
      </w:pPr>
      <w:r w:rsidRPr="002E6188">
        <w:t xml:space="preserve">6. </w:t>
      </w:r>
      <w:r w:rsidRPr="002E6188">
        <w:rPr>
          <w:b/>
          <w:lang w:val="en-US"/>
        </w:rPr>
        <w:t>Enhance market integrity through multilateral execution for below-SMS orders or a broader volume cap coverage</w:t>
      </w:r>
    </w:p>
    <w:p w14:paraId="34F1B528" w14:textId="6FE075A3" w:rsidR="002E6188" w:rsidRPr="002E6188" w:rsidRDefault="002E6188" w:rsidP="002E6188">
      <w:r w:rsidRPr="002E6188">
        <w:lastRenderedPageBreak/>
        <w:t>Given the significant share of small and retail</w:t>
      </w:r>
      <w:r w:rsidRPr="002E6188">
        <w:noBreakHyphen/>
        <w:t>like trades executed in SI environments, there is a strong case to ensure that the most price</w:t>
      </w:r>
      <w:r w:rsidRPr="002E6188">
        <w:noBreakHyphen/>
        <w:t>informative order flow is executed on transparent multilateral venues. Encouraging the execution of below</w:t>
      </w:r>
      <w:r w:rsidRPr="002E6188">
        <w:noBreakHyphen/>
        <w:t>SMS trades on RMs or MTFs would strengthen price formation, improve investor protection, and reinforce overall market integrity. As an alternative, expanding the scope of the volume</w:t>
      </w:r>
      <w:r w:rsidRPr="002E6188">
        <w:noBreakHyphen/>
        <w:t>cap framework could help limit excessive migration of such flow into non</w:t>
      </w:r>
      <w:r w:rsidRPr="002E6188">
        <w:noBreakHyphen/>
        <w:t>transparent channels.</w:t>
      </w:r>
    </w:p>
    <w:p w14:paraId="37BF9134" w14:textId="77777777" w:rsidR="002E6188" w:rsidRPr="002E6188" w:rsidRDefault="002E6188" w:rsidP="002E6188">
      <w:pPr>
        <w:rPr>
          <w:b/>
        </w:rPr>
      </w:pPr>
      <w:r w:rsidRPr="002E6188">
        <w:rPr>
          <w:b/>
        </w:rPr>
        <w:t xml:space="preserve">7. Improving the evidence base through data coverage of UK activity in EEA shares </w:t>
      </w:r>
      <w:r w:rsidRPr="002E6188">
        <w:rPr>
          <w:b/>
          <w:lang w:val="en-US"/>
        </w:rPr>
        <w:t xml:space="preserve">through a data sharing agreement between ESMA and the UK FCA </w:t>
      </w:r>
    </w:p>
    <w:p w14:paraId="13E26847" w14:textId="77777777" w:rsidR="007151AB" w:rsidRDefault="002E6188" w:rsidP="003A33E5">
      <w:r w:rsidRPr="002E6188">
        <w:t>A comprehensive assessment of EU equity market structure requires full visibility of economically relevant activity, including trading in EEA shares taking place in third</w:t>
      </w:r>
      <w:r w:rsidRPr="002E6188">
        <w:noBreakHyphen/>
        <w:t>country venues such as the UK. Enhanced data</w:t>
      </w:r>
      <w:r w:rsidRPr="002E6188">
        <w:noBreakHyphen/>
        <w:t>sharing arrangements between ESMA and the UK FCA would help close existing data gaps, improve the robustness of market analysis, and support more informed regulatory decisions.</w:t>
      </w:r>
    </w:p>
    <w:permEnd w:id="165951741"/>
    <w:p w14:paraId="086EC041" w14:textId="75C14E36"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lastRenderedPageBreak/>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60D07365" w14:textId="358FC761" w:rsidR="003652C3" w:rsidRPr="00D5042E" w:rsidRDefault="00B33C33" w:rsidP="00903B64">
      <w:pPr>
        <w:rPr>
          <w:rFonts w:cstheme="minorHAnsi"/>
          <w:lang w:val="en-US"/>
        </w:rPr>
      </w:pPr>
      <w:permStart w:id="1195064322" w:edGrp="everyone"/>
      <w:r w:rsidRPr="00D5042E">
        <w:rPr>
          <w:rFonts w:cstheme="minorHAnsi"/>
          <w:lang w:val="en-US"/>
        </w:rPr>
        <w:t xml:space="preserve">In principle we believe member preferencing has advantages both for end investors and for the overall market, which </w:t>
      </w:r>
      <w:proofErr w:type="gramStart"/>
      <w:r w:rsidRPr="00D5042E">
        <w:rPr>
          <w:rFonts w:cstheme="minorHAnsi"/>
          <w:lang w:val="en-US"/>
        </w:rPr>
        <w:t>need</w:t>
      </w:r>
      <w:proofErr w:type="gramEnd"/>
      <w:r w:rsidRPr="00D5042E">
        <w:rPr>
          <w:rFonts w:cstheme="minorHAnsi"/>
          <w:lang w:val="en-US"/>
        </w:rPr>
        <w:t xml:space="preserve"> to be recognized.</w:t>
      </w:r>
      <w:r w:rsidR="00B24B14" w:rsidRPr="00D5042E">
        <w:rPr>
          <w:rFonts w:cstheme="minorHAnsi"/>
          <w:lang w:val="en-US"/>
        </w:rPr>
        <w:t xml:space="preserve"> </w:t>
      </w:r>
      <w:r w:rsidR="00CF27CC" w:rsidRPr="00D5042E">
        <w:rPr>
          <w:rFonts w:cstheme="minorHAnsi"/>
          <w:lang w:val="en-US"/>
        </w:rPr>
        <w:t>I</w:t>
      </w:r>
      <w:r w:rsidR="00B24B14" w:rsidRPr="00D5042E">
        <w:rPr>
          <w:rFonts w:cstheme="minorHAnsi"/>
          <w:lang w:val="en-US"/>
        </w:rPr>
        <w:t>t s</w:t>
      </w:r>
      <w:r w:rsidR="003652C3" w:rsidRPr="00D5042E">
        <w:rPr>
          <w:rFonts w:cstheme="minorHAnsi"/>
          <w:lang w:val="en-US"/>
        </w:rPr>
        <w:t>trengthens displayed liquidity</w:t>
      </w:r>
      <w:r w:rsidR="00B24B14" w:rsidRPr="00D5042E">
        <w:rPr>
          <w:rFonts w:cstheme="minorHAnsi"/>
          <w:lang w:val="en-US"/>
        </w:rPr>
        <w:t>, i</w:t>
      </w:r>
      <w:r w:rsidR="003652C3" w:rsidRPr="00D5042E">
        <w:rPr>
          <w:rFonts w:cstheme="minorHAnsi"/>
          <w:lang w:val="en-US"/>
        </w:rPr>
        <w:t>mproves execution quality for natural flow</w:t>
      </w:r>
      <w:r w:rsidR="00B24B14" w:rsidRPr="00D5042E">
        <w:rPr>
          <w:rFonts w:cstheme="minorHAnsi"/>
          <w:lang w:val="en-US"/>
        </w:rPr>
        <w:t>, r</w:t>
      </w:r>
      <w:r w:rsidR="003652C3" w:rsidRPr="00D5042E">
        <w:rPr>
          <w:rFonts w:cstheme="minorHAnsi"/>
          <w:lang w:val="en-US"/>
        </w:rPr>
        <w:t>educes adverse selection without harming price fairness</w:t>
      </w:r>
      <w:r w:rsidR="00B24B14">
        <w:rPr>
          <w:lang w:val="en-US"/>
        </w:rPr>
        <w:t xml:space="preserve">, </w:t>
      </w:r>
      <w:r w:rsidR="00B24B14" w:rsidRPr="00D5042E">
        <w:rPr>
          <w:rFonts w:cstheme="minorHAnsi"/>
          <w:lang w:val="en-US"/>
        </w:rPr>
        <w:lastRenderedPageBreak/>
        <w:t>a</w:t>
      </w:r>
      <w:r w:rsidR="003652C3" w:rsidRPr="00D5042E">
        <w:rPr>
          <w:rFonts w:cstheme="minorHAnsi"/>
          <w:lang w:val="en-US"/>
        </w:rPr>
        <w:t>ligns broker and investor incentives</w:t>
      </w:r>
      <w:r w:rsidR="00B24B14" w:rsidRPr="00D5042E">
        <w:rPr>
          <w:rFonts w:cstheme="minorHAnsi"/>
          <w:lang w:val="en-US"/>
        </w:rPr>
        <w:t>, and k</w:t>
      </w:r>
      <w:r w:rsidR="003652C3" w:rsidRPr="00D5042E">
        <w:rPr>
          <w:rFonts w:cstheme="minorHAnsi"/>
          <w:lang w:val="en-US"/>
        </w:rPr>
        <w:t>eeps liquidity on-exchange instead of leaking into dark or off-book venues</w:t>
      </w:r>
      <w:r w:rsidR="00B24B14" w:rsidRPr="00D5042E">
        <w:rPr>
          <w:rFonts w:cstheme="minorHAnsi"/>
          <w:lang w:val="en-US"/>
        </w:rPr>
        <w:t>.</w:t>
      </w:r>
    </w:p>
    <w:p w14:paraId="53F40A48" w14:textId="50FD0226" w:rsidR="00507A98" w:rsidRPr="00D5042E" w:rsidRDefault="00507A98" w:rsidP="00507A98">
      <w:pPr>
        <w:rPr>
          <w:rFonts w:cstheme="minorHAnsi"/>
          <w:lang w:val="en-US"/>
        </w:rPr>
      </w:pPr>
      <w:r w:rsidRPr="00D5042E">
        <w:rPr>
          <w:rFonts w:cstheme="minorHAnsi"/>
          <w:lang w:val="en-US"/>
        </w:rPr>
        <w:t xml:space="preserve">Nasdaq offers a preferencing model where at a given price level, an incoming order from a member can </w:t>
      </w:r>
      <w:proofErr w:type="gramStart"/>
      <w:r w:rsidRPr="00D5042E">
        <w:rPr>
          <w:rFonts w:cstheme="minorHAnsi"/>
          <w:lang w:val="en-US"/>
        </w:rPr>
        <w:t>execute</w:t>
      </w:r>
      <w:proofErr w:type="gramEnd"/>
      <w:r w:rsidRPr="00D5042E">
        <w:rPr>
          <w:rFonts w:cstheme="minorHAnsi"/>
          <w:lang w:val="en-US"/>
        </w:rPr>
        <w:t>:</w:t>
      </w:r>
    </w:p>
    <w:p w14:paraId="543B586D" w14:textId="77777777" w:rsidR="00507A98" w:rsidRPr="00D5042E" w:rsidRDefault="00507A98" w:rsidP="00507A98">
      <w:pPr>
        <w:numPr>
          <w:ilvl w:val="0"/>
          <w:numId w:val="18"/>
        </w:numPr>
        <w:rPr>
          <w:rFonts w:cstheme="minorHAnsi"/>
          <w:lang w:val="en-US"/>
        </w:rPr>
      </w:pPr>
      <w:r w:rsidRPr="00D5042E">
        <w:rPr>
          <w:rFonts w:cstheme="minorHAnsi"/>
          <w:lang w:val="en-US"/>
        </w:rPr>
        <w:t>First against that same member’s resting orders</w:t>
      </w:r>
    </w:p>
    <w:p w14:paraId="03BC3980" w14:textId="77777777" w:rsidR="00507A98" w:rsidRPr="00D5042E" w:rsidRDefault="00507A98" w:rsidP="00507A98">
      <w:pPr>
        <w:numPr>
          <w:ilvl w:val="0"/>
          <w:numId w:val="18"/>
        </w:numPr>
        <w:rPr>
          <w:rFonts w:cstheme="minorHAnsi"/>
          <w:lang w:val="en-US"/>
        </w:rPr>
      </w:pPr>
      <w:r w:rsidRPr="00D5042E">
        <w:rPr>
          <w:rFonts w:cstheme="minorHAnsi"/>
          <w:lang w:val="en-US"/>
        </w:rPr>
        <w:t xml:space="preserve">Then against other </w:t>
      </w:r>
      <w:proofErr w:type="gramStart"/>
      <w:r w:rsidRPr="00D5042E">
        <w:rPr>
          <w:rFonts w:cstheme="minorHAnsi"/>
          <w:lang w:val="en-US"/>
        </w:rPr>
        <w:t>members’</w:t>
      </w:r>
      <w:proofErr w:type="gramEnd"/>
      <w:r w:rsidRPr="00D5042E">
        <w:rPr>
          <w:rFonts w:cstheme="minorHAnsi"/>
          <w:lang w:val="en-US"/>
        </w:rPr>
        <w:t xml:space="preserve"> </w:t>
      </w:r>
      <w:r w:rsidRPr="00D5042E">
        <w:rPr>
          <w:rFonts w:cstheme="minorHAnsi"/>
          <w:i/>
          <w:iCs/>
          <w:lang w:val="en-US"/>
        </w:rPr>
        <w:t>displayed</w:t>
      </w:r>
      <w:r w:rsidRPr="00D5042E">
        <w:rPr>
          <w:rFonts w:cstheme="minorHAnsi"/>
          <w:lang w:val="en-US"/>
        </w:rPr>
        <w:t xml:space="preserve"> liquidity</w:t>
      </w:r>
    </w:p>
    <w:p w14:paraId="66F68631" w14:textId="77777777" w:rsidR="00507A98" w:rsidRPr="00D5042E" w:rsidRDefault="00507A98" w:rsidP="00507A98">
      <w:pPr>
        <w:numPr>
          <w:ilvl w:val="0"/>
          <w:numId w:val="18"/>
        </w:numPr>
        <w:rPr>
          <w:rFonts w:cstheme="minorHAnsi"/>
          <w:szCs w:val="22"/>
          <w:lang w:val="sv-SE"/>
        </w:rPr>
      </w:pPr>
      <w:proofErr w:type="spellStart"/>
      <w:r w:rsidRPr="00D5042E">
        <w:rPr>
          <w:rFonts w:cstheme="minorHAnsi"/>
          <w:szCs w:val="22"/>
          <w:lang w:val="sv-SE"/>
        </w:rPr>
        <w:t>Then</w:t>
      </w:r>
      <w:proofErr w:type="spellEnd"/>
      <w:r w:rsidRPr="00D5042E">
        <w:rPr>
          <w:rFonts w:cstheme="minorHAnsi"/>
          <w:szCs w:val="22"/>
          <w:lang w:val="sv-SE"/>
        </w:rPr>
        <w:t xml:space="preserve"> by </w:t>
      </w:r>
      <w:proofErr w:type="spellStart"/>
      <w:r w:rsidRPr="00D5042E">
        <w:rPr>
          <w:rFonts w:cstheme="minorHAnsi"/>
          <w:szCs w:val="22"/>
          <w:lang w:val="sv-SE"/>
        </w:rPr>
        <w:t>time</w:t>
      </w:r>
      <w:proofErr w:type="spellEnd"/>
      <w:r w:rsidRPr="00D5042E">
        <w:rPr>
          <w:rFonts w:cstheme="minorHAnsi"/>
          <w:szCs w:val="22"/>
          <w:lang w:val="sv-SE"/>
        </w:rPr>
        <w:t xml:space="preserve"> </w:t>
      </w:r>
      <w:proofErr w:type="spellStart"/>
      <w:r w:rsidRPr="00D5042E">
        <w:rPr>
          <w:rFonts w:cstheme="minorHAnsi"/>
          <w:szCs w:val="22"/>
          <w:lang w:val="sv-SE"/>
        </w:rPr>
        <w:t>priority</w:t>
      </w:r>
      <w:proofErr w:type="spellEnd"/>
    </w:p>
    <w:p w14:paraId="3FC864A8" w14:textId="2AED871E" w:rsidR="005C7C70" w:rsidRPr="004162F3" w:rsidRDefault="0082169B" w:rsidP="004162F3">
      <w:pPr>
        <w:rPr>
          <w:lang w:val="en-US"/>
        </w:rPr>
      </w:pPr>
      <w:r w:rsidRPr="00D5042E">
        <w:rPr>
          <w:rFonts w:eastAsia="Times New Roman" w:cstheme="minorHAnsi"/>
          <w:color w:val="auto"/>
          <w:szCs w:val="22"/>
          <w:lang w:val="en-US" w:eastAsia="sv-SE"/>
        </w:rPr>
        <w:t>P</w:t>
      </w:r>
      <w:r w:rsidR="005C7C70" w:rsidRPr="00D5042E">
        <w:rPr>
          <w:rFonts w:eastAsia="Times New Roman" w:cstheme="minorHAnsi"/>
          <w:color w:val="auto"/>
          <w:szCs w:val="22"/>
          <w:lang w:val="en-US" w:eastAsia="sv-SE"/>
        </w:rPr>
        <w:t>rice priority is never violated</w:t>
      </w:r>
      <w:r w:rsidR="000E1C5C" w:rsidRPr="00D5042E">
        <w:rPr>
          <w:rFonts w:eastAsia="Times New Roman" w:cstheme="minorHAnsi"/>
          <w:color w:val="auto"/>
          <w:szCs w:val="22"/>
          <w:lang w:val="en-US" w:eastAsia="sv-SE"/>
        </w:rPr>
        <w:t>. P</w:t>
      </w:r>
      <w:r w:rsidR="005C7C70" w:rsidRPr="00D5042E">
        <w:rPr>
          <w:rFonts w:eastAsia="Times New Roman" w:cstheme="minorHAnsi"/>
          <w:color w:val="auto"/>
          <w:szCs w:val="22"/>
          <w:lang w:val="en-US" w:eastAsia="sv-SE"/>
        </w:rPr>
        <w:t xml:space="preserve">referencing applies only within the same price </w:t>
      </w:r>
      <w:proofErr w:type="gramStart"/>
      <w:r w:rsidR="005C7C70" w:rsidRPr="00D5042E">
        <w:rPr>
          <w:rFonts w:eastAsia="Times New Roman" w:cstheme="minorHAnsi"/>
          <w:color w:val="auto"/>
          <w:szCs w:val="22"/>
          <w:lang w:val="en-US" w:eastAsia="sv-SE"/>
        </w:rPr>
        <w:t>level</w:t>
      </w:r>
      <w:proofErr w:type="gramEnd"/>
      <w:r w:rsidR="000E1C5C" w:rsidRPr="00D5042E">
        <w:rPr>
          <w:rFonts w:eastAsia="Times New Roman" w:cstheme="minorHAnsi"/>
          <w:color w:val="auto"/>
          <w:szCs w:val="22"/>
          <w:lang w:val="en-US" w:eastAsia="sv-SE"/>
        </w:rPr>
        <w:t xml:space="preserve"> and </w:t>
      </w:r>
      <w:r w:rsidR="005C7C70" w:rsidRPr="00D5042E">
        <w:rPr>
          <w:rFonts w:eastAsia="Times New Roman" w:cstheme="minorHAnsi"/>
          <w:color w:val="auto"/>
          <w:szCs w:val="22"/>
          <w:lang w:val="en-US" w:eastAsia="sv-SE"/>
        </w:rPr>
        <w:t>liquidity must already be posted to benefit.</w:t>
      </w:r>
      <w:r w:rsidR="00F95A8D" w:rsidRPr="00D5042E">
        <w:rPr>
          <w:rFonts w:eastAsia="Times New Roman" w:cstheme="minorHAnsi"/>
          <w:color w:val="auto"/>
          <w:szCs w:val="22"/>
          <w:lang w:val="en-US" w:eastAsia="sv-SE"/>
        </w:rPr>
        <w:t xml:space="preserve"> </w:t>
      </w:r>
      <w:r w:rsidR="00F95A8D" w:rsidRPr="00D5042E">
        <w:rPr>
          <w:rFonts w:cstheme="minorHAnsi"/>
          <w:szCs w:val="22"/>
          <w:lang w:val="en-US"/>
        </w:rPr>
        <w:t xml:space="preserve">Non-preferencing members still compete fully </w:t>
      </w:r>
      <w:proofErr w:type="gramStart"/>
      <w:r w:rsidR="00F95A8D" w:rsidRPr="00D5042E">
        <w:rPr>
          <w:rFonts w:cstheme="minorHAnsi"/>
          <w:szCs w:val="22"/>
          <w:lang w:val="en-US"/>
        </w:rPr>
        <w:t>on</w:t>
      </w:r>
      <w:proofErr w:type="gramEnd"/>
      <w:r w:rsidR="00F95A8D" w:rsidRPr="00D5042E">
        <w:rPr>
          <w:rFonts w:cstheme="minorHAnsi"/>
          <w:szCs w:val="22"/>
          <w:lang w:val="en-US"/>
        </w:rPr>
        <w:t xml:space="preserve"> price and </w:t>
      </w:r>
      <w:proofErr w:type="gramStart"/>
      <w:r w:rsidR="00F95A8D" w:rsidRPr="00D5042E">
        <w:rPr>
          <w:rFonts w:cstheme="minorHAnsi"/>
          <w:szCs w:val="22"/>
          <w:lang w:val="en-US"/>
        </w:rPr>
        <w:t>displayed</w:t>
      </w:r>
      <w:proofErr w:type="gramEnd"/>
      <w:r w:rsidR="00F95A8D" w:rsidRPr="00D5042E">
        <w:rPr>
          <w:rFonts w:cstheme="minorHAnsi"/>
          <w:szCs w:val="22"/>
          <w:lang w:val="en-US"/>
        </w:rPr>
        <w:t xml:space="preserve"> liquidity. There</w:t>
      </w:r>
      <w:r w:rsidR="00F95A8D" w:rsidRPr="00D5042E">
        <w:rPr>
          <w:rFonts w:cstheme="minorHAnsi"/>
          <w:lang w:val="en-US"/>
        </w:rPr>
        <w:t xml:space="preserve"> is no</w:t>
      </w:r>
      <w:r w:rsidR="00F95A8D" w:rsidRPr="00F95A8D">
        <w:rPr>
          <w:lang w:val="en-US"/>
        </w:rPr>
        <w:t xml:space="preserve"> hidden liquidity advantage</w:t>
      </w:r>
      <w:r w:rsidR="004162F3">
        <w:rPr>
          <w:lang w:val="en-US"/>
        </w:rPr>
        <w:t>.</w:t>
      </w:r>
    </w:p>
    <w:p w14:paraId="7F9D044E" w14:textId="47999B72" w:rsidR="00176AB5" w:rsidRPr="00BC215D" w:rsidRDefault="00176AB5" w:rsidP="00BC215D">
      <w:pPr>
        <w:tabs>
          <w:tab w:val="num" w:pos="720"/>
        </w:tabs>
        <w:rPr>
          <w:lang w:val="en-US"/>
        </w:rPr>
      </w:pPr>
      <w:r w:rsidRPr="00364549">
        <w:rPr>
          <w:lang w:val="en-US"/>
        </w:rPr>
        <w:t xml:space="preserve">This </w:t>
      </w:r>
      <w:r w:rsidR="000E1C5C">
        <w:rPr>
          <w:lang w:val="en-US"/>
        </w:rPr>
        <w:t xml:space="preserve">model </w:t>
      </w:r>
      <w:r w:rsidR="00364549" w:rsidRPr="00364549">
        <w:rPr>
          <w:lang w:val="en-US"/>
        </w:rPr>
        <w:t xml:space="preserve">creates a </w:t>
      </w:r>
      <w:r w:rsidR="00364549">
        <w:t>s</w:t>
      </w:r>
      <w:r w:rsidR="00E762FD" w:rsidRPr="00364549">
        <w:t xml:space="preserve">trong </w:t>
      </w:r>
      <w:r w:rsidR="00364549">
        <w:t>i</w:t>
      </w:r>
      <w:r w:rsidR="00E762FD" w:rsidRPr="00364549">
        <w:t xml:space="preserve">ncentive to </w:t>
      </w:r>
      <w:r w:rsidR="00364549">
        <w:t>p</w:t>
      </w:r>
      <w:r w:rsidR="00E762FD" w:rsidRPr="00364549">
        <w:t xml:space="preserve">ost </w:t>
      </w:r>
      <w:r w:rsidR="00364549">
        <w:t>l</w:t>
      </w:r>
      <w:r w:rsidR="00E762FD" w:rsidRPr="00364549">
        <w:t xml:space="preserve">it </w:t>
      </w:r>
      <w:r w:rsidR="00364549">
        <w:t>l</w:t>
      </w:r>
      <w:r w:rsidR="00E762FD" w:rsidRPr="00364549">
        <w:t>iquidity</w:t>
      </w:r>
      <w:r w:rsidR="00364549" w:rsidRPr="00364549">
        <w:t xml:space="preserve">, by </w:t>
      </w:r>
      <w:r w:rsidRPr="00364549">
        <w:rPr>
          <w:lang w:val="en-US"/>
        </w:rPr>
        <w:t>encourag</w:t>
      </w:r>
      <w:r w:rsidR="00364549" w:rsidRPr="00364549">
        <w:rPr>
          <w:lang w:val="en-US"/>
        </w:rPr>
        <w:t>ing</w:t>
      </w:r>
      <w:r w:rsidRPr="00364549">
        <w:rPr>
          <w:lang w:val="en-US"/>
        </w:rPr>
        <w:t xml:space="preserve"> members to quote </w:t>
      </w:r>
      <w:r w:rsidRPr="00364549">
        <w:rPr>
          <w:i/>
          <w:iCs/>
          <w:lang w:val="en-US"/>
        </w:rPr>
        <w:t>earlier and deeper</w:t>
      </w:r>
      <w:r w:rsidRPr="00364549">
        <w:rPr>
          <w:lang w:val="en-US"/>
        </w:rPr>
        <w:t xml:space="preserve"> in the CLOB</w:t>
      </w:r>
      <w:r w:rsidRPr="00BC215D">
        <w:rPr>
          <w:lang w:val="en-US"/>
        </w:rPr>
        <w:t xml:space="preserve">. A </w:t>
      </w:r>
      <w:r w:rsidR="00373662">
        <w:rPr>
          <w:lang w:val="en-US"/>
        </w:rPr>
        <w:t>member</w:t>
      </w:r>
      <w:r w:rsidRPr="00BC215D">
        <w:rPr>
          <w:lang w:val="en-US"/>
        </w:rPr>
        <w:t xml:space="preserve"> posting liquidity knows it has a higher execution probability against its own flow. </w:t>
      </w:r>
      <w:r w:rsidR="00E81521">
        <w:rPr>
          <w:lang w:val="en-US"/>
        </w:rPr>
        <w:t>It</w:t>
      </w:r>
      <w:r w:rsidRPr="00BC215D">
        <w:rPr>
          <w:lang w:val="en-US"/>
        </w:rPr>
        <w:t xml:space="preserve"> improves the expected value of quoting tight spreads</w:t>
      </w:r>
      <w:r w:rsidR="00BC215D" w:rsidRPr="00BC215D">
        <w:rPr>
          <w:lang w:val="en-US"/>
        </w:rPr>
        <w:t xml:space="preserve"> and results in m</w:t>
      </w:r>
      <w:r w:rsidRPr="00BC215D">
        <w:rPr>
          <w:lang w:val="en-US"/>
        </w:rPr>
        <w:t>ore displayed depth at top of book</w:t>
      </w:r>
      <w:r w:rsidR="00BC215D" w:rsidRPr="00BC215D">
        <w:rPr>
          <w:lang w:val="en-US"/>
        </w:rPr>
        <w:t xml:space="preserve">. </w:t>
      </w:r>
      <w:r w:rsidRPr="00BC215D">
        <w:rPr>
          <w:lang w:val="en-US"/>
        </w:rPr>
        <w:t>Compared to strict price–time priority, preferencing raises the payoff to being visible, not just being fast.</w:t>
      </w:r>
    </w:p>
    <w:p w14:paraId="07AE58EF" w14:textId="47913378" w:rsidR="006A10EF" w:rsidRPr="00612593" w:rsidRDefault="006A10EF" w:rsidP="006A10EF">
      <w:pPr>
        <w:rPr>
          <w:lang w:val="en-US"/>
        </w:rPr>
      </w:pPr>
      <w:r w:rsidRPr="006A10EF">
        <w:rPr>
          <w:lang w:val="en-US"/>
        </w:rPr>
        <w:t xml:space="preserve">Member preferencing </w:t>
      </w:r>
      <w:r w:rsidR="00006A66" w:rsidRPr="006A10EF">
        <w:rPr>
          <w:lang w:val="en-US"/>
        </w:rPr>
        <w:t>help</w:t>
      </w:r>
      <w:r w:rsidRPr="006A10EF">
        <w:rPr>
          <w:lang w:val="en-US"/>
        </w:rPr>
        <w:t xml:space="preserve"> liquidity providers manage toxic flow</w:t>
      </w:r>
      <w:r>
        <w:rPr>
          <w:lang w:val="en-US"/>
        </w:rPr>
        <w:t xml:space="preserve">. </w:t>
      </w:r>
      <w:r w:rsidRPr="006A10EF">
        <w:rPr>
          <w:lang w:val="en-US"/>
        </w:rPr>
        <w:t>Internal flow is typically</w:t>
      </w:r>
      <w:r>
        <w:rPr>
          <w:lang w:val="en-US"/>
        </w:rPr>
        <w:t xml:space="preserve"> s</w:t>
      </w:r>
      <w:r w:rsidRPr="006A10EF">
        <w:rPr>
          <w:lang w:val="en-US"/>
        </w:rPr>
        <w:t>maller, less latency-sensitive</w:t>
      </w:r>
      <w:r>
        <w:rPr>
          <w:lang w:val="en-US"/>
        </w:rPr>
        <w:t>, and m</w:t>
      </w:r>
      <w:r w:rsidRPr="006A10EF">
        <w:rPr>
          <w:lang w:val="en-US"/>
        </w:rPr>
        <w:t>ore information-neutral than external flow</w:t>
      </w:r>
      <w:r>
        <w:rPr>
          <w:lang w:val="en-US"/>
        </w:rPr>
        <w:t xml:space="preserve">. </w:t>
      </w:r>
      <w:r w:rsidRPr="006A10EF">
        <w:rPr>
          <w:lang w:val="en-US"/>
        </w:rPr>
        <w:t xml:space="preserve">Matching internally </w:t>
      </w:r>
      <w:r w:rsidRPr="00612593">
        <w:rPr>
          <w:lang w:val="en-US"/>
        </w:rPr>
        <w:t>reduces exposure</w:t>
      </w:r>
      <w:r w:rsidRPr="006A10EF">
        <w:rPr>
          <w:lang w:val="en-US"/>
        </w:rPr>
        <w:t xml:space="preserve"> to informed or predatory traders</w:t>
      </w:r>
      <w:r w:rsidR="0079676B">
        <w:rPr>
          <w:lang w:val="en-US"/>
        </w:rPr>
        <w:t xml:space="preserve">. </w:t>
      </w:r>
      <w:r w:rsidRPr="006A10EF">
        <w:rPr>
          <w:lang w:val="en-US"/>
        </w:rPr>
        <w:t>This improves</w:t>
      </w:r>
      <w:r w:rsidR="0079676B">
        <w:rPr>
          <w:lang w:val="en-US"/>
        </w:rPr>
        <w:t xml:space="preserve"> q</w:t>
      </w:r>
      <w:r w:rsidRPr="0079676B">
        <w:rPr>
          <w:lang w:val="en-US"/>
        </w:rPr>
        <w:t>uote stability</w:t>
      </w:r>
      <w:r w:rsidR="0079676B">
        <w:rPr>
          <w:lang w:val="en-US"/>
        </w:rPr>
        <w:t>, w</w:t>
      </w:r>
      <w:r w:rsidRPr="0079676B">
        <w:rPr>
          <w:lang w:val="en-US"/>
        </w:rPr>
        <w:t>illingness to size up</w:t>
      </w:r>
      <w:r w:rsidR="0079676B">
        <w:rPr>
          <w:lang w:val="en-US"/>
        </w:rPr>
        <w:t xml:space="preserve"> and r</w:t>
      </w:r>
      <w:r w:rsidRPr="0079676B">
        <w:rPr>
          <w:lang w:val="en-US"/>
        </w:rPr>
        <w:t>esilience during volatile periods</w:t>
      </w:r>
      <w:r w:rsidR="00C85A0A" w:rsidRPr="00612593">
        <w:rPr>
          <w:lang w:val="en-US"/>
        </w:rPr>
        <w:t>. The e</w:t>
      </w:r>
      <w:r w:rsidRPr="00612593">
        <w:rPr>
          <w:lang w:val="en-US"/>
        </w:rPr>
        <w:t>ffect</w:t>
      </w:r>
      <w:r w:rsidR="00C85A0A" w:rsidRPr="00612593">
        <w:rPr>
          <w:lang w:val="en-US"/>
        </w:rPr>
        <w:t xml:space="preserve"> is</w:t>
      </w:r>
      <w:r w:rsidRPr="00612593">
        <w:rPr>
          <w:lang w:val="en-US"/>
        </w:rPr>
        <w:t xml:space="preserve"> better-quality displayed liquidity, not just more of it.</w:t>
      </w:r>
    </w:p>
    <w:p w14:paraId="302148E7" w14:textId="15441E8A" w:rsidR="001741F1" w:rsidRPr="009C3C28" w:rsidRDefault="0029248F" w:rsidP="009C3C28">
      <w:pPr>
        <w:tabs>
          <w:tab w:val="num" w:pos="720"/>
        </w:tabs>
        <w:rPr>
          <w:lang w:val="en-US"/>
        </w:rPr>
      </w:pPr>
      <w:r w:rsidRPr="009C3C28">
        <w:rPr>
          <w:lang w:val="en-US"/>
        </w:rPr>
        <w:t>Further, it leads to i</w:t>
      </w:r>
      <w:r w:rsidR="001741F1" w:rsidRPr="009C3C28">
        <w:rPr>
          <w:lang w:val="en-US"/>
        </w:rPr>
        <w:t xml:space="preserve">mproved </w:t>
      </w:r>
      <w:r w:rsidRPr="009C3C28">
        <w:rPr>
          <w:lang w:val="en-US"/>
        </w:rPr>
        <w:t>e</w:t>
      </w:r>
      <w:r w:rsidR="001741F1" w:rsidRPr="009C3C28">
        <w:rPr>
          <w:lang w:val="en-US"/>
        </w:rPr>
        <w:t xml:space="preserve">xecution </w:t>
      </w:r>
      <w:r w:rsidRPr="009C3C28">
        <w:rPr>
          <w:lang w:val="en-US"/>
        </w:rPr>
        <w:t>q</w:t>
      </w:r>
      <w:r w:rsidR="001741F1" w:rsidRPr="009C3C28">
        <w:rPr>
          <w:lang w:val="en-US"/>
        </w:rPr>
        <w:t xml:space="preserve">uality for </w:t>
      </w:r>
      <w:r w:rsidRPr="009C3C28">
        <w:rPr>
          <w:lang w:val="en-US"/>
        </w:rPr>
        <w:t>e</w:t>
      </w:r>
      <w:r w:rsidR="001741F1" w:rsidRPr="009C3C28">
        <w:rPr>
          <w:lang w:val="en-US"/>
        </w:rPr>
        <w:t xml:space="preserve">nd </w:t>
      </w:r>
      <w:r w:rsidR="0051145C">
        <w:rPr>
          <w:lang w:val="en-US"/>
        </w:rPr>
        <w:t>i</w:t>
      </w:r>
      <w:r w:rsidR="001741F1" w:rsidRPr="009C3C28">
        <w:rPr>
          <w:lang w:val="en-US"/>
        </w:rPr>
        <w:t>nvestors</w:t>
      </w:r>
      <w:r w:rsidRPr="009C3C28">
        <w:rPr>
          <w:lang w:val="en-US"/>
        </w:rPr>
        <w:t xml:space="preserve">. </w:t>
      </w:r>
      <w:r w:rsidR="001741F1" w:rsidRPr="009C3C28">
        <w:rPr>
          <w:lang w:val="en-US"/>
        </w:rPr>
        <w:t>For client flow handled by a member</w:t>
      </w:r>
      <w:r w:rsidRPr="009C3C28">
        <w:rPr>
          <w:lang w:val="en-US"/>
        </w:rPr>
        <w:t>, it means h</w:t>
      </w:r>
      <w:r w:rsidR="001741F1" w:rsidRPr="009C3C28">
        <w:rPr>
          <w:lang w:val="en-US"/>
        </w:rPr>
        <w:t>igher chance of execution without interacting with the broader market</w:t>
      </w:r>
      <w:r w:rsidRPr="009C3C28">
        <w:rPr>
          <w:lang w:val="en-US"/>
        </w:rPr>
        <w:t>, r</w:t>
      </w:r>
      <w:r w:rsidR="001741F1" w:rsidRPr="009C3C28">
        <w:rPr>
          <w:lang w:val="en-US"/>
        </w:rPr>
        <w:t>educed signaling and information leakage</w:t>
      </w:r>
      <w:r w:rsidRPr="009C3C28">
        <w:rPr>
          <w:lang w:val="en-US"/>
        </w:rPr>
        <w:t>, and o</w:t>
      </w:r>
      <w:r w:rsidR="001741F1" w:rsidRPr="009C3C28">
        <w:rPr>
          <w:lang w:val="en-US"/>
        </w:rPr>
        <w:t>ften lower short-term price impact</w:t>
      </w:r>
      <w:r w:rsidR="009C3C28" w:rsidRPr="009C3C28">
        <w:rPr>
          <w:lang w:val="en-US"/>
        </w:rPr>
        <w:t xml:space="preserve">. </w:t>
      </w:r>
      <w:r w:rsidR="001741F1" w:rsidRPr="009C3C28">
        <w:rPr>
          <w:lang w:val="en-US"/>
        </w:rPr>
        <w:t>Importantly</w:t>
      </w:r>
      <w:r w:rsidR="009C3C28" w:rsidRPr="009C3C28">
        <w:rPr>
          <w:lang w:val="en-US"/>
        </w:rPr>
        <w:t>, t</w:t>
      </w:r>
      <w:r w:rsidR="001741F1" w:rsidRPr="009C3C28">
        <w:rPr>
          <w:lang w:val="en-US"/>
        </w:rPr>
        <w:t xml:space="preserve">his happens </w:t>
      </w:r>
      <w:proofErr w:type="gramStart"/>
      <w:r w:rsidR="001741F1" w:rsidRPr="009C3C28">
        <w:rPr>
          <w:lang w:val="en-US"/>
        </w:rPr>
        <w:t>on</w:t>
      </w:r>
      <w:proofErr w:type="gramEnd"/>
      <w:r w:rsidR="001741F1" w:rsidRPr="009C3C28">
        <w:rPr>
          <w:lang w:val="en-US"/>
        </w:rPr>
        <w:t xml:space="preserve"> the lit book, at the same price as everyone else</w:t>
      </w:r>
      <w:r w:rsidR="009C3C28" w:rsidRPr="009C3C28">
        <w:rPr>
          <w:lang w:val="en-US"/>
        </w:rPr>
        <w:t>. There is n</w:t>
      </w:r>
      <w:r w:rsidR="001741F1" w:rsidRPr="009C3C28">
        <w:rPr>
          <w:lang w:val="en-US"/>
        </w:rPr>
        <w:t>o dark execution or price opacity</w:t>
      </w:r>
      <w:r w:rsidR="009C3C28" w:rsidRPr="009C3C28">
        <w:rPr>
          <w:lang w:val="en-US"/>
        </w:rPr>
        <w:t xml:space="preserve">. </w:t>
      </w:r>
      <w:r w:rsidR="001741F1" w:rsidRPr="009C3C28">
        <w:rPr>
          <w:lang w:val="en-US"/>
        </w:rPr>
        <w:t xml:space="preserve">Preferencing combines </w:t>
      </w:r>
      <w:proofErr w:type="gramStart"/>
      <w:r w:rsidR="001741F1" w:rsidRPr="009C3C28">
        <w:rPr>
          <w:lang w:val="en-US"/>
        </w:rPr>
        <w:t>lit</w:t>
      </w:r>
      <w:proofErr w:type="gramEnd"/>
      <w:r w:rsidR="001741F1" w:rsidRPr="009C3C28">
        <w:rPr>
          <w:lang w:val="en-US"/>
        </w:rPr>
        <w:t xml:space="preserve"> transparency with internal flow efficiency.</w:t>
      </w:r>
    </w:p>
    <w:p w14:paraId="7EBDC0F6" w14:textId="49C4601D" w:rsidR="003652C3" w:rsidRDefault="004035B0" w:rsidP="00DB7CD4">
      <w:pPr>
        <w:tabs>
          <w:tab w:val="num" w:pos="720"/>
        </w:tabs>
        <w:rPr>
          <w:lang w:val="en-US"/>
        </w:rPr>
      </w:pPr>
      <w:r>
        <w:rPr>
          <w:lang w:val="en-US"/>
        </w:rPr>
        <w:t>The</w:t>
      </w:r>
      <w:r w:rsidR="001C5B2A" w:rsidRPr="00140953">
        <w:rPr>
          <w:lang w:val="en-US"/>
        </w:rPr>
        <w:t xml:space="preserve"> effective </w:t>
      </w:r>
      <w:r w:rsidR="00140953">
        <w:rPr>
          <w:lang w:val="en-US"/>
        </w:rPr>
        <w:t>t</w:t>
      </w:r>
      <w:r w:rsidR="001C5B2A" w:rsidRPr="00140953">
        <w:rPr>
          <w:lang w:val="en-US"/>
        </w:rPr>
        <w:t xml:space="preserve">ransaction </w:t>
      </w:r>
      <w:r w:rsidR="00140953">
        <w:rPr>
          <w:lang w:val="en-US"/>
        </w:rPr>
        <w:t>c</w:t>
      </w:r>
      <w:r w:rsidR="001C5B2A" w:rsidRPr="00140953">
        <w:rPr>
          <w:lang w:val="en-US"/>
        </w:rPr>
        <w:t>osts also become l</w:t>
      </w:r>
      <w:r w:rsidR="009D513D" w:rsidRPr="00140953">
        <w:rPr>
          <w:lang w:val="en-US"/>
        </w:rPr>
        <w:t xml:space="preserve">ower. </w:t>
      </w:r>
      <w:r w:rsidR="001C5B2A" w:rsidRPr="00140953">
        <w:rPr>
          <w:lang w:val="en-US"/>
        </w:rPr>
        <w:t>For</w:t>
      </w:r>
      <w:r w:rsidR="001C5B2A" w:rsidRPr="001C5B2A">
        <w:rPr>
          <w:lang w:val="en-US"/>
        </w:rPr>
        <w:t xml:space="preserve"> both sides of the </w:t>
      </w:r>
      <w:proofErr w:type="gramStart"/>
      <w:r w:rsidR="001C5B2A" w:rsidRPr="001C5B2A">
        <w:rPr>
          <w:lang w:val="en-US"/>
        </w:rPr>
        <w:t>trade</w:t>
      </w:r>
      <w:proofErr w:type="gramEnd"/>
      <w:r w:rsidR="009D513D">
        <w:rPr>
          <w:lang w:val="en-US"/>
        </w:rPr>
        <w:t xml:space="preserve"> it means f</w:t>
      </w:r>
      <w:r w:rsidR="001C5B2A" w:rsidRPr="009D513D">
        <w:rPr>
          <w:lang w:val="en-US"/>
        </w:rPr>
        <w:t>ewer exchange interactions</w:t>
      </w:r>
      <w:r w:rsidR="009D513D" w:rsidRPr="009D513D">
        <w:rPr>
          <w:lang w:val="en-US"/>
        </w:rPr>
        <w:t>, r</w:t>
      </w:r>
      <w:r w:rsidR="001C5B2A" w:rsidRPr="001C5B2A">
        <w:rPr>
          <w:lang w:val="en-US"/>
        </w:rPr>
        <w:t>educed taker fees and spread capture leakage</w:t>
      </w:r>
      <w:r w:rsidR="009D513D">
        <w:rPr>
          <w:lang w:val="en-US"/>
        </w:rPr>
        <w:t xml:space="preserve"> and m</w:t>
      </w:r>
      <w:r w:rsidR="001C5B2A" w:rsidRPr="001C5B2A">
        <w:rPr>
          <w:lang w:val="en-US"/>
        </w:rPr>
        <w:t>ore natural crossing of opposing flow</w:t>
      </w:r>
      <w:r w:rsidR="009D513D">
        <w:rPr>
          <w:lang w:val="en-US"/>
        </w:rPr>
        <w:t xml:space="preserve">. </w:t>
      </w:r>
      <w:r w:rsidR="00FD32D4">
        <w:rPr>
          <w:lang w:val="en-US"/>
        </w:rPr>
        <w:t>F</w:t>
      </w:r>
      <w:r w:rsidR="00DB7CD4">
        <w:rPr>
          <w:lang w:val="en-US"/>
        </w:rPr>
        <w:t>or the overall market it means l</w:t>
      </w:r>
      <w:r w:rsidR="001C5B2A" w:rsidRPr="001C5B2A">
        <w:rPr>
          <w:lang w:val="en-US"/>
        </w:rPr>
        <w:t>ess need for defensive widening of spreads</w:t>
      </w:r>
      <w:r w:rsidR="00140953">
        <w:rPr>
          <w:lang w:val="en-US"/>
        </w:rPr>
        <w:t xml:space="preserve"> and</w:t>
      </w:r>
      <w:r w:rsidR="00DB7CD4">
        <w:rPr>
          <w:lang w:val="en-US"/>
        </w:rPr>
        <w:t xml:space="preserve"> l</w:t>
      </w:r>
      <w:r w:rsidR="001C5B2A" w:rsidRPr="001C5B2A">
        <w:rPr>
          <w:lang w:val="en-US"/>
        </w:rPr>
        <w:t>ower implicit costs (slippage) even if explicit fees are unchanged</w:t>
      </w:r>
      <w:r w:rsidR="00140953">
        <w:rPr>
          <w:lang w:val="en-US"/>
        </w:rPr>
        <w:t>.</w:t>
      </w:r>
    </w:p>
    <w:p w14:paraId="67589C5B" w14:textId="1A2297AA" w:rsidR="00BE1BE4" w:rsidRDefault="00BE1BE4" w:rsidP="00A54B30">
      <w:pPr>
        <w:tabs>
          <w:tab w:val="num" w:pos="720"/>
        </w:tabs>
        <w:rPr>
          <w:lang w:val="en-US"/>
        </w:rPr>
      </w:pPr>
      <w:r w:rsidRPr="00BE1BE4">
        <w:rPr>
          <w:lang w:val="en-US"/>
        </w:rPr>
        <w:t xml:space="preserve">Member preferencing allows </w:t>
      </w:r>
      <w:r w:rsidR="0050317E">
        <w:rPr>
          <w:lang w:val="en-US"/>
        </w:rPr>
        <w:t>members</w:t>
      </w:r>
      <w:r w:rsidRPr="00BE1BE4">
        <w:rPr>
          <w:lang w:val="en-US"/>
        </w:rPr>
        <w:t xml:space="preserve"> to</w:t>
      </w:r>
      <w:r>
        <w:rPr>
          <w:lang w:val="en-US"/>
        </w:rPr>
        <w:t xml:space="preserve"> a</w:t>
      </w:r>
      <w:r w:rsidRPr="00BE1BE4">
        <w:rPr>
          <w:lang w:val="en-US"/>
        </w:rPr>
        <w:t>bsorb client flow into existing inventory</w:t>
      </w:r>
      <w:r>
        <w:rPr>
          <w:lang w:val="en-US"/>
        </w:rPr>
        <w:t>, o</w:t>
      </w:r>
      <w:r w:rsidRPr="00BE1BE4">
        <w:rPr>
          <w:lang w:val="en-US"/>
        </w:rPr>
        <w:t>ffset buy and sell interest internally at the same price level</w:t>
      </w:r>
      <w:r w:rsidR="002E2EA6">
        <w:rPr>
          <w:lang w:val="en-US"/>
        </w:rPr>
        <w:t xml:space="preserve"> and r</w:t>
      </w:r>
      <w:r w:rsidRPr="00BE1BE4">
        <w:rPr>
          <w:lang w:val="en-US"/>
        </w:rPr>
        <w:t xml:space="preserve">educe the need for immediate hedging </w:t>
      </w:r>
      <w:r w:rsidRPr="00BE1BE4">
        <w:rPr>
          <w:lang w:val="en-US"/>
        </w:rPr>
        <w:lastRenderedPageBreak/>
        <w:t>trades</w:t>
      </w:r>
      <w:r w:rsidR="002E2EA6">
        <w:rPr>
          <w:lang w:val="en-US"/>
        </w:rPr>
        <w:t>.</w:t>
      </w:r>
      <w:r w:rsidR="00A54B30">
        <w:rPr>
          <w:lang w:val="en-US"/>
        </w:rPr>
        <w:t xml:space="preserve"> </w:t>
      </w:r>
      <w:r w:rsidRPr="00A54B30">
        <w:rPr>
          <w:lang w:val="en-US"/>
        </w:rPr>
        <w:t>This</w:t>
      </w:r>
      <w:r w:rsidR="00A54B30" w:rsidRPr="00A54B30">
        <w:rPr>
          <w:lang w:val="en-US"/>
        </w:rPr>
        <w:t xml:space="preserve"> l</w:t>
      </w:r>
      <w:r w:rsidRPr="00A54B30">
        <w:rPr>
          <w:lang w:val="en-US"/>
        </w:rPr>
        <w:t>owers inventory volatility</w:t>
      </w:r>
      <w:r w:rsidR="00A54B30" w:rsidRPr="00A54B30">
        <w:rPr>
          <w:lang w:val="en-US"/>
        </w:rPr>
        <w:t xml:space="preserve">, </w:t>
      </w:r>
      <w:r w:rsidR="00A54B30">
        <w:rPr>
          <w:lang w:val="en-US"/>
        </w:rPr>
        <w:t>r</w:t>
      </w:r>
      <w:r w:rsidRPr="00BE1BE4">
        <w:rPr>
          <w:lang w:val="en-US"/>
        </w:rPr>
        <w:t>educes unnecessary churn in the order book</w:t>
      </w:r>
      <w:r w:rsidR="00A54B30">
        <w:rPr>
          <w:lang w:val="en-US"/>
        </w:rPr>
        <w:t xml:space="preserve"> and i</w:t>
      </w:r>
      <w:r w:rsidRPr="00BE1BE4">
        <w:rPr>
          <w:lang w:val="en-US"/>
        </w:rPr>
        <w:t>mproves continuity of quoting through the day</w:t>
      </w:r>
      <w:r w:rsidR="00A54B30">
        <w:rPr>
          <w:lang w:val="en-US"/>
        </w:rPr>
        <w:t>.</w:t>
      </w:r>
    </w:p>
    <w:p w14:paraId="66539298" w14:textId="0EBAEA53" w:rsidR="00FD32D4" w:rsidRPr="004162F3" w:rsidRDefault="003A28D0" w:rsidP="00DB7CD4">
      <w:pPr>
        <w:tabs>
          <w:tab w:val="num" w:pos="720"/>
        </w:tabs>
        <w:rPr>
          <w:lang w:val="en-US"/>
        </w:rPr>
      </w:pPr>
      <w:r>
        <w:rPr>
          <w:lang w:val="en-US"/>
        </w:rPr>
        <w:t xml:space="preserve">This model for member preferencing </w:t>
      </w:r>
      <w:proofErr w:type="gramStart"/>
      <w:r w:rsidR="00380DC4" w:rsidRPr="004162F3">
        <w:rPr>
          <w:lang w:val="en-US"/>
        </w:rPr>
        <w:t>actually aligns</w:t>
      </w:r>
      <w:proofErr w:type="gramEnd"/>
      <w:r w:rsidR="00380DC4" w:rsidRPr="004162F3">
        <w:rPr>
          <w:lang w:val="en-US"/>
        </w:rPr>
        <w:t xml:space="preserve"> with </w:t>
      </w:r>
      <w:r w:rsidR="002604FA" w:rsidRPr="004162F3">
        <w:rPr>
          <w:lang w:val="en-US"/>
        </w:rPr>
        <w:t>MiFID II objectives</w:t>
      </w:r>
      <w:r w:rsidR="00A55F4C" w:rsidRPr="004162F3">
        <w:rPr>
          <w:lang w:val="en-US"/>
        </w:rPr>
        <w:t xml:space="preserve"> in that it p</w:t>
      </w:r>
      <w:r w:rsidR="002604FA" w:rsidRPr="004162F3">
        <w:rPr>
          <w:lang w:val="en-US"/>
        </w:rPr>
        <w:t>romotes lit market quality</w:t>
      </w:r>
      <w:r w:rsidR="00A55F4C" w:rsidRPr="004162F3">
        <w:rPr>
          <w:lang w:val="en-US"/>
        </w:rPr>
        <w:t>, s</w:t>
      </w:r>
      <w:r w:rsidR="002604FA" w:rsidRPr="004162F3">
        <w:rPr>
          <w:lang w:val="en-US"/>
        </w:rPr>
        <w:t>upports best execution</w:t>
      </w:r>
      <w:r w:rsidR="00A55F4C" w:rsidRPr="004162F3">
        <w:rPr>
          <w:lang w:val="en-US"/>
        </w:rPr>
        <w:t xml:space="preserve"> and m</w:t>
      </w:r>
      <w:r w:rsidR="002604FA" w:rsidRPr="004162F3">
        <w:rPr>
          <w:lang w:val="en-US"/>
        </w:rPr>
        <w:t>aintains pre-trade transparency</w:t>
      </w:r>
      <w:r w:rsidR="00394A4A" w:rsidRPr="004162F3">
        <w:rPr>
          <w:lang w:val="en-US"/>
        </w:rPr>
        <w:t>. It addresses the challenge of fragmented markets, by k</w:t>
      </w:r>
      <w:r w:rsidR="00380DC4" w:rsidRPr="004162F3">
        <w:rPr>
          <w:lang w:val="en-US"/>
        </w:rPr>
        <w:t>eep</w:t>
      </w:r>
      <w:r w:rsidR="00394A4A" w:rsidRPr="004162F3">
        <w:rPr>
          <w:lang w:val="en-US"/>
        </w:rPr>
        <w:t>ing</w:t>
      </w:r>
      <w:r w:rsidR="00380DC4" w:rsidRPr="004162F3">
        <w:rPr>
          <w:lang w:val="en-US"/>
        </w:rPr>
        <w:t xml:space="preserve"> liquidity centralized</w:t>
      </w:r>
      <w:r w:rsidR="00E95E43" w:rsidRPr="004162F3">
        <w:rPr>
          <w:lang w:val="en-US"/>
        </w:rPr>
        <w:t xml:space="preserve"> as it r</w:t>
      </w:r>
      <w:r w:rsidR="00380DC4" w:rsidRPr="004162F3">
        <w:rPr>
          <w:lang w:val="en-US"/>
        </w:rPr>
        <w:t xml:space="preserve">educes </w:t>
      </w:r>
      <w:r w:rsidR="00006A66" w:rsidRPr="004162F3">
        <w:rPr>
          <w:lang w:val="en-US"/>
        </w:rPr>
        <w:t>incentives</w:t>
      </w:r>
      <w:r w:rsidR="00380DC4" w:rsidRPr="004162F3">
        <w:rPr>
          <w:lang w:val="en-US"/>
        </w:rPr>
        <w:t xml:space="preserve"> to route away to dark or bilateral venues</w:t>
      </w:r>
      <w:r w:rsidR="004162F3" w:rsidRPr="004162F3">
        <w:rPr>
          <w:lang w:val="en-US"/>
        </w:rPr>
        <w:t>.</w:t>
      </w:r>
    </w:p>
    <w:p w14:paraId="16760BB2" w14:textId="747E8CFE" w:rsidR="00A56EC1" w:rsidRDefault="004079AA" w:rsidP="003A33E5">
      <w:r>
        <w:t>It is worth noting that m</w:t>
      </w:r>
      <w:r w:rsidR="00A56EC1">
        <w:t xml:space="preserve">ember </w:t>
      </w:r>
      <w:r w:rsidR="00A56EC1" w:rsidRPr="00A56EC1">
        <w:t>preferencing is one of the only mechanism available to trading venues seeking to compete with single market-maker platforms or S</w:t>
      </w:r>
      <w:r w:rsidR="00A56EC1">
        <w:t>Is</w:t>
      </w:r>
      <w:r w:rsidR="00A56EC1" w:rsidRPr="00A56EC1">
        <w:t xml:space="preserve">, which </w:t>
      </w:r>
      <w:r w:rsidR="00A332E1">
        <w:t>according to the regulatory framework are allowed to sele</w:t>
      </w:r>
      <w:r w:rsidR="00A56EC1" w:rsidRPr="00A56EC1">
        <w:t xml:space="preserve">ct their counterparties </w:t>
      </w:r>
      <w:r w:rsidR="003871FA">
        <w:t>discretionarily</w:t>
      </w:r>
      <w:r w:rsidR="00A332E1">
        <w:t>,</w:t>
      </w:r>
      <w:r w:rsidR="003871FA">
        <w:t xml:space="preserve"> </w:t>
      </w:r>
      <w:r w:rsidR="00A56EC1" w:rsidRPr="00A56EC1">
        <w:t>and apply different execution depending on the counterparty type.</w:t>
      </w:r>
      <w:r w:rsidR="00191433">
        <w:t xml:space="preserve"> </w:t>
      </w:r>
      <w:r w:rsidR="00DF232E">
        <w:t xml:space="preserve">If </w:t>
      </w:r>
      <w:r w:rsidR="00330863">
        <w:t xml:space="preserve">regulatory </w:t>
      </w:r>
      <w:r w:rsidR="00DF232E">
        <w:t xml:space="preserve">measures are considered around preferencing, it needs to be </w:t>
      </w:r>
      <w:r w:rsidR="00A56EC1" w:rsidRPr="00A56EC1">
        <w:t xml:space="preserve">assessed </w:t>
      </w:r>
      <w:r w:rsidR="00123178">
        <w:t xml:space="preserve">not in isolation but with an overall view across all types of execution venues, </w:t>
      </w:r>
      <w:r w:rsidR="00330863">
        <w:t xml:space="preserve">including RMs, MTFs and SIs, and </w:t>
      </w:r>
      <w:r w:rsidR="00A56EC1" w:rsidRPr="00A56EC1">
        <w:t>any regulatory action should apply across the full range of execution venues</w:t>
      </w:r>
      <w:r w:rsidR="00A56EC1">
        <w:t>.</w:t>
      </w:r>
    </w:p>
    <w:permEnd w:id="1195064322"/>
    <w:p w14:paraId="083A539F" w14:textId="7C4C4EC0"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81D5796" w:rsidR="003A33E5" w:rsidRDefault="00191433" w:rsidP="003A33E5">
      <w:permStart w:id="1218795063" w:edGrp="everyone"/>
      <w:r>
        <w:t>See Q 31.</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73442F55" w14:textId="33BC2089" w:rsidR="00F672C0" w:rsidRDefault="00F672C0" w:rsidP="00F672C0">
      <w:permStart w:id="1697063566" w:edGrp="everyone"/>
      <w:r>
        <w:t xml:space="preserve">It is worth noting that member </w:t>
      </w:r>
      <w:r w:rsidRPr="00A56EC1">
        <w:t>preferencing is one of the only mechanism available to trading venues seeking to compete with single market-maker platforms or S</w:t>
      </w:r>
      <w:r>
        <w:t>Is</w:t>
      </w:r>
      <w:r w:rsidRPr="00A56EC1">
        <w:t xml:space="preserve">, which </w:t>
      </w:r>
      <w:r>
        <w:t>according to the regulatory framework are allowed to sele</w:t>
      </w:r>
      <w:r w:rsidRPr="00A56EC1">
        <w:t xml:space="preserve">ct their counterparties </w:t>
      </w:r>
      <w:r>
        <w:t xml:space="preserve">discretionarily, </w:t>
      </w:r>
      <w:r w:rsidRPr="00A56EC1">
        <w:t>and apply different execution depending on the counterparty type.</w:t>
      </w:r>
      <w:r>
        <w:t xml:space="preserve"> If regulatory measures are considered around preferencing, it needs to be </w:t>
      </w:r>
      <w:r w:rsidRPr="00A56EC1">
        <w:t xml:space="preserve">assessed </w:t>
      </w:r>
      <w:r>
        <w:t xml:space="preserve">not in isolation but with an overall view across all types of execution venues, including RMs, MTFs and SIs, and </w:t>
      </w:r>
      <w:r w:rsidRPr="00A56EC1">
        <w:t>any regulatory action should apply across the full range of execution venues</w:t>
      </w:r>
      <w:r>
        <w:t>.</w:t>
      </w:r>
    </w:p>
    <w:p w14:paraId="00D63C9A" w14:textId="2D44D19C" w:rsidR="003A33E5" w:rsidRDefault="00F672C0" w:rsidP="003A33E5">
      <w:r>
        <w:t>Further, s</w:t>
      </w:r>
      <w:r w:rsidR="003871FA">
        <w:t>ee Q 31.</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81C11DC" w14:textId="5338EBF4" w:rsidR="00F672C0" w:rsidRDefault="00F672C0" w:rsidP="00F672C0">
      <w:permStart w:id="1084183535" w:edGrp="everyone"/>
      <w:r>
        <w:t xml:space="preserve">As already mentioned, member </w:t>
      </w:r>
      <w:r w:rsidRPr="00A56EC1">
        <w:t>preferencing is one of the only mechanism available to trading venues seeking to compete with single market-maker platforms or S</w:t>
      </w:r>
      <w:r>
        <w:t>Is</w:t>
      </w:r>
      <w:r w:rsidRPr="00A56EC1">
        <w:t xml:space="preserve">, which </w:t>
      </w:r>
      <w:r>
        <w:t>according to the regulatory framework are allowed to sele</w:t>
      </w:r>
      <w:r w:rsidRPr="00A56EC1">
        <w:t xml:space="preserve">ct their counterparties </w:t>
      </w:r>
      <w:r>
        <w:t xml:space="preserve">discretionarily, </w:t>
      </w:r>
      <w:r w:rsidRPr="00A56EC1">
        <w:t>and apply different execution depending on the counterparty type.</w:t>
      </w:r>
      <w:r>
        <w:t xml:space="preserve"> If regulatory measures are considered around preferencing, it needs to be </w:t>
      </w:r>
      <w:r w:rsidRPr="00A56EC1">
        <w:t xml:space="preserve">assessed </w:t>
      </w:r>
      <w:r>
        <w:t xml:space="preserve">not in isolation but with an overall view across all types of execution venues, including RMs, MTFs and SIs, and </w:t>
      </w:r>
      <w:r w:rsidRPr="00A56EC1">
        <w:t>any regulatory action should apply across the full range of execution venues</w:t>
      </w:r>
      <w:r>
        <w:t>.</w:t>
      </w:r>
    </w:p>
    <w:p w14:paraId="01EF65AB" w14:textId="77777777" w:rsidR="00F672C0" w:rsidRDefault="00F672C0" w:rsidP="003A33E5"/>
    <w:p w14:paraId="5516576E" w14:textId="1927F26A" w:rsidR="003A33E5" w:rsidRDefault="007E3A08" w:rsidP="003A33E5">
      <w:r>
        <w:t>Further, see</w:t>
      </w:r>
      <w:r w:rsidR="003871FA">
        <w:t xml:space="preserve"> Q 31.</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47DC43B1" w14:textId="58E8A7B0" w:rsidR="00D8462B" w:rsidRPr="00D8462B" w:rsidRDefault="00D8462B" w:rsidP="00D8462B">
      <w:permStart w:id="1509051285" w:edGrp="everyone"/>
      <w:r>
        <w:t>We</w:t>
      </w:r>
      <w:r w:rsidRPr="00D8462B">
        <w:t xml:space="preserve"> agree with the approach to define addressable liquidity, non-price forming transactions, and transactions subject to conditions other than the current market price. </w:t>
      </w:r>
    </w:p>
    <w:p w14:paraId="477FC58F" w14:textId="77777777" w:rsidR="00D8462B" w:rsidRDefault="00D8462B" w:rsidP="003A33E5">
      <w:r w:rsidRPr="00D8462B">
        <w:t xml:space="preserve">Further consideration should be given to whether misused or inconsistently applied flags may affect the classification of transactions as addressable or non-addressable liquidity. This may be especially due to the uncertain applications of flags and reporting requirements for chains of transactions, </w:t>
      </w:r>
      <w:proofErr w:type="gramStart"/>
      <w:r w:rsidRPr="00D8462B">
        <w:t>where</w:t>
      </w:r>
      <w:proofErr w:type="gramEnd"/>
      <w:r w:rsidRPr="00D8462B">
        <w:t xml:space="preserve"> regulatory guidelines, notably based on the recommendations of the European Commission Data Expert Group from 2024, could be adopted</w:t>
      </w:r>
      <w:r>
        <w:t>.</w:t>
      </w:r>
    </w:p>
    <w:permEnd w:id="1509051285"/>
    <w:p w14:paraId="3B05926C" w14:textId="76B98DBF"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0C2CE0AD" w14:textId="77777777" w:rsidR="00262241" w:rsidRDefault="00262241" w:rsidP="003A33E5">
      <w:permStart w:id="164585938" w:edGrp="everyone"/>
      <w:r>
        <w:t>Yes</w:t>
      </w:r>
      <w:r w:rsidRPr="00262241">
        <w:t xml:space="preserve">, provided there are clear guidelines to ensure consistent application, notably in the case of chains of transactions. For instance, a benchmark VWAP trade (parent) may not always be </w:t>
      </w:r>
      <w:r w:rsidRPr="00262241">
        <w:lastRenderedPageBreak/>
        <w:t xml:space="preserve">addressable as </w:t>
      </w:r>
      <w:proofErr w:type="gramStart"/>
      <w:r w:rsidRPr="00262241">
        <w:t>such, but</w:t>
      </w:r>
      <w:proofErr w:type="gramEnd"/>
      <w:r w:rsidRPr="00262241">
        <w:t xml:space="preserve"> may give rise to child trades that can be considered addressable liquidity; the same applies to portfolio trades</w:t>
      </w:r>
      <w:r>
        <w:t>.</w:t>
      </w:r>
    </w:p>
    <w:permEnd w:id="164585938"/>
    <w:p w14:paraId="5B2C589A" w14:textId="18944BCE"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lastRenderedPageBreak/>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659B56EA" w14:textId="77777777" w:rsidR="00C91D8B" w:rsidRDefault="00C91D8B" w:rsidP="003A33E5">
      <w:permStart w:id="78797142" w:edGrp="everyone"/>
      <w:r>
        <w:t xml:space="preserve">No. </w:t>
      </w:r>
      <w:r w:rsidRPr="00C91D8B">
        <w:t>Intragroup transactions are not addressable only if their execution on another venue than on the intragroup SI would be impossible. For instance, a risk management hedging activity could be conducted on the intragroup SI of an investment firm or on another venue, and in this sense should be considered addressable</w:t>
      </w:r>
      <w:r>
        <w:t>.</w:t>
      </w:r>
    </w:p>
    <w:permEnd w:id="78797142"/>
    <w:p w14:paraId="7BF6F2E5" w14:textId="42F2545D"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lastRenderedPageBreak/>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2427" w14:textId="77777777" w:rsidR="004A7CC5" w:rsidRDefault="004A7CC5" w:rsidP="007E7997">
      <w:pPr>
        <w:spacing w:line="240" w:lineRule="auto"/>
      </w:pPr>
      <w:r>
        <w:separator/>
      </w:r>
    </w:p>
  </w:endnote>
  <w:endnote w:type="continuationSeparator" w:id="0">
    <w:p w14:paraId="63005B54" w14:textId="77777777" w:rsidR="004A7CC5" w:rsidRDefault="004A7CC5" w:rsidP="007E7997">
      <w:pPr>
        <w:spacing w:line="240" w:lineRule="auto"/>
      </w:pPr>
      <w:r>
        <w:continuationSeparator/>
      </w:r>
    </w:p>
  </w:endnote>
  <w:endnote w:type="continuationNotice" w:id="1">
    <w:p w14:paraId="1F740074" w14:textId="77777777" w:rsidR="004A7CC5" w:rsidRDefault="004A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699E" w14:textId="77777777" w:rsidR="004A7CC5" w:rsidRDefault="004A7CC5" w:rsidP="007E7997">
      <w:pPr>
        <w:spacing w:line="240" w:lineRule="auto"/>
      </w:pPr>
      <w:r>
        <w:separator/>
      </w:r>
    </w:p>
  </w:footnote>
  <w:footnote w:type="continuationSeparator" w:id="0">
    <w:p w14:paraId="4A6FB84C" w14:textId="77777777" w:rsidR="004A7CC5" w:rsidRDefault="004A7CC5" w:rsidP="007E7997">
      <w:pPr>
        <w:spacing w:line="240" w:lineRule="auto"/>
      </w:pPr>
      <w:r>
        <w:continuationSeparator/>
      </w:r>
    </w:p>
  </w:footnote>
  <w:footnote w:type="continuationNotice" w:id="1">
    <w:p w14:paraId="429A96A7" w14:textId="77777777" w:rsidR="004A7CC5" w:rsidRDefault="004A7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FDF"/>
    <w:multiLevelType w:val="multilevel"/>
    <w:tmpl w:val="359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3513"/>
    <w:multiLevelType w:val="multilevel"/>
    <w:tmpl w:val="C76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7381F"/>
    <w:multiLevelType w:val="multilevel"/>
    <w:tmpl w:val="8EF0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E1C16"/>
    <w:multiLevelType w:val="multilevel"/>
    <w:tmpl w:val="3E58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3395"/>
    <w:multiLevelType w:val="multilevel"/>
    <w:tmpl w:val="0F72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306D7"/>
    <w:multiLevelType w:val="multilevel"/>
    <w:tmpl w:val="203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15040"/>
    <w:multiLevelType w:val="multilevel"/>
    <w:tmpl w:val="D37A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1405"/>
    <w:multiLevelType w:val="multilevel"/>
    <w:tmpl w:val="52B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F5E41"/>
    <w:multiLevelType w:val="multilevel"/>
    <w:tmpl w:val="8282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62BBD"/>
    <w:multiLevelType w:val="multilevel"/>
    <w:tmpl w:val="7D0C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2BE6315"/>
    <w:multiLevelType w:val="multilevel"/>
    <w:tmpl w:val="C00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A73D7"/>
    <w:multiLevelType w:val="multilevel"/>
    <w:tmpl w:val="8E0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F73F08"/>
    <w:multiLevelType w:val="multilevel"/>
    <w:tmpl w:val="8E34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21" w15:restartNumberingAfterBreak="0">
    <w:nsid w:val="3FA671C5"/>
    <w:multiLevelType w:val="multilevel"/>
    <w:tmpl w:val="E944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A1424"/>
    <w:multiLevelType w:val="multilevel"/>
    <w:tmpl w:val="A14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85AFB"/>
    <w:multiLevelType w:val="multilevel"/>
    <w:tmpl w:val="1D00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2642A"/>
    <w:multiLevelType w:val="multilevel"/>
    <w:tmpl w:val="74A4494A"/>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74B32"/>
    <w:multiLevelType w:val="multilevel"/>
    <w:tmpl w:val="0AE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01F81"/>
    <w:multiLevelType w:val="multilevel"/>
    <w:tmpl w:val="B5A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3506AE9"/>
    <w:multiLevelType w:val="multilevel"/>
    <w:tmpl w:val="96E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E6EA9"/>
    <w:multiLevelType w:val="multilevel"/>
    <w:tmpl w:val="51D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6293A"/>
    <w:multiLevelType w:val="multilevel"/>
    <w:tmpl w:val="8E9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15ED4"/>
    <w:multiLevelType w:val="multilevel"/>
    <w:tmpl w:val="705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66C54"/>
    <w:multiLevelType w:val="multilevel"/>
    <w:tmpl w:val="2B5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7493E"/>
    <w:multiLevelType w:val="multilevel"/>
    <w:tmpl w:val="452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645B14"/>
    <w:multiLevelType w:val="multilevel"/>
    <w:tmpl w:val="C6B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A5346"/>
    <w:multiLevelType w:val="multilevel"/>
    <w:tmpl w:val="B13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C6985"/>
    <w:multiLevelType w:val="multilevel"/>
    <w:tmpl w:val="D1DE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21525">
    <w:abstractNumId w:val="35"/>
  </w:num>
  <w:num w:numId="2" w16cid:durableId="270287514">
    <w:abstractNumId w:val="14"/>
  </w:num>
  <w:num w:numId="3" w16cid:durableId="1675497260">
    <w:abstractNumId w:val="28"/>
  </w:num>
  <w:num w:numId="4" w16cid:durableId="1146706333">
    <w:abstractNumId w:val="11"/>
  </w:num>
  <w:num w:numId="5" w16cid:durableId="1502348752">
    <w:abstractNumId w:val="0"/>
  </w:num>
  <w:num w:numId="6" w16cid:durableId="1544101585">
    <w:abstractNumId w:val="17"/>
  </w:num>
  <w:num w:numId="7" w16cid:durableId="896626050">
    <w:abstractNumId w:val="36"/>
  </w:num>
  <w:num w:numId="8" w16cid:durableId="806780153">
    <w:abstractNumId w:val="5"/>
  </w:num>
  <w:num w:numId="9" w16cid:durableId="1677002603">
    <w:abstractNumId w:val="34"/>
  </w:num>
  <w:num w:numId="10" w16cid:durableId="22487393">
    <w:abstractNumId w:val="27"/>
  </w:num>
  <w:num w:numId="11" w16cid:durableId="270942799">
    <w:abstractNumId w:val="20"/>
  </w:num>
  <w:num w:numId="12" w16cid:durableId="10230698">
    <w:abstractNumId w:val="20"/>
    <w:lvlOverride w:ilvl="0">
      <w:startOverride w:val="1"/>
    </w:lvlOverride>
  </w:num>
  <w:num w:numId="13" w16cid:durableId="1914856611">
    <w:abstractNumId w:val="3"/>
  </w:num>
  <w:num w:numId="14" w16cid:durableId="297614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8"/>
  </w:num>
  <w:num w:numId="17" w16cid:durableId="1864127355">
    <w:abstractNumId w:val="2"/>
  </w:num>
  <w:num w:numId="18" w16cid:durableId="577710490">
    <w:abstractNumId w:val="7"/>
  </w:num>
  <w:num w:numId="19" w16cid:durableId="123621314">
    <w:abstractNumId w:val="21"/>
  </w:num>
  <w:num w:numId="20" w16cid:durableId="1649548859">
    <w:abstractNumId w:val="9"/>
  </w:num>
  <w:num w:numId="21" w16cid:durableId="1251036927">
    <w:abstractNumId w:val="13"/>
  </w:num>
  <w:num w:numId="22" w16cid:durableId="1304651920">
    <w:abstractNumId w:val="32"/>
  </w:num>
  <w:num w:numId="23" w16cid:durableId="1919442401">
    <w:abstractNumId w:val="16"/>
  </w:num>
  <w:num w:numId="24" w16cid:durableId="539124287">
    <w:abstractNumId w:val="26"/>
  </w:num>
  <w:num w:numId="25" w16cid:durableId="947590480">
    <w:abstractNumId w:val="33"/>
  </w:num>
  <w:num w:numId="26" w16cid:durableId="1054893914">
    <w:abstractNumId w:val="29"/>
  </w:num>
  <w:num w:numId="27" w16cid:durableId="1424688677">
    <w:abstractNumId w:val="4"/>
  </w:num>
  <w:num w:numId="28" w16cid:durableId="1099644835">
    <w:abstractNumId w:val="30"/>
  </w:num>
  <w:num w:numId="29" w16cid:durableId="1636597399">
    <w:abstractNumId w:val="12"/>
  </w:num>
  <w:num w:numId="30" w16cid:durableId="83956958">
    <w:abstractNumId w:val="23"/>
  </w:num>
  <w:num w:numId="31" w16cid:durableId="1480924279">
    <w:abstractNumId w:val="24"/>
  </w:num>
  <w:num w:numId="32" w16cid:durableId="299384286">
    <w:abstractNumId w:val="25"/>
  </w:num>
  <w:num w:numId="33" w16cid:durableId="1188519648">
    <w:abstractNumId w:val="6"/>
  </w:num>
  <w:num w:numId="34" w16cid:durableId="768819110">
    <w:abstractNumId w:val="1"/>
  </w:num>
  <w:num w:numId="35" w16cid:durableId="1743066067">
    <w:abstractNumId w:val="38"/>
  </w:num>
  <w:num w:numId="36" w16cid:durableId="1446995505">
    <w:abstractNumId w:val="15"/>
  </w:num>
  <w:num w:numId="37" w16cid:durableId="2055154604">
    <w:abstractNumId w:val="22"/>
  </w:num>
  <w:num w:numId="38" w16cid:durableId="834952023">
    <w:abstractNumId w:val="37"/>
  </w:num>
  <w:num w:numId="39" w16cid:durableId="920142648">
    <w:abstractNumId w:val="31"/>
  </w:num>
  <w:num w:numId="40" w16cid:durableId="165638425">
    <w:abstractNumId w:val="40"/>
  </w:num>
  <w:num w:numId="41" w16cid:durableId="1716155530">
    <w:abstractNumId w:val="19"/>
  </w:num>
  <w:num w:numId="42" w16cid:durableId="524944487">
    <w:abstractNumId w:val="10"/>
  </w:num>
  <w:num w:numId="43" w16cid:durableId="1650862599">
    <w:abstractNumId w:val="8"/>
  </w:num>
  <w:num w:numId="44" w16cid:durableId="677343187">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EB2"/>
    <w:rsid w:val="00000F47"/>
    <w:rsid w:val="00000F6E"/>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6A66"/>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3C5"/>
    <w:rsid w:val="00014476"/>
    <w:rsid w:val="0001447C"/>
    <w:rsid w:val="000145FD"/>
    <w:rsid w:val="00014634"/>
    <w:rsid w:val="00014ED9"/>
    <w:rsid w:val="00015167"/>
    <w:rsid w:val="0001526F"/>
    <w:rsid w:val="000154A2"/>
    <w:rsid w:val="000157DC"/>
    <w:rsid w:val="0001595F"/>
    <w:rsid w:val="00015D05"/>
    <w:rsid w:val="000166FD"/>
    <w:rsid w:val="00016C55"/>
    <w:rsid w:val="00016E4D"/>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53D"/>
    <w:rsid w:val="00022A26"/>
    <w:rsid w:val="00022CCD"/>
    <w:rsid w:val="00022EE9"/>
    <w:rsid w:val="000230FF"/>
    <w:rsid w:val="000233CE"/>
    <w:rsid w:val="0002341B"/>
    <w:rsid w:val="00023473"/>
    <w:rsid w:val="00023E8C"/>
    <w:rsid w:val="00024499"/>
    <w:rsid w:val="00024908"/>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A6F"/>
    <w:rsid w:val="00037FBD"/>
    <w:rsid w:val="0004027B"/>
    <w:rsid w:val="000404A0"/>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2DF"/>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3F3"/>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1543"/>
    <w:rsid w:val="00072027"/>
    <w:rsid w:val="00072846"/>
    <w:rsid w:val="0007285E"/>
    <w:rsid w:val="00072E43"/>
    <w:rsid w:val="000735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7FA"/>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375"/>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1E3"/>
    <w:rsid w:val="00095712"/>
    <w:rsid w:val="0009597A"/>
    <w:rsid w:val="00095B45"/>
    <w:rsid w:val="00095E39"/>
    <w:rsid w:val="000968A1"/>
    <w:rsid w:val="00096AAC"/>
    <w:rsid w:val="00096B28"/>
    <w:rsid w:val="00096D55"/>
    <w:rsid w:val="00096D57"/>
    <w:rsid w:val="00096F0E"/>
    <w:rsid w:val="0009766E"/>
    <w:rsid w:val="00097CBF"/>
    <w:rsid w:val="000A081E"/>
    <w:rsid w:val="000A0C5A"/>
    <w:rsid w:val="000A0FB7"/>
    <w:rsid w:val="000A10FD"/>
    <w:rsid w:val="000A17B4"/>
    <w:rsid w:val="000A1A34"/>
    <w:rsid w:val="000A1DBC"/>
    <w:rsid w:val="000A1ED4"/>
    <w:rsid w:val="000A2058"/>
    <w:rsid w:val="000A2A7D"/>
    <w:rsid w:val="000A2CFA"/>
    <w:rsid w:val="000A2F1D"/>
    <w:rsid w:val="000A3203"/>
    <w:rsid w:val="000A3326"/>
    <w:rsid w:val="000A35C8"/>
    <w:rsid w:val="000A3BC2"/>
    <w:rsid w:val="000A3CDE"/>
    <w:rsid w:val="000A54CD"/>
    <w:rsid w:val="000A55CE"/>
    <w:rsid w:val="000A5820"/>
    <w:rsid w:val="000A6117"/>
    <w:rsid w:val="000A6324"/>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5D7"/>
    <w:rsid w:val="000C1CB2"/>
    <w:rsid w:val="000C1E78"/>
    <w:rsid w:val="000C286E"/>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6AA"/>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1C5C"/>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3FB6"/>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67"/>
    <w:rsid w:val="00104DFF"/>
    <w:rsid w:val="00104FD6"/>
    <w:rsid w:val="00105115"/>
    <w:rsid w:val="0010560D"/>
    <w:rsid w:val="001058E6"/>
    <w:rsid w:val="00105B37"/>
    <w:rsid w:val="00105E2D"/>
    <w:rsid w:val="001061A8"/>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435"/>
    <w:rsid w:val="00115648"/>
    <w:rsid w:val="00115EA1"/>
    <w:rsid w:val="0011604D"/>
    <w:rsid w:val="00116558"/>
    <w:rsid w:val="00116FEC"/>
    <w:rsid w:val="00117269"/>
    <w:rsid w:val="001174A8"/>
    <w:rsid w:val="00117851"/>
    <w:rsid w:val="00117CA3"/>
    <w:rsid w:val="00117E46"/>
    <w:rsid w:val="00117FB3"/>
    <w:rsid w:val="00120222"/>
    <w:rsid w:val="001204FC"/>
    <w:rsid w:val="00120548"/>
    <w:rsid w:val="00120B7D"/>
    <w:rsid w:val="00120D10"/>
    <w:rsid w:val="00121319"/>
    <w:rsid w:val="00121770"/>
    <w:rsid w:val="00121A91"/>
    <w:rsid w:val="00121B3A"/>
    <w:rsid w:val="0012223F"/>
    <w:rsid w:val="00122450"/>
    <w:rsid w:val="00122550"/>
    <w:rsid w:val="001227A0"/>
    <w:rsid w:val="00123178"/>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953"/>
    <w:rsid w:val="00140BD4"/>
    <w:rsid w:val="0014136E"/>
    <w:rsid w:val="0014219E"/>
    <w:rsid w:val="00142E4A"/>
    <w:rsid w:val="00142FBA"/>
    <w:rsid w:val="00143112"/>
    <w:rsid w:val="00143116"/>
    <w:rsid w:val="00143137"/>
    <w:rsid w:val="00143685"/>
    <w:rsid w:val="00143DD3"/>
    <w:rsid w:val="0014423D"/>
    <w:rsid w:val="001442A8"/>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0AB4"/>
    <w:rsid w:val="001519C2"/>
    <w:rsid w:val="00151A73"/>
    <w:rsid w:val="00151CE1"/>
    <w:rsid w:val="00151FBE"/>
    <w:rsid w:val="0015215A"/>
    <w:rsid w:val="00152607"/>
    <w:rsid w:val="00152948"/>
    <w:rsid w:val="00152DA0"/>
    <w:rsid w:val="00152DE0"/>
    <w:rsid w:val="0015349D"/>
    <w:rsid w:val="00153A29"/>
    <w:rsid w:val="00153E86"/>
    <w:rsid w:val="001542D6"/>
    <w:rsid w:val="0015477A"/>
    <w:rsid w:val="00155685"/>
    <w:rsid w:val="00155EE0"/>
    <w:rsid w:val="00156067"/>
    <w:rsid w:val="00156071"/>
    <w:rsid w:val="001561CF"/>
    <w:rsid w:val="001562B9"/>
    <w:rsid w:val="00156538"/>
    <w:rsid w:val="0015657B"/>
    <w:rsid w:val="00156D6C"/>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5FA7"/>
    <w:rsid w:val="00166381"/>
    <w:rsid w:val="00166568"/>
    <w:rsid w:val="00166BD1"/>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1F1"/>
    <w:rsid w:val="00174AC5"/>
    <w:rsid w:val="00174B11"/>
    <w:rsid w:val="001752CF"/>
    <w:rsid w:val="001759B1"/>
    <w:rsid w:val="00175AF5"/>
    <w:rsid w:val="00175DD2"/>
    <w:rsid w:val="001768AB"/>
    <w:rsid w:val="00176AB5"/>
    <w:rsid w:val="00176E22"/>
    <w:rsid w:val="00177B79"/>
    <w:rsid w:val="00177C5B"/>
    <w:rsid w:val="00177F8C"/>
    <w:rsid w:val="00180136"/>
    <w:rsid w:val="00180912"/>
    <w:rsid w:val="00180E67"/>
    <w:rsid w:val="001814B4"/>
    <w:rsid w:val="001817EC"/>
    <w:rsid w:val="001818CC"/>
    <w:rsid w:val="00182160"/>
    <w:rsid w:val="001826FD"/>
    <w:rsid w:val="00182A76"/>
    <w:rsid w:val="00182A79"/>
    <w:rsid w:val="00183414"/>
    <w:rsid w:val="001837AE"/>
    <w:rsid w:val="001839B2"/>
    <w:rsid w:val="00183AE7"/>
    <w:rsid w:val="00183C99"/>
    <w:rsid w:val="00183CE7"/>
    <w:rsid w:val="00184017"/>
    <w:rsid w:val="001841B4"/>
    <w:rsid w:val="001841B8"/>
    <w:rsid w:val="00184589"/>
    <w:rsid w:val="0018540C"/>
    <w:rsid w:val="00185A90"/>
    <w:rsid w:val="00185C4C"/>
    <w:rsid w:val="001865B6"/>
    <w:rsid w:val="001865EF"/>
    <w:rsid w:val="00186932"/>
    <w:rsid w:val="0018704D"/>
    <w:rsid w:val="001872C8"/>
    <w:rsid w:val="001879C7"/>
    <w:rsid w:val="0019077A"/>
    <w:rsid w:val="0019085F"/>
    <w:rsid w:val="00190FCF"/>
    <w:rsid w:val="00191207"/>
    <w:rsid w:val="00191433"/>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09B"/>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6E71"/>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3D"/>
    <w:rsid w:val="001C3B72"/>
    <w:rsid w:val="001C3B81"/>
    <w:rsid w:val="001C3CC7"/>
    <w:rsid w:val="001C41D7"/>
    <w:rsid w:val="001C4F22"/>
    <w:rsid w:val="001C5579"/>
    <w:rsid w:val="001C5B2A"/>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1DB"/>
    <w:rsid w:val="001D4C84"/>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5D0"/>
    <w:rsid w:val="001F6749"/>
    <w:rsid w:val="001F6811"/>
    <w:rsid w:val="001F6936"/>
    <w:rsid w:val="001F6DD6"/>
    <w:rsid w:val="001F711E"/>
    <w:rsid w:val="001F7C99"/>
    <w:rsid w:val="001F7D89"/>
    <w:rsid w:val="001F7E7D"/>
    <w:rsid w:val="002004EC"/>
    <w:rsid w:val="00200EF9"/>
    <w:rsid w:val="002011E7"/>
    <w:rsid w:val="002012B0"/>
    <w:rsid w:val="00201468"/>
    <w:rsid w:val="002017BA"/>
    <w:rsid w:val="0020313D"/>
    <w:rsid w:val="002031EA"/>
    <w:rsid w:val="00204C7D"/>
    <w:rsid w:val="00205C40"/>
    <w:rsid w:val="00206205"/>
    <w:rsid w:val="0020622B"/>
    <w:rsid w:val="00206A7B"/>
    <w:rsid w:val="0020748D"/>
    <w:rsid w:val="00207A39"/>
    <w:rsid w:val="00207CA6"/>
    <w:rsid w:val="002101FB"/>
    <w:rsid w:val="002104E5"/>
    <w:rsid w:val="0021101C"/>
    <w:rsid w:val="00211384"/>
    <w:rsid w:val="00211CF5"/>
    <w:rsid w:val="00211E09"/>
    <w:rsid w:val="00212030"/>
    <w:rsid w:val="0021211A"/>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A6E"/>
    <w:rsid w:val="00221B56"/>
    <w:rsid w:val="0022214D"/>
    <w:rsid w:val="002227CF"/>
    <w:rsid w:val="002236FA"/>
    <w:rsid w:val="00223EDC"/>
    <w:rsid w:val="00224440"/>
    <w:rsid w:val="00224639"/>
    <w:rsid w:val="00224667"/>
    <w:rsid w:val="002247AF"/>
    <w:rsid w:val="0022488F"/>
    <w:rsid w:val="00224ABF"/>
    <w:rsid w:val="002255A5"/>
    <w:rsid w:val="002262FA"/>
    <w:rsid w:val="0022654E"/>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4FA"/>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08E"/>
    <w:rsid w:val="002475F6"/>
    <w:rsid w:val="00250025"/>
    <w:rsid w:val="00251067"/>
    <w:rsid w:val="00251567"/>
    <w:rsid w:val="00251A27"/>
    <w:rsid w:val="00251F26"/>
    <w:rsid w:val="00252076"/>
    <w:rsid w:val="00252A09"/>
    <w:rsid w:val="002531D0"/>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4FA"/>
    <w:rsid w:val="002614EA"/>
    <w:rsid w:val="00261D1C"/>
    <w:rsid w:val="00261ED0"/>
    <w:rsid w:val="002621C0"/>
    <w:rsid w:val="00262241"/>
    <w:rsid w:val="0026242D"/>
    <w:rsid w:val="0026299A"/>
    <w:rsid w:val="00262C4D"/>
    <w:rsid w:val="0026331D"/>
    <w:rsid w:val="00263A72"/>
    <w:rsid w:val="00263AFF"/>
    <w:rsid w:val="0026408E"/>
    <w:rsid w:val="0026480C"/>
    <w:rsid w:val="00264D17"/>
    <w:rsid w:val="00264EB8"/>
    <w:rsid w:val="002653AF"/>
    <w:rsid w:val="00265A2F"/>
    <w:rsid w:val="00265A85"/>
    <w:rsid w:val="00266352"/>
    <w:rsid w:val="0026653F"/>
    <w:rsid w:val="0026725A"/>
    <w:rsid w:val="00267D21"/>
    <w:rsid w:val="00267F67"/>
    <w:rsid w:val="00270200"/>
    <w:rsid w:val="00270564"/>
    <w:rsid w:val="0027078C"/>
    <w:rsid w:val="002708B8"/>
    <w:rsid w:val="00270D4E"/>
    <w:rsid w:val="002711D5"/>
    <w:rsid w:val="002714FA"/>
    <w:rsid w:val="0027174D"/>
    <w:rsid w:val="00273699"/>
    <w:rsid w:val="00273B76"/>
    <w:rsid w:val="00274544"/>
    <w:rsid w:val="002747FC"/>
    <w:rsid w:val="00274AAF"/>
    <w:rsid w:val="00274D2F"/>
    <w:rsid w:val="00275171"/>
    <w:rsid w:val="00275188"/>
    <w:rsid w:val="002754B6"/>
    <w:rsid w:val="0027567D"/>
    <w:rsid w:val="00275EB0"/>
    <w:rsid w:val="002765D1"/>
    <w:rsid w:val="002768E1"/>
    <w:rsid w:val="00276E2F"/>
    <w:rsid w:val="00277157"/>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6D3C"/>
    <w:rsid w:val="00287171"/>
    <w:rsid w:val="00287D88"/>
    <w:rsid w:val="002906B8"/>
    <w:rsid w:val="002907B1"/>
    <w:rsid w:val="00290C2C"/>
    <w:rsid w:val="00290F9F"/>
    <w:rsid w:val="00290FF8"/>
    <w:rsid w:val="0029142B"/>
    <w:rsid w:val="00291FBD"/>
    <w:rsid w:val="0029217E"/>
    <w:rsid w:val="0029248F"/>
    <w:rsid w:val="00292755"/>
    <w:rsid w:val="00292807"/>
    <w:rsid w:val="002929D8"/>
    <w:rsid w:val="00292F46"/>
    <w:rsid w:val="00292F7D"/>
    <w:rsid w:val="00293A5F"/>
    <w:rsid w:val="00293AC5"/>
    <w:rsid w:val="00294074"/>
    <w:rsid w:val="002943B4"/>
    <w:rsid w:val="0029486D"/>
    <w:rsid w:val="00294983"/>
    <w:rsid w:val="00295774"/>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5D4"/>
    <w:rsid w:val="002A1657"/>
    <w:rsid w:val="002A1964"/>
    <w:rsid w:val="002A2D48"/>
    <w:rsid w:val="002A2D63"/>
    <w:rsid w:val="002A3076"/>
    <w:rsid w:val="002A32CD"/>
    <w:rsid w:val="002A3A0D"/>
    <w:rsid w:val="002A3BCD"/>
    <w:rsid w:val="002A4C6E"/>
    <w:rsid w:val="002A4F46"/>
    <w:rsid w:val="002A54D9"/>
    <w:rsid w:val="002A55C5"/>
    <w:rsid w:val="002A5751"/>
    <w:rsid w:val="002A5753"/>
    <w:rsid w:val="002A62E2"/>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224"/>
    <w:rsid w:val="002B2422"/>
    <w:rsid w:val="002B2467"/>
    <w:rsid w:val="002B2D98"/>
    <w:rsid w:val="002B30BB"/>
    <w:rsid w:val="002B342E"/>
    <w:rsid w:val="002B358A"/>
    <w:rsid w:val="002B35CC"/>
    <w:rsid w:val="002B36E7"/>
    <w:rsid w:val="002B4AD7"/>
    <w:rsid w:val="002B59F0"/>
    <w:rsid w:val="002B5B01"/>
    <w:rsid w:val="002B62DC"/>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C29"/>
    <w:rsid w:val="002C5DC6"/>
    <w:rsid w:val="002C615B"/>
    <w:rsid w:val="002C6751"/>
    <w:rsid w:val="002C687A"/>
    <w:rsid w:val="002C6F5E"/>
    <w:rsid w:val="002C713B"/>
    <w:rsid w:val="002C736F"/>
    <w:rsid w:val="002C7374"/>
    <w:rsid w:val="002C7E46"/>
    <w:rsid w:val="002D030A"/>
    <w:rsid w:val="002D0D64"/>
    <w:rsid w:val="002D0E50"/>
    <w:rsid w:val="002D0EAC"/>
    <w:rsid w:val="002D1122"/>
    <w:rsid w:val="002D1694"/>
    <w:rsid w:val="002D1995"/>
    <w:rsid w:val="002D21B1"/>
    <w:rsid w:val="002D3317"/>
    <w:rsid w:val="002D3559"/>
    <w:rsid w:val="002D37EE"/>
    <w:rsid w:val="002D3881"/>
    <w:rsid w:val="002D3ADD"/>
    <w:rsid w:val="002D3D91"/>
    <w:rsid w:val="002D425B"/>
    <w:rsid w:val="002D557C"/>
    <w:rsid w:val="002D5768"/>
    <w:rsid w:val="002D598E"/>
    <w:rsid w:val="002D6291"/>
    <w:rsid w:val="002D6DAA"/>
    <w:rsid w:val="002D6E9E"/>
    <w:rsid w:val="002D7205"/>
    <w:rsid w:val="002D750A"/>
    <w:rsid w:val="002D772D"/>
    <w:rsid w:val="002E0065"/>
    <w:rsid w:val="002E00EE"/>
    <w:rsid w:val="002E04A9"/>
    <w:rsid w:val="002E064A"/>
    <w:rsid w:val="002E12EF"/>
    <w:rsid w:val="002E135A"/>
    <w:rsid w:val="002E1BB9"/>
    <w:rsid w:val="002E1C11"/>
    <w:rsid w:val="002E1DF2"/>
    <w:rsid w:val="002E257D"/>
    <w:rsid w:val="002E28DB"/>
    <w:rsid w:val="002E2EA6"/>
    <w:rsid w:val="002E359D"/>
    <w:rsid w:val="002E35C7"/>
    <w:rsid w:val="002E3EAA"/>
    <w:rsid w:val="002E401D"/>
    <w:rsid w:val="002E42B1"/>
    <w:rsid w:val="002E4311"/>
    <w:rsid w:val="002E43B9"/>
    <w:rsid w:val="002E5533"/>
    <w:rsid w:val="002E576A"/>
    <w:rsid w:val="002E5B28"/>
    <w:rsid w:val="002E606F"/>
    <w:rsid w:val="002E6188"/>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D7"/>
    <w:rsid w:val="002F773E"/>
    <w:rsid w:val="002F7B7C"/>
    <w:rsid w:val="003003F3"/>
    <w:rsid w:val="003003F9"/>
    <w:rsid w:val="00300709"/>
    <w:rsid w:val="003009AC"/>
    <w:rsid w:val="00300D81"/>
    <w:rsid w:val="003011D4"/>
    <w:rsid w:val="003015DF"/>
    <w:rsid w:val="00301891"/>
    <w:rsid w:val="003018E8"/>
    <w:rsid w:val="00301D84"/>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5C"/>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04"/>
    <w:rsid w:val="00317540"/>
    <w:rsid w:val="003176ED"/>
    <w:rsid w:val="00317AC2"/>
    <w:rsid w:val="00317BBF"/>
    <w:rsid w:val="00317DF8"/>
    <w:rsid w:val="00317EDF"/>
    <w:rsid w:val="003201FA"/>
    <w:rsid w:val="0032038F"/>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220"/>
    <w:rsid w:val="00326389"/>
    <w:rsid w:val="0032640E"/>
    <w:rsid w:val="0032655B"/>
    <w:rsid w:val="003268D2"/>
    <w:rsid w:val="00326931"/>
    <w:rsid w:val="003269D5"/>
    <w:rsid w:val="00327012"/>
    <w:rsid w:val="003277C4"/>
    <w:rsid w:val="003279E7"/>
    <w:rsid w:val="00330363"/>
    <w:rsid w:val="00330680"/>
    <w:rsid w:val="00330863"/>
    <w:rsid w:val="0033089F"/>
    <w:rsid w:val="00330AD8"/>
    <w:rsid w:val="00330C0E"/>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4A2"/>
    <w:rsid w:val="00347534"/>
    <w:rsid w:val="00347D6A"/>
    <w:rsid w:val="00350CA1"/>
    <w:rsid w:val="00350D45"/>
    <w:rsid w:val="00350F2B"/>
    <w:rsid w:val="003510C9"/>
    <w:rsid w:val="00351245"/>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A50"/>
    <w:rsid w:val="00361B6F"/>
    <w:rsid w:val="003621BC"/>
    <w:rsid w:val="0036298B"/>
    <w:rsid w:val="00362D2B"/>
    <w:rsid w:val="003634ED"/>
    <w:rsid w:val="00364460"/>
    <w:rsid w:val="00364549"/>
    <w:rsid w:val="00364C61"/>
    <w:rsid w:val="003652C3"/>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3A1"/>
    <w:rsid w:val="00373429"/>
    <w:rsid w:val="0037344E"/>
    <w:rsid w:val="00373662"/>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DC4"/>
    <w:rsid w:val="00380FE4"/>
    <w:rsid w:val="003816C4"/>
    <w:rsid w:val="00381DAE"/>
    <w:rsid w:val="003821C1"/>
    <w:rsid w:val="003826C8"/>
    <w:rsid w:val="003829D6"/>
    <w:rsid w:val="00383097"/>
    <w:rsid w:val="003831E2"/>
    <w:rsid w:val="00383A09"/>
    <w:rsid w:val="00383B87"/>
    <w:rsid w:val="00383DE1"/>
    <w:rsid w:val="00384C43"/>
    <w:rsid w:val="00385BC6"/>
    <w:rsid w:val="00385F5C"/>
    <w:rsid w:val="003871FA"/>
    <w:rsid w:val="003878DD"/>
    <w:rsid w:val="00387A6C"/>
    <w:rsid w:val="00390E7C"/>
    <w:rsid w:val="00391E8C"/>
    <w:rsid w:val="003923A0"/>
    <w:rsid w:val="00392652"/>
    <w:rsid w:val="003929A1"/>
    <w:rsid w:val="00392A6B"/>
    <w:rsid w:val="00392DB6"/>
    <w:rsid w:val="00393554"/>
    <w:rsid w:val="0039365A"/>
    <w:rsid w:val="00393E2D"/>
    <w:rsid w:val="0039470E"/>
    <w:rsid w:val="00394A4A"/>
    <w:rsid w:val="00394E3A"/>
    <w:rsid w:val="00394F80"/>
    <w:rsid w:val="003950BB"/>
    <w:rsid w:val="003953A0"/>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8D0"/>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1F96"/>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8A3"/>
    <w:rsid w:val="003C1D0D"/>
    <w:rsid w:val="003C232C"/>
    <w:rsid w:val="003C2C9B"/>
    <w:rsid w:val="003C2E99"/>
    <w:rsid w:val="003C3001"/>
    <w:rsid w:val="003C35E6"/>
    <w:rsid w:val="003C397B"/>
    <w:rsid w:val="003C43CD"/>
    <w:rsid w:val="003C484E"/>
    <w:rsid w:val="003C4EB5"/>
    <w:rsid w:val="003C5031"/>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27D"/>
    <w:rsid w:val="003E3AC0"/>
    <w:rsid w:val="003E3C5D"/>
    <w:rsid w:val="003E3D78"/>
    <w:rsid w:val="003E3DBA"/>
    <w:rsid w:val="003E4571"/>
    <w:rsid w:val="003E48D0"/>
    <w:rsid w:val="003E4CE0"/>
    <w:rsid w:val="003E50ED"/>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4D4F"/>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5A6"/>
    <w:rsid w:val="00402635"/>
    <w:rsid w:val="0040265D"/>
    <w:rsid w:val="00402A43"/>
    <w:rsid w:val="00402AD3"/>
    <w:rsid w:val="00402FF5"/>
    <w:rsid w:val="0040305B"/>
    <w:rsid w:val="004035B0"/>
    <w:rsid w:val="004035C7"/>
    <w:rsid w:val="00403C9F"/>
    <w:rsid w:val="004045CC"/>
    <w:rsid w:val="00404638"/>
    <w:rsid w:val="004048DD"/>
    <w:rsid w:val="00404A27"/>
    <w:rsid w:val="00404FF9"/>
    <w:rsid w:val="00405453"/>
    <w:rsid w:val="00405739"/>
    <w:rsid w:val="00406853"/>
    <w:rsid w:val="00406988"/>
    <w:rsid w:val="00406A35"/>
    <w:rsid w:val="00406C0C"/>
    <w:rsid w:val="004075C4"/>
    <w:rsid w:val="004079AA"/>
    <w:rsid w:val="004100AA"/>
    <w:rsid w:val="004100DB"/>
    <w:rsid w:val="004102A7"/>
    <w:rsid w:val="00410993"/>
    <w:rsid w:val="0041139A"/>
    <w:rsid w:val="004115D4"/>
    <w:rsid w:val="00412388"/>
    <w:rsid w:val="004123D9"/>
    <w:rsid w:val="004128F8"/>
    <w:rsid w:val="00412957"/>
    <w:rsid w:val="00412C02"/>
    <w:rsid w:val="00412D6D"/>
    <w:rsid w:val="004133B7"/>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2F3"/>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94E"/>
    <w:rsid w:val="00450C2E"/>
    <w:rsid w:val="00450DA2"/>
    <w:rsid w:val="004510B3"/>
    <w:rsid w:val="004510EA"/>
    <w:rsid w:val="004515DA"/>
    <w:rsid w:val="00451618"/>
    <w:rsid w:val="0045181A"/>
    <w:rsid w:val="00451A0B"/>
    <w:rsid w:val="00451AD6"/>
    <w:rsid w:val="0045311F"/>
    <w:rsid w:val="0045337C"/>
    <w:rsid w:val="004537A0"/>
    <w:rsid w:val="00453CC2"/>
    <w:rsid w:val="00453DB6"/>
    <w:rsid w:val="00453F33"/>
    <w:rsid w:val="00453F82"/>
    <w:rsid w:val="00454257"/>
    <w:rsid w:val="00454259"/>
    <w:rsid w:val="004551C0"/>
    <w:rsid w:val="004553BE"/>
    <w:rsid w:val="0045611A"/>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76"/>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2CB7"/>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5A8C"/>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A4"/>
    <w:rsid w:val="004A18BB"/>
    <w:rsid w:val="004A1B24"/>
    <w:rsid w:val="004A1EF4"/>
    <w:rsid w:val="004A1FD7"/>
    <w:rsid w:val="004A20DC"/>
    <w:rsid w:val="004A2BD3"/>
    <w:rsid w:val="004A2E54"/>
    <w:rsid w:val="004A2F2B"/>
    <w:rsid w:val="004A2FA8"/>
    <w:rsid w:val="004A3946"/>
    <w:rsid w:val="004A4AB8"/>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A7CC5"/>
    <w:rsid w:val="004B02C3"/>
    <w:rsid w:val="004B0327"/>
    <w:rsid w:val="004B04B0"/>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2BF9"/>
    <w:rsid w:val="004C35D0"/>
    <w:rsid w:val="004C3937"/>
    <w:rsid w:val="004C3FD2"/>
    <w:rsid w:val="004C40B9"/>
    <w:rsid w:val="004C47F3"/>
    <w:rsid w:val="004C4947"/>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42C"/>
    <w:rsid w:val="004E2854"/>
    <w:rsid w:val="004E30BA"/>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9C2"/>
    <w:rsid w:val="004E7E26"/>
    <w:rsid w:val="004E7F43"/>
    <w:rsid w:val="004F01A2"/>
    <w:rsid w:val="004F0267"/>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4DE"/>
    <w:rsid w:val="004F452E"/>
    <w:rsid w:val="004F45B3"/>
    <w:rsid w:val="004F4D2F"/>
    <w:rsid w:val="004F5A02"/>
    <w:rsid w:val="004F5AC2"/>
    <w:rsid w:val="004F5C2F"/>
    <w:rsid w:val="004F5F52"/>
    <w:rsid w:val="004F641D"/>
    <w:rsid w:val="004F64A1"/>
    <w:rsid w:val="004F6BEB"/>
    <w:rsid w:val="004F6FEB"/>
    <w:rsid w:val="004F7604"/>
    <w:rsid w:val="004F780C"/>
    <w:rsid w:val="004F782C"/>
    <w:rsid w:val="004F7B28"/>
    <w:rsid w:val="00500263"/>
    <w:rsid w:val="00500DA4"/>
    <w:rsid w:val="00500FBC"/>
    <w:rsid w:val="005012C6"/>
    <w:rsid w:val="005018D2"/>
    <w:rsid w:val="00501901"/>
    <w:rsid w:val="0050193D"/>
    <w:rsid w:val="005019DF"/>
    <w:rsid w:val="00501B6A"/>
    <w:rsid w:val="00501B7D"/>
    <w:rsid w:val="00501C1C"/>
    <w:rsid w:val="00501D79"/>
    <w:rsid w:val="005021A9"/>
    <w:rsid w:val="00502C6B"/>
    <w:rsid w:val="00502CB4"/>
    <w:rsid w:val="0050313D"/>
    <w:rsid w:val="0050317E"/>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98"/>
    <w:rsid w:val="00507AF2"/>
    <w:rsid w:val="00507E34"/>
    <w:rsid w:val="00507E45"/>
    <w:rsid w:val="00507F36"/>
    <w:rsid w:val="0051011C"/>
    <w:rsid w:val="0051029F"/>
    <w:rsid w:val="00510657"/>
    <w:rsid w:val="00510A00"/>
    <w:rsid w:val="00511216"/>
    <w:rsid w:val="0051145C"/>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3E"/>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C29"/>
    <w:rsid w:val="00540F1E"/>
    <w:rsid w:val="005410AB"/>
    <w:rsid w:val="005413DF"/>
    <w:rsid w:val="0054165C"/>
    <w:rsid w:val="0054184A"/>
    <w:rsid w:val="00543344"/>
    <w:rsid w:val="005434A0"/>
    <w:rsid w:val="00543809"/>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8CB"/>
    <w:rsid w:val="00553B91"/>
    <w:rsid w:val="00553D6F"/>
    <w:rsid w:val="00553F8A"/>
    <w:rsid w:val="00554037"/>
    <w:rsid w:val="005550C7"/>
    <w:rsid w:val="005551C3"/>
    <w:rsid w:val="00555ED6"/>
    <w:rsid w:val="00555F0B"/>
    <w:rsid w:val="005566AB"/>
    <w:rsid w:val="00556B3C"/>
    <w:rsid w:val="00556BE0"/>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2D7"/>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28"/>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0F"/>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3A23"/>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C7C70"/>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CC6"/>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A4"/>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242"/>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047"/>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593"/>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03F"/>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67B"/>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807"/>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BB7"/>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1B11"/>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AD7"/>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A18"/>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63A"/>
    <w:rsid w:val="00672C04"/>
    <w:rsid w:val="00672D1B"/>
    <w:rsid w:val="006731AA"/>
    <w:rsid w:val="00673206"/>
    <w:rsid w:val="00673563"/>
    <w:rsid w:val="0067394F"/>
    <w:rsid w:val="00673AC8"/>
    <w:rsid w:val="00673C5E"/>
    <w:rsid w:val="00673FAB"/>
    <w:rsid w:val="00674246"/>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375"/>
    <w:rsid w:val="00684AF0"/>
    <w:rsid w:val="00684B9D"/>
    <w:rsid w:val="00684D1A"/>
    <w:rsid w:val="00684EB0"/>
    <w:rsid w:val="00685485"/>
    <w:rsid w:val="00685812"/>
    <w:rsid w:val="00685A84"/>
    <w:rsid w:val="00685CFB"/>
    <w:rsid w:val="00686CB5"/>
    <w:rsid w:val="00687099"/>
    <w:rsid w:val="006870F3"/>
    <w:rsid w:val="00687A6B"/>
    <w:rsid w:val="00687C1D"/>
    <w:rsid w:val="006902D1"/>
    <w:rsid w:val="0069049F"/>
    <w:rsid w:val="00690530"/>
    <w:rsid w:val="00690682"/>
    <w:rsid w:val="00690879"/>
    <w:rsid w:val="00690E34"/>
    <w:rsid w:val="00691610"/>
    <w:rsid w:val="006916E1"/>
    <w:rsid w:val="00691A0D"/>
    <w:rsid w:val="00691B63"/>
    <w:rsid w:val="0069245B"/>
    <w:rsid w:val="006928CA"/>
    <w:rsid w:val="00692941"/>
    <w:rsid w:val="00692F8B"/>
    <w:rsid w:val="00692FB4"/>
    <w:rsid w:val="00693597"/>
    <w:rsid w:val="00693807"/>
    <w:rsid w:val="00694832"/>
    <w:rsid w:val="00694A04"/>
    <w:rsid w:val="006956FE"/>
    <w:rsid w:val="006958E3"/>
    <w:rsid w:val="00695A42"/>
    <w:rsid w:val="00695AC2"/>
    <w:rsid w:val="006960E9"/>
    <w:rsid w:val="00696B02"/>
    <w:rsid w:val="006A09FA"/>
    <w:rsid w:val="006A0E18"/>
    <w:rsid w:val="006A10EF"/>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6C1D"/>
    <w:rsid w:val="006A7238"/>
    <w:rsid w:val="006A756A"/>
    <w:rsid w:val="006A761D"/>
    <w:rsid w:val="006A797D"/>
    <w:rsid w:val="006A7A10"/>
    <w:rsid w:val="006A7E92"/>
    <w:rsid w:val="006B005C"/>
    <w:rsid w:val="006B05CF"/>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9F"/>
    <w:rsid w:val="007041BA"/>
    <w:rsid w:val="0070450A"/>
    <w:rsid w:val="00704C95"/>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995"/>
    <w:rsid w:val="00710E18"/>
    <w:rsid w:val="0071141B"/>
    <w:rsid w:val="007118DF"/>
    <w:rsid w:val="00711E12"/>
    <w:rsid w:val="00712300"/>
    <w:rsid w:val="00713061"/>
    <w:rsid w:val="00713399"/>
    <w:rsid w:val="00713FB1"/>
    <w:rsid w:val="007140FD"/>
    <w:rsid w:val="007144DA"/>
    <w:rsid w:val="007147A4"/>
    <w:rsid w:val="00715098"/>
    <w:rsid w:val="007151AB"/>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BCA"/>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349"/>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2AA"/>
    <w:rsid w:val="00740996"/>
    <w:rsid w:val="00740CE4"/>
    <w:rsid w:val="00740FDB"/>
    <w:rsid w:val="00741324"/>
    <w:rsid w:val="00741677"/>
    <w:rsid w:val="0074205D"/>
    <w:rsid w:val="00742608"/>
    <w:rsid w:val="00742962"/>
    <w:rsid w:val="00742C0F"/>
    <w:rsid w:val="00742C6B"/>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0C1"/>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5F4C"/>
    <w:rsid w:val="00756B73"/>
    <w:rsid w:val="00756E8A"/>
    <w:rsid w:val="00757140"/>
    <w:rsid w:val="00757219"/>
    <w:rsid w:val="0075725E"/>
    <w:rsid w:val="0075730C"/>
    <w:rsid w:val="007574CF"/>
    <w:rsid w:val="0075786E"/>
    <w:rsid w:val="0076041B"/>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722"/>
    <w:rsid w:val="00780887"/>
    <w:rsid w:val="00780B82"/>
    <w:rsid w:val="00780FEC"/>
    <w:rsid w:val="007812A6"/>
    <w:rsid w:val="007813F9"/>
    <w:rsid w:val="007815FA"/>
    <w:rsid w:val="007823A2"/>
    <w:rsid w:val="00782809"/>
    <w:rsid w:val="00782C97"/>
    <w:rsid w:val="00783055"/>
    <w:rsid w:val="00783135"/>
    <w:rsid w:val="00783154"/>
    <w:rsid w:val="00783822"/>
    <w:rsid w:val="00783A17"/>
    <w:rsid w:val="00783C45"/>
    <w:rsid w:val="0078400A"/>
    <w:rsid w:val="00784292"/>
    <w:rsid w:val="00784297"/>
    <w:rsid w:val="00784313"/>
    <w:rsid w:val="0078446E"/>
    <w:rsid w:val="00784511"/>
    <w:rsid w:val="007846D1"/>
    <w:rsid w:val="0078476B"/>
    <w:rsid w:val="00784821"/>
    <w:rsid w:val="00784AF9"/>
    <w:rsid w:val="00784C2F"/>
    <w:rsid w:val="00784C4A"/>
    <w:rsid w:val="00784FE3"/>
    <w:rsid w:val="007850EE"/>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756"/>
    <w:rsid w:val="00795A9E"/>
    <w:rsid w:val="00795FAE"/>
    <w:rsid w:val="007960DB"/>
    <w:rsid w:val="007960DE"/>
    <w:rsid w:val="0079676B"/>
    <w:rsid w:val="00796A5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3CB"/>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2BB3"/>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38"/>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BC"/>
    <w:rsid w:val="007E34E2"/>
    <w:rsid w:val="007E3A08"/>
    <w:rsid w:val="007E3ECC"/>
    <w:rsid w:val="007E4E5E"/>
    <w:rsid w:val="007E4EBC"/>
    <w:rsid w:val="007E56C7"/>
    <w:rsid w:val="007E57C1"/>
    <w:rsid w:val="007E61F1"/>
    <w:rsid w:val="007E6346"/>
    <w:rsid w:val="007E6672"/>
    <w:rsid w:val="007E66F8"/>
    <w:rsid w:val="007E6B8B"/>
    <w:rsid w:val="007E6EE8"/>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CA"/>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2EE"/>
    <w:rsid w:val="00800327"/>
    <w:rsid w:val="00800476"/>
    <w:rsid w:val="00800491"/>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69B"/>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2F"/>
    <w:rsid w:val="00832DD0"/>
    <w:rsid w:val="00833405"/>
    <w:rsid w:val="00833C6F"/>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BC8"/>
    <w:rsid w:val="00846D0B"/>
    <w:rsid w:val="00846E89"/>
    <w:rsid w:val="00847021"/>
    <w:rsid w:val="00847D32"/>
    <w:rsid w:val="00847DB8"/>
    <w:rsid w:val="00847E67"/>
    <w:rsid w:val="00850546"/>
    <w:rsid w:val="008506DD"/>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4C32"/>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19F"/>
    <w:rsid w:val="0089277A"/>
    <w:rsid w:val="00892A2C"/>
    <w:rsid w:val="00892D4E"/>
    <w:rsid w:val="008930C6"/>
    <w:rsid w:val="0089384F"/>
    <w:rsid w:val="00893FE4"/>
    <w:rsid w:val="00894515"/>
    <w:rsid w:val="008949C9"/>
    <w:rsid w:val="00894BC1"/>
    <w:rsid w:val="00895081"/>
    <w:rsid w:val="00895385"/>
    <w:rsid w:val="00895F4A"/>
    <w:rsid w:val="0089621C"/>
    <w:rsid w:val="0089636C"/>
    <w:rsid w:val="00896441"/>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5CD0"/>
    <w:rsid w:val="008A623F"/>
    <w:rsid w:val="008A6DDE"/>
    <w:rsid w:val="008A6E9C"/>
    <w:rsid w:val="008A7A16"/>
    <w:rsid w:val="008A7EE3"/>
    <w:rsid w:val="008B0044"/>
    <w:rsid w:val="008B03F7"/>
    <w:rsid w:val="008B04E2"/>
    <w:rsid w:val="008B06F7"/>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B7F54"/>
    <w:rsid w:val="008C0646"/>
    <w:rsid w:val="008C071F"/>
    <w:rsid w:val="008C0BF0"/>
    <w:rsid w:val="008C0CE8"/>
    <w:rsid w:val="008C0F5B"/>
    <w:rsid w:val="008C103B"/>
    <w:rsid w:val="008C141F"/>
    <w:rsid w:val="008C1856"/>
    <w:rsid w:val="008C197A"/>
    <w:rsid w:val="008C1C24"/>
    <w:rsid w:val="008C23B6"/>
    <w:rsid w:val="008C2785"/>
    <w:rsid w:val="008C3517"/>
    <w:rsid w:val="008C36D0"/>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790"/>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4EA"/>
    <w:rsid w:val="008D5790"/>
    <w:rsid w:val="008D5C28"/>
    <w:rsid w:val="008D60F2"/>
    <w:rsid w:val="008D6386"/>
    <w:rsid w:val="008D6716"/>
    <w:rsid w:val="008D6D5A"/>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6EC"/>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2B3B"/>
    <w:rsid w:val="00903B64"/>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A5"/>
    <w:rsid w:val="009121C2"/>
    <w:rsid w:val="00912A82"/>
    <w:rsid w:val="00913079"/>
    <w:rsid w:val="009134CE"/>
    <w:rsid w:val="00913976"/>
    <w:rsid w:val="00913D28"/>
    <w:rsid w:val="00913F74"/>
    <w:rsid w:val="009140E6"/>
    <w:rsid w:val="009141A8"/>
    <w:rsid w:val="009147E6"/>
    <w:rsid w:val="00914AD2"/>
    <w:rsid w:val="00914B40"/>
    <w:rsid w:val="00914BBA"/>
    <w:rsid w:val="00914E6C"/>
    <w:rsid w:val="009150C8"/>
    <w:rsid w:val="00915375"/>
    <w:rsid w:val="00915AA6"/>
    <w:rsid w:val="00916221"/>
    <w:rsid w:val="00916529"/>
    <w:rsid w:val="00916B98"/>
    <w:rsid w:val="00916E27"/>
    <w:rsid w:val="00916FE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15B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017"/>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67CB0"/>
    <w:rsid w:val="00970041"/>
    <w:rsid w:val="0097029F"/>
    <w:rsid w:val="009707D9"/>
    <w:rsid w:val="009708B5"/>
    <w:rsid w:val="00970AB9"/>
    <w:rsid w:val="00971148"/>
    <w:rsid w:val="009712E5"/>
    <w:rsid w:val="009712EF"/>
    <w:rsid w:val="00971581"/>
    <w:rsid w:val="00971815"/>
    <w:rsid w:val="0097183F"/>
    <w:rsid w:val="00972413"/>
    <w:rsid w:val="00972940"/>
    <w:rsid w:val="00972B99"/>
    <w:rsid w:val="00972D81"/>
    <w:rsid w:val="00972E4C"/>
    <w:rsid w:val="00973372"/>
    <w:rsid w:val="009739A1"/>
    <w:rsid w:val="00973CFF"/>
    <w:rsid w:val="00974B81"/>
    <w:rsid w:val="00974C56"/>
    <w:rsid w:val="00974C95"/>
    <w:rsid w:val="009757FB"/>
    <w:rsid w:val="00975981"/>
    <w:rsid w:val="00975AB2"/>
    <w:rsid w:val="00975B8D"/>
    <w:rsid w:val="00976526"/>
    <w:rsid w:val="009768B2"/>
    <w:rsid w:val="00976C8F"/>
    <w:rsid w:val="00976DCC"/>
    <w:rsid w:val="00976E83"/>
    <w:rsid w:val="00976F71"/>
    <w:rsid w:val="009770A3"/>
    <w:rsid w:val="009777B8"/>
    <w:rsid w:val="00977A54"/>
    <w:rsid w:val="00980251"/>
    <w:rsid w:val="00980DB0"/>
    <w:rsid w:val="00980E3A"/>
    <w:rsid w:val="00980E8B"/>
    <w:rsid w:val="009814A9"/>
    <w:rsid w:val="009817EE"/>
    <w:rsid w:val="00981B56"/>
    <w:rsid w:val="00981F6A"/>
    <w:rsid w:val="00981FA9"/>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1B"/>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05D"/>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C22"/>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5BC"/>
    <w:rsid w:val="009B2BFF"/>
    <w:rsid w:val="009B2FD0"/>
    <w:rsid w:val="009B352E"/>
    <w:rsid w:val="009B353E"/>
    <w:rsid w:val="009B35F6"/>
    <w:rsid w:val="009B3F90"/>
    <w:rsid w:val="009B3FE6"/>
    <w:rsid w:val="009B4014"/>
    <w:rsid w:val="009B4398"/>
    <w:rsid w:val="009B47E3"/>
    <w:rsid w:val="009B4B7C"/>
    <w:rsid w:val="009B4CF5"/>
    <w:rsid w:val="009B5209"/>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3100"/>
    <w:rsid w:val="009C3C28"/>
    <w:rsid w:val="009C42C5"/>
    <w:rsid w:val="009C4305"/>
    <w:rsid w:val="009C44EB"/>
    <w:rsid w:val="009C4A3F"/>
    <w:rsid w:val="009C4AB2"/>
    <w:rsid w:val="009C58D4"/>
    <w:rsid w:val="009C62B8"/>
    <w:rsid w:val="009C66AD"/>
    <w:rsid w:val="009C66E0"/>
    <w:rsid w:val="009C6AE0"/>
    <w:rsid w:val="009C6C11"/>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13D"/>
    <w:rsid w:val="009D5A46"/>
    <w:rsid w:val="009D5A8C"/>
    <w:rsid w:val="009D5AFF"/>
    <w:rsid w:val="009D5DB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E7FED"/>
    <w:rsid w:val="009F0B9D"/>
    <w:rsid w:val="009F0DB5"/>
    <w:rsid w:val="009F1997"/>
    <w:rsid w:val="009F2098"/>
    <w:rsid w:val="009F26C1"/>
    <w:rsid w:val="009F2858"/>
    <w:rsid w:val="009F2B45"/>
    <w:rsid w:val="009F34D6"/>
    <w:rsid w:val="009F3950"/>
    <w:rsid w:val="009F3A1F"/>
    <w:rsid w:val="009F3C54"/>
    <w:rsid w:val="009F4246"/>
    <w:rsid w:val="009F43DB"/>
    <w:rsid w:val="009F43EE"/>
    <w:rsid w:val="009F4730"/>
    <w:rsid w:val="009F4ACC"/>
    <w:rsid w:val="009F4F0A"/>
    <w:rsid w:val="009F4FA0"/>
    <w:rsid w:val="009F5000"/>
    <w:rsid w:val="009F5D1E"/>
    <w:rsid w:val="009F68D8"/>
    <w:rsid w:val="009F698E"/>
    <w:rsid w:val="009F6BF4"/>
    <w:rsid w:val="009F749F"/>
    <w:rsid w:val="009F756F"/>
    <w:rsid w:val="00A0047E"/>
    <w:rsid w:val="00A0054E"/>
    <w:rsid w:val="00A00B41"/>
    <w:rsid w:val="00A00B9D"/>
    <w:rsid w:val="00A00CED"/>
    <w:rsid w:val="00A0132B"/>
    <w:rsid w:val="00A01651"/>
    <w:rsid w:val="00A01BC4"/>
    <w:rsid w:val="00A01BEB"/>
    <w:rsid w:val="00A02060"/>
    <w:rsid w:val="00A020F8"/>
    <w:rsid w:val="00A021A1"/>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073B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2470"/>
    <w:rsid w:val="00A232D6"/>
    <w:rsid w:val="00A234E3"/>
    <w:rsid w:val="00A2376B"/>
    <w:rsid w:val="00A238C8"/>
    <w:rsid w:val="00A2455A"/>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2E1"/>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7F9"/>
    <w:rsid w:val="00A53C71"/>
    <w:rsid w:val="00A53C72"/>
    <w:rsid w:val="00A544C9"/>
    <w:rsid w:val="00A54B30"/>
    <w:rsid w:val="00A54E76"/>
    <w:rsid w:val="00A551D1"/>
    <w:rsid w:val="00A551E3"/>
    <w:rsid w:val="00A55370"/>
    <w:rsid w:val="00A5545B"/>
    <w:rsid w:val="00A55483"/>
    <w:rsid w:val="00A55527"/>
    <w:rsid w:val="00A55F4C"/>
    <w:rsid w:val="00A55F51"/>
    <w:rsid w:val="00A56A3A"/>
    <w:rsid w:val="00A56EC1"/>
    <w:rsid w:val="00A570D8"/>
    <w:rsid w:val="00A5734F"/>
    <w:rsid w:val="00A5756A"/>
    <w:rsid w:val="00A575FC"/>
    <w:rsid w:val="00A577A7"/>
    <w:rsid w:val="00A57DE2"/>
    <w:rsid w:val="00A600B0"/>
    <w:rsid w:val="00A60CB2"/>
    <w:rsid w:val="00A61821"/>
    <w:rsid w:val="00A61DFE"/>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0A3"/>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662"/>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0A9"/>
    <w:rsid w:val="00AA67A0"/>
    <w:rsid w:val="00AA67E0"/>
    <w:rsid w:val="00AA6B8D"/>
    <w:rsid w:val="00AA6F01"/>
    <w:rsid w:val="00AA7281"/>
    <w:rsid w:val="00AA7615"/>
    <w:rsid w:val="00AA7FA7"/>
    <w:rsid w:val="00AB014D"/>
    <w:rsid w:val="00AB01CF"/>
    <w:rsid w:val="00AB02C7"/>
    <w:rsid w:val="00AB0432"/>
    <w:rsid w:val="00AB04D8"/>
    <w:rsid w:val="00AB09D2"/>
    <w:rsid w:val="00AB11AB"/>
    <w:rsid w:val="00AB16D7"/>
    <w:rsid w:val="00AB201B"/>
    <w:rsid w:val="00AB2227"/>
    <w:rsid w:val="00AB225F"/>
    <w:rsid w:val="00AB29B4"/>
    <w:rsid w:val="00AB2AC8"/>
    <w:rsid w:val="00AB2B0B"/>
    <w:rsid w:val="00AB2C34"/>
    <w:rsid w:val="00AB2EF4"/>
    <w:rsid w:val="00AB3628"/>
    <w:rsid w:val="00AB385A"/>
    <w:rsid w:val="00AB3D7D"/>
    <w:rsid w:val="00AB3DBE"/>
    <w:rsid w:val="00AB3E54"/>
    <w:rsid w:val="00AB3E9E"/>
    <w:rsid w:val="00AB3F7F"/>
    <w:rsid w:val="00AB4104"/>
    <w:rsid w:val="00AB411F"/>
    <w:rsid w:val="00AB43A1"/>
    <w:rsid w:val="00AB51C0"/>
    <w:rsid w:val="00AB534C"/>
    <w:rsid w:val="00AB5D79"/>
    <w:rsid w:val="00AB5F3F"/>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2"/>
    <w:rsid w:val="00AC774B"/>
    <w:rsid w:val="00AC7764"/>
    <w:rsid w:val="00AC77A8"/>
    <w:rsid w:val="00AC79E0"/>
    <w:rsid w:val="00AC7BCD"/>
    <w:rsid w:val="00AD0B10"/>
    <w:rsid w:val="00AD13BD"/>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B37"/>
    <w:rsid w:val="00AD4DD7"/>
    <w:rsid w:val="00AD4FE1"/>
    <w:rsid w:val="00AD5036"/>
    <w:rsid w:val="00AD54E6"/>
    <w:rsid w:val="00AD57F7"/>
    <w:rsid w:val="00AD5B71"/>
    <w:rsid w:val="00AD5F0D"/>
    <w:rsid w:val="00AD66C2"/>
    <w:rsid w:val="00AD694C"/>
    <w:rsid w:val="00AD6CD5"/>
    <w:rsid w:val="00AE0B01"/>
    <w:rsid w:val="00AE0E18"/>
    <w:rsid w:val="00AE0F32"/>
    <w:rsid w:val="00AE138E"/>
    <w:rsid w:val="00AE24F3"/>
    <w:rsid w:val="00AE294C"/>
    <w:rsid w:val="00AE2CC4"/>
    <w:rsid w:val="00AE2F10"/>
    <w:rsid w:val="00AE33F4"/>
    <w:rsid w:val="00AE3D96"/>
    <w:rsid w:val="00AE3FDC"/>
    <w:rsid w:val="00AE4DE0"/>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CD9"/>
    <w:rsid w:val="00B00DF5"/>
    <w:rsid w:val="00B010E8"/>
    <w:rsid w:val="00B016C1"/>
    <w:rsid w:val="00B01DB3"/>
    <w:rsid w:val="00B01DCC"/>
    <w:rsid w:val="00B028CB"/>
    <w:rsid w:val="00B032A5"/>
    <w:rsid w:val="00B036D5"/>
    <w:rsid w:val="00B03969"/>
    <w:rsid w:val="00B040F3"/>
    <w:rsid w:val="00B04283"/>
    <w:rsid w:val="00B05096"/>
    <w:rsid w:val="00B05427"/>
    <w:rsid w:val="00B05441"/>
    <w:rsid w:val="00B0569A"/>
    <w:rsid w:val="00B05B62"/>
    <w:rsid w:val="00B05C99"/>
    <w:rsid w:val="00B07101"/>
    <w:rsid w:val="00B07463"/>
    <w:rsid w:val="00B07994"/>
    <w:rsid w:val="00B103D7"/>
    <w:rsid w:val="00B1078C"/>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60A"/>
    <w:rsid w:val="00B208FE"/>
    <w:rsid w:val="00B21274"/>
    <w:rsid w:val="00B21548"/>
    <w:rsid w:val="00B22006"/>
    <w:rsid w:val="00B22030"/>
    <w:rsid w:val="00B222F2"/>
    <w:rsid w:val="00B2286F"/>
    <w:rsid w:val="00B23047"/>
    <w:rsid w:val="00B23990"/>
    <w:rsid w:val="00B23DDF"/>
    <w:rsid w:val="00B243CB"/>
    <w:rsid w:val="00B245C2"/>
    <w:rsid w:val="00B24B14"/>
    <w:rsid w:val="00B25327"/>
    <w:rsid w:val="00B25399"/>
    <w:rsid w:val="00B25C8A"/>
    <w:rsid w:val="00B26198"/>
    <w:rsid w:val="00B26A01"/>
    <w:rsid w:val="00B26E5D"/>
    <w:rsid w:val="00B27499"/>
    <w:rsid w:val="00B2756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3"/>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159"/>
    <w:rsid w:val="00B4775B"/>
    <w:rsid w:val="00B47807"/>
    <w:rsid w:val="00B47C39"/>
    <w:rsid w:val="00B50014"/>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5751B"/>
    <w:rsid w:val="00B60E6D"/>
    <w:rsid w:val="00B60F50"/>
    <w:rsid w:val="00B61765"/>
    <w:rsid w:val="00B61CF8"/>
    <w:rsid w:val="00B62298"/>
    <w:rsid w:val="00B6242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26CE"/>
    <w:rsid w:val="00B73281"/>
    <w:rsid w:val="00B735C5"/>
    <w:rsid w:val="00B739E0"/>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4E2"/>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E7D"/>
    <w:rsid w:val="00B94F5C"/>
    <w:rsid w:val="00B95298"/>
    <w:rsid w:val="00B9534D"/>
    <w:rsid w:val="00B95418"/>
    <w:rsid w:val="00B9580D"/>
    <w:rsid w:val="00B960C3"/>
    <w:rsid w:val="00B96681"/>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3BED"/>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0B"/>
    <w:rsid w:val="00BA70FA"/>
    <w:rsid w:val="00BA71FA"/>
    <w:rsid w:val="00BA75D7"/>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2DF"/>
    <w:rsid w:val="00BB6CD7"/>
    <w:rsid w:val="00BB705C"/>
    <w:rsid w:val="00BB77BA"/>
    <w:rsid w:val="00BC0B46"/>
    <w:rsid w:val="00BC1085"/>
    <w:rsid w:val="00BC1340"/>
    <w:rsid w:val="00BC151A"/>
    <w:rsid w:val="00BC1625"/>
    <w:rsid w:val="00BC1798"/>
    <w:rsid w:val="00BC1E22"/>
    <w:rsid w:val="00BC215D"/>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0F6"/>
    <w:rsid w:val="00BD03AA"/>
    <w:rsid w:val="00BD0A04"/>
    <w:rsid w:val="00BD0F8C"/>
    <w:rsid w:val="00BD115D"/>
    <w:rsid w:val="00BD11D5"/>
    <w:rsid w:val="00BD11F4"/>
    <w:rsid w:val="00BD164D"/>
    <w:rsid w:val="00BD2013"/>
    <w:rsid w:val="00BD25D2"/>
    <w:rsid w:val="00BD2E1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69C"/>
    <w:rsid w:val="00BD7CB3"/>
    <w:rsid w:val="00BE0853"/>
    <w:rsid w:val="00BE1AE6"/>
    <w:rsid w:val="00BE1BE4"/>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8E5"/>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80"/>
    <w:rsid w:val="00BF179E"/>
    <w:rsid w:val="00BF1F1A"/>
    <w:rsid w:val="00BF23B3"/>
    <w:rsid w:val="00BF2581"/>
    <w:rsid w:val="00BF25A5"/>
    <w:rsid w:val="00BF25CD"/>
    <w:rsid w:val="00BF2619"/>
    <w:rsid w:val="00BF39CB"/>
    <w:rsid w:val="00BF4010"/>
    <w:rsid w:val="00BF40BE"/>
    <w:rsid w:val="00BF413E"/>
    <w:rsid w:val="00BF4871"/>
    <w:rsid w:val="00BF497A"/>
    <w:rsid w:val="00BF4D96"/>
    <w:rsid w:val="00BF4FF9"/>
    <w:rsid w:val="00BF5187"/>
    <w:rsid w:val="00BF5503"/>
    <w:rsid w:val="00BF583A"/>
    <w:rsid w:val="00BF5EA9"/>
    <w:rsid w:val="00BF63CE"/>
    <w:rsid w:val="00BF6547"/>
    <w:rsid w:val="00BF6D7F"/>
    <w:rsid w:val="00BF759B"/>
    <w:rsid w:val="00BF7C86"/>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6DB"/>
    <w:rsid w:val="00C12D47"/>
    <w:rsid w:val="00C12E29"/>
    <w:rsid w:val="00C1316E"/>
    <w:rsid w:val="00C138DD"/>
    <w:rsid w:val="00C13A27"/>
    <w:rsid w:val="00C151E5"/>
    <w:rsid w:val="00C1524F"/>
    <w:rsid w:val="00C15373"/>
    <w:rsid w:val="00C15756"/>
    <w:rsid w:val="00C15817"/>
    <w:rsid w:val="00C158ED"/>
    <w:rsid w:val="00C15C49"/>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4E70"/>
    <w:rsid w:val="00C261F8"/>
    <w:rsid w:val="00C27242"/>
    <w:rsid w:val="00C27B8F"/>
    <w:rsid w:val="00C3067F"/>
    <w:rsid w:val="00C30898"/>
    <w:rsid w:val="00C309FC"/>
    <w:rsid w:val="00C30E37"/>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879"/>
    <w:rsid w:val="00C37966"/>
    <w:rsid w:val="00C37AE9"/>
    <w:rsid w:val="00C37AF2"/>
    <w:rsid w:val="00C37C70"/>
    <w:rsid w:val="00C37CC0"/>
    <w:rsid w:val="00C40219"/>
    <w:rsid w:val="00C40992"/>
    <w:rsid w:val="00C40A9C"/>
    <w:rsid w:val="00C40CD9"/>
    <w:rsid w:val="00C4183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4AF2"/>
    <w:rsid w:val="00C54B4B"/>
    <w:rsid w:val="00C554B4"/>
    <w:rsid w:val="00C5552D"/>
    <w:rsid w:val="00C55B06"/>
    <w:rsid w:val="00C5614F"/>
    <w:rsid w:val="00C56158"/>
    <w:rsid w:val="00C56311"/>
    <w:rsid w:val="00C56525"/>
    <w:rsid w:val="00C5694F"/>
    <w:rsid w:val="00C56A63"/>
    <w:rsid w:val="00C56CA8"/>
    <w:rsid w:val="00C570F9"/>
    <w:rsid w:val="00C571B0"/>
    <w:rsid w:val="00C600A2"/>
    <w:rsid w:val="00C603E4"/>
    <w:rsid w:val="00C60425"/>
    <w:rsid w:val="00C604AB"/>
    <w:rsid w:val="00C60620"/>
    <w:rsid w:val="00C6063C"/>
    <w:rsid w:val="00C60778"/>
    <w:rsid w:val="00C60B79"/>
    <w:rsid w:val="00C61A5C"/>
    <w:rsid w:val="00C61B3B"/>
    <w:rsid w:val="00C62014"/>
    <w:rsid w:val="00C62999"/>
    <w:rsid w:val="00C62B79"/>
    <w:rsid w:val="00C638E3"/>
    <w:rsid w:val="00C638FC"/>
    <w:rsid w:val="00C63E3B"/>
    <w:rsid w:val="00C647D3"/>
    <w:rsid w:val="00C64929"/>
    <w:rsid w:val="00C64E25"/>
    <w:rsid w:val="00C65438"/>
    <w:rsid w:val="00C6639C"/>
    <w:rsid w:val="00C6665B"/>
    <w:rsid w:val="00C668F5"/>
    <w:rsid w:val="00C670ED"/>
    <w:rsid w:val="00C67112"/>
    <w:rsid w:val="00C6771C"/>
    <w:rsid w:val="00C67A23"/>
    <w:rsid w:val="00C7017B"/>
    <w:rsid w:val="00C702A3"/>
    <w:rsid w:val="00C705C2"/>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4E6"/>
    <w:rsid w:val="00C84820"/>
    <w:rsid w:val="00C84A0F"/>
    <w:rsid w:val="00C84FA0"/>
    <w:rsid w:val="00C85513"/>
    <w:rsid w:val="00C859F9"/>
    <w:rsid w:val="00C85A0A"/>
    <w:rsid w:val="00C85E79"/>
    <w:rsid w:val="00C85F26"/>
    <w:rsid w:val="00C860B7"/>
    <w:rsid w:val="00C87077"/>
    <w:rsid w:val="00C8748F"/>
    <w:rsid w:val="00C8761A"/>
    <w:rsid w:val="00C8789F"/>
    <w:rsid w:val="00C87C09"/>
    <w:rsid w:val="00C90566"/>
    <w:rsid w:val="00C9061F"/>
    <w:rsid w:val="00C90638"/>
    <w:rsid w:val="00C90882"/>
    <w:rsid w:val="00C90E77"/>
    <w:rsid w:val="00C912C0"/>
    <w:rsid w:val="00C91472"/>
    <w:rsid w:val="00C91859"/>
    <w:rsid w:val="00C918AF"/>
    <w:rsid w:val="00C919C8"/>
    <w:rsid w:val="00C91C11"/>
    <w:rsid w:val="00C91D8B"/>
    <w:rsid w:val="00C920FE"/>
    <w:rsid w:val="00C921DC"/>
    <w:rsid w:val="00C92A72"/>
    <w:rsid w:val="00C92BF3"/>
    <w:rsid w:val="00C92FB0"/>
    <w:rsid w:val="00C93525"/>
    <w:rsid w:val="00C941BF"/>
    <w:rsid w:val="00C94386"/>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A39"/>
    <w:rsid w:val="00CB7C7A"/>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3F0"/>
    <w:rsid w:val="00CD04DC"/>
    <w:rsid w:val="00CD0789"/>
    <w:rsid w:val="00CD0D42"/>
    <w:rsid w:val="00CD1538"/>
    <w:rsid w:val="00CD2066"/>
    <w:rsid w:val="00CD4080"/>
    <w:rsid w:val="00CD47B2"/>
    <w:rsid w:val="00CD522E"/>
    <w:rsid w:val="00CD550D"/>
    <w:rsid w:val="00CD55CD"/>
    <w:rsid w:val="00CD5BC5"/>
    <w:rsid w:val="00CD5D7E"/>
    <w:rsid w:val="00CD5E31"/>
    <w:rsid w:val="00CD5ED8"/>
    <w:rsid w:val="00CD627A"/>
    <w:rsid w:val="00CD6631"/>
    <w:rsid w:val="00CD676B"/>
    <w:rsid w:val="00CD6975"/>
    <w:rsid w:val="00CD7404"/>
    <w:rsid w:val="00CD7520"/>
    <w:rsid w:val="00CD7659"/>
    <w:rsid w:val="00CE0085"/>
    <w:rsid w:val="00CE01B6"/>
    <w:rsid w:val="00CE0AEB"/>
    <w:rsid w:val="00CE0F54"/>
    <w:rsid w:val="00CE12F5"/>
    <w:rsid w:val="00CE134B"/>
    <w:rsid w:val="00CE13A9"/>
    <w:rsid w:val="00CE1B4C"/>
    <w:rsid w:val="00CE1BA0"/>
    <w:rsid w:val="00CE22E3"/>
    <w:rsid w:val="00CE23E0"/>
    <w:rsid w:val="00CE2435"/>
    <w:rsid w:val="00CE2A08"/>
    <w:rsid w:val="00CE2F1E"/>
    <w:rsid w:val="00CE301B"/>
    <w:rsid w:val="00CE31C5"/>
    <w:rsid w:val="00CE36C1"/>
    <w:rsid w:val="00CE42B6"/>
    <w:rsid w:val="00CE49F8"/>
    <w:rsid w:val="00CE50F2"/>
    <w:rsid w:val="00CE53AD"/>
    <w:rsid w:val="00CE552A"/>
    <w:rsid w:val="00CE55C4"/>
    <w:rsid w:val="00CE5B06"/>
    <w:rsid w:val="00CE5DA9"/>
    <w:rsid w:val="00CE605F"/>
    <w:rsid w:val="00CE6106"/>
    <w:rsid w:val="00CE6274"/>
    <w:rsid w:val="00CE6A49"/>
    <w:rsid w:val="00CE6ED6"/>
    <w:rsid w:val="00CE749A"/>
    <w:rsid w:val="00CF01DC"/>
    <w:rsid w:val="00CF0480"/>
    <w:rsid w:val="00CF0BAC"/>
    <w:rsid w:val="00CF14B6"/>
    <w:rsid w:val="00CF1B8C"/>
    <w:rsid w:val="00CF23A4"/>
    <w:rsid w:val="00CF253E"/>
    <w:rsid w:val="00CF27CC"/>
    <w:rsid w:val="00CF36F9"/>
    <w:rsid w:val="00CF374D"/>
    <w:rsid w:val="00CF3D57"/>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214"/>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572"/>
    <w:rsid w:val="00D2297E"/>
    <w:rsid w:val="00D22F2F"/>
    <w:rsid w:val="00D231DE"/>
    <w:rsid w:val="00D23606"/>
    <w:rsid w:val="00D237FC"/>
    <w:rsid w:val="00D23820"/>
    <w:rsid w:val="00D23A01"/>
    <w:rsid w:val="00D2434D"/>
    <w:rsid w:val="00D24983"/>
    <w:rsid w:val="00D252D6"/>
    <w:rsid w:val="00D2564A"/>
    <w:rsid w:val="00D25A5A"/>
    <w:rsid w:val="00D26156"/>
    <w:rsid w:val="00D26821"/>
    <w:rsid w:val="00D26CA1"/>
    <w:rsid w:val="00D27007"/>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BD8"/>
    <w:rsid w:val="00D36D6C"/>
    <w:rsid w:val="00D3727B"/>
    <w:rsid w:val="00D37312"/>
    <w:rsid w:val="00D37508"/>
    <w:rsid w:val="00D3767D"/>
    <w:rsid w:val="00D37D3A"/>
    <w:rsid w:val="00D401DF"/>
    <w:rsid w:val="00D409EC"/>
    <w:rsid w:val="00D40B09"/>
    <w:rsid w:val="00D40C5D"/>
    <w:rsid w:val="00D41097"/>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85"/>
    <w:rsid w:val="00D46BCA"/>
    <w:rsid w:val="00D46D76"/>
    <w:rsid w:val="00D470B7"/>
    <w:rsid w:val="00D4758C"/>
    <w:rsid w:val="00D477AC"/>
    <w:rsid w:val="00D47CCF"/>
    <w:rsid w:val="00D47E56"/>
    <w:rsid w:val="00D47FBF"/>
    <w:rsid w:val="00D5042E"/>
    <w:rsid w:val="00D50C23"/>
    <w:rsid w:val="00D50D0C"/>
    <w:rsid w:val="00D50E8B"/>
    <w:rsid w:val="00D5183B"/>
    <w:rsid w:val="00D52095"/>
    <w:rsid w:val="00D52334"/>
    <w:rsid w:val="00D5278C"/>
    <w:rsid w:val="00D52831"/>
    <w:rsid w:val="00D528E5"/>
    <w:rsid w:val="00D52A1C"/>
    <w:rsid w:val="00D52A55"/>
    <w:rsid w:val="00D5300C"/>
    <w:rsid w:val="00D53558"/>
    <w:rsid w:val="00D539C6"/>
    <w:rsid w:val="00D53B15"/>
    <w:rsid w:val="00D546C1"/>
    <w:rsid w:val="00D547A1"/>
    <w:rsid w:val="00D54D22"/>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1DFB"/>
    <w:rsid w:val="00D6211B"/>
    <w:rsid w:val="00D62547"/>
    <w:rsid w:val="00D62641"/>
    <w:rsid w:val="00D62E10"/>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10C"/>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2EC"/>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2B"/>
    <w:rsid w:val="00D846AC"/>
    <w:rsid w:val="00D84C40"/>
    <w:rsid w:val="00D84EA2"/>
    <w:rsid w:val="00D86389"/>
    <w:rsid w:val="00D8734F"/>
    <w:rsid w:val="00D874FE"/>
    <w:rsid w:val="00D879BF"/>
    <w:rsid w:val="00D904E4"/>
    <w:rsid w:val="00D90B33"/>
    <w:rsid w:val="00D90C51"/>
    <w:rsid w:val="00D91799"/>
    <w:rsid w:val="00D918C4"/>
    <w:rsid w:val="00D9194A"/>
    <w:rsid w:val="00D91DC2"/>
    <w:rsid w:val="00D92047"/>
    <w:rsid w:val="00D9216C"/>
    <w:rsid w:val="00D92701"/>
    <w:rsid w:val="00D931D3"/>
    <w:rsid w:val="00D93972"/>
    <w:rsid w:val="00D93D2E"/>
    <w:rsid w:val="00D93D74"/>
    <w:rsid w:val="00D93DCC"/>
    <w:rsid w:val="00D94180"/>
    <w:rsid w:val="00D9448A"/>
    <w:rsid w:val="00D9448F"/>
    <w:rsid w:val="00D94922"/>
    <w:rsid w:val="00D9492C"/>
    <w:rsid w:val="00D94B1C"/>
    <w:rsid w:val="00D94C95"/>
    <w:rsid w:val="00D94E85"/>
    <w:rsid w:val="00D94FBD"/>
    <w:rsid w:val="00D95897"/>
    <w:rsid w:val="00D959D6"/>
    <w:rsid w:val="00D95C5B"/>
    <w:rsid w:val="00D96154"/>
    <w:rsid w:val="00D96243"/>
    <w:rsid w:val="00D964FE"/>
    <w:rsid w:val="00D968BA"/>
    <w:rsid w:val="00D97F1D"/>
    <w:rsid w:val="00DA039E"/>
    <w:rsid w:val="00DA08C6"/>
    <w:rsid w:val="00DA095A"/>
    <w:rsid w:val="00DA09C2"/>
    <w:rsid w:val="00DA0A84"/>
    <w:rsid w:val="00DA0AE5"/>
    <w:rsid w:val="00DA14AE"/>
    <w:rsid w:val="00DA259E"/>
    <w:rsid w:val="00DA2A16"/>
    <w:rsid w:val="00DA2BFB"/>
    <w:rsid w:val="00DA3587"/>
    <w:rsid w:val="00DA3A4A"/>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B8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B7CD4"/>
    <w:rsid w:val="00DC02C4"/>
    <w:rsid w:val="00DC0F3B"/>
    <w:rsid w:val="00DC1034"/>
    <w:rsid w:val="00DC1A66"/>
    <w:rsid w:val="00DC2367"/>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1AF"/>
    <w:rsid w:val="00DD430B"/>
    <w:rsid w:val="00DD5466"/>
    <w:rsid w:val="00DD57BA"/>
    <w:rsid w:val="00DD586F"/>
    <w:rsid w:val="00DD5AA5"/>
    <w:rsid w:val="00DD5C35"/>
    <w:rsid w:val="00DD5CD3"/>
    <w:rsid w:val="00DD5F58"/>
    <w:rsid w:val="00DD682A"/>
    <w:rsid w:val="00DD696D"/>
    <w:rsid w:val="00DD6999"/>
    <w:rsid w:val="00DD6A9E"/>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54B"/>
    <w:rsid w:val="00DE7A0D"/>
    <w:rsid w:val="00DF0197"/>
    <w:rsid w:val="00DF03D3"/>
    <w:rsid w:val="00DF0614"/>
    <w:rsid w:val="00DF0667"/>
    <w:rsid w:val="00DF0A66"/>
    <w:rsid w:val="00DF0B9A"/>
    <w:rsid w:val="00DF0DF7"/>
    <w:rsid w:val="00DF1706"/>
    <w:rsid w:val="00DF1982"/>
    <w:rsid w:val="00DF1A5D"/>
    <w:rsid w:val="00DF230E"/>
    <w:rsid w:val="00DF232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8D5"/>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88A"/>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13B"/>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742"/>
    <w:rsid w:val="00E40D2C"/>
    <w:rsid w:val="00E40D9D"/>
    <w:rsid w:val="00E4101D"/>
    <w:rsid w:val="00E41188"/>
    <w:rsid w:val="00E41C46"/>
    <w:rsid w:val="00E425DC"/>
    <w:rsid w:val="00E42696"/>
    <w:rsid w:val="00E4287B"/>
    <w:rsid w:val="00E429B2"/>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E5"/>
    <w:rsid w:val="00E53EFF"/>
    <w:rsid w:val="00E54A3A"/>
    <w:rsid w:val="00E54B51"/>
    <w:rsid w:val="00E55700"/>
    <w:rsid w:val="00E558E9"/>
    <w:rsid w:val="00E55BB9"/>
    <w:rsid w:val="00E55E8A"/>
    <w:rsid w:val="00E56010"/>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6F5F"/>
    <w:rsid w:val="00E6714E"/>
    <w:rsid w:val="00E67610"/>
    <w:rsid w:val="00E67CAF"/>
    <w:rsid w:val="00E67E44"/>
    <w:rsid w:val="00E7090A"/>
    <w:rsid w:val="00E712F7"/>
    <w:rsid w:val="00E71BBF"/>
    <w:rsid w:val="00E71BD4"/>
    <w:rsid w:val="00E71EF8"/>
    <w:rsid w:val="00E7218A"/>
    <w:rsid w:val="00E72592"/>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2FD"/>
    <w:rsid w:val="00E76986"/>
    <w:rsid w:val="00E775AE"/>
    <w:rsid w:val="00E77E04"/>
    <w:rsid w:val="00E80B21"/>
    <w:rsid w:val="00E810C3"/>
    <w:rsid w:val="00E810CB"/>
    <w:rsid w:val="00E814EB"/>
    <w:rsid w:val="00E81521"/>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510"/>
    <w:rsid w:val="00E94E34"/>
    <w:rsid w:val="00E94F94"/>
    <w:rsid w:val="00E95A5A"/>
    <w:rsid w:val="00E95DA0"/>
    <w:rsid w:val="00E95E43"/>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3E6"/>
    <w:rsid w:val="00EA6FCF"/>
    <w:rsid w:val="00EA7023"/>
    <w:rsid w:val="00EA7104"/>
    <w:rsid w:val="00EA71D8"/>
    <w:rsid w:val="00EA7304"/>
    <w:rsid w:val="00EA7355"/>
    <w:rsid w:val="00EA7363"/>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34A"/>
    <w:rsid w:val="00EB469B"/>
    <w:rsid w:val="00EB4A63"/>
    <w:rsid w:val="00EB504F"/>
    <w:rsid w:val="00EB5275"/>
    <w:rsid w:val="00EB5599"/>
    <w:rsid w:val="00EB55B7"/>
    <w:rsid w:val="00EB60FC"/>
    <w:rsid w:val="00EB6182"/>
    <w:rsid w:val="00EB6225"/>
    <w:rsid w:val="00EB6539"/>
    <w:rsid w:val="00EB653B"/>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9F8"/>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48BD"/>
    <w:rsid w:val="00ED4B46"/>
    <w:rsid w:val="00ED65A6"/>
    <w:rsid w:val="00ED6B63"/>
    <w:rsid w:val="00ED6CB5"/>
    <w:rsid w:val="00ED6E0C"/>
    <w:rsid w:val="00ED6EBD"/>
    <w:rsid w:val="00ED7149"/>
    <w:rsid w:val="00ED7358"/>
    <w:rsid w:val="00ED7364"/>
    <w:rsid w:val="00ED74D7"/>
    <w:rsid w:val="00ED75A2"/>
    <w:rsid w:val="00ED7E48"/>
    <w:rsid w:val="00EE0009"/>
    <w:rsid w:val="00EE0983"/>
    <w:rsid w:val="00EE0F5F"/>
    <w:rsid w:val="00EE12E9"/>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DE7"/>
    <w:rsid w:val="00EE4E3C"/>
    <w:rsid w:val="00EE5077"/>
    <w:rsid w:val="00EE5DD9"/>
    <w:rsid w:val="00EE5ED8"/>
    <w:rsid w:val="00EE5F75"/>
    <w:rsid w:val="00EE65F4"/>
    <w:rsid w:val="00EE67D8"/>
    <w:rsid w:val="00EE6A77"/>
    <w:rsid w:val="00EE6C4F"/>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893"/>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2BB5"/>
    <w:rsid w:val="00F03481"/>
    <w:rsid w:val="00F035A2"/>
    <w:rsid w:val="00F038D6"/>
    <w:rsid w:val="00F03DE4"/>
    <w:rsid w:val="00F0407F"/>
    <w:rsid w:val="00F041E6"/>
    <w:rsid w:val="00F04665"/>
    <w:rsid w:val="00F04AAC"/>
    <w:rsid w:val="00F04AB9"/>
    <w:rsid w:val="00F05228"/>
    <w:rsid w:val="00F055B6"/>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9E3"/>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544"/>
    <w:rsid w:val="00F43670"/>
    <w:rsid w:val="00F437BC"/>
    <w:rsid w:val="00F44868"/>
    <w:rsid w:val="00F45314"/>
    <w:rsid w:val="00F453C1"/>
    <w:rsid w:val="00F466FA"/>
    <w:rsid w:val="00F46CD1"/>
    <w:rsid w:val="00F46E7B"/>
    <w:rsid w:val="00F472A3"/>
    <w:rsid w:val="00F47402"/>
    <w:rsid w:val="00F47697"/>
    <w:rsid w:val="00F479AB"/>
    <w:rsid w:val="00F503C2"/>
    <w:rsid w:val="00F50D66"/>
    <w:rsid w:val="00F51EFB"/>
    <w:rsid w:val="00F51F9A"/>
    <w:rsid w:val="00F52020"/>
    <w:rsid w:val="00F52098"/>
    <w:rsid w:val="00F5209F"/>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05"/>
    <w:rsid w:val="00F5742C"/>
    <w:rsid w:val="00F5745D"/>
    <w:rsid w:val="00F5771E"/>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33F4"/>
    <w:rsid w:val="00F6424A"/>
    <w:rsid w:val="00F64476"/>
    <w:rsid w:val="00F64991"/>
    <w:rsid w:val="00F64A65"/>
    <w:rsid w:val="00F65E43"/>
    <w:rsid w:val="00F66041"/>
    <w:rsid w:val="00F66C81"/>
    <w:rsid w:val="00F66CA3"/>
    <w:rsid w:val="00F66F90"/>
    <w:rsid w:val="00F672C0"/>
    <w:rsid w:val="00F67DF4"/>
    <w:rsid w:val="00F67EBD"/>
    <w:rsid w:val="00F70478"/>
    <w:rsid w:val="00F705CF"/>
    <w:rsid w:val="00F708DD"/>
    <w:rsid w:val="00F709D0"/>
    <w:rsid w:val="00F70BA2"/>
    <w:rsid w:val="00F70CB3"/>
    <w:rsid w:val="00F7103B"/>
    <w:rsid w:val="00F71157"/>
    <w:rsid w:val="00F71A32"/>
    <w:rsid w:val="00F71B05"/>
    <w:rsid w:val="00F721EF"/>
    <w:rsid w:val="00F72548"/>
    <w:rsid w:val="00F72CFC"/>
    <w:rsid w:val="00F72D28"/>
    <w:rsid w:val="00F7313C"/>
    <w:rsid w:val="00F73181"/>
    <w:rsid w:val="00F732C1"/>
    <w:rsid w:val="00F73382"/>
    <w:rsid w:val="00F738EE"/>
    <w:rsid w:val="00F73DEC"/>
    <w:rsid w:val="00F74554"/>
    <w:rsid w:val="00F74C4E"/>
    <w:rsid w:val="00F75351"/>
    <w:rsid w:val="00F75407"/>
    <w:rsid w:val="00F76801"/>
    <w:rsid w:val="00F76B8E"/>
    <w:rsid w:val="00F76F09"/>
    <w:rsid w:val="00F76F33"/>
    <w:rsid w:val="00F76F93"/>
    <w:rsid w:val="00F76FA4"/>
    <w:rsid w:val="00F76FEF"/>
    <w:rsid w:val="00F76FFA"/>
    <w:rsid w:val="00F77392"/>
    <w:rsid w:val="00F775C7"/>
    <w:rsid w:val="00F77D99"/>
    <w:rsid w:val="00F80158"/>
    <w:rsid w:val="00F801A1"/>
    <w:rsid w:val="00F80815"/>
    <w:rsid w:val="00F80AC2"/>
    <w:rsid w:val="00F80C1D"/>
    <w:rsid w:val="00F80CD8"/>
    <w:rsid w:val="00F80FAB"/>
    <w:rsid w:val="00F8104E"/>
    <w:rsid w:val="00F81076"/>
    <w:rsid w:val="00F8149E"/>
    <w:rsid w:val="00F819A0"/>
    <w:rsid w:val="00F81ABB"/>
    <w:rsid w:val="00F81C79"/>
    <w:rsid w:val="00F81D5B"/>
    <w:rsid w:val="00F81D9E"/>
    <w:rsid w:val="00F82262"/>
    <w:rsid w:val="00F82EE4"/>
    <w:rsid w:val="00F842B4"/>
    <w:rsid w:val="00F8453B"/>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A8D"/>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10A"/>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06C"/>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A9F"/>
    <w:rsid w:val="00FC6C45"/>
    <w:rsid w:val="00FC7279"/>
    <w:rsid w:val="00FC73F0"/>
    <w:rsid w:val="00FC7442"/>
    <w:rsid w:val="00FC763B"/>
    <w:rsid w:val="00FC76B3"/>
    <w:rsid w:val="00FC7851"/>
    <w:rsid w:val="00FD0060"/>
    <w:rsid w:val="00FD038D"/>
    <w:rsid w:val="00FD0F83"/>
    <w:rsid w:val="00FD1F52"/>
    <w:rsid w:val="00FD241D"/>
    <w:rsid w:val="00FD2720"/>
    <w:rsid w:val="00FD2F8E"/>
    <w:rsid w:val="00FD2FE9"/>
    <w:rsid w:val="00FD32D4"/>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B5B"/>
    <w:rsid w:val="00FE0EB1"/>
    <w:rsid w:val="00FE1327"/>
    <w:rsid w:val="00FE16D3"/>
    <w:rsid w:val="00FE17B0"/>
    <w:rsid w:val="00FE17F0"/>
    <w:rsid w:val="00FE1DDC"/>
    <w:rsid w:val="00FE2071"/>
    <w:rsid w:val="00FE2356"/>
    <w:rsid w:val="00FE2578"/>
    <w:rsid w:val="00FE2F18"/>
    <w:rsid w:val="00FE3C32"/>
    <w:rsid w:val="00FE4207"/>
    <w:rsid w:val="00FE4306"/>
    <w:rsid w:val="00FE4A3D"/>
    <w:rsid w:val="00FE4A62"/>
    <w:rsid w:val="00FE4BCA"/>
    <w:rsid w:val="00FE4F5A"/>
    <w:rsid w:val="00FE526A"/>
    <w:rsid w:val="00FE5E65"/>
    <w:rsid w:val="00FE5EDF"/>
    <w:rsid w:val="00FE6973"/>
    <w:rsid w:val="00FE7110"/>
    <w:rsid w:val="00FE7651"/>
    <w:rsid w:val="00FE7728"/>
    <w:rsid w:val="00FE7B7B"/>
    <w:rsid w:val="00FE7D2C"/>
    <w:rsid w:val="00FE7F60"/>
    <w:rsid w:val="00FF0074"/>
    <w:rsid w:val="00FF0142"/>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styleId="NormalWeb">
    <w:name w:val="Normal (Web)"/>
    <w:basedOn w:val="Normal"/>
    <w:uiPriority w:val="99"/>
    <w:semiHidden/>
    <w:unhideWhenUsed/>
    <w:rsid w:val="00507A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ese.eu/publications/exchange-playbooks-on-outage-protocol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pm-research.com/content/iijinvest/34/1/9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mf-france.org/sites/institutionnel/files/2020-06/202005_etude_internalisateurs_integrale_v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05E2D"/>
    <w:rsid w:val="001359BA"/>
    <w:rsid w:val="0015768C"/>
    <w:rsid w:val="00181698"/>
    <w:rsid w:val="0019077A"/>
    <w:rsid w:val="002143FF"/>
    <w:rsid w:val="002241F4"/>
    <w:rsid w:val="0024708E"/>
    <w:rsid w:val="002536E7"/>
    <w:rsid w:val="00254E75"/>
    <w:rsid w:val="0034145D"/>
    <w:rsid w:val="00372212"/>
    <w:rsid w:val="003953A0"/>
    <w:rsid w:val="004E4CF9"/>
    <w:rsid w:val="004F4339"/>
    <w:rsid w:val="005A013B"/>
    <w:rsid w:val="005D66AB"/>
    <w:rsid w:val="006320FF"/>
    <w:rsid w:val="00663894"/>
    <w:rsid w:val="006954E6"/>
    <w:rsid w:val="006A6C1D"/>
    <w:rsid w:val="006D3543"/>
    <w:rsid w:val="00701E25"/>
    <w:rsid w:val="0071141B"/>
    <w:rsid w:val="00784D05"/>
    <w:rsid w:val="007B08F9"/>
    <w:rsid w:val="007C0405"/>
    <w:rsid w:val="00813189"/>
    <w:rsid w:val="008134C9"/>
    <w:rsid w:val="008222A0"/>
    <w:rsid w:val="00836D47"/>
    <w:rsid w:val="00854335"/>
    <w:rsid w:val="009522B0"/>
    <w:rsid w:val="009B6B9C"/>
    <w:rsid w:val="009F25FD"/>
    <w:rsid w:val="00A804C7"/>
    <w:rsid w:val="00A93A1C"/>
    <w:rsid w:val="00AC574E"/>
    <w:rsid w:val="00AD66C2"/>
    <w:rsid w:val="00B07345"/>
    <w:rsid w:val="00B11B3A"/>
    <w:rsid w:val="00B22006"/>
    <w:rsid w:val="00B46CAE"/>
    <w:rsid w:val="00BA700B"/>
    <w:rsid w:val="00C71FD8"/>
    <w:rsid w:val="00CA74DD"/>
    <w:rsid w:val="00CE6A49"/>
    <w:rsid w:val="00CF3D57"/>
    <w:rsid w:val="00D22572"/>
    <w:rsid w:val="00D52831"/>
    <w:rsid w:val="00D63E3A"/>
    <w:rsid w:val="00D93D2E"/>
    <w:rsid w:val="00DC3796"/>
    <w:rsid w:val="00DC4211"/>
    <w:rsid w:val="00E008D5"/>
    <w:rsid w:val="00E023D2"/>
    <w:rsid w:val="00E055FA"/>
    <w:rsid w:val="00E35556"/>
    <w:rsid w:val="00E41C46"/>
    <w:rsid w:val="00EE3D34"/>
    <w:rsid w:val="00F0236F"/>
    <w:rsid w:val="00F16AEC"/>
    <w:rsid w:val="00F22CDE"/>
    <w:rsid w:val="00F81463"/>
    <w:rsid w:val="00F9693F"/>
    <w:rsid w:val="00FC7279"/>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39</Pages>
  <Words>10831</Words>
  <Characters>57409</Characters>
  <Application>Microsoft Office Word</Application>
  <DocSecurity>8</DocSecurity>
  <Lines>478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Elina Yrgård</cp:lastModifiedBy>
  <cp:revision>2</cp:revision>
  <cp:lastPrinted>2023-09-09T09:53:00Z</cp:lastPrinted>
  <dcterms:created xsi:type="dcterms:W3CDTF">2026-06-30T13:19:00Z</dcterms:created>
  <dcterms:modified xsi:type="dcterms:W3CDTF">2026-06-30T13:19:00Z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