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tulo"/>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tulo"/>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tulo"/>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tulo"/>
            <w:tabs>
              <w:tab w:val="center" w:pos="4536"/>
            </w:tabs>
          </w:pPr>
          <w:r>
            <w:t xml:space="preserve">Reply </w:t>
          </w:r>
          <w:r w:rsidR="00DD03DC">
            <w:t>F</w:t>
          </w:r>
          <w:r>
            <w:t>orm</w:t>
          </w:r>
          <w:r w:rsidR="00FA1BF6">
            <w:tab/>
          </w:r>
        </w:p>
        <w:p w14:paraId="031F2108" w14:textId="042F6D9B" w:rsidR="007E7997" w:rsidRPr="00C01571" w:rsidRDefault="005B1C75" w:rsidP="00D77369">
          <w:pPr>
            <w:pStyle w:val="Subttulo"/>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tul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rrafodelista"/>
            <w:rPr>
              <w:lang w:val="en-GB"/>
            </w:rPr>
          </w:pPr>
          <w:r w:rsidRPr="00DB2FD6">
            <w:rPr>
              <w:lang w:val="en-GB"/>
            </w:rPr>
            <w:t>respond to the question stated;</w:t>
          </w:r>
        </w:p>
        <w:p w14:paraId="72FD40F6" w14:textId="77777777" w:rsidR="002533FC" w:rsidRPr="00DB2FD6" w:rsidRDefault="002533FC" w:rsidP="00EC6066">
          <w:pPr>
            <w:pStyle w:val="Prrafodelista"/>
            <w:rPr>
              <w:lang w:val="en-GB"/>
            </w:rPr>
          </w:pPr>
          <w:r w:rsidRPr="00DB2FD6">
            <w:rPr>
              <w:lang w:val="en-GB"/>
            </w:rPr>
            <w:t>indicate the specific question to which the comment relates;</w:t>
          </w:r>
        </w:p>
        <w:p w14:paraId="78B206B7" w14:textId="77777777" w:rsidR="002533FC" w:rsidRPr="00E13D25" w:rsidRDefault="002533FC" w:rsidP="00EC6066">
          <w:pPr>
            <w:pStyle w:val="Prrafodelista"/>
          </w:pPr>
          <w:r w:rsidRPr="00E13D25">
            <w:t>contain a clear rationale; and</w:t>
          </w:r>
        </w:p>
        <w:p w14:paraId="60B8834E" w14:textId="77777777" w:rsidR="002533FC" w:rsidRPr="00DB2FD6" w:rsidRDefault="002533FC" w:rsidP="00EC6066">
          <w:pPr>
            <w:pStyle w:val="Prrafodelista"/>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ipervnculo"/>
              </w:rPr>
              <w:t>www.esma.europa.eu</w:t>
            </w:r>
          </w:hyperlink>
          <w:r w:rsidRPr="005B6B12">
            <w:t xml:space="preserve"> under the heading ‘Your input - Consultations’. </w:t>
          </w:r>
        </w:p>
        <w:p w14:paraId="5E44C845" w14:textId="77777777" w:rsidR="00EC6066" w:rsidRPr="0026459D" w:rsidRDefault="00EC6066" w:rsidP="00EC6066">
          <w:pPr>
            <w:pStyle w:val="Subttul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ipervnculo"/>
              </w:rPr>
              <w:t>www.esma.europa.eu</w:t>
            </w:r>
          </w:hyperlink>
          <w:r w:rsidRPr="005B6B12">
            <w:t xml:space="preserve"> under the heading </w:t>
          </w:r>
          <w:r w:rsidRPr="00025A7F">
            <w:rPr>
              <w:rStyle w:val="Hipervnculo"/>
            </w:rPr>
            <w:t>‘</w:t>
          </w:r>
          <w:hyperlink r:id="rId17" w:history="1">
            <w:r>
              <w:rPr>
                <w:rStyle w:val="Hipervnculo"/>
              </w:rPr>
              <w:t>Data protection</w:t>
            </w:r>
          </w:hyperlink>
          <w:r>
            <w:rPr>
              <w:rStyle w:val="Hipervnculo"/>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Ttulo1"/>
        <w:rPr>
          <w:lang w:val="fr-BE"/>
        </w:rPr>
      </w:pPr>
      <w:r>
        <w:rPr>
          <w:lang w:val="fr-BE"/>
        </w:rPr>
        <w:lastRenderedPageBreak/>
        <w:t xml:space="preserve">General information about </w:t>
      </w:r>
      <w:r w:rsidRPr="00501EF4">
        <w:t>respondent</w:t>
      </w:r>
    </w:p>
    <w:tbl>
      <w:tblPr>
        <w:tblStyle w:val="Tablaconcuadrcula"/>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EndPr/>
          <w:sdtContent>
            <w:tc>
              <w:tcPr>
                <w:tcW w:w="4531" w:type="dxa"/>
              </w:tcPr>
              <w:p w14:paraId="5C8A6928" w14:textId="25C0ED8C" w:rsidR="00E40D2C" w:rsidRPr="00557BD2" w:rsidRDefault="00401EA8">
                <w:r w:rsidRPr="00401EA8">
                  <w:t xml:space="preserve">CNMV’s Advisory Committee. The Advisory Committee has been set by the Spanish Securities Market Law as the consultative body of the CNMV. It is composed by market </w:t>
                </w:r>
                <w:proofErr w:type="gramStart"/>
                <w:r w:rsidRPr="00401EA8">
                  <w:t>participants</w:t>
                </w:r>
                <w:proofErr w:type="gramEnd"/>
                <w:r w:rsidRPr="00401EA8">
                  <w:t xml:space="preserve"> and its opinions are independent from those of the CNMV.</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EndPr/>
          <w:sdtContent>
            <w:tc>
              <w:tcPr>
                <w:tcW w:w="4531" w:type="dxa"/>
              </w:tcPr>
              <w:p w14:paraId="22ECE1B6" w14:textId="242EF531" w:rsidR="00E40D2C" w:rsidRDefault="00DA54A5">
                <w:r>
                  <w:t>Other</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permStart w:id="1385105873" w:edGrp="everyone" w:displacedByCustomXml="prev"/>
            <w:tc>
              <w:tcPr>
                <w:tcW w:w="4531" w:type="dxa"/>
                <w:vAlign w:val="center"/>
              </w:tcPr>
              <w:p w14:paraId="7AB9C082" w14:textId="2F047C5D" w:rsidR="002262FA" w:rsidRDefault="00DA54A5"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922924511" w:edGrp="everyone" w:displacedByCustomXml="prev"/>
            <w:tc>
              <w:tcPr>
                <w:tcW w:w="4531" w:type="dxa"/>
              </w:tcPr>
              <w:p w14:paraId="5BB12D35" w14:textId="297CC72E" w:rsidR="00E40D2C" w:rsidRPr="00557BD2" w:rsidRDefault="00DA54A5">
                <w:r>
                  <w:t>Spain</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Ttulo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5684FCFE" w14:textId="77777777" w:rsidR="006F1FB7" w:rsidRPr="006F1FB7" w:rsidRDefault="006F1FB7" w:rsidP="006F1FB7">
      <w:pPr>
        <w:rPr>
          <w:b/>
          <w:u w:val="single"/>
          <w:lang w:val="en-US"/>
        </w:rPr>
      </w:pPr>
      <w:permStart w:id="1150511936" w:edGrp="everyone"/>
      <w:r w:rsidRPr="006F1FB7">
        <w:rPr>
          <w:b/>
          <w:u w:val="single"/>
          <w:lang w:val="en-US"/>
        </w:rPr>
        <w:t>General Comments</w:t>
      </w:r>
    </w:p>
    <w:p w14:paraId="46EA871F" w14:textId="77777777" w:rsidR="006F1FB7" w:rsidRPr="006F1FB7" w:rsidRDefault="006F1FB7" w:rsidP="006F1FB7">
      <w:pPr>
        <w:rPr>
          <w:lang w:val="en-US"/>
        </w:rPr>
      </w:pPr>
      <w:r w:rsidRPr="006F1FB7">
        <w:rPr>
          <w:lang w:val="en-US"/>
        </w:rPr>
        <w:t>The 2014 amendments to the Markets in Financial Instruments regulatory framework (MiFID II/</w:t>
      </w:r>
      <w:proofErr w:type="spellStart"/>
      <w:r w:rsidRPr="006F1FB7">
        <w:rPr>
          <w:lang w:val="en-US"/>
        </w:rPr>
        <w:t>MiFIR</w:t>
      </w:r>
      <w:proofErr w:type="spellEnd"/>
      <w:r w:rsidRPr="006F1FB7">
        <w:rPr>
          <w:lang w:val="en-US"/>
        </w:rPr>
        <w:t xml:space="preserve"> Directive and Regulation) aimed, among other objectives, to increase competition in European financial markets. This shift had good intentions in terms of democratizing market access.</w:t>
      </w:r>
    </w:p>
    <w:p w14:paraId="2E4E8ADA" w14:textId="77777777" w:rsidR="006F1FB7" w:rsidRPr="006F1FB7" w:rsidRDefault="006F1FB7" w:rsidP="006F1FB7">
      <w:pPr>
        <w:rPr>
          <w:lang w:val="en-US"/>
        </w:rPr>
      </w:pPr>
      <w:r w:rsidRPr="006F1FB7">
        <w:rPr>
          <w:lang w:val="en-US"/>
        </w:rPr>
        <w:t>However, the resulting fragmentation has had unintended consequences, negatively impacting the intermediation model —based on the reception, transmission and execution of orders— adopted by many European institutions. These firms were already operating in a highly fragmented market before the reform, and the new structure has further exacerbated the challenges they face.</w:t>
      </w:r>
    </w:p>
    <w:p w14:paraId="163197D4" w14:textId="77777777" w:rsidR="006F1FB7" w:rsidRPr="006F1FB7" w:rsidRDefault="006F1FB7" w:rsidP="006F1FB7">
      <w:pPr>
        <w:rPr>
          <w:lang w:val="en-US"/>
        </w:rPr>
      </w:pPr>
      <w:r w:rsidRPr="006F1FB7">
        <w:rPr>
          <w:lang w:val="en-US"/>
        </w:rPr>
        <w:t xml:space="preserve">Despite that one of the primary goals of the regulation was to enhance transparency by shifting trading from </w:t>
      </w:r>
      <w:proofErr w:type="gramStart"/>
      <w:r w:rsidRPr="006F1FB7">
        <w:rPr>
          <w:lang w:val="en-US"/>
        </w:rPr>
        <w:t>over-the-counter</w:t>
      </w:r>
      <w:proofErr w:type="gramEnd"/>
      <w:r w:rsidRPr="006F1FB7">
        <w:rPr>
          <w:lang w:val="en-US"/>
        </w:rPr>
        <w:t xml:space="preserve"> (OTC) markets to trading venues, in practice, this transition has </w:t>
      </w:r>
      <w:r w:rsidRPr="006F1FB7">
        <w:rPr>
          <w:lang w:val="en-US"/>
        </w:rPr>
        <w:lastRenderedPageBreak/>
        <w:t>not materialized. In fact, quite the opposite has occurred, as highlighted in a report by the Spanish market supervisor, CNMV</w:t>
      </w:r>
      <w:r w:rsidRPr="006F1FB7">
        <w:rPr>
          <w:vertAlign w:val="superscript"/>
          <w:lang w:val="en-US"/>
        </w:rPr>
        <w:footnoteReference w:id="2"/>
      </w:r>
      <w:r w:rsidRPr="006F1FB7">
        <w:rPr>
          <w:lang w:val="en-US"/>
        </w:rPr>
        <w:t>. The study published in 2025 by FESE and Oliver Wyman shows how trading on lit primary venues accounts for only about 30% of total liquidity. Close to 70% of volumes are split across MTFs and other channels including SIs and OTC</w:t>
      </w:r>
      <w:r w:rsidRPr="006F1FB7">
        <w:rPr>
          <w:vertAlign w:val="superscript"/>
          <w:lang w:val="en-US"/>
        </w:rPr>
        <w:footnoteReference w:id="3"/>
      </w:r>
      <w:r w:rsidRPr="006F1FB7">
        <w:rPr>
          <w:lang w:val="en-US"/>
        </w:rPr>
        <w:t xml:space="preserve">. This trend is further illustrated in the chart below, developed by FESE, which highlights the steady dispersion of liquidity across different channels and a gradual decline in the proportion of equity turnover executed on lit continuous order books with volumes moving to auctions. </w:t>
      </w:r>
    </w:p>
    <w:p w14:paraId="079A5033" w14:textId="44F2C9E2" w:rsidR="006F1FB7" w:rsidRPr="006F1FB7" w:rsidRDefault="006F1FB7" w:rsidP="006F1FB7">
      <w:pPr>
        <w:rPr>
          <w:lang w:val="en-US"/>
        </w:rPr>
      </w:pPr>
      <w:r w:rsidRPr="006F1FB7">
        <w:rPr>
          <w:lang w:val="en-US"/>
        </w:rPr>
        <w:drawing>
          <wp:inline distT="0" distB="0" distL="0" distR="0" wp14:anchorId="51A588FC" wp14:editId="1FCADFA7">
            <wp:extent cx="5267325" cy="3514725"/>
            <wp:effectExtent l="0" t="0" r="9525" b="9525"/>
            <wp:docPr id="19676710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7325" cy="3514725"/>
                    </a:xfrm>
                    <a:prstGeom prst="rect">
                      <a:avLst/>
                    </a:prstGeom>
                    <a:noFill/>
                    <a:ln>
                      <a:noFill/>
                    </a:ln>
                  </pic:spPr>
                </pic:pic>
              </a:graphicData>
            </a:graphic>
          </wp:inline>
        </w:drawing>
      </w:r>
    </w:p>
    <w:p w14:paraId="46036023" w14:textId="77777777" w:rsidR="006F1FB7" w:rsidRPr="006F1FB7" w:rsidRDefault="006F1FB7" w:rsidP="006F1FB7">
      <w:pPr>
        <w:rPr>
          <w:lang w:val="en-US"/>
        </w:rPr>
      </w:pPr>
      <w:r w:rsidRPr="006F1FB7">
        <w:rPr>
          <w:lang w:val="en-US"/>
        </w:rPr>
        <w:t xml:space="preserve">As a result, major stock exchange operators have lost market share to other platforms and systematic </w:t>
      </w:r>
      <w:proofErr w:type="spellStart"/>
      <w:r w:rsidRPr="006F1FB7">
        <w:rPr>
          <w:lang w:val="en-US"/>
        </w:rPr>
        <w:t>internalisers</w:t>
      </w:r>
      <w:proofErr w:type="spellEnd"/>
      <w:r w:rsidRPr="006F1FB7">
        <w:rPr>
          <w:lang w:val="en-US"/>
        </w:rPr>
        <w:t xml:space="preserve"> (SIs; i.e. an execution model operating outside trading venues and subject to a different pre-transparency framework). If this trend persists, readily available and visible liquidity will keep diminishing, posing a clear threat to the upcoming Savings and Investment Union (SIU). For some stocks, most trading takes place outside the regulated market. Moreover, a single non-EU stakeholder would account for approximately 40% of European market trading.</w:t>
      </w:r>
    </w:p>
    <w:p w14:paraId="0A8BED9E" w14:textId="77777777" w:rsidR="006F1FB7" w:rsidRPr="006F1FB7" w:rsidRDefault="006F1FB7" w:rsidP="006F1FB7">
      <w:pPr>
        <w:rPr>
          <w:lang w:val="en-US"/>
        </w:rPr>
      </w:pPr>
      <w:r w:rsidRPr="006F1FB7">
        <w:rPr>
          <w:lang w:val="en-US"/>
        </w:rPr>
        <w:lastRenderedPageBreak/>
        <w:t>For example, in December 2024, OTC trading in EU equities experienced a market share increase of 289 basis points month-over-month, indicating a shift from lit (public) trading venues to OTC platforms. This trend suggests a reallocation of trading activity among investors away from lit venues.</w:t>
      </w:r>
    </w:p>
    <w:p w14:paraId="48052654" w14:textId="77777777" w:rsidR="006F1FB7" w:rsidRPr="006F1FB7" w:rsidRDefault="006F1FB7" w:rsidP="006F1FB7">
      <w:pPr>
        <w:rPr>
          <w:lang w:val="en-US"/>
        </w:rPr>
      </w:pPr>
      <w:r w:rsidRPr="006F1FB7">
        <w:rPr>
          <w:lang w:val="en-US"/>
        </w:rPr>
        <w:t>One of the biggest beneficiaries of the reform has been the SI model, whose role and share in the market has grown significantly. These entities, particularly non-EU firms, possess advanced technological capabilities and a higher risk appetite (using their own balance), allowing them to capture a significant portion of market liquidity. It is estimated that around one-third of transactions occur bilaterally and are therefore inaccessible to most participants. There is no level playing field in liquidity access.</w:t>
      </w:r>
    </w:p>
    <w:p w14:paraId="089C48C6" w14:textId="77777777" w:rsidR="006F1FB7" w:rsidRPr="006F1FB7" w:rsidRDefault="006F1FB7" w:rsidP="006F1FB7">
      <w:pPr>
        <w:rPr>
          <w:lang w:val="en-US"/>
        </w:rPr>
      </w:pPr>
      <w:r w:rsidRPr="006F1FB7">
        <w:rPr>
          <w:lang w:val="en-US"/>
        </w:rPr>
        <w:t>The concentration of liquidity in SIs presents significant risks:</w:t>
      </w:r>
    </w:p>
    <w:p w14:paraId="6EA088C0" w14:textId="77777777" w:rsidR="006F1FB7" w:rsidRPr="006F1FB7" w:rsidRDefault="006F1FB7" w:rsidP="006F1FB7">
      <w:pPr>
        <w:numPr>
          <w:ilvl w:val="0"/>
          <w:numId w:val="17"/>
        </w:numPr>
        <w:rPr>
          <w:lang w:val="en-US"/>
        </w:rPr>
      </w:pPr>
      <w:r w:rsidRPr="006F1FB7">
        <w:rPr>
          <w:lang w:val="en-US"/>
        </w:rPr>
        <w:t xml:space="preserve">They can leverage their higher risk appetite, market visibility, and regulatory advantage to influence prices in their </w:t>
      </w:r>
      <w:proofErr w:type="spellStart"/>
      <w:r w:rsidRPr="006F1FB7">
        <w:rPr>
          <w:lang w:val="en-US"/>
        </w:rPr>
        <w:t>favour</w:t>
      </w:r>
      <w:proofErr w:type="spellEnd"/>
      <w:r w:rsidRPr="006F1FB7">
        <w:rPr>
          <w:lang w:val="en-US"/>
        </w:rPr>
        <w:t>, to the detriment of their clients.</w:t>
      </w:r>
    </w:p>
    <w:p w14:paraId="1FAB3021" w14:textId="77777777" w:rsidR="006F1FB7" w:rsidRPr="006F1FB7" w:rsidRDefault="006F1FB7" w:rsidP="006F1FB7">
      <w:pPr>
        <w:numPr>
          <w:ilvl w:val="0"/>
          <w:numId w:val="17"/>
        </w:numPr>
        <w:rPr>
          <w:lang w:val="en-US"/>
        </w:rPr>
      </w:pPr>
      <w:r w:rsidRPr="006F1FB7">
        <w:rPr>
          <w:lang w:val="en-US"/>
        </w:rPr>
        <w:t>The liquidity they provide is highly volatile, as they are not required to maintain continuous quotes. In periods of market stress, these entities have drastically reduced the liquidity they offer. Far from fostering transparency and stability, regulation has created an environment where liquidity is concentrated in less-supervised actors with higher risk-taking incentives. This poses a challenge to market stability and fair competition among participants.</w:t>
      </w:r>
    </w:p>
    <w:p w14:paraId="05621791" w14:textId="77777777" w:rsidR="006F1FB7" w:rsidRPr="006F1FB7" w:rsidRDefault="006F1FB7" w:rsidP="006F1FB7">
      <w:pPr>
        <w:numPr>
          <w:ilvl w:val="0"/>
          <w:numId w:val="17"/>
        </w:numPr>
        <w:rPr>
          <w:lang w:val="en-US"/>
        </w:rPr>
      </w:pPr>
      <w:r w:rsidRPr="006F1FB7">
        <w:rPr>
          <w:lang w:val="en-US"/>
        </w:rPr>
        <w:t>The excessive reliance on referencing exchange-quoted prices in bilateral trades executed by SIs discourages competition among market makers, negatively impacting liquidity, efficiency, and market depth.</w:t>
      </w:r>
    </w:p>
    <w:p w14:paraId="602CD73F" w14:textId="77777777" w:rsidR="006F1FB7" w:rsidRPr="006F1FB7" w:rsidRDefault="006F1FB7" w:rsidP="006F1FB7">
      <w:pPr>
        <w:rPr>
          <w:b/>
          <w:u w:val="single"/>
          <w:lang w:val="en-US"/>
        </w:rPr>
      </w:pPr>
      <w:r w:rsidRPr="006F1FB7">
        <w:rPr>
          <w:b/>
          <w:u w:val="single"/>
          <w:lang w:val="en-US"/>
        </w:rPr>
        <w:t>Consequences for the real economy</w:t>
      </w:r>
    </w:p>
    <w:p w14:paraId="334A649A" w14:textId="77777777" w:rsidR="006F1FB7" w:rsidRPr="006F1FB7" w:rsidRDefault="006F1FB7" w:rsidP="006F1FB7">
      <w:pPr>
        <w:rPr>
          <w:lang w:val="en-US"/>
        </w:rPr>
      </w:pPr>
      <w:r w:rsidRPr="006F1FB7">
        <w:rPr>
          <w:lang w:val="en-US"/>
        </w:rPr>
        <w:t>In today’s environment, the high costs associated with operating in EU capital markets pose a significant risk that activity will be reduced to the bare minimum, leaving only a handful of large entities —mostly non-EU firms— capable of remaining active. This contrasts with the U.S. market, which benefits from a more dynamic and diversified ecosystem.</w:t>
      </w:r>
    </w:p>
    <w:p w14:paraId="4802442F" w14:textId="77777777" w:rsidR="006F1FB7" w:rsidRPr="006F1FB7" w:rsidRDefault="006F1FB7" w:rsidP="006F1FB7">
      <w:pPr>
        <w:rPr>
          <w:lang w:val="en-US"/>
        </w:rPr>
      </w:pPr>
      <w:r w:rsidRPr="006F1FB7">
        <w:rPr>
          <w:lang w:val="en-US"/>
        </w:rPr>
        <w:t xml:space="preserve">Furthermore, this trend may lead to the progressive, yet accelerating, disappearance of traditional European market operators, including exchanges and intermediaries. In fact, a significant number of alternative trading platforms (both trading venues and intermediaries) are owned by non-EU firms, effectively placing the European market under external control. Given the lack of liquidity and the strength of other capital markets (which are more harmonized and less fragmented), more European companies may choose to list outside the EU through IPOs in search of better multiples and greater liquidity. We would therefore like to emphasize the </w:t>
      </w:r>
      <w:r w:rsidRPr="006F1FB7">
        <w:rPr>
          <w:lang w:val="en-US"/>
        </w:rPr>
        <w:lastRenderedPageBreak/>
        <w:t xml:space="preserve">strong interdependence between primary and secondary markets. Well-functioning secondary markets underpin capital formation, liquidity provision, and risk management, which are all critical to sustaining an attractive listing environment. </w:t>
      </w:r>
      <w:proofErr w:type="gramStart"/>
      <w:r w:rsidRPr="006F1FB7">
        <w:rPr>
          <w:lang w:val="en-US"/>
        </w:rPr>
        <w:t>In particular, deep</w:t>
      </w:r>
      <w:proofErr w:type="gramEnd"/>
      <w:r w:rsidRPr="006F1FB7">
        <w:rPr>
          <w:lang w:val="en-US"/>
        </w:rPr>
        <w:t xml:space="preserve"> and visible liquidity in secondary markets is a key driver of listing and IPO activity. More broadly, transparency and robust liquidity </w:t>
      </w:r>
      <w:proofErr w:type="gramStart"/>
      <w:r w:rsidRPr="006F1FB7">
        <w:rPr>
          <w:lang w:val="en-US"/>
        </w:rPr>
        <w:t>on</w:t>
      </w:r>
      <w:proofErr w:type="gramEnd"/>
      <w:r w:rsidRPr="006F1FB7">
        <w:rPr>
          <w:lang w:val="en-US"/>
        </w:rPr>
        <w:t xml:space="preserve"> regulated markets are essential for effective price formation and, in turn, for </w:t>
      </w:r>
      <w:proofErr w:type="gramStart"/>
      <w:r w:rsidRPr="006F1FB7">
        <w:rPr>
          <w:lang w:val="en-US"/>
        </w:rPr>
        <w:t>the overall</w:t>
      </w:r>
      <w:proofErr w:type="gramEnd"/>
      <w:r w:rsidRPr="006F1FB7">
        <w:rPr>
          <w:lang w:val="en-US"/>
        </w:rPr>
        <w:t xml:space="preserve"> efficiency, smooth functioning, and attractiveness of capital markets.</w:t>
      </w:r>
    </w:p>
    <w:p w14:paraId="54EFD531" w14:textId="77777777" w:rsidR="006F1FB7" w:rsidRPr="006F1FB7" w:rsidRDefault="006F1FB7" w:rsidP="006F1FB7">
      <w:pPr>
        <w:rPr>
          <w:lang w:val="en-US"/>
        </w:rPr>
      </w:pPr>
      <w:r w:rsidRPr="006F1FB7">
        <w:rPr>
          <w:lang w:val="en-US"/>
        </w:rPr>
        <w:t>The EU’s future efforts to complete what is now called the SIU (formerly the Capital Markets Union, CMU) should focus on identifying structural market issues and proposing effective solutions.</w:t>
      </w:r>
    </w:p>
    <w:p w14:paraId="0FD29305" w14:textId="77777777" w:rsidR="006F1FB7" w:rsidRPr="006F1FB7" w:rsidRDefault="006F1FB7" w:rsidP="006F1FB7">
      <w:pPr>
        <w:rPr>
          <w:lang w:val="en-US"/>
        </w:rPr>
      </w:pPr>
      <w:proofErr w:type="gramStart"/>
      <w:r w:rsidRPr="006F1FB7">
        <w:rPr>
          <w:lang w:val="en-US"/>
        </w:rPr>
        <w:t>As a consequence</w:t>
      </w:r>
      <w:proofErr w:type="gramEnd"/>
      <w:r w:rsidRPr="006F1FB7">
        <w:rPr>
          <w:lang w:val="en-US"/>
        </w:rPr>
        <w:t>, despite the recent review of MiFID/R, a deeper reflection on the state of European markets, particularly equity markets, is needed. This may require additional adjustments through another MiFID review, potentially even through a "quick fix" approach. Authorities must closely monitor the quality and availability of European equity liquidity to ensure that future regulatory and supervisory reforms are based on a deep understanding of market mechanisms. It is essential to introduce regulatory adjustments that reduce fragmentation, strengthen oversight of SIs, and promote a more balanced and sustainable environment for all financial market participants. This will enable the EU to maintain a competitive and resilient financial system in the face of current challenges.</w:t>
      </w:r>
    </w:p>
    <w:p w14:paraId="1C5ECE9B" w14:textId="77777777" w:rsidR="006F1FB7" w:rsidRPr="006F1FB7" w:rsidRDefault="006F1FB7" w:rsidP="006F1FB7">
      <w:pPr>
        <w:rPr>
          <w:lang w:val="en-US"/>
        </w:rPr>
      </w:pPr>
      <w:r w:rsidRPr="006F1FB7">
        <w:rPr>
          <w:lang w:val="en-US"/>
        </w:rPr>
        <w:t xml:space="preserve">Given the above, the CNMV Advisory Committee welcomes ESMA’s effort to offer an assessment of how liquidity is evolving, how it is distributed across different types of execution venues and methods, and what this means for the functioning of the market, in both the short and </w:t>
      </w:r>
      <w:proofErr w:type="gramStart"/>
      <w:r w:rsidRPr="006F1FB7">
        <w:rPr>
          <w:lang w:val="en-US"/>
        </w:rPr>
        <w:t>medium-term</w:t>
      </w:r>
      <w:proofErr w:type="gramEnd"/>
      <w:r w:rsidRPr="006F1FB7">
        <w:rPr>
          <w:lang w:val="en-US"/>
        </w:rPr>
        <w:t>.</w:t>
      </w:r>
    </w:p>
    <w:p w14:paraId="22FC467A" w14:textId="0CF6AEF2" w:rsidR="00B80A62" w:rsidRDefault="00B80A62" w:rsidP="00B80A62">
      <w:r>
        <w:t xml:space="preserve">The CNMV Advisory Committee welcomes the ESMA Call for Evidence on the structure of European equity markets and appreciates the comprehensive analysis undertaken. The work carried out is both timely and necessary to support an informed discussion on the evolution of market structure. </w:t>
      </w:r>
    </w:p>
    <w:p w14:paraId="037D659C" w14:textId="77777777" w:rsidR="00B80A62" w:rsidRDefault="00B80A62" w:rsidP="00B80A62">
      <w:r>
        <w:t xml:space="preserve">We broadly agree with the description of the market structure as summarized in Figure 1, although some specifications might be needed. </w:t>
      </w:r>
    </w:p>
    <w:p w14:paraId="7CD7E3BC" w14:textId="77777777" w:rsidR="00B80A62" w:rsidRDefault="00B80A62" w:rsidP="00B80A62">
      <w:r>
        <w:t>Opening auctions should also be added to Figure 1, as ESMA considers them as a distinct category from intraday auctions, according to paragraph 10. Following ESMA’s definitions, it would be useful to further clarify what it considers as intraday auctions.</w:t>
      </w:r>
    </w:p>
    <w:p w14:paraId="74845BAD" w14:textId="58C6CD7D" w:rsidR="003A33E5" w:rsidRDefault="00B80A62" w:rsidP="00B80A62">
      <w:r>
        <w:t xml:space="preserve">Lastly, while acknowledging ESMA’s observation that transaction reporting data does not allow for a distinction between closing auctions and trades at the close, we consider that these two categories should still be considered separately. As ESMA notes, trade at close is a non-price forming mechanism, whereas closing auctions are an important contributor to the price </w:t>
      </w:r>
      <w:r>
        <w:lastRenderedPageBreak/>
        <w:t xml:space="preserve">formation process. Therefore, these two mechanisms should be distinguished both conceptually and, to the extent possible, in the presentation of data, </w:t>
      </w:r>
      <w:proofErr w:type="gramStart"/>
      <w:r>
        <w:t>in order to</w:t>
      </w:r>
      <w:proofErr w:type="gramEnd"/>
      <w:r>
        <w:t xml:space="preserve"> offer a more accurate picture of market structure.</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754BE1A4" w14:textId="5A40E424" w:rsidR="003A33E5" w:rsidRDefault="00B80A62" w:rsidP="003A33E5">
      <w:permStart w:id="1720911874" w:edGrp="everyone"/>
      <w:r w:rsidRPr="00B80A62">
        <w:t>We would welcome further scrutiny of SI-OTC and XOFF activity, because the available reporting framework still makes it difficult to distinguish clearly between genuinely bilateral principal risk-taking and trades that are functionally similar to off-exchange market making. The main issue is not that such activity should be presumed inappropriate, but that current flagging and reporting do not always allow a clean assessment of its economic nature. Better flagging and more consistent reporting would be more useful than drawing strong conclusions from the data alone.</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317D81C0" w14:textId="77777777" w:rsidR="00B80A62" w:rsidRDefault="00B80A62" w:rsidP="00B80A62">
      <w:permStart w:id="1070029581" w:edGrp="everyone"/>
      <w:r>
        <w:t xml:space="preserve">We broadly agree with the trends identified by ESMA and are similarly observing a decline in lit continuous trading activity. At the same time, we are concerned by the increasing migration of trading activity towards bilateral and off-exchange mechanisms, such as Systematic </w:t>
      </w:r>
      <w:proofErr w:type="spellStart"/>
      <w:r>
        <w:t>Internalisers</w:t>
      </w:r>
      <w:proofErr w:type="spellEnd"/>
      <w:r>
        <w:t xml:space="preserve"> (SIs). Even within lit markets, there is a noticeable shift away from the traditional Central Limit Order Book (CLOB) model towards other execution mechanisms.</w:t>
      </w:r>
    </w:p>
    <w:p w14:paraId="36E7831C" w14:textId="77777777" w:rsidR="00B80A62" w:rsidRDefault="00B80A62" w:rsidP="00B80A62">
      <w:r>
        <w:t>This trend — from lit continuous trading towards (for example auctions, SIs, and bilateral mechanisms) — reflects a broader pattern of structural fragmentation. From a policy perspective, this evolution should not be passively accepted. Importantly, this trend is not limited to the period since 2022 but can be observed since the implementation of MiFID II in 2018.</w:t>
      </w:r>
    </w:p>
    <w:p w14:paraId="6A9D9346" w14:textId="77777777" w:rsidR="00B80A62" w:rsidRDefault="00B80A62" w:rsidP="00B80A62">
      <w:r>
        <w:t xml:space="preserve">Furthermore, these trends have significant implications for issuers and overall market efficiency. The redistribution of trading flows directly affects EU market dynamics and should be carefully considered in policy decisions. </w:t>
      </w:r>
      <w:proofErr w:type="gramStart"/>
      <w:r>
        <w:t>In particular, EEA</w:t>
      </w:r>
      <w:proofErr w:type="gramEnd"/>
      <w:r>
        <w:t xml:space="preserve"> issuers may face reduced depth and liquidity on EU lit venues. At the same time, high trading volumes on third-country venues may further fragment liquidity, despite de STO obligations, reducing investor visibility and weakening price discovery within EU markets, which in turn may have adverse implications for issuers ‘cost of capital.</w:t>
      </w:r>
    </w:p>
    <w:p w14:paraId="47C8C198" w14:textId="3A27D6EC" w:rsidR="003A33E5" w:rsidRDefault="00B80A62" w:rsidP="00B80A62">
      <w:r>
        <w:t>Instead, the regulatory framework should aim to enhance transparency, simplify the current market structure, and preserve a meaningful role for lit markets in price formation.</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3700D1E0" w14:textId="77777777" w:rsidR="00B80A62" w:rsidRDefault="00B80A62" w:rsidP="00B80A62">
      <w:permStart w:id="856752782" w:edGrp="everyone"/>
      <w:r>
        <w:lastRenderedPageBreak/>
        <w:t>Yes, we have significant concerns about the impact of these trends on the overall functioning of EEA equity markets, particularly if the decline in trading on central limit order books (CLOBs) persists or accelerates.</w:t>
      </w:r>
    </w:p>
    <w:p w14:paraId="358045EF" w14:textId="77777777" w:rsidR="00B80A62" w:rsidRDefault="00B80A62" w:rsidP="00B80A62">
      <w:r>
        <w:t>As highlighted by ESMA, there is a clear shift away from activity on transparent, price-forming venues towards less transparent and, in some cases, less broadly accessible execution mechanisms, including bilateral and off-book trading. This development is particularly concerning as it coincides with an increasing reliance—both implicit and explicit—on reference prices generated by lit markets, despite a declining share of trading activity contributing directly to their formation.</w:t>
      </w:r>
    </w:p>
    <w:p w14:paraId="1507A736" w14:textId="77777777" w:rsidR="00B80A62" w:rsidRDefault="00B80A62" w:rsidP="00B80A62">
      <w:r>
        <w:t>Lit continuous trading remains the core mechanism for transparent and robust price formation. A sustained decline in CLOB activity risks weakening market transparency, reducing accessible liquidity, and undermining the resilience and quality of price discovery. The gradual migration of liquidity away from lit multilateral markets exacerbates an existing structural weakness of European markets—namely, the fragmentation of liquidity—and raises important concerns about the long-term integrity of the pricing process.</w:t>
      </w:r>
    </w:p>
    <w:p w14:paraId="61A67DBC" w14:textId="77777777" w:rsidR="00B80A62" w:rsidRDefault="00B80A62" w:rsidP="00B80A62">
      <w:r>
        <w:t xml:space="preserve">This evolution is creating a structural imbalance in market design: while alternative execution mechanisms benefit from the transparency and efficiency generated by lit markets, they are not subject to equivalent transparency obligations, nor do they contribute proportionately to sustaining those markets. As a result, an increasing share of trading depends on prices formed on lit venues, while a shrinking share of activity </w:t>
      </w:r>
      <w:proofErr w:type="gramStart"/>
      <w:r>
        <w:t>actually supports</w:t>
      </w:r>
      <w:proofErr w:type="gramEnd"/>
      <w:r>
        <w:t xml:space="preserve"> that process.</w:t>
      </w:r>
    </w:p>
    <w:p w14:paraId="4B327B33" w14:textId="77777777" w:rsidR="00B80A62" w:rsidRDefault="00B80A62" w:rsidP="00B80A62">
      <w:r>
        <w:t>If this trend continues, there is a risk of a transition towards a more “price-driven” market structure, where dealer-based models play a growing role in setting and executing prices. Such a structure may give rise to potential conflicts of interest, particularly where pricing discretion and execution incentives are closely aligned, that may not always deliver optimal outcomes for investors, particularly in environments with limited transparency and competitive pressure.</w:t>
      </w:r>
    </w:p>
    <w:p w14:paraId="6AAD2E90" w14:textId="77777777" w:rsidR="00B80A62" w:rsidRDefault="00B80A62" w:rsidP="00B80A62">
      <w:r>
        <w:t>Beyond secondary market implications, these developments also risk undermining the attractiveness of EU primary markets. The growing volume of bilateral trading activity may reduce companies’ incentives to list on EU equity markets, as diminished liquidity and weaker price discovery impair valuation efficiency. Over time, this could affect issuers’ ability to raise capital and further weaken the competitiveness of EU markets.</w:t>
      </w:r>
    </w:p>
    <w:p w14:paraId="10E03EC1" w14:textId="77777777" w:rsidR="00B80A62" w:rsidRDefault="00B80A62" w:rsidP="00B80A62">
      <w:r>
        <w:t>If volumes continue to shift towards bilateral and dark trading, exchanges may face a significant erosion of liquidity, threatening both the robustness of reference prices and the viability of transparent public markets. Without appropriate safeguards, this could lead to higher execution costs, reduced investor trust, and increased risks to overall market stability.</w:t>
      </w:r>
    </w:p>
    <w:p w14:paraId="37E368FA" w14:textId="05D42FEF" w:rsidR="003A33E5" w:rsidRDefault="00B80A62" w:rsidP="00B80A62">
      <w:r>
        <w:lastRenderedPageBreak/>
        <w:t>For these reasons, preserving a strong and credible price formation process is essential not only for market efficiency, but also for investor confidence and the long-term health of the EU financial ecosystem.</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74B4086F" w14:textId="77777777" w:rsidR="00D02FE7" w:rsidRDefault="00D02FE7" w:rsidP="00D02FE7">
      <w:permStart w:id="617826185" w:edGrp="everyone"/>
      <w:r>
        <w:t>The CNMV Advisory Committee considers that the relative importance of the drivers guiding market participants’ choice of execution venue or method may vary across firms and trading strategies. Individual market participants apply their own execution policies and may weigh a range of commercial and operational considerations.</w:t>
      </w:r>
    </w:p>
    <w:p w14:paraId="39B472DA" w14:textId="77777777" w:rsidR="00D02FE7" w:rsidRDefault="00D02FE7" w:rsidP="00D02FE7">
      <w:r>
        <w:t xml:space="preserve">Execution priorities vary across different types of investors. For retail investors, who rely on investment firms to safeguard their interests, the primary considerations are typically execution price and transaction costs. For more sophisticated investors, however, other factors may be equally — if not more — important. </w:t>
      </w:r>
    </w:p>
    <w:p w14:paraId="5AA6D7A8" w14:textId="77777777" w:rsidR="00D02FE7" w:rsidRDefault="00D02FE7" w:rsidP="00D02FE7">
      <w:r>
        <w:t xml:space="preserve">In this context, it is nevertheless important to highlight that regulatory design plays a significant role in shaping market incentives and outcomes. </w:t>
      </w:r>
      <w:proofErr w:type="gramStart"/>
      <w:r>
        <w:t>In particular, regulatory</w:t>
      </w:r>
      <w:proofErr w:type="gramEnd"/>
      <w:r>
        <w:t xml:space="preserve"> asymmetries between SIs and multilateral trading venues create distortions in incentives and competitive conditions. These asymmetries can make certain execution models comparatively more attractive, irrespective of intrinsic execution quality.</w:t>
      </w:r>
    </w:p>
    <w:p w14:paraId="001B0622" w14:textId="4DAC264A" w:rsidR="003A33E5" w:rsidRDefault="00D02FE7" w:rsidP="00D02FE7">
      <w:r>
        <w:t xml:space="preserve">For example, where SIs benefit from more flexible regulatory treatment compared to trading venues, irrespective of order sizes (e.g., the ability to select counterparties and execute each counterparty differently, to execute off-tick, etc.), the incentives to internalise order flow may be heightened, while there are limited mechanisms to steer activity towards lit multilateral markets. As a result, order flow may be diverted away from lit venues not necessarily </w:t>
      </w:r>
      <w:proofErr w:type="gramStart"/>
      <w:r>
        <w:t>on the basis of</w:t>
      </w:r>
      <w:proofErr w:type="gramEnd"/>
      <w:r>
        <w:t xml:space="preserve"> best execution outcomes, but due to differences in regulatory frameworks. This may have implications for overall market quality, including price formation and transparency. For further information, please refer to Question 20.</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lastRenderedPageBreak/>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57E2B48D" w14:textId="77777777" w:rsidR="00D02FE7" w:rsidRDefault="00D02FE7" w:rsidP="00D02FE7">
      <w:permStart w:id="1898151376" w:edGrp="everyone"/>
      <w:r>
        <w:t xml:space="preserve">Achieving broad access to liquidity is a complex issue. Due to market fragmentation, European firms providing services of reception, transmission and execution of orders for clients are forced to bear disproportionate connectivity costs </w:t>
      </w:r>
      <w:proofErr w:type="gramStart"/>
      <w:r>
        <w:t>in order to</w:t>
      </w:r>
      <w:proofErr w:type="gramEnd"/>
      <w:r>
        <w:t xml:space="preserve"> ensure best execution for their clients.</w:t>
      </w:r>
    </w:p>
    <w:p w14:paraId="2F3567FB" w14:textId="77777777" w:rsidR="00D02FE7" w:rsidRDefault="00D02FE7" w:rsidP="00D02FE7">
      <w:r>
        <w:t>Access remains fragmented and operationally costly. Even where liquidity exists, participants often need multiple venue connections (even if through a single point of entry, e.g. Bloomberg or Refinitiv) and different execution arrangements to obtain it efficiently.</w:t>
      </w:r>
    </w:p>
    <w:p w14:paraId="2EE2CB19" w14:textId="77777777" w:rsidR="00D02FE7" w:rsidRDefault="00D02FE7" w:rsidP="00D02FE7">
      <w:r>
        <w:t xml:space="preserve">In addition, </w:t>
      </w:r>
      <w:proofErr w:type="gramStart"/>
      <w:r>
        <w:t>in order to</w:t>
      </w:r>
      <w:proofErr w:type="gramEnd"/>
      <w:r>
        <w:t xml:space="preserve"> monitor liquidity and demonstrate compliance with best execution obligations, firms are often required to rely on multiple market data feeds, further increasing the overall cost and complexity of accessing liquidity. </w:t>
      </w:r>
    </w:p>
    <w:p w14:paraId="4D96396D" w14:textId="77777777" w:rsidR="00D02FE7" w:rsidRDefault="00D02FE7" w:rsidP="00D02FE7">
      <w:r>
        <w:t>These costs are so significant that some European entities, in particular small asset managers and investment firms, have been unable to absorb them, resulting in them being pushed out of the market entirely and replaced by competitors from outside the EU.</w:t>
      </w:r>
    </w:p>
    <w:p w14:paraId="1725DF0B" w14:textId="77777777" w:rsidR="00D02FE7" w:rsidRDefault="00D02FE7" w:rsidP="00D02FE7">
      <w:r>
        <w:t xml:space="preserve">Furthermore, during periods of market stress, certain execution mechanisms (e.g., Systematic </w:t>
      </w:r>
      <w:proofErr w:type="spellStart"/>
      <w:r>
        <w:t>Internalisers</w:t>
      </w:r>
      <w:proofErr w:type="spellEnd"/>
      <w:r>
        <w:t>) may exhibit more variable liquidity provision, as they are not subject to obligations to maintain continuous quotes.</w:t>
      </w:r>
    </w:p>
    <w:p w14:paraId="539AAB43" w14:textId="22EA77AC" w:rsidR="003A33E5" w:rsidRDefault="00D02FE7" w:rsidP="00D02FE7">
      <w:r>
        <w:t>These elements underline the importance of preserving robust and reliable price formation mechanisms across trading venues.</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644831F8" w14:textId="77777777" w:rsidR="00324D7C" w:rsidRDefault="00D02FE7" w:rsidP="00D02FE7">
      <w:pPr>
        <w:rPr>
          <w:rFonts w:cstheme="minorHAnsi"/>
          <w:szCs w:val="22"/>
        </w:rPr>
      </w:pPr>
      <w:permStart w:id="1102657477" w:edGrp="everyone"/>
      <w:r w:rsidRPr="00D02FE7">
        <w:rPr>
          <w:rFonts w:cstheme="minorHAnsi"/>
          <w:szCs w:val="22"/>
        </w:rPr>
        <w:t>The CNMV Advisory Committee would like to emphasize that the attractiveness of primary markets for listings is closely linked to the depth, liquidity and overall functioning of secondary markets.</w:t>
      </w:r>
    </w:p>
    <w:p w14:paraId="5D337D26" w14:textId="7CABC241" w:rsidR="00D02FE7" w:rsidRPr="00D02FE7" w:rsidRDefault="00D02FE7" w:rsidP="00D02FE7">
      <w:pPr>
        <w:rPr>
          <w:rFonts w:cstheme="minorHAnsi"/>
          <w:szCs w:val="22"/>
        </w:rPr>
      </w:pPr>
      <w:r w:rsidRPr="00D02FE7">
        <w:rPr>
          <w:rFonts w:cstheme="minorHAnsi"/>
          <w:szCs w:val="22"/>
        </w:rPr>
        <w:lastRenderedPageBreak/>
        <w:t xml:space="preserve">Primary and secondary markets are intrinsically interconnected. Efficient secondary markets support capital formation, liquidity provision and risk management, all essential for an attractive listing environment. </w:t>
      </w:r>
      <w:proofErr w:type="gramStart"/>
      <w:r w:rsidRPr="00D02FE7">
        <w:rPr>
          <w:rFonts w:cstheme="minorHAnsi"/>
          <w:szCs w:val="22"/>
        </w:rPr>
        <w:t>In particular, strong</w:t>
      </w:r>
      <w:proofErr w:type="gramEnd"/>
      <w:r w:rsidRPr="00D02FE7">
        <w:rPr>
          <w:rFonts w:cstheme="minorHAnsi"/>
          <w:szCs w:val="22"/>
        </w:rPr>
        <w:t xml:space="preserve">, visible secondary-market liquidity is one of the most powerful drivers of IPO activity: it enables credible valuations, reduces spreads, and lowers the cost of capital. Consolidating liquidity around transparent primary venues would therefore create a positive feedback loop, enhancing price formation, reducing volatility, improving funding conditions and IPO prospects. </w:t>
      </w:r>
    </w:p>
    <w:p w14:paraId="25E6A7DB" w14:textId="77777777" w:rsidR="00D02FE7" w:rsidRPr="00D02FE7" w:rsidRDefault="00D02FE7" w:rsidP="00D02FE7">
      <w:pPr>
        <w:rPr>
          <w:rFonts w:cstheme="minorHAnsi"/>
          <w:szCs w:val="22"/>
        </w:rPr>
      </w:pPr>
      <w:r w:rsidRPr="00D02FE7">
        <w:rPr>
          <w:rFonts w:cstheme="minorHAnsi"/>
          <w:szCs w:val="22"/>
        </w:rPr>
        <w:t>However, these benefits are increasingly undermined by a dispersion of liquidity across bilateral and less transparent channels. In this context, it should also be considered that while exchanges play a vital role as listing venues, other execution mechanisms operate solely in the secondary market, competing with trading venues under lighter regulatory frameworks. Addressing this asymmetry is essential to preserving the sustainability of primary markets. Other structural factors, such as fragmented investor pools, limited retail participation, and national barriers, also weigh on IPO activity.</w:t>
      </w:r>
    </w:p>
    <w:p w14:paraId="7A75D0EE" w14:textId="63D8B6FD" w:rsidR="005439CE" w:rsidRPr="00D02FE7" w:rsidRDefault="00D02FE7" w:rsidP="00D02FE7">
      <w:pPr>
        <w:rPr>
          <w:rFonts w:cstheme="minorHAnsi"/>
        </w:rPr>
      </w:pPr>
      <w:r w:rsidRPr="00D02FE7">
        <w:rPr>
          <w:rFonts w:eastAsia="Times New Roman" w:cstheme="minorHAnsi"/>
          <w:szCs w:val="22"/>
          <w:lang w:eastAsia="es-ES"/>
        </w:rPr>
        <w:t>As a result, given the relative strength of other, more integrated and less fragmented capital markets, an increasing number of European companies may choose to pursue IPOs outside the EU in search of higher valuations and deeper liquidity.</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401F8599" w14:textId="77777777" w:rsidR="00D02FE7" w:rsidRPr="00D02FE7" w:rsidRDefault="00D02FE7" w:rsidP="00D02FE7">
      <w:pPr>
        <w:rPr>
          <w:rFonts w:eastAsia="Times New Roman" w:cstheme="minorHAnsi"/>
          <w:szCs w:val="22"/>
          <w:lang w:eastAsia="es-ES"/>
        </w:rPr>
      </w:pPr>
      <w:permStart w:id="1746406015" w:edGrp="everyone"/>
      <w:r w:rsidRPr="00D02FE7">
        <w:rPr>
          <w:rFonts w:eastAsia="Times New Roman" w:cstheme="minorHAnsi"/>
          <w:szCs w:val="22"/>
          <w:lang w:eastAsia="es-ES"/>
        </w:rPr>
        <w:t xml:space="preserve">The main conclusion is that liquidity patterns differ materially across jurisdictions, which reinforces the case for further harmonisation. Where OTC or SI activity is high, this may reflect local market structure, issuer concentration or access conditions, but it also underlines the need for better transparency and more consistent access to price-forming liquidity. We would avoid over-reading country-by-country differences without better harmonised data and flags. </w:t>
      </w:r>
    </w:p>
    <w:p w14:paraId="0D3BBA8C" w14:textId="77777777" w:rsidR="00324D7C" w:rsidRDefault="00D02FE7" w:rsidP="00D02FE7">
      <w:pPr>
        <w:rPr>
          <w:rFonts w:cstheme="minorHAnsi"/>
          <w:szCs w:val="22"/>
        </w:rPr>
      </w:pPr>
      <w:r w:rsidRPr="00D02FE7">
        <w:rPr>
          <w:rFonts w:cstheme="minorHAnsi"/>
          <w:szCs w:val="22"/>
        </w:rPr>
        <w:t>The distribution of liquidity appears to vary significantly across countries, with smaller markets tending to rely more heavily on continuous lit trading</w:t>
      </w:r>
      <w:r w:rsidRPr="00D02FE7">
        <w:rPr>
          <w:rFonts w:cstheme="minorHAnsi"/>
          <w:b/>
          <w:bCs/>
          <w:szCs w:val="22"/>
        </w:rPr>
        <w:t>.</w:t>
      </w:r>
      <w:r w:rsidRPr="00D02FE7">
        <w:rPr>
          <w:rFonts w:cstheme="minorHAnsi"/>
          <w:szCs w:val="22"/>
        </w:rPr>
        <w:t xml:space="preserve"> Any structural diversion of order flow away from lit venues may have disproportionate effects on price discovery and market quality.</w:t>
      </w:r>
    </w:p>
    <w:p w14:paraId="1A77713C" w14:textId="5C4CE6B6" w:rsidR="003A33E5" w:rsidRPr="00D02FE7" w:rsidRDefault="00D02FE7" w:rsidP="00D02FE7">
      <w:pPr>
        <w:rPr>
          <w:rFonts w:cstheme="minorHAnsi"/>
        </w:rPr>
      </w:pPr>
      <w:r w:rsidRPr="00D02FE7">
        <w:rPr>
          <w:rFonts w:cstheme="minorHAnsi"/>
          <w:szCs w:val="22"/>
        </w:rPr>
        <w:lastRenderedPageBreak/>
        <w:t>Complementing the analysis by EEA ISINs, assessing trading volumes across share categories (e.g., blue chips, mid- and small-caps) could help determine whether fragmentation leads to a concentration of liquidity in larger-cap stocks.</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2551CA69" w14:textId="77777777" w:rsidR="00D02FE7" w:rsidRDefault="00D02FE7" w:rsidP="00D02FE7">
      <w:permStart w:id="648821160" w:edGrp="everyone"/>
      <w:r>
        <w:t>We believe that ESMA’s definition of “dark trading” (i.e. transactions executed under the reference price waiver or the large-in-scale waiver) does not fully reflect the broader range of trading activity that could reasonably be considered as dark. In practice, any transaction executed under a waiver—thereby exempt from pre-trade transparency—could be viewed as falling within this category. In this context, it is noteworthy that transactions carried out under the negotiated trade waiver are included in Figure 13 yet are not consistently treated as dark trading in ESMA’s overall classification.</w:t>
      </w:r>
    </w:p>
    <w:p w14:paraId="4DCEE27B" w14:textId="77777777" w:rsidR="00D02FE7" w:rsidRDefault="00D02FE7" w:rsidP="00D02FE7">
      <w:r>
        <w:t xml:space="preserve">Regarding its evolution, we broadly agree with ESMA’s assessment that the overall level of dark trading has remained relatively stable over time, particularly for trades above the LIS threshold. </w:t>
      </w:r>
    </w:p>
    <w:p w14:paraId="14D35557" w14:textId="77777777" w:rsidR="00D02FE7" w:rsidRDefault="00D02FE7" w:rsidP="00D02FE7">
      <w:r>
        <w:t>The stability referred to in the graph can largely be attributed to the application of the Double Volume Cap (DVC), which has proven effective within its intended scope. That said, evidence suggests that when the reference price waiver (RPW) was suspended, a significant portion of trading activity did not return to continuous order books but instead migrated to other execution mechanisms. This shift appears to have intensified under the revised Single Volume Cap (SVC).</w:t>
      </w:r>
    </w:p>
    <w:p w14:paraId="6CAB21E8" w14:textId="0A7D971E" w:rsidR="003A33E5" w:rsidRDefault="00D02FE7" w:rsidP="00D02FE7">
      <w:proofErr w:type="gramStart"/>
      <w:r>
        <w:t>In light of</w:t>
      </w:r>
      <w:proofErr w:type="gramEnd"/>
      <w:r>
        <w:t xml:space="preserve"> these developments, we consider that a more in-depth assessment of the underlying dynamics would be warranted, </w:t>
      </w:r>
      <w:proofErr w:type="gramStart"/>
      <w:r>
        <w:t>in order to</w:t>
      </w:r>
      <w:proofErr w:type="gramEnd"/>
      <w:r>
        <w:t xml:space="preserve"> better understand how trading activity is redistributed across execution channels and the implications this may have for market structure and transparency.</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489A7F2C" w14:textId="5967C71D" w:rsidR="003A33E5" w:rsidRDefault="00D02FE7" w:rsidP="003A33E5">
      <w:permStart w:id="733371525" w:edGrp="everyone"/>
      <w:r w:rsidRPr="00D02FE7">
        <w:t xml:space="preserve">As mentioned in Q9, we would recommend that further monitoring and analysis of these trends is warranted.  </w:t>
      </w:r>
    </w:p>
    <w:permEnd w:id="733371525"/>
    <w:p w14:paraId="6A0D8A42" w14:textId="64FF6C32" w:rsidR="003A33E5" w:rsidRDefault="003A33E5" w:rsidP="003A33E5">
      <w:r>
        <w:lastRenderedPageBreak/>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6EB294F3" w14:textId="77777777" w:rsidR="00D02FE7" w:rsidRDefault="00D02FE7" w:rsidP="00D02FE7">
      <w:permStart w:id="14425139" w:edGrp="everyone"/>
      <w:r>
        <w:t xml:space="preserve">Closing auctions play a critical role in EU equity markets and should be preserved as a key price forming mechanism. They play a key role in equity markets by concentrating liquidity at the end of the trading day and delivering a robust closing price that is critical for transparency and market stability, without undermining lit order books during the trading session. </w:t>
      </w:r>
    </w:p>
    <w:p w14:paraId="5409300D" w14:textId="77777777" w:rsidR="00D02FE7" w:rsidRDefault="00D02FE7" w:rsidP="00D02FE7">
      <w:r>
        <w:t>The increasing importance of closing auctions can be explained by a combination of structural and demand-driven factors. In line with ESMA’s analysis, market participants are making greater use of periodic auctions—alongside other execution mechanisms such as dark pools and bilateral trading—to minimise market impact and gain execution flexibility, particularly for larger orders. At the same time, the growth of passive and index-tracking investment strategies has reinforced demand for execution at the end-of-day price, further supporting the role of closing auctions.</w:t>
      </w:r>
    </w:p>
    <w:p w14:paraId="7F8553A3" w14:textId="77777777" w:rsidR="00D02FE7" w:rsidRDefault="00D02FE7" w:rsidP="00D02FE7">
      <w:r>
        <w:t xml:space="preserve">However, this development should also be seen in the broader context of market structure changes following MiFID II. Increased fragmentation, including the rise of systematic </w:t>
      </w:r>
      <w:proofErr w:type="spellStart"/>
      <w:r>
        <w:t>internalisers</w:t>
      </w:r>
      <w:proofErr w:type="spellEnd"/>
      <w:r>
        <w:t>, alternative trading systems and trading under pre-trade transparency waivers, has dispersed liquidity and weakened continuous price formation on lit markets. In this environment, closing auctions have become even more important as a focal point for transparent, accessible liquidity and price formation.</w:t>
      </w:r>
    </w:p>
    <w:p w14:paraId="519514EE" w14:textId="38E68A27" w:rsidR="003A33E5" w:rsidRDefault="00D02FE7" w:rsidP="00D02FE7">
      <w:r>
        <w:t>While their growing significance is justified by these structural shifts and genuine investor needs, it also reflects a broader migration away from continuous lit trading. This raises concerns regarding the fragmentation of liquidity and the overall quality of price formation throughout the trading day. For this reason, it is essential to ensure that closing auctions remain a transparent and centralised process, and that other closing mechanisms do not undermine their integrity or contribute further to fragmentation.</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7DD54310" w14:textId="77777777" w:rsidR="00D02FE7" w:rsidRDefault="00D02FE7" w:rsidP="00D02FE7">
      <w:permStart w:id="230633778" w:edGrp="everyone"/>
      <w:r>
        <w:t xml:space="preserve">The CNMV Advisory Committee considers that there is a good level of competition in the closing space among trading venues and other execution mechanisms, offered by MTFs and SIs (Market at Close solutions). These products typically operate immediately after the official closing auction and match orders at the official closing price once they are established. </w:t>
      </w:r>
    </w:p>
    <w:p w14:paraId="797ACAE0" w14:textId="77777777" w:rsidR="00D02FE7" w:rsidRDefault="00D02FE7" w:rsidP="00D02FE7">
      <w:r>
        <w:t xml:space="preserve">However, some investment banks offer “market at close” products that allow internal matching of orders, thereby avoiding participation in the exchange auction. </w:t>
      </w:r>
    </w:p>
    <w:p w14:paraId="76C5DC32" w14:textId="77777777" w:rsidR="00D02FE7" w:rsidRDefault="00D02FE7" w:rsidP="00D02FE7">
      <w:r>
        <w:t>While these mechanisms may provide additional execution options, they rely on the price discovery process carried out in the primary auction. This may create an imbalance in incentives, as certain execution models benefit from the reference price without contributing to its formation to the same extent. This dynamic could have implications for the quality and robustness of price formation, particularly in less liquid instruments.</w:t>
      </w:r>
    </w:p>
    <w:p w14:paraId="455EA8AC" w14:textId="1F9D6EDD" w:rsidR="003A33E5" w:rsidRDefault="00D02FE7" w:rsidP="00D02FE7">
      <w:proofErr w:type="gramStart"/>
      <w:r>
        <w:t>In order to</w:t>
      </w:r>
      <w:proofErr w:type="gramEnd"/>
      <w:r>
        <w:t xml:space="preserve"> improve the visibility of activity executed at the closing price across different execution mechanisms, it would be beneficial to introduce a dedicated post-trade flag, </w:t>
      </w:r>
      <w:proofErr w:type="gramStart"/>
      <w:r>
        <w:t>similar to</w:t>
      </w:r>
      <w:proofErr w:type="gramEnd"/>
      <w:r>
        <w:t xml:space="preserve"> the CLSE flag used in the UK. This would provide greater transparency on the use of alternative closing mechanisms and support a more comprehensive analysis of their impact on market dynamics.</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4D4F73F8" w14:textId="4F86C459" w:rsidR="003A33E5" w:rsidRDefault="00D02FE7" w:rsidP="003A33E5">
      <w:permStart w:id="834536465" w:edGrp="everyone"/>
      <w:r w:rsidRPr="00D02FE7">
        <w:t>Any change should be the result of a thorough assessment prior to its implementation.</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 xml:space="preserve">Are there any structural shifts that you noticed, which you believe the competent authorities should monitor? Would you like to highlight any concerns/issues at this stage? Do you see a need for specific regulatory </w:t>
      </w:r>
      <w:r>
        <w:lastRenderedPageBreak/>
        <w:t>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64701C3B" w14:textId="77777777" w:rsidR="00D02FE7" w:rsidRDefault="00D02FE7" w:rsidP="00D02FE7">
      <w:permStart w:id="54361316" w:edGrp="everyone"/>
      <w:r>
        <w:t xml:space="preserve">Competitive dynamics in the closing auction space remain robust. There are no structural or regulatory barriers preventing entry or competition, and trading venues compete both among themselves and with bilateral execution models, including systematic internalisation. Alternative solutions exist, allowing participants to execute transactions without participating at the primary market’s closing auction. </w:t>
      </w:r>
    </w:p>
    <w:p w14:paraId="3BF802E3" w14:textId="77777777" w:rsidR="00D02FE7" w:rsidRDefault="00D02FE7" w:rsidP="00D02FE7">
      <w:r>
        <w:t xml:space="preserve">The growing use of closing auctions should therefore be understood as a market-driven development reflecting investor demand, rather than </w:t>
      </w:r>
      <w:proofErr w:type="gramStart"/>
      <w:r>
        <w:t>as a consequence of</w:t>
      </w:r>
      <w:proofErr w:type="gramEnd"/>
      <w:r>
        <w:t xml:space="preserve"> limited competition or market failures. Pricing practices of trading venues reflect normal commercial strategies, competitive positioning and cost structures, and market entry and innovation remain possible, as evidenced by the emergence of competing solutions in recent years. Unofficial data, based on hypothesis in the absence of CLSE flags, indicate that trading at close on bilateral venues versus the main closing auction almost doubles when </w:t>
      </w:r>
      <w:proofErr w:type="gramStart"/>
      <w:r>
        <w:t>taking into account</w:t>
      </w:r>
      <w:proofErr w:type="gramEnd"/>
      <w:r>
        <w:t xml:space="preserve"> all other alternative mechanisms, including MTFs, OTC and OBOE. </w:t>
      </w:r>
    </w:p>
    <w:p w14:paraId="0D407B43" w14:textId="3493972E" w:rsidR="003A33E5" w:rsidRDefault="00D02FE7" w:rsidP="00D02FE7">
      <w:r>
        <w:t>On this basis, there is no evidence at this stage to justify targeted regulatory intervention in the structure or functioning of closing auctions. Regulatory focus should remain on monitoring market developments, while preserving the conditions for competition, innovation and efficient price formation. Premature or prescriptive interventions could risk disrupting well-functioning market mechanisms that currently respond to genuine investor needs.</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44652DE4" w14:textId="77777777" w:rsidR="00D02FE7" w:rsidRDefault="00D02FE7" w:rsidP="00D02FE7">
      <w:permStart w:id="1032677898" w:edGrp="everyone"/>
      <w:r>
        <w:t>We consider that the considerations and concerns highlighted in response to Q11 on closing auctions are also relevant in the context of Frequent Batch Auctions (FBAs).</w:t>
      </w:r>
    </w:p>
    <w:p w14:paraId="789E57AB" w14:textId="77777777" w:rsidR="00D02FE7" w:rsidRDefault="00D02FE7" w:rsidP="00D02FE7">
      <w:r>
        <w:t>FBAs have become an established feature of the market structure and deserve close attention. While they can provide execution advantages for certain types of orders, particularly where minimizing slippage is a priority, their role should be evaluated in terms of their impact on price formation, transparency, and overall market integrity. We support ESMA’s proposal to introduce a clearer distinction between FBAs and other periodic auction models, as well as the application of consistent tick size rules to ensure a level playing field.</w:t>
      </w:r>
    </w:p>
    <w:p w14:paraId="1339EF68" w14:textId="6D964523" w:rsidR="003A33E5" w:rsidRDefault="00D02FE7" w:rsidP="00D02FE7">
      <w:r>
        <w:t>From a policy perspective, it is essential to ensure that emerging trading mechanisms do not replicate the effects of dark trading without being subject to a comparable level of regulatory oversight.</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368930A1" w14:textId="77777777" w:rsidR="003A33E5" w:rsidRDefault="003A33E5" w:rsidP="003A33E5">
      <w:permStart w:id="2057074625" w:edGrp="everyone"/>
      <w:r>
        <w:t>TYPE YOUR TEXT HERE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F3261F0" w14:textId="77777777" w:rsidR="003A33E5" w:rsidRDefault="003A33E5" w:rsidP="003A33E5">
      <w:permStart w:id="174423608" w:edGrp="everyone"/>
      <w:r>
        <w:t>TYPE YOUR TEXT HERE</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127D8A68" w14:textId="77777777" w:rsidR="003A33E5" w:rsidRDefault="003A33E5" w:rsidP="003A33E5">
      <w:permStart w:id="1672904074" w:edGrp="everyone"/>
      <w:r>
        <w:t>TYPE YOUR TEXT HERE</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7C463076" w14:textId="77777777" w:rsidR="003A33E5" w:rsidRDefault="003A33E5" w:rsidP="003A33E5">
      <w:permStart w:id="1032158778" w:edGrp="everyone"/>
      <w:r>
        <w:t>TYPE YOUR TEXT HERE</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2AAF1E89" w14:textId="77777777" w:rsidR="00321C9C" w:rsidRDefault="00321C9C" w:rsidP="00321C9C">
      <w:permStart w:id="529949636" w:edGrp="everyone"/>
      <w:r>
        <w:t xml:space="preserve">Systematic </w:t>
      </w:r>
      <w:proofErr w:type="spellStart"/>
      <w:r>
        <w:t>Internalisers</w:t>
      </w:r>
      <w:proofErr w:type="spellEnd"/>
      <w:r>
        <w:t xml:space="preserve"> (SIs) have become structurally significant participants in European equity markets, playing a role in facilitating market access and offering alternative execution models. Their growth has been driven by increased demand for bilateral execution models, technological developments in internalisation, and the ability to offer tailored execution services outside traditional trading venues.</w:t>
      </w:r>
    </w:p>
    <w:p w14:paraId="1B332B4A" w14:textId="77777777" w:rsidR="00321C9C" w:rsidRDefault="00321C9C" w:rsidP="00321C9C">
      <w:r>
        <w:t xml:space="preserve">However, their rapid expansion reflects a broader structural shift in market design, likely driven by regulatory asymmetries. Differences in regulatory treatment between SIs and trading venues create distortion in incentives and competitive conditions, potentially diverting order flow away from lit multilateral venues—not necessarily </w:t>
      </w:r>
      <w:proofErr w:type="gramStart"/>
      <w:r>
        <w:t>on the basis of</w:t>
      </w:r>
      <w:proofErr w:type="gramEnd"/>
      <w:r>
        <w:t xml:space="preserve"> execution quality, but </w:t>
      </w:r>
      <w:proofErr w:type="gramStart"/>
      <w:r>
        <w:t>as a consequence of</w:t>
      </w:r>
      <w:proofErr w:type="gramEnd"/>
      <w:r>
        <w:t xml:space="preserve"> regulatory design. </w:t>
      </w:r>
    </w:p>
    <w:p w14:paraId="15106E3B" w14:textId="77777777" w:rsidR="00321C9C" w:rsidRDefault="00321C9C" w:rsidP="00321C9C">
      <w:proofErr w:type="gramStart"/>
      <w:r>
        <w:lastRenderedPageBreak/>
        <w:t>In particular, we</w:t>
      </w:r>
      <w:proofErr w:type="gramEnd"/>
      <w:r>
        <w:t xml:space="preserve"> are concerned by the growing volume of small-sized transactions executed through SIs. ESMA’s own data indicates that a significant proportion of SI activity consists of transactions with an Average Value Traded (AVT) below €5,000, which strongly suggests that retail order flow—historically executed on lit markets—is increasingly being internalised.</w:t>
      </w:r>
    </w:p>
    <w:p w14:paraId="326197B0" w14:textId="77777777" w:rsidR="00321C9C" w:rsidRDefault="00321C9C" w:rsidP="00321C9C">
      <w:r>
        <w:t>This trend is especially relevant because SIs are not subject to the same obligations as trading venues. Unlike regulated markets and MTFs, SIs are not required to maintain continuous liquidity provision, meaning that the liquidity they offer may prove volatile and may disappear during periods of market stress. The concentration of retail and standard-sized flow within SIs, many of which are large non-EU firms, therefore creates structural risks for the broader European market ecosystem, including reduced transparency, weaker price formation, and distortions to fair competition.</w:t>
      </w:r>
    </w:p>
    <w:p w14:paraId="65051500" w14:textId="77777777" w:rsidR="00321C9C" w:rsidRDefault="00321C9C" w:rsidP="00321C9C">
      <w:r>
        <w:t xml:space="preserve">These concerns are compounded by the fact that, although </w:t>
      </w:r>
      <w:proofErr w:type="spellStart"/>
      <w:r>
        <w:t>MiFIR</w:t>
      </w:r>
      <w:proofErr w:type="spellEnd"/>
      <w:r>
        <w:t xml:space="preserve"> already recognises in Recital 13 the lower level of pre-trade transparency applicable to SIs and the need to ensure a level playing field with trading venues, the revised </w:t>
      </w:r>
      <w:proofErr w:type="spellStart"/>
      <w:r>
        <w:t>MiFIR</w:t>
      </w:r>
      <w:proofErr w:type="spellEnd"/>
      <w:r>
        <w:t>/MiFID framework and RTS 1 have not fully resolved these issues. Persistent differences in transparency and oversight, together with weaker data quality in SI reporting—including insufficient pre- and post-trade information and inconsistent flagging—limit supervisors’ ability to monitor activity effectively and contribute to further fragmentation.</w:t>
      </w:r>
    </w:p>
    <w:p w14:paraId="0F038795" w14:textId="77777777" w:rsidR="00321C9C" w:rsidRDefault="00321C9C" w:rsidP="00321C9C">
      <w:r>
        <w:t>Against this background, we support stronger and more consistent transparency requirements for SIs, improved flagging, and clearer boundaries between market models. We also believe the regime should distinguish more clearly between genuine bilateral principal trading and activity that is functionally closer to multilateral trading. A practical policy direction would be to concentrate SI activity on transactions above LIS and to ensure that standard-sized trading contributes to visible price formation on transparent venues.</w:t>
      </w:r>
    </w:p>
    <w:p w14:paraId="16CC736F" w14:textId="157505CB" w:rsidR="003A33E5" w:rsidRDefault="00321C9C" w:rsidP="00321C9C">
      <w:r>
        <w:t>Taken together, these regulatory-driven factors risk displacing liquidity from transparent markets and weakening the integrity of the price formation process. Targeted reforms are therefore needed to ensure a fairer and more balanced coexistence between bilateral and multilateral trading models.</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7024B27E" w14:textId="77777777" w:rsidR="00321C9C" w:rsidRDefault="00321C9C" w:rsidP="00321C9C">
      <w:permStart w:id="818545257" w:edGrp="everyone"/>
      <w:r>
        <w:t xml:space="preserve">The trends described broadly reflect our observations of SI trading activity. While SIs </w:t>
      </w:r>
      <w:proofErr w:type="gramStart"/>
      <w:r>
        <w:t>were</w:t>
      </w:r>
      <w:proofErr w:type="gramEnd"/>
      <w:r>
        <w:t xml:space="preserve"> originally conceived as mechanisms to facilitate bilateral execution, particularly for larger or institutional transactions, a significant proportion of SI transactions take place below-LIS, in sizes that are typically associated with retail investors. This raises an important policy question as to whether the observed mix remains consistent with the intended role of SIs and the efficient functioning of EU equity markets.</w:t>
      </w:r>
    </w:p>
    <w:p w14:paraId="4AE07A4B" w14:textId="77777777" w:rsidR="00321C9C" w:rsidRDefault="00321C9C" w:rsidP="00321C9C">
      <w:r>
        <w:t>While we recognize the value of SIs in facilitating large, bespoke, risk trading quotes that enable institutional investors to execute sizeable orders with reduced market impact, the increasing concentration of smaller orders within SIs appears to reflect a business model increasingly focused on internalising retail and standard-sized order flow that would historically have been executed on regulated markets or MTFs.</w:t>
      </w:r>
    </w:p>
    <w:p w14:paraId="20C06617" w14:textId="77777777" w:rsidR="00321C9C" w:rsidRDefault="00321C9C" w:rsidP="00321C9C">
      <w:r>
        <w:t>This distinction between large and small transaction sizes is important from a market structure perspective. Large-in-scale (LIS) transactions may justify bilateral execution arrangements due to their specific liquidity needs and market impact considerations. However, this development is particularly sensitive, as it can fragment liquidity across more opaque execution channels, reduce the visibility that retail investors have over market conditions, and weaken the overall price formation process—especially considering that such smaller trades tend to carry a higher informational content.</w:t>
      </w:r>
    </w:p>
    <w:p w14:paraId="101947D7" w14:textId="77777777" w:rsidR="00321C9C" w:rsidRDefault="00321C9C" w:rsidP="00321C9C">
      <w:r>
        <w:t>This development must also be assessed from a broader market structure perspective. The increasing proliferation of alternative execution venues (including dark pools, SIs and OTC trading) has contributed to a displacement of liquidity away from regulated markets and multilateral trading facilities, weakening the overall price formation process.</w:t>
      </w:r>
    </w:p>
    <w:p w14:paraId="34E5C186" w14:textId="77777777" w:rsidR="00321C9C" w:rsidRDefault="00321C9C" w:rsidP="00321C9C">
      <w:proofErr w:type="gramStart"/>
      <w:r>
        <w:t>In particular, trading</w:t>
      </w:r>
      <w:proofErr w:type="gramEnd"/>
      <w:r>
        <w:t xml:space="preserve"> activity tends to migrate towards venues offering comparative advantages under the regulatory framework, notably in terms of flexibility of access, execution discretion or transparency waivers. These dynamic risks creating an uneven playing field, whereby venues subject to more stringent regulatory requirements may face a loss of competitiveness, potentially leading to their gradual marginalisation or exit from the market.</w:t>
      </w:r>
    </w:p>
    <w:p w14:paraId="6D3DF0EB" w14:textId="77777777" w:rsidR="00321C9C" w:rsidRDefault="00321C9C" w:rsidP="00321C9C">
      <w:r>
        <w:t>At the same time, a shift towards less transparent or less regulated execution channels may lead to a deterioration in the level of investor protection and the overall safety of the provision of trading services.</w:t>
      </w:r>
    </w:p>
    <w:p w14:paraId="41487637" w14:textId="0CDA6C6A" w:rsidR="003A33E5" w:rsidRDefault="00321C9C" w:rsidP="00321C9C">
      <w:r>
        <w:lastRenderedPageBreak/>
        <w:t>In this context, there is value in considering regulatory approaches that encourage the execution of below</w:t>
      </w:r>
      <w:r w:rsidR="009D0884">
        <w:t>-</w:t>
      </w:r>
      <w:r>
        <w:t>LIS trades on multilateral trading venues. This would enhance investor protection for retail participants, strengthen market transparency, and support more robust price formation.</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3CFF0EAB" w14:textId="77777777" w:rsidR="00321C9C" w:rsidRDefault="00321C9C" w:rsidP="00321C9C">
      <w:permStart w:id="1751220061" w:edGrp="everyone"/>
      <w:r>
        <w:t>While we offer no specific comment on the quality of the data or the flagging of transactions, we believe that the concept of price improvement is central when assessing the role of SIs in retail trading.</w:t>
      </w:r>
    </w:p>
    <w:p w14:paraId="1FE28878" w14:textId="77777777" w:rsidR="00321C9C" w:rsidRDefault="00321C9C" w:rsidP="00321C9C">
      <w:r>
        <w:t xml:space="preserve">In our view, any execution by a SI involving retail clients should only be permitted where the SI </w:t>
      </w:r>
      <w:proofErr w:type="gramStart"/>
      <w:r>
        <w:t>is capable of offering</w:t>
      </w:r>
      <w:proofErr w:type="gramEnd"/>
      <w:r>
        <w:t xml:space="preserve"> a meaningful and measurable price improvement relative to the best price available on public markets (PBBO). Such improvement should represent a clear economic benefit for the retail investor and should not merely constitute a marginal or de minimis enhancement.</w:t>
      </w:r>
    </w:p>
    <w:p w14:paraId="3DF39E0B" w14:textId="509A2EF9" w:rsidR="003A33E5" w:rsidRDefault="00321C9C" w:rsidP="00321C9C">
      <w:r>
        <w:t>Absent meaningful price improvement, the execution of retail flow outside transparent public markets becomes difficult to justify from both an investor protection and market structure perspective.</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7723004C" w14:textId="77777777" w:rsidR="00321C9C" w:rsidRDefault="00321C9C" w:rsidP="00321C9C">
      <w:permStart w:id="999231783" w:edGrp="everyone"/>
      <w:r>
        <w:t>Ensuring sufficient transparency in bilateral trading is essential, both for regulators and for market participants seeking a comprehensive understanding of available liquidity in EU equity markets.</w:t>
      </w:r>
    </w:p>
    <w:p w14:paraId="14CF5C9F" w14:textId="77777777" w:rsidR="00321C9C" w:rsidRDefault="00321C9C" w:rsidP="00321C9C">
      <w:r>
        <w:t xml:space="preserve">The SI flags used in the Call for Evidence (SIZE, ILQD, RPRI) have been instrumental in analysing market behaviour. However, Commission Delegated Regulation (EU) 2025/1246 </w:t>
      </w:r>
      <w:r>
        <w:lastRenderedPageBreak/>
        <w:t>amending RTS 1 has removed these flags, following ESMA’s recommendation in its final report on equity transparency.</w:t>
      </w:r>
    </w:p>
    <w:p w14:paraId="722100B9" w14:textId="5288EF42" w:rsidR="00321C9C" w:rsidRDefault="00321C9C" w:rsidP="00321C9C">
      <w:r>
        <w:t>We are concerned that these flags have been removed without introducing equally granular replacement indicators. In practice, this creates a gap in ESMA’s ability to monitor key dimensions of SI activity, such as trade size, execution in illiquid instruments, and the extent of price improvement. Any simplification of the SI flagging framework should therefore be contingent on maintaining robust and reliable post</w:t>
      </w:r>
      <w:r w:rsidR="009D0884">
        <w:t>-</w:t>
      </w:r>
      <w:r>
        <w:t>trade transparency.</w:t>
      </w:r>
    </w:p>
    <w:p w14:paraId="7725A58D" w14:textId="4645D470" w:rsidR="00321C9C" w:rsidRDefault="00321C9C" w:rsidP="00321C9C">
      <w:r>
        <w:t>In addition, despite the RTS 1 review, the current data still does not allow for a clear distinction between SI volumes executed at midpoint, off</w:t>
      </w:r>
      <w:r w:rsidR="003E6E77">
        <w:t>-</w:t>
      </w:r>
      <w:r>
        <w:t>tick, or in a retail-driven context. This lack of granularity materially constrains evidence-based policymaking on core market structure parameters, including the calibration of dark caps, tick size regimes, and SI-specific rules.</w:t>
      </w:r>
    </w:p>
    <w:p w14:paraId="7A4D053C" w14:textId="77777777" w:rsidR="00321C9C" w:rsidRDefault="00321C9C" w:rsidP="00321C9C">
      <w:r>
        <w:t xml:space="preserve">In this context, with the existence of certain flags, we suggest SIs are also subject to be applied: </w:t>
      </w:r>
    </w:p>
    <w:p w14:paraId="77CEC81A" w14:textId="77777777" w:rsidR="00321C9C" w:rsidRDefault="00321C9C" w:rsidP="00321C9C">
      <w:r>
        <w:t>•</w:t>
      </w:r>
      <w:r>
        <w:tab/>
      </w:r>
      <w:r w:rsidRPr="009D0884">
        <w:rPr>
          <w:b/>
          <w:bCs/>
        </w:rPr>
        <w:t>Retention of SIZE, ILQD and RPRI flags</w:t>
      </w:r>
      <w:r>
        <w:t>: In the absence of suitable alternative indicators, these flags provided valuable information to both supervisors and market participants and should either be retained or replaced with equivalent, sufficiently granular measures.</w:t>
      </w:r>
    </w:p>
    <w:p w14:paraId="52DF90A5" w14:textId="77777777" w:rsidR="00321C9C" w:rsidRDefault="00321C9C" w:rsidP="00321C9C">
      <w:r>
        <w:t>•</w:t>
      </w:r>
      <w:r>
        <w:tab/>
      </w:r>
      <w:r w:rsidRPr="009D0884">
        <w:rPr>
          <w:b/>
          <w:bCs/>
        </w:rPr>
        <w:t>Midpoint flag (MIDP):</w:t>
      </w:r>
      <w:r>
        <w:t xml:space="preserve"> the MIDP flag would allow regulators to monitor developments in midpoint trading. This is particularly relevant given the need to ensure a level playing field with trading venues, as highlighted in Recital 13 of the </w:t>
      </w:r>
      <w:proofErr w:type="spellStart"/>
      <w:r>
        <w:t>MiFIR</w:t>
      </w:r>
      <w:proofErr w:type="spellEnd"/>
      <w:r>
        <w:t xml:space="preserve"> review.</w:t>
      </w:r>
    </w:p>
    <w:p w14:paraId="65BCE5E0" w14:textId="77777777" w:rsidR="00321C9C" w:rsidRDefault="00321C9C" w:rsidP="00321C9C">
      <w:r>
        <w:t>•</w:t>
      </w:r>
      <w:r>
        <w:tab/>
      </w:r>
      <w:r w:rsidRPr="009D0884">
        <w:rPr>
          <w:b/>
          <w:bCs/>
        </w:rPr>
        <w:t>SI-direction flag (BAGR/SAGR):</w:t>
      </w:r>
      <w:r>
        <w:t xml:space="preserve"> A flag indicating whether the SI is on the buy or sell side (‘BAGR’ or ‘SAGR’, respectively), would allow market participants to conduct transaction cost analysis. </w:t>
      </w:r>
    </w:p>
    <w:p w14:paraId="1ACBBDB6" w14:textId="77777777" w:rsidR="00321C9C" w:rsidRDefault="00321C9C" w:rsidP="00321C9C">
      <w:r>
        <w:t>•</w:t>
      </w:r>
      <w:r>
        <w:tab/>
      </w:r>
      <w:r w:rsidRPr="009D0884">
        <w:rPr>
          <w:b/>
          <w:bCs/>
        </w:rPr>
        <w:t>Below/above-</w:t>
      </w:r>
      <w:proofErr w:type="spellStart"/>
      <w:r w:rsidRPr="009D0884">
        <w:rPr>
          <w:b/>
          <w:bCs/>
        </w:rPr>
        <w:t>LISflag</w:t>
      </w:r>
      <w:proofErr w:type="spellEnd"/>
      <w:r w:rsidRPr="009D0884">
        <w:rPr>
          <w:b/>
          <w:bCs/>
        </w:rPr>
        <w:t>:</w:t>
      </w:r>
      <w:r>
        <w:t xml:space="preserve"> This could serve as an alternative to the SIZE flag and would provide greater visibility on the distribution of trade sizes in SI activity, helping to assess whether SIs are aligned with their intended use case of facilitating larger transactions.</w:t>
      </w:r>
    </w:p>
    <w:p w14:paraId="1539A1D9" w14:textId="77777777" w:rsidR="00321C9C" w:rsidRDefault="00321C9C" w:rsidP="00321C9C">
      <w:r>
        <w:t>•</w:t>
      </w:r>
      <w:r>
        <w:tab/>
      </w:r>
      <w:r w:rsidRPr="009D0884">
        <w:rPr>
          <w:b/>
          <w:bCs/>
        </w:rPr>
        <w:t>Retail flag (as a complement or alternative):</w:t>
      </w:r>
      <w:r>
        <w:t xml:space="preserve"> A retail flag could serve a similar purpose by identifying the nature of the end client rather than relying solely on trade size. </w:t>
      </w:r>
    </w:p>
    <w:p w14:paraId="5F02B42F" w14:textId="77777777" w:rsidR="00321C9C" w:rsidRDefault="00321C9C" w:rsidP="00321C9C">
      <w:r>
        <w:t>•</w:t>
      </w:r>
      <w:r>
        <w:tab/>
      </w:r>
      <w:r w:rsidRPr="009D0884">
        <w:rPr>
          <w:b/>
          <w:bCs/>
        </w:rPr>
        <w:t xml:space="preserve">Closing price flag (CLSE): </w:t>
      </w:r>
      <w:r>
        <w:t>This flag would allow to better map volumes executed at the closing price across execution venues, similarly to the UK present regime.</w:t>
      </w:r>
    </w:p>
    <w:p w14:paraId="05C74B51" w14:textId="77777777" w:rsidR="00321C9C" w:rsidRDefault="00321C9C" w:rsidP="00321C9C">
      <w:r>
        <w:t>Finally, in the context of post</w:t>
      </w:r>
      <w:r>
        <w:rPr>
          <w:rFonts w:ascii="Cambria Math" w:hAnsi="Cambria Math" w:cs="Cambria Math"/>
        </w:rPr>
        <w:t>‑</w:t>
      </w:r>
      <w:r>
        <w:t xml:space="preserve">trade transparency, we consider it essential that SIs </w:t>
      </w:r>
      <w:r>
        <w:rPr>
          <w:rFonts w:ascii="Arial" w:hAnsi="Arial" w:cs="Arial"/>
        </w:rPr>
        <w:t>—</w:t>
      </w:r>
      <w:r>
        <w:t xml:space="preserve"> like trading venues </w:t>
      </w:r>
      <w:r>
        <w:rPr>
          <w:rFonts w:ascii="Arial" w:hAnsi="Arial" w:cs="Arial"/>
        </w:rPr>
        <w:t>—</w:t>
      </w:r>
      <w:r>
        <w:t xml:space="preserve"> are required to include a unique, venue</w:t>
      </w:r>
      <w:r>
        <w:rPr>
          <w:rFonts w:ascii="Cambria Math" w:hAnsi="Cambria Math" w:cs="Cambria Math"/>
        </w:rPr>
        <w:t>‑</w:t>
      </w:r>
      <w:r>
        <w:t>like identifier in all post</w:t>
      </w:r>
      <w:r>
        <w:rPr>
          <w:rFonts w:ascii="Cambria Math" w:hAnsi="Cambria Math" w:cs="Cambria Math"/>
        </w:rPr>
        <w:t>‑</w:t>
      </w:r>
      <w:r>
        <w:t xml:space="preserve">trade reports. This should be defined through a Delegated Act specifying the appropriate identifier (e.g. a </w:t>
      </w:r>
      <w:r>
        <w:lastRenderedPageBreak/>
        <w:t xml:space="preserve">dedicated MIC). Where necessary, the publication of this identifier could be deferred, following an approach </w:t>
      </w:r>
      <w:proofErr w:type="gramStart"/>
      <w:r>
        <w:t>similar to</w:t>
      </w:r>
      <w:proofErr w:type="gramEnd"/>
      <w:r>
        <w:t xml:space="preserve"> that applied to bonds under Article 11 </w:t>
      </w:r>
      <w:proofErr w:type="spellStart"/>
      <w:r>
        <w:t>MiFIR</w:t>
      </w:r>
      <w:proofErr w:type="spellEnd"/>
      <w:r>
        <w:t>, with SI identifiers being added to post</w:t>
      </w:r>
      <w:r>
        <w:rPr>
          <w:rFonts w:ascii="Cambria Math" w:hAnsi="Cambria Math" w:cs="Cambria Math"/>
        </w:rPr>
        <w:t>‑</w:t>
      </w:r>
      <w:r>
        <w:t>trade data after a defined delay (e.g. one month).</w:t>
      </w:r>
    </w:p>
    <w:p w14:paraId="49A1068A" w14:textId="77777777" w:rsidR="00321C9C" w:rsidRDefault="00321C9C" w:rsidP="00321C9C">
      <w:r>
        <w:t>Using venue</w:t>
      </w:r>
      <w:r>
        <w:rPr>
          <w:rFonts w:ascii="Cambria Math" w:hAnsi="Cambria Math" w:cs="Cambria Math"/>
        </w:rPr>
        <w:t>‑</w:t>
      </w:r>
      <w:r>
        <w:t xml:space="preserve">like SI identifiers, rather than generic labels such as </w:t>
      </w:r>
      <w:r>
        <w:rPr>
          <w:rFonts w:ascii="Arial" w:hAnsi="Arial" w:cs="Arial"/>
        </w:rPr>
        <w:t>“</w:t>
      </w:r>
      <w:r>
        <w:t>SINT</w:t>
      </w:r>
      <w:r>
        <w:rPr>
          <w:rFonts w:ascii="Arial" w:hAnsi="Arial" w:cs="Arial"/>
        </w:rPr>
        <w:t>”</w:t>
      </w:r>
      <w:r>
        <w:t xml:space="preserve"> or </w:t>
      </w:r>
      <w:r>
        <w:rPr>
          <w:rFonts w:ascii="Arial" w:hAnsi="Arial" w:cs="Arial"/>
        </w:rPr>
        <w:t>“</w:t>
      </w:r>
      <w:r>
        <w:t>OTC</w:t>
      </w:r>
      <w:r>
        <w:rPr>
          <w:rFonts w:ascii="Arial" w:hAnsi="Arial" w:cs="Arial"/>
        </w:rPr>
        <w:t>”</w:t>
      </w:r>
      <w:r>
        <w:t>, would make SI activity fully visible to the market. This would significantly improve the ability to analyse market fragmentation, assess execution quality, and design more targeted and proportionate regulatory measures.</w:t>
      </w:r>
    </w:p>
    <w:p w14:paraId="33ABEBC2" w14:textId="4184CB1A" w:rsidR="003A33E5" w:rsidRDefault="00321C9C" w:rsidP="00321C9C">
      <w:r>
        <w:t>Without clear identification at entity level, market participants cannot reliably assess how much volume individual SIs internalise, how this activity interacts with lit markets, or its impact on retail execution. It also prevents the conduct of robust, granular transaction cost analysis, ultimately weakening the evidence base for market structure decisions.</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5B2ED651" w14:textId="2AC793D6" w:rsidR="003A33E5" w:rsidRDefault="00321C9C" w:rsidP="003A33E5">
      <w:permStart w:id="797907736" w:edGrp="everyone"/>
      <w:r w:rsidRPr="00321C9C">
        <w:t>Please refer to Question 21.</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79320FF7" w14:textId="0A03EDDB" w:rsidR="00321C9C" w:rsidRDefault="00321C9C" w:rsidP="00321C9C">
      <w:permStart w:id="165951741" w:edGrp="everyone"/>
      <w:r>
        <w:t xml:space="preserve">The growing migration of standard-sized and retail order flow towards bilateral internalisation models poses a structural risk to transparent and robust price formation. It weakens visible liquidity on multilateral lit venues and, as a result, undermines the robustness of price formation, despite public markets continuing to bear the primary responsibility for establishing reliable reference prices for the wider ecosystem. At the same time, retail investors tend to benefit from transparent, open and </w:t>
      </w:r>
      <w:r w:rsidR="009D0884">
        <w:t>non-discretionary</w:t>
      </w:r>
      <w:r>
        <w:t xml:space="preserve"> execution, and the increasing </w:t>
      </w:r>
      <w:r>
        <w:lastRenderedPageBreak/>
        <w:t>internalisation of retail like flow within SIs is difficult to reconcile with consistently demonstrable price improvement, while also raising potential conflicts of interest concerns.</w:t>
      </w:r>
    </w:p>
    <w:p w14:paraId="109B7C2E" w14:textId="77777777" w:rsidR="00321C9C" w:rsidRDefault="00321C9C" w:rsidP="00321C9C">
      <w:r>
        <w:t>Unlike trading venues, at present SIs are not subject to the same obligations regarding continuous liquidity provision. As a result, the liquidity they offer may prove volatile and may disappear during periods of market stress, thereby amplifying market fragility precisely when transparent liquidity is most needed.</w:t>
      </w:r>
    </w:p>
    <w:p w14:paraId="37F7B785" w14:textId="77777777" w:rsidR="00321C9C" w:rsidRDefault="00321C9C" w:rsidP="00321C9C">
      <w:r>
        <w:t xml:space="preserve">To address the increasing fragmentation of liquidity and reinforce robust price formation on EU public markets, we believe that targeted regulatory interventions regarding SI activity are warranted, ranging from typical SIs operative to specific proposals linked to the interaction with retail orders: </w:t>
      </w:r>
    </w:p>
    <w:p w14:paraId="354835BF" w14:textId="77777777" w:rsidR="00321C9C" w:rsidRDefault="00321C9C" w:rsidP="00321C9C">
      <w:r>
        <w:t>Post-trade transparency: Including a unique, venue-like identifier (MIC) for SIs in post-trade reporting and enhancing the quality and granularity of SI data, including through appropriate trade flags.</w:t>
      </w:r>
    </w:p>
    <w:p w14:paraId="2E429E5B" w14:textId="77777777" w:rsidR="00321C9C" w:rsidRDefault="00321C9C" w:rsidP="00321C9C">
      <w:r>
        <w:t>Regulatory supervision: Introducing clearer and more consistent authorisation and supervisory frameworks for SIs, including through the publication of their rulebooks, with a view to strengthening market integrity, investor protection, and regulatory accountability.</w:t>
      </w:r>
    </w:p>
    <w:p w14:paraId="426A709B" w14:textId="4CC1C4DA" w:rsidR="003A33E5" w:rsidRDefault="00321C9C" w:rsidP="00321C9C">
      <w:r>
        <w:t>Pre-trade transparency: Encouraging the execution of below-LIS orders, and all orders executed on behalf of retail clients on multilateral venues, to ensure retail investors benefit from transparent price discovery and equal access to liquidity. Enforcing SI quoting obligations and requiring a minimum one-tick price improvement compared to the PBBO where price improvement is provided; and expanding the liquid market definition;</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77777777" w:rsidR="003A33E5" w:rsidRDefault="003A33E5" w:rsidP="003A33E5">
      <w:permStart w:id="1012798389" w:edGrp="everyone"/>
      <w:r>
        <w:t>TYPE YOUR TEXT HERE</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lastRenderedPageBreak/>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77777777" w:rsidR="003A33E5" w:rsidRDefault="003A33E5" w:rsidP="003A33E5">
      <w:permStart w:id="921442006" w:edGrp="everyone"/>
      <w:r>
        <w:t>TYPE YOUR TEXT HERE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46E0C115" w14:textId="19CF8E82" w:rsidR="003A33E5" w:rsidRDefault="00321C9C" w:rsidP="003A33E5">
      <w:permStart w:id="1316118649" w:edGrp="everyone"/>
      <w:r w:rsidRPr="00321C9C">
        <w:t xml:space="preserve">We would support ESMA clarifying benchmark trades, because the current framework is too open to interpretation. Benchmark calculations using multiple venues should be allowed in principle, but ESMA should avoid a situation where benchmark trades become a route to </w:t>
      </w:r>
      <w:r w:rsidRPr="00321C9C">
        <w:lastRenderedPageBreak/>
        <w:t xml:space="preserve">replicate reference-price style execution without the appropriate discipline. Minimum quantitative guidance would be useful, particularly to avoid benchmark trades being based on too few transactions or </w:t>
      </w:r>
      <w:proofErr w:type="gramStart"/>
      <w:r w:rsidRPr="00321C9C">
        <w:t>too</w:t>
      </w:r>
      <w:proofErr w:type="gramEnd"/>
      <w:r w:rsidRPr="00321C9C">
        <w:t xml:space="preserve"> narrow a time window. </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87A55CB" w14:textId="77777777" w:rsidR="003A33E5" w:rsidRDefault="003A33E5" w:rsidP="003A33E5">
      <w:permStart w:id="1195064322" w:edGrp="everyone"/>
      <w:r>
        <w:t>TYPE YOUR TEXT HERE</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77777777" w:rsidR="003A33E5" w:rsidRDefault="003A33E5" w:rsidP="003A33E5">
      <w:permStart w:id="1218795063" w:edGrp="everyone"/>
      <w:r>
        <w:t>TYPE YOUR TEXT HERE</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00D63C9A" w14:textId="77777777" w:rsidR="003A33E5" w:rsidRDefault="003A33E5" w:rsidP="003A33E5">
      <w:permStart w:id="1697063566" w:edGrp="everyone"/>
      <w:r>
        <w:t>TYPE YOUR TEXT HERE</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77777777" w:rsidR="003A33E5" w:rsidRDefault="003A33E5" w:rsidP="003A33E5">
      <w:permStart w:id="1084183535" w:edGrp="everyone"/>
      <w:r>
        <w:t>TYPE YOUR TEXT HERE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752F84C6" w14:textId="77777777" w:rsidR="003A33E5" w:rsidRDefault="003A33E5" w:rsidP="003A33E5">
      <w:permStart w:id="1509051285" w:edGrp="everyone"/>
      <w:r>
        <w:t>TYPE YOUR TEXT HERE</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11B6560E" w:rsidR="003A33E5" w:rsidRPr="00324D7C" w:rsidRDefault="00220F30" w:rsidP="003A33E5">
      <w:pPr>
        <w:rPr>
          <w:rFonts w:cstheme="minorHAnsi"/>
          <w:lang w:val="es-ES"/>
        </w:rPr>
      </w:pPr>
      <w:permStart w:id="164585938" w:edGrp="everyone"/>
      <w:r w:rsidRPr="00324D7C">
        <w:rPr>
          <w:rFonts w:eastAsia="Times New Roman" w:cstheme="minorHAnsi"/>
          <w:szCs w:val="22"/>
          <w:lang w:val="es-ES" w:eastAsia="es-ES"/>
        </w:rPr>
        <w:t>Yes</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5B3B5205" w:rsidR="003A33E5" w:rsidRDefault="00220F30" w:rsidP="003A33E5">
      <w:permStart w:id="1475570857" w:edGrp="everyone"/>
      <w:r w:rsidRPr="00220F30">
        <w:t>Yes, in principle, provided that clear guidelines are in place to ensure consistent application, particularly in situations involving chains of transactions. For example, a benchmark VWAP transaction (at parent level) may not always be directly identifiable as such but can generate underlying child trades that constitute addressable liquidity. A similar consideration applies to portfolio trades.</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0922E03D" w14:textId="77777777" w:rsidR="003A33E5" w:rsidRDefault="003A33E5" w:rsidP="003A33E5">
      <w:permStart w:id="1523399739" w:edGrp="everyone"/>
      <w:r>
        <w:t>TYPE YOUR TEXT HERE</w:t>
      </w:r>
    </w:p>
    <w:permEnd w:id="1523399739"/>
    <w:p w14:paraId="1A013012" w14:textId="31BF458C" w:rsidR="003A33E5" w:rsidRDefault="003A33E5" w:rsidP="003A33E5">
      <w:r>
        <w:lastRenderedPageBreak/>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77777777" w:rsidR="003A33E5" w:rsidRDefault="003A33E5" w:rsidP="003A33E5">
      <w:permStart w:id="1013530916" w:edGrp="everyone"/>
      <w:r>
        <w:t>TYPE YOUR TEXT HERE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77777777" w:rsidR="003A33E5" w:rsidRDefault="003A33E5" w:rsidP="003A33E5">
      <w:permStart w:id="374162036" w:edGrp="everyone"/>
      <w:r>
        <w:t>TYPE YOUR TEXT HERE</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77777777" w:rsidR="003A33E5" w:rsidRDefault="003A33E5" w:rsidP="003A33E5">
      <w:permStart w:id="1323904635" w:edGrp="everyone"/>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5441D0E0" w14:textId="5F679DEE" w:rsidR="003A33E5" w:rsidRDefault="00220F30" w:rsidP="003A33E5">
      <w:permStart w:id="78797142" w:edGrp="everyone"/>
      <w:r w:rsidRPr="00220F30">
        <w:t>No. Intragroup transactions should only be considered non-addressable where execution outside the intragroup SI would not be feasible. For example, risk management or hedging activities could be carried out either through the intragroup SI of an investment firm or via other trading venues, and in that sense should be treated as addressable.</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77777777" w:rsidR="003A33E5" w:rsidRDefault="003A33E5" w:rsidP="003A33E5">
      <w:permStart w:id="1195269664" w:edGrp="everyone"/>
      <w:r>
        <w:t>TYPE YOUR TEXT HERE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9"/>
      <w:footerReference w:type="default" r:id="rId20"/>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25CE7" w14:textId="77777777" w:rsidR="00084C22" w:rsidRDefault="00084C22" w:rsidP="007E7997">
      <w:pPr>
        <w:spacing w:line="240" w:lineRule="auto"/>
      </w:pPr>
      <w:r>
        <w:separator/>
      </w:r>
    </w:p>
  </w:endnote>
  <w:endnote w:type="continuationSeparator" w:id="0">
    <w:p w14:paraId="53C75C3D" w14:textId="77777777" w:rsidR="00084C22" w:rsidRDefault="00084C22" w:rsidP="007E7997">
      <w:pPr>
        <w:spacing w:line="240" w:lineRule="auto"/>
      </w:pPr>
      <w:r>
        <w:continuationSeparator/>
      </w:r>
    </w:p>
  </w:endnote>
  <w:endnote w:type="continuationNotice" w:id="1">
    <w:p w14:paraId="52001ED9" w14:textId="77777777" w:rsidR="00084C22" w:rsidRDefault="00084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edepgin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21F4" w14:textId="77777777" w:rsidR="00084C22" w:rsidRDefault="00084C22" w:rsidP="007E7997">
      <w:pPr>
        <w:spacing w:line="240" w:lineRule="auto"/>
      </w:pPr>
      <w:r>
        <w:separator/>
      </w:r>
    </w:p>
  </w:footnote>
  <w:footnote w:type="continuationSeparator" w:id="0">
    <w:p w14:paraId="27CCAF62" w14:textId="77777777" w:rsidR="00084C22" w:rsidRDefault="00084C22" w:rsidP="007E7997">
      <w:pPr>
        <w:spacing w:line="240" w:lineRule="auto"/>
      </w:pPr>
      <w:r>
        <w:continuationSeparator/>
      </w:r>
    </w:p>
  </w:footnote>
  <w:footnote w:type="continuationNotice" w:id="1">
    <w:p w14:paraId="75718E58" w14:textId="77777777" w:rsidR="00084C22" w:rsidRDefault="00084C22">
      <w:pPr>
        <w:spacing w:after="0" w:line="240" w:lineRule="auto"/>
      </w:pPr>
    </w:p>
  </w:footnote>
  <w:footnote w:id="2">
    <w:p w14:paraId="7C28D517" w14:textId="77777777" w:rsidR="006F1FB7" w:rsidRDefault="006F1FB7" w:rsidP="006F1FB7">
      <w:pPr>
        <w:pStyle w:val="Textonotapie"/>
        <w:rPr>
          <w:rFonts w:ascii="Poppins" w:hAnsi="Poppins" w:cs="Poppins"/>
          <w:sz w:val="18"/>
          <w:szCs w:val="18"/>
          <w:lang w:val="en-US"/>
        </w:rPr>
      </w:pPr>
      <w:r>
        <w:rPr>
          <w:rStyle w:val="Refdenotaalpie"/>
          <w:rFonts w:ascii="Poppins" w:hAnsi="Poppins" w:cs="Poppins"/>
          <w:sz w:val="18"/>
          <w:szCs w:val="18"/>
          <w:lang w:val="en-US"/>
        </w:rPr>
        <w:footnoteRef/>
      </w:r>
      <w:r>
        <w:rPr>
          <w:rFonts w:ascii="Poppins" w:hAnsi="Poppins" w:cs="Poppins"/>
          <w:sz w:val="18"/>
          <w:szCs w:val="18"/>
          <w:lang w:val="en-US"/>
        </w:rPr>
        <w:t xml:space="preserve"> https://cnmv.es/DocPortal/Publicaciones/MONOGRAFIAS/DT_87_Fragmentacion_ENen.pdf</w:t>
      </w:r>
    </w:p>
  </w:footnote>
  <w:footnote w:id="3">
    <w:p w14:paraId="4583C9D1" w14:textId="77777777" w:rsidR="006F1FB7" w:rsidRDefault="006F1FB7" w:rsidP="006F1FB7">
      <w:pPr>
        <w:pStyle w:val="Textonotapie"/>
        <w:rPr>
          <w:sz w:val="20"/>
          <w:lang w:val="en-US"/>
        </w:rPr>
      </w:pPr>
      <w:r>
        <w:rPr>
          <w:rStyle w:val="Refdenotaalpie"/>
        </w:rPr>
        <w:footnoteRef/>
      </w:r>
      <w:r>
        <w:rPr>
          <w:lang w:val="en-US"/>
        </w:rPr>
        <w:t xml:space="preserve"> https://www.fese.eu/publications/oliver-wyman-report-the-liquidity-matrix-addressing-fragmentation-in-european-equity-markets/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Encabezado"/>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Encabezado"/>
    </w:pPr>
  </w:p>
  <w:p w14:paraId="76D78551" w14:textId="45227A06" w:rsidR="00AD0B10" w:rsidRDefault="00AD0B10" w:rsidP="00AD0B10">
    <w:pPr>
      <w:pStyle w:val="Encabezado"/>
    </w:pPr>
  </w:p>
  <w:p w14:paraId="56B00CEC" w14:textId="77777777" w:rsidR="00AD0B10" w:rsidRPr="0043139E" w:rsidRDefault="00AD0B10" w:rsidP="00AD0B10">
    <w:pPr>
      <w:pStyle w:val="Encabezado"/>
    </w:pPr>
  </w:p>
  <w:p w14:paraId="68227DE6" w14:textId="77777777" w:rsidR="00AD0B10" w:rsidRPr="0043139E" w:rsidRDefault="00AD0B10" w:rsidP="00AD0B10">
    <w:pPr>
      <w:pStyle w:val="Encabezado"/>
    </w:pPr>
  </w:p>
  <w:p w14:paraId="0E44DBD1" w14:textId="77777777" w:rsidR="00AD0B10" w:rsidRPr="0043139E" w:rsidRDefault="00AD0B10" w:rsidP="00AD0B10">
    <w:pPr>
      <w:pStyle w:val="Encabezado"/>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Encabezado"/>
    </w:pPr>
  </w:p>
  <w:p w14:paraId="706EF268" w14:textId="77777777" w:rsidR="00AD0B10" w:rsidRPr="0043139E" w:rsidRDefault="00AD0B10" w:rsidP="00AD0B10">
    <w:pPr>
      <w:pStyle w:val="Encabezado"/>
    </w:pPr>
  </w:p>
  <w:p w14:paraId="6B568202" w14:textId="77777777" w:rsidR="00AD0B10" w:rsidRPr="0043139E" w:rsidRDefault="00AD0B10" w:rsidP="00AD0B10">
    <w:pPr>
      <w:pStyle w:val="Encabezado"/>
    </w:pPr>
  </w:p>
  <w:p w14:paraId="70C66BCD" w14:textId="77777777" w:rsidR="00AD0B10" w:rsidRPr="0043139E" w:rsidRDefault="00AD0B10" w:rsidP="00AD0B10">
    <w:pPr>
      <w:pStyle w:val="Encabezado"/>
    </w:pPr>
  </w:p>
  <w:p w14:paraId="07229907" w14:textId="77777777" w:rsidR="00AD0B10" w:rsidRPr="0043139E" w:rsidRDefault="00AD0B10" w:rsidP="00AD0B10">
    <w:pPr>
      <w:pStyle w:val="Encabezado"/>
    </w:pPr>
  </w:p>
  <w:p w14:paraId="55555744" w14:textId="77777777" w:rsidR="00AD0B10" w:rsidRPr="0043139E" w:rsidRDefault="00AD0B10" w:rsidP="00AD0B10">
    <w:pPr>
      <w:pStyle w:val="Encabezado"/>
    </w:pPr>
  </w:p>
  <w:p w14:paraId="4601AE9C" w14:textId="77777777" w:rsidR="00AD0B10" w:rsidRDefault="00AD0B10" w:rsidP="00AD0B10">
    <w:pPr>
      <w:pStyle w:val="Encabezado"/>
    </w:pPr>
  </w:p>
  <w:p w14:paraId="49946785" w14:textId="77777777" w:rsidR="00AD0B10" w:rsidRPr="0043139E" w:rsidRDefault="00AD0B10" w:rsidP="00AD0B10">
    <w:pPr>
      <w:pStyle w:val="Encabezado"/>
    </w:pPr>
  </w:p>
  <w:p w14:paraId="72BAD19F" w14:textId="77777777" w:rsidR="008858FE" w:rsidRPr="00AD0B10" w:rsidRDefault="008858FE" w:rsidP="00AD0B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9253E3"/>
    <w:multiLevelType w:val="hybridMultilevel"/>
    <w:tmpl w:val="E66E94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Ttu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Prrafodelista"/>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Ttulo1"/>
      <w:lvlText w:val="%1"/>
      <w:lvlJc w:val="left"/>
      <w:pPr>
        <w:ind w:left="4686" w:hanging="432"/>
      </w:pPr>
    </w:lvl>
    <w:lvl w:ilvl="1">
      <w:start w:val="1"/>
      <w:numFmt w:val="decimal"/>
      <w:pStyle w:val="Ttulo2"/>
      <w:lvlText w:val="%1.%2"/>
      <w:lvlJc w:val="left"/>
      <w:pPr>
        <w:ind w:left="8230"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5"/>
  </w:num>
  <w:num w:numId="3" w16cid:durableId="1675497260">
    <w:abstractNumId w:val="10"/>
  </w:num>
  <w:num w:numId="4" w16cid:durableId="1146706333">
    <w:abstractNumId w:val="4"/>
  </w:num>
  <w:num w:numId="5" w16cid:durableId="1502348752">
    <w:abstractNumId w:val="0"/>
  </w:num>
  <w:num w:numId="6" w16cid:durableId="1544101585">
    <w:abstractNumId w:val="6"/>
  </w:num>
  <w:num w:numId="7" w16cid:durableId="896626050">
    <w:abstractNumId w:val="13"/>
  </w:num>
  <w:num w:numId="8" w16cid:durableId="806780153">
    <w:abstractNumId w:val="3"/>
  </w:num>
  <w:num w:numId="9" w16cid:durableId="1677002603">
    <w:abstractNumId w:val="11"/>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11566015">
    <w:abstractNumId w:val="2"/>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C22"/>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67F52"/>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30"/>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6F12"/>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1C9C"/>
    <w:rsid w:val="00322069"/>
    <w:rsid w:val="00322AA8"/>
    <w:rsid w:val="0032494A"/>
    <w:rsid w:val="00324A37"/>
    <w:rsid w:val="00324D7C"/>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857"/>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6E77"/>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1EA8"/>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1FB7"/>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B41"/>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88B"/>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66"/>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884"/>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0A62"/>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51C"/>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2FE7"/>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17D4F"/>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5EC3"/>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B41"/>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4A5"/>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91"/>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1E"/>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0CA"/>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Ttulo1">
    <w:name w:val="heading 1"/>
    <w:basedOn w:val="Normal"/>
    <w:next w:val="Normal"/>
    <w:link w:val="Ttulo1C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tulo2">
    <w:name w:val="heading 2"/>
    <w:basedOn w:val="Normal"/>
    <w:next w:val="Normal"/>
    <w:link w:val="Ttulo2C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tulo3">
    <w:name w:val="heading 3"/>
    <w:basedOn w:val="Normal"/>
    <w:next w:val="Normal"/>
    <w:link w:val="Ttulo3C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tulo4">
    <w:name w:val="heading 4"/>
    <w:basedOn w:val="Normal"/>
    <w:next w:val="Normal"/>
    <w:link w:val="Ttulo4C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tulo5">
    <w:name w:val="heading 5"/>
    <w:basedOn w:val="Normal"/>
    <w:next w:val="Normal"/>
    <w:link w:val="Ttulo5C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tulo6">
    <w:name w:val="heading 6"/>
    <w:basedOn w:val="Normal"/>
    <w:next w:val="Normal"/>
    <w:link w:val="Ttulo6C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tulo7">
    <w:name w:val="heading 7"/>
    <w:basedOn w:val="Normal"/>
    <w:next w:val="Normal"/>
    <w:link w:val="Ttulo7C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tulo8">
    <w:name w:val="heading 8"/>
    <w:basedOn w:val="Normal"/>
    <w:next w:val="Normal"/>
    <w:link w:val="Ttulo8C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tulo9">
    <w:name w:val="heading 9"/>
    <w:basedOn w:val="Normal"/>
    <w:next w:val="Normal"/>
    <w:link w:val="Ttulo9C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B6B12"/>
    <w:pPr>
      <w:spacing w:after="0" w:line="240" w:lineRule="auto"/>
    </w:pPr>
    <w:rPr>
      <w:lang w:val="en-GB"/>
    </w:rPr>
  </w:style>
  <w:style w:type="character" w:customStyle="1" w:styleId="Ttulo4Car">
    <w:name w:val="Título 4 Car"/>
    <w:basedOn w:val="Fuentedeprrafopredeter"/>
    <w:link w:val="Ttul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tulo3Car">
    <w:name w:val="Título 3 Car"/>
    <w:basedOn w:val="Fuentedeprrafopredeter"/>
    <w:link w:val="Ttul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tulo1Car">
    <w:name w:val="Título 1 Car"/>
    <w:basedOn w:val="Fuentedeprrafopredeter"/>
    <w:link w:val="Ttulo1"/>
    <w:uiPriority w:val="9"/>
    <w:rsid w:val="0082744A"/>
    <w:rPr>
      <w:rFonts w:asciiTheme="majorHAnsi" w:eastAsiaTheme="majorEastAsia" w:hAnsiTheme="majorHAnsi" w:cstheme="majorBidi"/>
      <w:b/>
      <w:color w:val="00379F" w:themeColor="text1"/>
      <w:sz w:val="32"/>
      <w:szCs w:val="32"/>
      <w:lang w:val="en-GB"/>
    </w:rPr>
  </w:style>
  <w:style w:type="character" w:customStyle="1" w:styleId="Ttulo2Car">
    <w:name w:val="Título 2 Car"/>
    <w:basedOn w:val="Fuentedeprrafopredeter"/>
    <w:link w:val="Ttul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Fuentedeprrafopredeter"/>
    <w:link w:val="Subtitle1"/>
    <w:rsid w:val="003C4EB5"/>
    <w:rPr>
      <w:rFonts w:cs="Times New Roman"/>
      <w:b/>
      <w:sz w:val="20"/>
      <w:szCs w:val="24"/>
      <w:lang w:val="en-GB" w:eastAsia="de-DE"/>
    </w:rPr>
  </w:style>
  <w:style w:type="paragraph" w:customStyle="1" w:styleId="Title1">
    <w:name w:val="Title 1"/>
    <w:basedOn w:val="Prrafodelista"/>
    <w:link w:val="Title1Char"/>
    <w:qFormat/>
    <w:rsid w:val="00F205B9"/>
    <w:pPr>
      <w:numPr>
        <w:numId w:val="0"/>
      </w:numPr>
      <w:ind w:left="792" w:hanging="432"/>
    </w:pPr>
    <w:rPr>
      <w:b/>
      <w:color w:val="00379F" w:themeColor="text1"/>
      <w:sz w:val="28"/>
    </w:rPr>
  </w:style>
  <w:style w:type="character" w:customStyle="1" w:styleId="Title1Char">
    <w:name w:val="Title 1 Char"/>
    <w:basedOn w:val="Fuentedeprrafopredeter"/>
    <w:link w:val="Title1"/>
    <w:rsid w:val="00F205B9"/>
    <w:rPr>
      <w:rFonts w:asciiTheme="majorHAnsi" w:hAnsiTheme="majorHAnsi" w:cstheme="majorHAnsi"/>
      <w:b/>
      <w:color w:val="00379F" w:themeColor="text1"/>
      <w:sz w:val="28"/>
      <w:szCs w:val="22"/>
      <w:lang w:val="pt-PT"/>
    </w:rPr>
  </w:style>
  <w:style w:type="paragraph" w:styleId="Prrafodelista">
    <w:name w:val="List Paragraph"/>
    <w:aliases w:val="Paragraphe EI,Paragraphe de liste1,EC"/>
    <w:basedOn w:val="Normal"/>
    <w:link w:val="PrrafodelistaC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rrafodelista"/>
    <w:link w:val="Title3Char"/>
    <w:autoRedefine/>
    <w:rsid w:val="00F205B9"/>
    <w:pPr>
      <w:numPr>
        <w:ilvl w:val="3"/>
        <w:numId w:val="4"/>
      </w:numPr>
    </w:pPr>
  </w:style>
  <w:style w:type="character" w:customStyle="1" w:styleId="Title3Char">
    <w:name w:val="Title 3 Char"/>
    <w:basedOn w:val="Fuentedeprrafopredeter"/>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Fuentedeprrafopredeter"/>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Fuentedeprrafopredeter"/>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Fuentedeprrafopredeter"/>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Fuentedeprrafopredeter"/>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Fuentedeprrafopredeter"/>
    <w:link w:val="Introductionheading"/>
    <w:rsid w:val="00044C5A"/>
    <w:rPr>
      <w:rFonts w:ascii="Arial" w:eastAsia="Times New Roman" w:hAnsi="Arial" w:cs="Times New Roman"/>
      <w:b/>
      <w:sz w:val="28"/>
      <w:szCs w:val="24"/>
      <w:lang w:val="en-GB" w:eastAsia="de-DE"/>
    </w:rPr>
  </w:style>
  <w:style w:type="character" w:customStyle="1" w:styleId="Ttulo5Car">
    <w:name w:val="Título 5 Car"/>
    <w:basedOn w:val="Fuentedeprrafopredeter"/>
    <w:link w:val="Ttulo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oindependiente">
    <w:name w:val="Body Text"/>
    <w:basedOn w:val="Normal"/>
    <w:link w:val="TextoindependienteCar"/>
    <w:uiPriority w:val="99"/>
    <w:semiHidden/>
    <w:unhideWhenUsed/>
    <w:rsid w:val="00044C5A"/>
  </w:style>
  <w:style w:type="character" w:customStyle="1" w:styleId="TextoindependienteCar">
    <w:name w:val="Texto independiente Car"/>
    <w:basedOn w:val="Fuentedeprrafopredeter"/>
    <w:link w:val="Textoindependiente"/>
    <w:uiPriority w:val="99"/>
    <w:semiHidden/>
    <w:rsid w:val="00044C5A"/>
    <w:rPr>
      <w:rFonts w:ascii="Arial" w:eastAsiaTheme="minorEastAsia" w:hAnsi="Arial"/>
    </w:rPr>
  </w:style>
  <w:style w:type="paragraph" w:styleId="Textoindependienteprimerasangra">
    <w:name w:val="Body Text First Indent"/>
    <w:basedOn w:val="Textoindependiente"/>
    <w:link w:val="TextoindependienteprimerasangraCar"/>
    <w:uiPriority w:val="99"/>
    <w:semiHidden/>
    <w:unhideWhenUsed/>
    <w:rsid w:val="00044C5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44C5A"/>
    <w:rPr>
      <w:rFonts w:ascii="Arial" w:eastAsiaTheme="minorEastAsia" w:hAnsi="Arial"/>
    </w:rPr>
  </w:style>
  <w:style w:type="character" w:customStyle="1" w:styleId="Ttulo6Car">
    <w:name w:val="Título 6 Car"/>
    <w:basedOn w:val="Fuentedeprrafopredeter"/>
    <w:link w:val="Ttulo6"/>
    <w:uiPriority w:val="9"/>
    <w:semiHidden/>
    <w:rsid w:val="00AA054E"/>
    <w:rPr>
      <w:rFonts w:asciiTheme="majorHAnsi" w:eastAsiaTheme="majorEastAsia" w:hAnsiTheme="majorHAnsi" w:cstheme="majorBidi"/>
      <w:i/>
      <w:iCs/>
      <w:color w:val="007EFF" w:themeColor="text2"/>
      <w:sz w:val="21"/>
      <w:szCs w:val="21"/>
      <w:lang w:val="en-GB"/>
    </w:rPr>
  </w:style>
  <w:style w:type="paragraph" w:styleId="Ttulo">
    <w:name w:val="Title"/>
    <w:basedOn w:val="Normal"/>
    <w:next w:val="Normal"/>
    <w:link w:val="TtuloC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tuloCar">
    <w:name w:val="Título Car"/>
    <w:basedOn w:val="Fuentedeprrafopredeter"/>
    <w:link w:val="Ttulo"/>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tulo">
    <w:name w:val="Subtitle"/>
    <w:basedOn w:val="Normal"/>
    <w:next w:val="Normal"/>
    <w:link w:val="SubttuloC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tuloCar">
    <w:name w:val="Subtítulo Car"/>
    <w:basedOn w:val="Fuentedeprrafopredeter"/>
    <w:link w:val="Subttulo"/>
    <w:uiPriority w:val="11"/>
    <w:rsid w:val="0082744A"/>
    <w:rPr>
      <w:rFonts w:asciiTheme="majorHAnsi" w:eastAsiaTheme="majorEastAsia" w:hAnsiTheme="majorHAnsi" w:cstheme="majorBidi"/>
      <w:sz w:val="28"/>
      <w:szCs w:val="24"/>
      <w:lang w:val="en-GB"/>
    </w:rPr>
  </w:style>
  <w:style w:type="character" w:customStyle="1" w:styleId="Ttulo7Car">
    <w:name w:val="Título 7 Car"/>
    <w:basedOn w:val="Fuentedeprrafopredeter"/>
    <w:link w:val="Ttul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tulo8Car">
    <w:name w:val="Título 8 Car"/>
    <w:basedOn w:val="Fuentedeprrafopredeter"/>
    <w:link w:val="Ttul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tulo9Car">
    <w:name w:val="Título 9 Car"/>
    <w:basedOn w:val="Fuentedeprrafopredeter"/>
    <w:link w:val="Ttulo9"/>
    <w:uiPriority w:val="9"/>
    <w:semiHidden/>
    <w:rsid w:val="00AA054E"/>
    <w:rPr>
      <w:rFonts w:asciiTheme="majorHAnsi" w:eastAsiaTheme="majorEastAsia" w:hAnsiTheme="majorHAnsi" w:cstheme="majorBidi"/>
      <w:b/>
      <w:bCs/>
      <w:i/>
      <w:iCs/>
      <w:color w:val="007EFF" w:themeColor="text2"/>
      <w:sz w:val="22"/>
      <w:lang w:val="en-GB"/>
    </w:rPr>
  </w:style>
  <w:style w:type="paragraph" w:styleId="Descripci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Fuerte">
    <w:name w:val="Strong"/>
    <w:basedOn w:val="Fuentedeprrafopredeter"/>
    <w:uiPriority w:val="22"/>
    <w:qFormat/>
    <w:rsid w:val="00AA054E"/>
    <w:rPr>
      <w:b/>
      <w:bCs/>
    </w:rPr>
  </w:style>
  <w:style w:type="character" w:styleId="nfasis">
    <w:name w:val="Emphasis"/>
    <w:basedOn w:val="Fuentedeprrafopredeter"/>
    <w:uiPriority w:val="20"/>
    <w:qFormat/>
    <w:rsid w:val="00AA054E"/>
    <w:rPr>
      <w:i/>
      <w:iCs/>
    </w:rPr>
  </w:style>
  <w:style w:type="paragraph" w:styleId="Cita">
    <w:name w:val="Quote"/>
    <w:basedOn w:val="Normal"/>
    <w:next w:val="Normal"/>
    <w:link w:val="CitaCar"/>
    <w:uiPriority w:val="29"/>
    <w:qFormat/>
    <w:rsid w:val="00AA054E"/>
    <w:pPr>
      <w:spacing w:before="160"/>
      <w:ind w:left="720" w:right="720"/>
    </w:pPr>
    <w:rPr>
      <w:i/>
      <w:iCs/>
      <w:color w:val="0055F7" w:themeColor="text1" w:themeTint="BF"/>
    </w:rPr>
  </w:style>
  <w:style w:type="character" w:customStyle="1" w:styleId="CitaCar">
    <w:name w:val="Cita Car"/>
    <w:basedOn w:val="Fuentedeprrafopredeter"/>
    <w:link w:val="Cita"/>
    <w:uiPriority w:val="29"/>
    <w:rsid w:val="00AA054E"/>
    <w:rPr>
      <w:i/>
      <w:iCs/>
      <w:color w:val="0055F7" w:themeColor="text1" w:themeTint="BF"/>
    </w:rPr>
  </w:style>
  <w:style w:type="paragraph" w:styleId="Citadestacada">
    <w:name w:val="Intense Quote"/>
    <w:basedOn w:val="Normal"/>
    <w:next w:val="Normal"/>
    <w:link w:val="CitadestacadaC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destacadaCar">
    <w:name w:val="Cita destacada Car"/>
    <w:basedOn w:val="Fuentedeprrafopredeter"/>
    <w:link w:val="Citadestacada"/>
    <w:uiPriority w:val="30"/>
    <w:rsid w:val="00AA054E"/>
    <w:rPr>
      <w:rFonts w:asciiTheme="majorHAnsi" w:eastAsiaTheme="majorEastAsia" w:hAnsiTheme="majorHAnsi" w:cstheme="majorBidi"/>
      <w:color w:val="34009F" w:themeColor="accent1"/>
      <w:sz w:val="28"/>
      <w:szCs w:val="28"/>
    </w:rPr>
  </w:style>
  <w:style w:type="character" w:styleId="nfasissutil">
    <w:name w:val="Subtle Emphasis"/>
    <w:basedOn w:val="Fuentedeprrafopredeter"/>
    <w:uiPriority w:val="19"/>
    <w:qFormat/>
    <w:rsid w:val="00AA054E"/>
    <w:rPr>
      <w:i/>
      <w:iCs/>
      <w:color w:val="0055F7" w:themeColor="text1" w:themeTint="BF"/>
    </w:rPr>
  </w:style>
  <w:style w:type="character" w:styleId="nfasisintenso">
    <w:name w:val="Intense Emphasis"/>
    <w:basedOn w:val="Fuentedeprrafopredeter"/>
    <w:uiPriority w:val="21"/>
    <w:qFormat/>
    <w:rsid w:val="00AA054E"/>
    <w:rPr>
      <w:b/>
      <w:bCs/>
      <w:i/>
      <w:iCs/>
    </w:rPr>
  </w:style>
  <w:style w:type="character" w:styleId="Referenciasutil">
    <w:name w:val="Subtle Reference"/>
    <w:basedOn w:val="Fuentedeprrafopredeter"/>
    <w:uiPriority w:val="31"/>
    <w:qFormat/>
    <w:rsid w:val="00AA054E"/>
    <w:rPr>
      <w:smallCaps/>
      <w:color w:val="0055F7" w:themeColor="text1" w:themeTint="BF"/>
      <w:u w:val="single" w:color="4E8BFF" w:themeColor="text1" w:themeTint="80"/>
    </w:rPr>
  </w:style>
  <w:style w:type="character" w:styleId="Referenciaintensa">
    <w:name w:val="Intense Reference"/>
    <w:basedOn w:val="Fuentedeprrafopredeter"/>
    <w:uiPriority w:val="32"/>
    <w:qFormat/>
    <w:rsid w:val="00AA054E"/>
    <w:rPr>
      <w:b/>
      <w:bCs/>
      <w:smallCaps/>
      <w:spacing w:val="5"/>
      <w:u w:val="single"/>
    </w:rPr>
  </w:style>
  <w:style w:type="character" w:styleId="Ttulodellibro">
    <w:name w:val="Book Title"/>
    <w:basedOn w:val="Fuentedeprrafopredeter"/>
    <w:uiPriority w:val="33"/>
    <w:qFormat/>
    <w:rsid w:val="00AA054E"/>
    <w:rPr>
      <w:b/>
      <w:bCs/>
      <w:smallCaps/>
    </w:rPr>
  </w:style>
  <w:style w:type="paragraph" w:styleId="TtuloTDC">
    <w:name w:val="TOC Heading"/>
    <w:basedOn w:val="Ttulo1"/>
    <w:next w:val="Normal"/>
    <w:uiPriority w:val="39"/>
    <w:unhideWhenUsed/>
    <w:qFormat/>
    <w:rsid w:val="00F205B9"/>
    <w:pPr>
      <w:numPr>
        <w:numId w:val="0"/>
      </w:numPr>
      <w:outlineLvl w:val="9"/>
    </w:pPr>
  </w:style>
  <w:style w:type="character" w:customStyle="1" w:styleId="SinespaciadoCar">
    <w:name w:val="Sin espaciado Car"/>
    <w:basedOn w:val="Fuentedeprrafopredeter"/>
    <w:link w:val="Sinespaciado"/>
    <w:uiPriority w:val="1"/>
    <w:rsid w:val="005B6B12"/>
    <w:rPr>
      <w:lang w:val="en-GB"/>
    </w:rPr>
  </w:style>
  <w:style w:type="paragraph" w:styleId="Encabezado">
    <w:name w:val="header"/>
    <w:basedOn w:val="Normal"/>
    <w:link w:val="EncabezadoC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EncabezadoCar">
    <w:name w:val="Encabezado Car"/>
    <w:basedOn w:val="Fuentedeprrafopredeter"/>
    <w:link w:val="Encabezado"/>
    <w:rsid w:val="00AF6B1E"/>
    <w:rPr>
      <w:color w:val="001B4F" w:themeColor="text1" w:themeShade="80"/>
      <w:sz w:val="16"/>
      <w:lang w:val="en-GB"/>
    </w:rPr>
  </w:style>
  <w:style w:type="paragraph" w:styleId="Piedepgina">
    <w:name w:val="footer"/>
    <w:basedOn w:val="Normal"/>
    <w:link w:val="PiedepginaC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edepginaCar">
    <w:name w:val="Pie de página Car"/>
    <w:basedOn w:val="Fuentedeprrafopredeter"/>
    <w:link w:val="Piedepgina"/>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D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DC2">
    <w:name w:val="toc 2"/>
    <w:basedOn w:val="TDC1"/>
    <w:next w:val="Normal"/>
    <w:uiPriority w:val="39"/>
    <w:unhideWhenUsed/>
    <w:qFormat/>
    <w:rsid w:val="00F205B9"/>
    <w:pPr>
      <w:framePr w:wrap="around"/>
      <w:tabs>
        <w:tab w:val="right" w:leader="dot" w:pos="440"/>
      </w:tabs>
      <w:ind w:left="220"/>
    </w:pPr>
  </w:style>
  <w:style w:type="paragraph" w:styleId="TDC3">
    <w:name w:val="toc 3"/>
    <w:basedOn w:val="TDC1"/>
    <w:next w:val="Normal"/>
    <w:uiPriority w:val="39"/>
    <w:unhideWhenUsed/>
    <w:qFormat/>
    <w:rsid w:val="00AD0B10"/>
    <w:pPr>
      <w:framePr w:wrap="around"/>
      <w:ind w:left="442"/>
    </w:pPr>
  </w:style>
  <w:style w:type="character" w:styleId="Hipervnculo">
    <w:name w:val="Hyperlink"/>
    <w:basedOn w:val="Fuentedeprrafopredeter"/>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Fuentedeprrafopredeter"/>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Fuentedeprrafopredeter"/>
    <w:link w:val="Listing2"/>
    <w:rsid w:val="00DF3785"/>
    <w:rPr>
      <w:lang w:val="en-GB"/>
    </w:rPr>
  </w:style>
  <w:style w:type="table" w:styleId="Tablaconcuadrcula">
    <w:name w:val="Table Grid"/>
    <w:basedOn w:val="Tabla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B50534"/>
    <w:pPr>
      <w:spacing w:after="0" w:line="240" w:lineRule="auto"/>
    </w:pPr>
  </w:style>
  <w:style w:type="character" w:customStyle="1" w:styleId="TextonotaalfinalCar">
    <w:name w:val="Texto nota al final Car"/>
    <w:basedOn w:val="Fuentedeprrafopredeter"/>
    <w:link w:val="Textonotaalfinal"/>
    <w:uiPriority w:val="99"/>
    <w:semiHidden/>
    <w:rsid w:val="00B50534"/>
    <w:rPr>
      <w:lang w:val="en-GB"/>
    </w:rPr>
  </w:style>
  <w:style w:type="character" w:styleId="Refdenotaalfinal">
    <w:name w:val="endnote reference"/>
    <w:basedOn w:val="Fuentedeprrafopredeter"/>
    <w:uiPriority w:val="99"/>
    <w:semiHidden/>
    <w:unhideWhenUsed/>
    <w:rsid w:val="00B50534"/>
    <w:rPr>
      <w:vertAlign w:val="superscript"/>
    </w:rPr>
  </w:style>
  <w:style w:type="paragraph" w:styleId="Textonotapie">
    <w:name w:val="footnote text"/>
    <w:basedOn w:val="Normal"/>
    <w:link w:val="TextonotapieCar"/>
    <w:autoRedefine/>
    <w:uiPriority w:val="99"/>
    <w:unhideWhenUsed/>
    <w:qFormat/>
    <w:rsid w:val="007A1A9D"/>
    <w:pPr>
      <w:spacing w:after="0" w:line="240" w:lineRule="auto"/>
    </w:pPr>
    <w:rPr>
      <w:sz w:val="16"/>
    </w:rPr>
  </w:style>
  <w:style w:type="character" w:customStyle="1" w:styleId="TextonotapieCar">
    <w:name w:val="Texto nota pie Car"/>
    <w:basedOn w:val="Fuentedeprrafopredeter"/>
    <w:link w:val="Textonotapie"/>
    <w:uiPriority w:val="99"/>
    <w:rsid w:val="007A1A9D"/>
    <w:rPr>
      <w:color w:val="181818" w:themeColor="background1" w:themeShade="1A"/>
      <w:sz w:val="16"/>
      <w:lang w:val="en-GB"/>
    </w:rPr>
  </w:style>
  <w:style w:type="character" w:styleId="Refdenotaalpie">
    <w:name w:val="footnote reference"/>
    <w:basedOn w:val="Fuentedeprrafopredeter"/>
    <w:uiPriority w:val="99"/>
    <w:semiHidden/>
    <w:unhideWhenUsed/>
    <w:qFormat/>
    <w:rsid w:val="00A91D91"/>
    <w:rPr>
      <w:rFonts w:asciiTheme="majorHAnsi" w:hAnsiTheme="majorHAnsi"/>
      <w:sz w:val="16"/>
      <w:vertAlign w:val="superscript"/>
    </w:rPr>
  </w:style>
  <w:style w:type="paragraph" w:customStyle="1" w:styleId="Footnote">
    <w:name w:val="Footnote"/>
    <w:basedOn w:val="Textonotapie"/>
    <w:link w:val="FootnoteChar"/>
    <w:qFormat/>
    <w:rsid w:val="00672C04"/>
    <w:pPr>
      <w:ind w:left="454" w:hanging="454"/>
    </w:pPr>
    <w:rPr>
      <w:lang w:val="nl-BE"/>
    </w:rPr>
  </w:style>
  <w:style w:type="character" w:customStyle="1" w:styleId="FootnoteChar">
    <w:name w:val="Footnote Char"/>
    <w:basedOn w:val="TextonotapieCar"/>
    <w:link w:val="Footnote"/>
    <w:rsid w:val="00672C04"/>
    <w:rPr>
      <w:color w:val="181818" w:themeColor="background1" w:themeShade="1A"/>
      <w:sz w:val="16"/>
      <w:lang w:val="en-GB"/>
    </w:rPr>
  </w:style>
  <w:style w:type="table" w:customStyle="1" w:styleId="GridTable4-Accent11">
    <w:name w:val="Grid Table 4 - Accent 11"/>
    <w:basedOn w:val="Tabla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odeglobo">
    <w:name w:val="Balloon Text"/>
    <w:basedOn w:val="Normal"/>
    <w:link w:val="TextodegloboCar"/>
    <w:uiPriority w:val="99"/>
    <w:semiHidden/>
    <w:unhideWhenUsed/>
    <w:rsid w:val="007151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51BF"/>
    <w:rPr>
      <w:rFonts w:ascii="Tahoma" w:hAnsi="Tahoma" w:cs="Tahoma"/>
      <w:sz w:val="16"/>
      <w:szCs w:val="16"/>
      <w:lang w:val="en-GB"/>
    </w:rPr>
  </w:style>
  <w:style w:type="paragraph" w:styleId="TDC4">
    <w:name w:val="toc 4"/>
    <w:basedOn w:val="TDC1"/>
    <w:next w:val="Normal"/>
    <w:uiPriority w:val="39"/>
    <w:unhideWhenUsed/>
    <w:qFormat/>
    <w:rsid w:val="00F205B9"/>
    <w:pPr>
      <w:framePr w:wrap="around"/>
      <w:ind w:left="660"/>
    </w:pPr>
  </w:style>
  <w:style w:type="character" w:styleId="Refdecomentario">
    <w:name w:val="annotation reference"/>
    <w:basedOn w:val="Fuentedeprrafopredeter"/>
    <w:uiPriority w:val="99"/>
    <w:semiHidden/>
    <w:unhideWhenUsed/>
    <w:rsid w:val="00D33C31"/>
    <w:rPr>
      <w:sz w:val="16"/>
      <w:szCs w:val="16"/>
    </w:rPr>
  </w:style>
  <w:style w:type="paragraph" w:styleId="Textocomentario">
    <w:name w:val="annotation text"/>
    <w:basedOn w:val="Normal"/>
    <w:link w:val="TextocomentarioCar"/>
    <w:uiPriority w:val="99"/>
    <w:unhideWhenUsed/>
    <w:rsid w:val="00D33C31"/>
    <w:pPr>
      <w:spacing w:line="240" w:lineRule="auto"/>
    </w:pPr>
    <w:rPr>
      <w:sz w:val="20"/>
    </w:rPr>
  </w:style>
  <w:style w:type="character" w:customStyle="1" w:styleId="TextocomentarioCar">
    <w:name w:val="Texto comentario Car"/>
    <w:basedOn w:val="Fuentedeprrafopredeter"/>
    <w:link w:val="Textocomentario"/>
    <w:uiPriority w:val="99"/>
    <w:rsid w:val="00D33C31"/>
    <w:rPr>
      <w:lang w:val="en-GB"/>
    </w:rPr>
  </w:style>
  <w:style w:type="paragraph" w:styleId="Asuntodelcomentario">
    <w:name w:val="annotation subject"/>
    <w:basedOn w:val="Textocomentario"/>
    <w:next w:val="Textocomentario"/>
    <w:link w:val="AsuntodelcomentarioCar"/>
    <w:uiPriority w:val="99"/>
    <w:semiHidden/>
    <w:unhideWhenUsed/>
    <w:rsid w:val="00D33C31"/>
    <w:rPr>
      <w:b/>
      <w:bCs/>
    </w:rPr>
  </w:style>
  <w:style w:type="character" w:customStyle="1" w:styleId="AsuntodelcomentarioCar">
    <w:name w:val="Asunto del comentario Car"/>
    <w:basedOn w:val="TextocomentarioCar"/>
    <w:link w:val="Asuntodelcomentario"/>
    <w:uiPriority w:val="99"/>
    <w:semiHidden/>
    <w:rsid w:val="00D33C31"/>
    <w:rPr>
      <w:b/>
      <w:bCs/>
      <w:lang w:val="en-GB"/>
    </w:rPr>
  </w:style>
  <w:style w:type="character" w:styleId="Mencinsinresolver">
    <w:name w:val="Unresolved Mention"/>
    <w:basedOn w:val="Fuentedeprrafopredeter"/>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uerte"/>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Encabezado"/>
    <w:qFormat/>
    <w:rsid w:val="00AF6B1E"/>
  </w:style>
  <w:style w:type="paragraph" w:customStyle="1" w:styleId="Pageheader">
    <w:name w:val="Page header"/>
    <w:basedOn w:val="Encabezado"/>
    <w:next w:val="Encabezado"/>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DC5">
    <w:name w:val="toc 5"/>
    <w:basedOn w:val="Normal"/>
    <w:next w:val="Normal"/>
    <w:uiPriority w:val="39"/>
    <w:semiHidden/>
    <w:unhideWhenUsed/>
    <w:qFormat/>
    <w:rsid w:val="00F205B9"/>
    <w:pPr>
      <w:spacing w:after="100"/>
      <w:ind w:left="880"/>
    </w:pPr>
  </w:style>
  <w:style w:type="paragraph" w:styleId="TDC6">
    <w:name w:val="toc 6"/>
    <w:basedOn w:val="Normal"/>
    <w:next w:val="Normal"/>
    <w:uiPriority w:val="39"/>
    <w:semiHidden/>
    <w:unhideWhenUsed/>
    <w:qFormat/>
    <w:rsid w:val="00F205B9"/>
    <w:pPr>
      <w:spacing w:after="100"/>
      <w:ind w:left="1100"/>
    </w:pPr>
  </w:style>
  <w:style w:type="paragraph" w:styleId="TDC7">
    <w:name w:val="toc 7"/>
    <w:basedOn w:val="Normal"/>
    <w:next w:val="Normal"/>
    <w:uiPriority w:val="39"/>
    <w:semiHidden/>
    <w:unhideWhenUsed/>
    <w:qFormat/>
    <w:rsid w:val="00F205B9"/>
    <w:pPr>
      <w:spacing w:after="100"/>
      <w:ind w:left="1320"/>
    </w:pPr>
  </w:style>
  <w:style w:type="paragraph" w:styleId="TDC8">
    <w:name w:val="toc 8"/>
    <w:basedOn w:val="Normal"/>
    <w:next w:val="Normal"/>
    <w:uiPriority w:val="39"/>
    <w:semiHidden/>
    <w:unhideWhenUsed/>
    <w:qFormat/>
    <w:rsid w:val="00F205B9"/>
    <w:pPr>
      <w:spacing w:after="100"/>
      <w:ind w:left="1540"/>
    </w:pPr>
  </w:style>
  <w:style w:type="paragraph" w:styleId="TDC9">
    <w:name w:val="toc 9"/>
    <w:basedOn w:val="Normal"/>
    <w:next w:val="Normal"/>
    <w:uiPriority w:val="39"/>
    <w:semiHidden/>
    <w:unhideWhenUsed/>
    <w:qFormat/>
    <w:rsid w:val="00F205B9"/>
    <w:pPr>
      <w:spacing w:after="100"/>
      <w:ind w:left="1760"/>
    </w:pPr>
  </w:style>
  <w:style w:type="character" w:styleId="Hipervnculovisitado">
    <w:name w:val="FollowedHyperlink"/>
    <w:basedOn w:val="Fuentedeprrafopredeter"/>
    <w:uiPriority w:val="99"/>
    <w:semiHidden/>
    <w:unhideWhenUsed/>
    <w:rsid w:val="0043139E"/>
    <w:rPr>
      <w:color w:val="0174AF" w:themeColor="followedHyperlink"/>
      <w:u w:val="single"/>
    </w:rPr>
  </w:style>
  <w:style w:type="character" w:customStyle="1" w:styleId="PrrafodelistaCar">
    <w:name w:val="Párrafo de lista Car"/>
    <w:aliases w:val="Paragraphe EI Car,Paragraphe de liste1 Car,EC Car"/>
    <w:link w:val="Prrafodelista"/>
    <w:uiPriority w:val="34"/>
    <w:locked/>
    <w:rsid w:val="00EC6066"/>
    <w:rPr>
      <w:rFonts w:asciiTheme="majorHAnsi" w:hAnsiTheme="majorHAnsi" w:cstheme="majorHAnsi"/>
      <w:color w:val="181818" w:themeColor="background1" w:themeShade="1A"/>
      <w:sz w:val="22"/>
      <w:szCs w:val="22"/>
      <w:lang w:val="pt-PT"/>
    </w:rPr>
  </w:style>
  <w:style w:type="paragraph" w:styleId="Revisi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Fuentedeprrafopredeter"/>
    <w:rsid w:val="00061F32"/>
    <w:rPr>
      <w:rFonts w:ascii="Segoe UI" w:hAnsi="Segoe UI" w:cs="Segoe UI" w:hint="default"/>
      <w:sz w:val="18"/>
      <w:szCs w:val="18"/>
    </w:rPr>
  </w:style>
  <w:style w:type="character" w:customStyle="1" w:styleId="cf11">
    <w:name w:val="cf11"/>
    <w:basedOn w:val="Fuentedeprrafopredeter"/>
    <w:rsid w:val="00061F32"/>
    <w:rPr>
      <w:rFonts w:ascii="Segoe UI" w:hAnsi="Segoe UI" w:cs="Segoe UI" w:hint="default"/>
      <w:color w:val="333333"/>
      <w:sz w:val="18"/>
      <w:szCs w:val="18"/>
      <w:shd w:val="clear" w:color="auto" w:fill="FFFFFF"/>
    </w:rPr>
  </w:style>
  <w:style w:type="character" w:styleId="Mencionar">
    <w:name w:val="Mention"/>
    <w:basedOn w:val="Fuentedeprrafopredeter"/>
    <w:uiPriority w:val="99"/>
    <w:unhideWhenUsed/>
    <w:rsid w:val="00251F26"/>
    <w:rPr>
      <w:color w:val="2B579A"/>
      <w:shd w:val="clear" w:color="auto" w:fill="E1DFDD"/>
    </w:rPr>
  </w:style>
  <w:style w:type="character" w:styleId="Textodelmarcadordeposicin">
    <w:name w:val="Placeholder Text"/>
    <w:basedOn w:val="Fuentedeprrafopredeter"/>
    <w:uiPriority w:val="99"/>
    <w:semiHidden/>
    <w:rsid w:val="00635BCA"/>
    <w:rPr>
      <w:color w:val="808080"/>
    </w:rPr>
  </w:style>
  <w:style w:type="paragraph" w:customStyle="1" w:styleId="para">
    <w:name w:val="para"/>
    <w:basedOn w:val="Prrafodelista"/>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Fuentedeprrafopredeter"/>
    <w:link w:val="para"/>
    <w:rsid w:val="00641F03"/>
    <w:rPr>
      <w:bCs/>
      <w:iCs/>
      <w:color w:val="181818" w:themeColor="background1" w:themeShade="1A"/>
      <w:sz w:val="22"/>
      <w:lang w:val="en-GB"/>
    </w:rPr>
  </w:style>
  <w:style w:type="character" w:customStyle="1" w:styleId="normaltextrun">
    <w:name w:val="normaltextrun"/>
    <w:basedOn w:val="Fuentedeprrafopredeter"/>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Textodelmarcadordeposicin"/>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Textodelmarcadordeposicin"/>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30F67"/>
    <w:rsid w:val="00082948"/>
    <w:rsid w:val="00092732"/>
    <w:rsid w:val="000B5175"/>
    <w:rsid w:val="000C0B68"/>
    <w:rsid w:val="001359BA"/>
    <w:rsid w:val="0015768C"/>
    <w:rsid w:val="002536E7"/>
    <w:rsid w:val="00254E75"/>
    <w:rsid w:val="0034145D"/>
    <w:rsid w:val="00372212"/>
    <w:rsid w:val="00374E49"/>
    <w:rsid w:val="00382857"/>
    <w:rsid w:val="004A0F1A"/>
    <w:rsid w:val="004E4CF9"/>
    <w:rsid w:val="004F4339"/>
    <w:rsid w:val="005D66AB"/>
    <w:rsid w:val="006320FF"/>
    <w:rsid w:val="00663894"/>
    <w:rsid w:val="006954E6"/>
    <w:rsid w:val="006D3543"/>
    <w:rsid w:val="00701E25"/>
    <w:rsid w:val="0071141B"/>
    <w:rsid w:val="007C0405"/>
    <w:rsid w:val="00813189"/>
    <w:rsid w:val="008134C9"/>
    <w:rsid w:val="008222A0"/>
    <w:rsid w:val="00836D47"/>
    <w:rsid w:val="009522B0"/>
    <w:rsid w:val="009B1066"/>
    <w:rsid w:val="009B6B9C"/>
    <w:rsid w:val="009F25FD"/>
    <w:rsid w:val="009F33B7"/>
    <w:rsid w:val="00A804C7"/>
    <w:rsid w:val="00A93A1C"/>
    <w:rsid w:val="00AD66C2"/>
    <w:rsid w:val="00B07345"/>
    <w:rsid w:val="00B11B3A"/>
    <w:rsid w:val="00B22006"/>
    <w:rsid w:val="00B46CAE"/>
    <w:rsid w:val="00BD551C"/>
    <w:rsid w:val="00C97EF2"/>
    <w:rsid w:val="00CA74DD"/>
    <w:rsid w:val="00D17D4F"/>
    <w:rsid w:val="00D52831"/>
    <w:rsid w:val="00D63E3A"/>
    <w:rsid w:val="00DC3796"/>
    <w:rsid w:val="00DC4211"/>
    <w:rsid w:val="00E023D2"/>
    <w:rsid w:val="00E41C46"/>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34</Pages>
  <Words>8494</Words>
  <Characters>46721</Characters>
  <Application>Microsoft Office Word</Application>
  <DocSecurity>8</DocSecurity>
  <Lines>389</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CNMV</cp:lastModifiedBy>
  <cp:revision>10</cp:revision>
  <cp:lastPrinted>2023-09-09T09:53:00Z</cp:lastPrinted>
  <dcterms:created xsi:type="dcterms:W3CDTF">2026-06-26T08:10:00Z</dcterms:created>
  <dcterms:modified xsi:type="dcterms:W3CDTF">2026-06-30T12:25:00Z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