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el"/>
            <w:tabs>
              <w:tab w:val="center" w:pos="4536"/>
            </w:tabs>
          </w:pPr>
          <w:r>
            <w:t xml:space="preserve">Reply </w:t>
          </w:r>
          <w:r w:rsidR="00DD03DC">
            <w:t>F</w:t>
          </w:r>
          <w:r>
            <w:t>orm</w:t>
          </w:r>
          <w:r w:rsidR="00FA1BF6">
            <w:tab/>
          </w:r>
        </w:p>
        <w:p w14:paraId="031F2108" w14:textId="042F6D9B" w:rsidR="007E7997" w:rsidRPr="00C01571" w:rsidRDefault="005B1C75" w:rsidP="00D77369">
          <w:pPr>
            <w:pStyle w:val="Undertitel"/>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82BCC"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afsnit"/>
            <w:rPr>
              <w:lang w:val="en-GB"/>
            </w:rPr>
          </w:pPr>
          <w:r w:rsidRPr="00DB2FD6">
            <w:rPr>
              <w:lang w:val="en-GB"/>
            </w:rPr>
            <w:t>respond to the question stated;</w:t>
          </w:r>
        </w:p>
        <w:p w14:paraId="72FD40F6" w14:textId="77777777" w:rsidR="002533FC" w:rsidRPr="00DB2FD6" w:rsidRDefault="002533FC" w:rsidP="00EC6066">
          <w:pPr>
            <w:pStyle w:val="Listeafsnit"/>
            <w:rPr>
              <w:lang w:val="en-GB"/>
            </w:rPr>
          </w:pPr>
          <w:r w:rsidRPr="00DB2FD6">
            <w:rPr>
              <w:lang w:val="en-GB"/>
            </w:rPr>
            <w:t>indicate the specific question to which the comment relates;</w:t>
          </w:r>
        </w:p>
        <w:p w14:paraId="78B206B7" w14:textId="77777777" w:rsidR="002533FC" w:rsidRPr="00E13D25" w:rsidRDefault="002533FC" w:rsidP="00EC6066">
          <w:pPr>
            <w:pStyle w:val="Listeafsnit"/>
          </w:pPr>
          <w:r w:rsidRPr="00E13D25">
            <w:t>contain a clear rationale; and</w:t>
          </w:r>
        </w:p>
        <w:p w14:paraId="60B8834E" w14:textId="77777777" w:rsidR="002533FC" w:rsidRPr="00DB2FD6" w:rsidRDefault="002533FC" w:rsidP="00EC6066">
          <w:pPr>
            <w:pStyle w:val="Listeafsnit"/>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Overskrift1"/>
        <w:rPr>
          <w:lang w:val="fr-BE"/>
        </w:rPr>
      </w:pPr>
      <w:r>
        <w:rPr>
          <w:lang w:val="fr-BE"/>
        </w:rPr>
        <w:lastRenderedPageBreak/>
        <w:t xml:space="preserve">General information about </w:t>
      </w:r>
      <w:r w:rsidRPr="00501EF4">
        <w:t>respondent</w:t>
      </w:r>
    </w:p>
    <w:tbl>
      <w:tblPr>
        <w:tblStyle w:val="Tabel-Gitter"/>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123DD161" w:rsidR="00E40D2C" w:rsidRPr="00557BD2" w:rsidRDefault="004F323F">
                <w:r>
                  <w:t>Finance Denmark</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05C17194" w:rsidR="00E40D2C" w:rsidRDefault="004F323F">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4A53BCBA" w:rsidR="002262FA" w:rsidRDefault="004F323F"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76CE5478" w:rsidR="00E40D2C" w:rsidRPr="00557BD2" w:rsidRDefault="004F323F">
                <w:r>
                  <w:t>Denmark</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Overskrift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72D9869" w14:textId="48B6320B" w:rsidR="00FA190C" w:rsidRPr="00FA190C" w:rsidRDefault="00685394" w:rsidP="00FA190C">
      <w:permStart w:id="1150511936" w:edGrp="everyone"/>
      <w:r>
        <w:t>Finance Denmark</w:t>
      </w:r>
      <w:r>
        <w:rPr>
          <w:rStyle w:val="Fodnotehenvisning"/>
          <w:lang w:val="en-US"/>
        </w:rPr>
        <w:footnoteReference w:id="2"/>
      </w:r>
      <w:r>
        <w:t xml:space="preserve"> </w:t>
      </w:r>
      <w:r w:rsidR="00B37CAD">
        <w:t xml:space="preserve">overall agrees </w:t>
      </w:r>
      <w:r w:rsidR="00665567">
        <w:t xml:space="preserve">with the description. </w:t>
      </w:r>
      <w:r w:rsidR="00FA190C" w:rsidRPr="00FA190C">
        <w:t>However, the wording “periodic auction” should be changed to “auctions” as periodic auctions refer to FBA and other intraday auctions. Furthermore, the division between whether liquidity is addressable or not should be discussed: Addressable liquidity as defined in point 12: “</w:t>
      </w:r>
      <w:r w:rsidR="00FA190C" w:rsidRPr="00FA190C">
        <w:rPr>
          <w:i/>
          <w:iCs/>
        </w:rPr>
        <w:t>transactions where another investment firm or client could have been a party to the transaction and provided liquidity to the market</w:t>
      </w:r>
      <w:r w:rsidR="00FA190C" w:rsidRPr="00FA190C">
        <w:t>” is unclear and very broad.</w:t>
      </w:r>
    </w:p>
    <w:p w14:paraId="5B3CEF53" w14:textId="20088F61" w:rsidR="00FA190C" w:rsidRPr="00FA190C" w:rsidRDefault="00FA190C" w:rsidP="00FA190C">
      <w:r w:rsidRPr="00FA190C">
        <w:t>Hence, we question whether the present wording is interpreted in a similar way by all relevant stakeholders?</w:t>
      </w:r>
    </w:p>
    <w:p w14:paraId="74845BAD" w14:textId="2EC403DE" w:rsidR="003A33E5" w:rsidRPr="00B14A16" w:rsidRDefault="00FA190C" w:rsidP="003A33E5">
      <w:r w:rsidRPr="00B14A16">
        <w:t>In this context, we are not sure how e</w:t>
      </w:r>
      <w:r w:rsidR="00B14A16">
        <w:t>.</w:t>
      </w:r>
      <w:r w:rsidRPr="00B14A16">
        <w:t>g</w:t>
      </w:r>
      <w:r w:rsidR="00B14A16">
        <w:t>.</w:t>
      </w:r>
      <w:r w:rsidRPr="00B14A16">
        <w:t xml:space="preserve"> SI TNCPs can be characterized as addressable?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lastRenderedPageBreak/>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58DB0573" w14:textId="393719AA" w:rsidR="001127A2" w:rsidRPr="001127A2" w:rsidRDefault="001127A2" w:rsidP="001127A2">
      <w:permStart w:id="1070029581" w:edGrp="everyone"/>
      <w:r w:rsidRPr="001127A2">
        <w:t xml:space="preserve">As for the general trends regarding on-book vs. </w:t>
      </w:r>
      <w:r w:rsidR="00292D3A">
        <w:t>o</w:t>
      </w:r>
      <w:r w:rsidRPr="001127A2">
        <w:t>ff-book trading, we agree. In respect of addressable vs. non-addressable liquidity, we refer to our comments in Q1</w:t>
      </w:r>
    </w:p>
    <w:p w14:paraId="656CEC62" w14:textId="43202E87" w:rsidR="001127A2" w:rsidRPr="001127A2" w:rsidRDefault="001127A2" w:rsidP="001127A2">
      <w:r w:rsidRPr="001127A2">
        <w:t xml:space="preserve">As for Competitive Pressure, we are concerned of the development stemming from trajectory crossing – both from trading venues and systematic </w:t>
      </w:r>
      <w:proofErr w:type="spellStart"/>
      <w:r w:rsidRPr="001127A2">
        <w:t>internalisers</w:t>
      </w:r>
      <w:proofErr w:type="spellEnd"/>
      <w:r w:rsidRPr="0023103E">
        <w:rPr>
          <w:color w:val="auto"/>
        </w:rPr>
        <w:t>.</w:t>
      </w:r>
      <w:r w:rsidR="0023103E">
        <w:rPr>
          <w:color w:val="auto"/>
        </w:rPr>
        <w:t xml:space="preserve"> Concretely, we see a pattern where benchmark trading is used to circumvent the Share Trading Obligation and we question the updated RTS 1, art.</w:t>
      </w:r>
      <w:r w:rsidR="008F382A">
        <w:rPr>
          <w:color w:val="auto"/>
        </w:rPr>
        <w:t xml:space="preserve"> 2 will solve this. This is also </w:t>
      </w:r>
      <w:proofErr w:type="gramStart"/>
      <w:r w:rsidR="008F382A">
        <w:rPr>
          <w:color w:val="auto"/>
        </w:rPr>
        <w:t>due to the fact that</w:t>
      </w:r>
      <w:proofErr w:type="gramEnd"/>
      <w:r w:rsidR="008F382A">
        <w:rPr>
          <w:color w:val="auto"/>
        </w:rPr>
        <w:t xml:space="preserve"> art 23 (2)</w:t>
      </w:r>
      <w:r w:rsidR="00A80478">
        <w:rPr>
          <w:color w:val="auto"/>
        </w:rPr>
        <w:t xml:space="preserve"> explicitly ban investment firms to act as trading venues without an authorisation. However, we do not assess</w:t>
      </w:r>
      <w:r w:rsidR="001B5C4F">
        <w:rPr>
          <w:color w:val="auto"/>
        </w:rPr>
        <w:t xml:space="preserve"> this has been properly enforced.</w:t>
      </w:r>
      <w:r w:rsidRPr="0023103E">
        <w:rPr>
          <w:color w:val="auto"/>
        </w:rPr>
        <w:t xml:space="preserve"> </w:t>
      </w:r>
      <w:r w:rsidRPr="001127A2">
        <w:t>We do not consider the development as healthy. Similar, we consider the development with</w:t>
      </w:r>
      <w:r w:rsidR="001677EA">
        <w:t xml:space="preserve"> certain market participants</w:t>
      </w:r>
      <w:r w:rsidRPr="001127A2">
        <w:t xml:space="preserve"> sending their netted position in the closing auction and trade report the rest</w:t>
      </w:r>
      <w:r w:rsidR="00D20F6F">
        <w:t>,</w:t>
      </w:r>
      <w:r w:rsidRPr="001127A2">
        <w:t xml:space="preserve"> as an unfortunate development where SIs do not act as risk takers (See also our response to Q4). These developments add to what we consider as unlevel playing field creating an unfair pressure on the local ecosystems. Overall, there is a concern for brokers using their SI status to match client flow internally removing liquidity/addressable liquidity away from venues. This could potentially result in less liquidity forming the reference price for the market. </w:t>
      </w:r>
    </w:p>
    <w:permEnd w:id="1070029581"/>
    <w:p w14:paraId="7BB7AE3F" w14:textId="1EB5631D"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6C1C69D6" w14:textId="7583FC90" w:rsidR="0068255C" w:rsidRPr="0068255C" w:rsidRDefault="0068255C" w:rsidP="001779F6">
      <w:permStart w:id="856752782" w:edGrp="everyone"/>
      <w:r w:rsidRPr="0068255C">
        <w:t>Yes</w:t>
      </w:r>
      <w:r w:rsidR="002C7A06">
        <w:t>,</w:t>
      </w:r>
      <w:r w:rsidR="00661D1A">
        <w:t xml:space="preserve"> we do have some concerns</w:t>
      </w:r>
      <w:r w:rsidR="00631F8D">
        <w:t>, cf. our response to Q3</w:t>
      </w:r>
      <w:r w:rsidRPr="0068255C">
        <w:t xml:space="preserve">. </w:t>
      </w:r>
      <w:r w:rsidR="00661D1A">
        <w:t>These</w:t>
      </w:r>
      <w:r w:rsidRPr="0068255C">
        <w:t xml:space="preserve"> are related to several inconsistencies in enforcement in relation to genuine risk taking for SIs, including enforcement of bilateral vs multilateral trading and the incumbent exchanges’ closing auction monopoly</w:t>
      </w:r>
      <w:r w:rsidR="00C92230">
        <w:t xml:space="preserve"> </w:t>
      </w:r>
      <w:r w:rsidR="00B77E54" w:rsidRPr="00631F8D">
        <w:t>as well as the trading venues’ monopoly in market data</w:t>
      </w:r>
      <w:r w:rsidRPr="0068255C">
        <w:t>. These problems prevents both genuine competition and a level playing field to the detriment of the EU capital markets</w:t>
      </w:r>
      <w:r w:rsidR="00631F8D">
        <w:t xml:space="preserve"> as the borders between bilateral and multilateral trading is not properly enforced</w:t>
      </w:r>
      <w:r w:rsidR="002C7A06">
        <w:t>.</w:t>
      </w:r>
    </w:p>
    <w:p w14:paraId="1915269D" w14:textId="26264495" w:rsidR="0068255C" w:rsidRPr="0068255C" w:rsidRDefault="00631F8D" w:rsidP="001779F6">
      <w:r>
        <w:lastRenderedPageBreak/>
        <w:t>For instance</w:t>
      </w:r>
      <w:r w:rsidR="0068255C" w:rsidRPr="0068255C">
        <w:t>,</w:t>
      </w:r>
      <w:r w:rsidR="00342691">
        <w:t xml:space="preserve"> </w:t>
      </w:r>
      <w:r w:rsidR="0068255C" w:rsidRPr="0068255C">
        <w:t xml:space="preserve">there is a lack of consistent enforcement regarding the distinction between regulated trading venues and systematic </w:t>
      </w:r>
      <w:proofErr w:type="spellStart"/>
      <w:r w:rsidR="0068255C" w:rsidRPr="0068255C">
        <w:t>internalisers</w:t>
      </w:r>
      <w:proofErr w:type="spellEnd"/>
      <w:r w:rsidR="0068255C" w:rsidRPr="0068255C">
        <w:t xml:space="preserve"> (SIs). F</w:t>
      </w:r>
      <w:r w:rsidR="00632A8F">
        <w:t>urthermore</w:t>
      </w:r>
      <w:r w:rsidR="0068255C" w:rsidRPr="0068255C">
        <w:t xml:space="preserve">, differences in risk-taking for SIs, the application of the Negotiated Trade Waiver, and the classification of transactions that do not contribute to price discovery and so potentially circumventing the Share Trading Obligation can lead to regulatory arbitrage. This creates an uneven level playing field for both authorised trading venues and other market participants, threatening the integrity and resilience of local market ecosystems. We therefore urge that the regulatory framework and its enforcement be clarified and harmonised, and that these issues be investigated as a matter of priority. </w:t>
      </w:r>
    </w:p>
    <w:p w14:paraId="5B770FDA" w14:textId="528D28A3" w:rsidR="0068255C" w:rsidRPr="0068255C" w:rsidRDefault="0068255C" w:rsidP="001779F6">
      <w:r w:rsidRPr="0068255C">
        <w:t>As highlighted by ESMA in i.e. point 29-31, page 20-21, point 39 and 40 on page 25 and point 59 on page 38, the market share from Closing Auctions on the incumbent exchanges is significant and increasing. Hence, the incumbent exchanges hold an effective monopoly over closing auctions for their listed prices for several reasons:</w:t>
      </w:r>
    </w:p>
    <w:p w14:paraId="01A80E98"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The incumbent exchanges’ closing prices are tradeable and considered to be the official prices used for reporting etc. and considered important in price formation</w:t>
      </w:r>
    </w:p>
    <w:p w14:paraId="27447C04"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It is an important KPI for many to obtain the closing price</w:t>
      </w:r>
    </w:p>
    <w:p w14:paraId="09567209"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The increase in index investment/passive investment</w:t>
      </w:r>
    </w:p>
    <w:p w14:paraId="5461744F"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The concentration of volume increases the likelihood of executing larger volumes with minimal market impact</w:t>
      </w:r>
    </w:p>
    <w:p w14:paraId="39B7E343"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Growing use of quantitative investment strategies benchmarked to the close</w:t>
      </w:r>
    </w:p>
    <w:p w14:paraId="5E965A5A" w14:textId="77777777" w:rsidR="0068255C" w:rsidRPr="0068255C" w:rsidRDefault="0068255C" w:rsidP="0068255C">
      <w:pPr>
        <w:pStyle w:val="Listeafsnit"/>
        <w:numPr>
          <w:ilvl w:val="0"/>
          <w:numId w:val="17"/>
        </w:numPr>
        <w:tabs>
          <w:tab w:val="left" w:pos="284"/>
        </w:tabs>
        <w:spacing w:after="0"/>
        <w:contextualSpacing/>
        <w:jc w:val="left"/>
        <w:rPr>
          <w:rFonts w:asciiTheme="minorHAnsi" w:hAnsiTheme="minorHAnsi" w:cstheme="minorBidi"/>
          <w:szCs w:val="20"/>
          <w:lang w:val="en-GB"/>
        </w:rPr>
      </w:pPr>
      <w:r w:rsidRPr="0068255C">
        <w:rPr>
          <w:rFonts w:asciiTheme="minorHAnsi" w:hAnsiTheme="minorHAnsi" w:cstheme="minorBidi"/>
          <w:szCs w:val="20"/>
          <w:lang w:val="en-GB"/>
        </w:rPr>
        <w:t>Protection from HFTs.</w:t>
      </w:r>
    </w:p>
    <w:p w14:paraId="491526CE" w14:textId="77777777" w:rsidR="0068255C" w:rsidRPr="0068255C" w:rsidRDefault="0068255C" w:rsidP="001779F6"/>
    <w:p w14:paraId="4B7E8D31" w14:textId="3B8C42F0" w:rsidR="0068255C" w:rsidRPr="0068255C" w:rsidRDefault="0068255C" w:rsidP="001779F6">
      <w:r w:rsidRPr="0068255C">
        <w:t xml:space="preserve">Hence, an effective solution to handle the monopoly in the closing auction require that the incumbent exchanges open the closing auctions for access from other trading venues either as participants or as trading venues to participate in the auction and where the contributing trading venues should be credited with the market share, they provide to the closing auction with a ban of claiming IP rights for market data generated on trading venues as also suggested by for example </w:t>
      </w:r>
      <w:proofErr w:type="spellStart"/>
      <w:r w:rsidRPr="0068255C">
        <w:t>Danowsky</w:t>
      </w:r>
      <w:proofErr w:type="spellEnd"/>
      <w:r w:rsidRPr="0068255C">
        <w:t xml:space="preserve"> and Partners (2018), </w:t>
      </w:r>
      <w:hyperlink r:id="rId18" w:history="1">
        <w:r w:rsidR="00BE3556" w:rsidRPr="00661D33">
          <w:rPr>
            <w:rStyle w:val="Hyperlink"/>
            <w:rFonts w:ascii="DanskeLight" w:hAnsi="DanskeLight"/>
            <w:szCs w:val="22"/>
          </w:rPr>
          <w:t>Exchange Data International (EDI, 2025))</w:t>
        </w:r>
      </w:hyperlink>
      <w:r w:rsidR="00BE3556" w:rsidRPr="00661D33">
        <w:rPr>
          <w:rFonts w:ascii="DanskeLight" w:hAnsi="DanskeLight"/>
          <w:szCs w:val="22"/>
        </w:rPr>
        <w:t xml:space="preserve">, </w:t>
      </w:r>
      <w:hyperlink r:id="rId19" w:history="1">
        <w:r w:rsidR="00BE3556" w:rsidRPr="00661D33">
          <w:rPr>
            <w:rStyle w:val="Hyperlink"/>
            <w:rFonts w:ascii="DanskeLight" w:hAnsi="DanskeLight"/>
            <w:szCs w:val="22"/>
          </w:rPr>
          <w:t>Stock Exchange Data | Exchange Data International</w:t>
        </w:r>
      </w:hyperlink>
      <w:r w:rsidRPr="0068255C">
        <w:t>. The EU Commission’s proposal</w:t>
      </w:r>
      <w:r w:rsidR="00D43679">
        <w:t xml:space="preserve"> in MISP</w:t>
      </w:r>
      <w:r w:rsidRPr="0068255C">
        <w:t xml:space="preserve"> for a Volume Weighted Closing Price will not solve the problem as this is not tradable.</w:t>
      </w:r>
    </w:p>
    <w:p w14:paraId="56388CE9" w14:textId="2AF65285" w:rsidR="0068255C" w:rsidRDefault="0068255C" w:rsidP="003A33E5">
      <w:pPr>
        <w:rPr>
          <w:rFonts w:ascii="DanskeLight" w:hAnsi="DanskeLight"/>
          <w:szCs w:val="22"/>
        </w:rPr>
      </w:pPr>
      <w:r w:rsidRPr="0068255C">
        <w:t xml:space="preserve">In relation to </w:t>
      </w:r>
      <w:r w:rsidRPr="00BE3556">
        <w:rPr>
          <w:b/>
          <w:bCs/>
        </w:rPr>
        <w:t>price formation</w:t>
      </w:r>
      <w:r w:rsidRPr="0068255C">
        <w:t>, it is essential to underline that price formation is not only about pre-trade information. It is also about post trade information, company specific information, macroeconomics, geopolitics etc. Having said that, it is indeed concerning if the share of CLOB on trading venues continues to decrease as for instance reference prices linked to CLOB are then based on less solid grounds which may compromise the reliability as also referred to in our response to Q3</w:t>
      </w:r>
      <w:r>
        <w:t>.</w:t>
      </w:r>
    </w:p>
    <w:permEnd w:id="856752782"/>
    <w:p w14:paraId="2A3F17E9" w14:textId="174BE90E" w:rsidR="003A33E5" w:rsidRDefault="003A33E5" w:rsidP="003A33E5">
      <w:r>
        <w:lastRenderedPageBreak/>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313F9607" w14:textId="60D8E8FD" w:rsidR="00CD74BD" w:rsidRPr="00CD74BD" w:rsidRDefault="00CD74BD" w:rsidP="00CD74BD">
      <w:permStart w:id="617826185" w:edGrp="everyone"/>
      <w:r w:rsidRPr="00CD74BD">
        <w:t>As stated in Q4</w:t>
      </w:r>
      <w:r w:rsidR="006C4595">
        <w:t>,</w:t>
      </w:r>
      <w:r w:rsidRPr="00CD74BD">
        <w:t xml:space="preserve"> it is essential with consistent enforcement of the rules across the EU to ensure a level playing field to support genuine competition and the prevention of abuse of market power by for example the incumbent exchanges in relation to market data and closing auction. </w:t>
      </w:r>
    </w:p>
    <w:p w14:paraId="6F6B517F" w14:textId="4A6053DB" w:rsidR="00CD74BD" w:rsidRPr="00CD74BD" w:rsidRDefault="00CD74BD" w:rsidP="00CD74BD">
      <w:r w:rsidRPr="00CD74BD">
        <w:t xml:space="preserve">With that in mind the </w:t>
      </w:r>
      <w:r w:rsidR="00200005">
        <w:t xml:space="preserve">main drivers are the </w:t>
      </w:r>
      <w:r w:rsidRPr="00CD74BD">
        <w:t xml:space="preserve">ability for market participants to choose from a range of </w:t>
      </w:r>
      <w:r w:rsidR="00200005">
        <w:t>execution venues/trading</w:t>
      </w:r>
      <w:r w:rsidR="0006323B">
        <w:t xml:space="preserve"> methodologies</w:t>
      </w:r>
      <w:r w:rsidRPr="00CD74BD">
        <w:t xml:space="preserve"> </w:t>
      </w:r>
      <w:proofErr w:type="gramStart"/>
      <w:r w:rsidRPr="00CD74BD">
        <w:t>in order to</w:t>
      </w:r>
      <w:proofErr w:type="gramEnd"/>
      <w:r w:rsidRPr="00CD74BD">
        <w:t xml:space="preserve"> optimise the outcome and provide the best possible result for clients </w:t>
      </w:r>
      <w:r w:rsidR="0006323B">
        <w:t>and the lowest execution costs for investment firms</w:t>
      </w:r>
      <w:r w:rsidRPr="00CD74BD">
        <w:t>. There should not be introduced any kind of concentration rule which would contradict the liberalisation introduced with MiFID</w:t>
      </w:r>
      <w:r w:rsidR="00E5264E">
        <w:t xml:space="preserve"> </w:t>
      </w:r>
      <w:r w:rsidRPr="00CD74BD">
        <w:t>I in 2007.</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4EDD3690" w14:textId="4D473FD0" w:rsidR="00A72571" w:rsidRPr="00A72571" w:rsidRDefault="00A72571" w:rsidP="00A72571">
      <w:pPr>
        <w:spacing w:before="100" w:beforeAutospacing="1" w:after="100" w:afterAutospacing="1" w:line="300" w:lineRule="atLeast"/>
      </w:pPr>
      <w:permStart w:id="1898151376" w:edGrp="everyone"/>
      <w:r w:rsidRPr="00A72571">
        <w:t xml:space="preserve">The possibility to maintain and access liquidity from various sources is from an overall perspective doable – but comes at a price: The costs and resources associated with accessing liquidity from a broad range of suppliers is high and increasing e.g. due to costs to connectivity, market data, trading, clearing, monitoring, compliance etc. The costs are increasing - </w:t>
      </w:r>
      <w:proofErr w:type="gramStart"/>
      <w:r w:rsidRPr="00A72571">
        <w:t>in particular connectivity</w:t>
      </w:r>
      <w:proofErr w:type="gramEnd"/>
      <w:r w:rsidRPr="00A72571">
        <w:t xml:space="preserve"> and market data - due to the trading venues status as for-profit Capital Market Infrastructure and the ability to use their market power unlike infrastructure in other sectors. This should be managed as also suggested in the Implement report (Tapping into the full potential of EU Capital Markets, November 2025</w:t>
      </w:r>
      <w:r w:rsidR="00094AB5">
        <w:t xml:space="preserve"> </w:t>
      </w:r>
      <w:hyperlink r:id="rId20" w:history="1">
        <w:r w:rsidR="00904272" w:rsidRPr="00904272">
          <w:rPr>
            <w:rStyle w:val="Hyperlink"/>
          </w:rPr>
          <w:t>Tapping into the full potential of EU Capital Markets | Implement</w:t>
        </w:r>
      </w:hyperlink>
      <w:r w:rsidRPr="00A72571">
        <w:t>) which is addressing the structural problem.</w:t>
      </w:r>
      <w:r w:rsidR="0006323B">
        <w:t xml:space="preserve"> The hi</w:t>
      </w:r>
      <w:r w:rsidR="00B70BAB">
        <w:t>g</w:t>
      </w:r>
      <w:r w:rsidR="0006323B">
        <w:t>her the cost, the more likely it is for investment firms to refrain from direct</w:t>
      </w:r>
      <w:r w:rsidR="00B70BAB">
        <w:t xml:space="preserve"> execution /hence using a broker) or abstain from participating in the market. Both paths are serious threats and favour the biggest players at the expense of the local markets</w:t>
      </w:r>
      <w:r w:rsidR="00B4232B">
        <w:t>.</w:t>
      </w:r>
    </w:p>
    <w:p w14:paraId="17830689" w14:textId="66B4BDD5" w:rsidR="00A72571" w:rsidRPr="00A72571" w:rsidRDefault="00A72571" w:rsidP="00A72571">
      <w:pPr>
        <w:spacing w:before="100" w:beforeAutospacing="1" w:after="100" w:afterAutospacing="1" w:line="300" w:lineRule="atLeast"/>
      </w:pPr>
      <w:r w:rsidRPr="00A72571">
        <w:t xml:space="preserve">This development </w:t>
      </w:r>
      <w:r w:rsidR="006017EC">
        <w:t>-</w:t>
      </w:r>
      <w:r w:rsidRPr="00A72571">
        <w:t xml:space="preserve"> in combination with lack of enforcement of the rules, cf. our response to Q1 and Q4 - also favours the bigger market participants in the EU which is likely to challenge the local ecosystems to the detriment of companies and investors. </w:t>
      </w:r>
    </w:p>
    <w:p w14:paraId="189E6F8B" w14:textId="77777777" w:rsidR="00A72571" w:rsidRPr="00A72571" w:rsidRDefault="00A72571" w:rsidP="00A72571">
      <w:pPr>
        <w:spacing w:before="100" w:beforeAutospacing="1" w:after="100" w:afterAutospacing="1" w:line="300" w:lineRule="atLeast"/>
      </w:pPr>
      <w:r w:rsidRPr="00A72571">
        <w:t xml:space="preserve">Additionally, the fast pace of regulatory changes increases compliance burden on the market participants. </w:t>
      </w:r>
    </w:p>
    <w:p w14:paraId="1129DCB3" w14:textId="77777777" w:rsidR="00A72571" w:rsidRPr="00A72571" w:rsidRDefault="00A72571" w:rsidP="00A72571">
      <w:pPr>
        <w:spacing w:before="100" w:beforeAutospacing="1" w:after="100" w:afterAutospacing="1" w:line="300" w:lineRule="atLeast"/>
      </w:pPr>
      <w:r w:rsidRPr="00A72571">
        <w:t>Addressing the core and structural issues via the measures suggested in the Implement report will reduce the need for constant regulatory changes as the need for temporary “patchwork quick fixes” significantly and on top contribute to the simplification agenda. This change is a key element in the ability to ensure the efficiency and liquidity of EU capital markets and facilitate that the local eco systems can participate in a market driven development based on genuine competition and a level playing field to the benefit of issuers, investors and competitiveness of EU capital markets.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lastRenderedPageBreak/>
        <w:t>&lt;ESMA_QUESTION_MSEM_7&gt;</w:t>
      </w:r>
    </w:p>
    <w:p w14:paraId="158C8932" w14:textId="7BAA69A1" w:rsidR="00DD0A32" w:rsidRPr="00DD0A32" w:rsidRDefault="00DD0A32" w:rsidP="00DD0A32">
      <w:permStart w:id="1102657477" w:edGrp="everyone"/>
      <w:r w:rsidRPr="00DD0A32">
        <w:t>As stipulated in Q6 above. Hence, essence is market efficiency and liquidity which contribute to lower cost of capital. Issuers care about valuation, investor access and costs. The smaller the issuer, the more dependence on local market participants and investors which is one of the main reasons for ensuring that the local markets can thrive and grow.</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2CC00C5F" w:rsidR="003A33E5" w:rsidRDefault="00D22CD9" w:rsidP="003A33E5">
      <w:permStart w:id="1746406015" w:edGrp="everyone"/>
      <w:r>
        <w:t>Please see response to Q6 above.</w:t>
      </w:r>
      <w:r w:rsidR="00B4232B">
        <w:t xml:space="preserve"> Furthermore, EU/UK SIs operating in both jurisdictions face double publication</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547C1828" w14:textId="10F6993A" w:rsidR="009C7E02" w:rsidRPr="009C7E02" w:rsidRDefault="009C7E02" w:rsidP="009C7E02">
      <w:permStart w:id="648821160" w:edGrp="everyone"/>
      <w:r w:rsidRPr="009C7E02">
        <w:t xml:space="preserve">Please see response to Q6 above. Furthermore, the use of NTW beyond the original scope to also allow for trajectory crossing for trading venues via the new RTS 1 should be monitored closely. </w:t>
      </w:r>
    </w:p>
    <w:p w14:paraId="37B7862E" w14:textId="77777777" w:rsidR="009C7E02" w:rsidRPr="009C7E02" w:rsidRDefault="009C7E02" w:rsidP="009C7E02">
      <w:r w:rsidRPr="009C7E02">
        <w:t xml:space="preserve">However, as this is also allowed in both UK and US, it would be beneficial with a joint effort. The recent changes in the UK legislation to follow US </w:t>
      </w:r>
      <w:proofErr w:type="gramStart"/>
      <w:r w:rsidRPr="009C7E02">
        <w:t>in order to</w:t>
      </w:r>
      <w:proofErr w:type="gramEnd"/>
      <w:r w:rsidRPr="009C7E02">
        <w:t xml:space="preserve"> increase competitiveness could squeeze EU from a level playing field as well if EU. Focus should be to avoid a “race to the bottom”.</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44D65EED" w:rsidR="003A33E5" w:rsidRDefault="009C7E02" w:rsidP="003A33E5">
      <w:permStart w:id="733371525" w:edGrp="everyone"/>
      <w:r>
        <w:t>Ple</w:t>
      </w:r>
      <w:r w:rsidR="00E025AB">
        <w:t>ase see our response to Q9 above.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40B34017" w:rsidR="003A33E5" w:rsidRDefault="00E025AB" w:rsidP="003A33E5">
      <w:permStart w:id="14425139" w:edGrp="everyone"/>
      <w:r>
        <w:t>Please see our response to Q6.</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lastRenderedPageBreak/>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2372D176" w14:textId="6D0E76C8" w:rsidR="00457A85" w:rsidRPr="00457A85" w:rsidRDefault="00457A85" w:rsidP="00457A85">
      <w:permStart w:id="230633778" w:edGrp="everyone"/>
      <w:r w:rsidRPr="00457A85">
        <w:t xml:space="preserve">As the KPIs are linked to the closing auction from the incumbent exchange and this is exploited by the incumbent exchange, the closing auction should be </w:t>
      </w:r>
      <w:proofErr w:type="gramStart"/>
      <w:r w:rsidRPr="00457A85">
        <w:t>opened up</w:t>
      </w:r>
      <w:proofErr w:type="gramEnd"/>
      <w:r w:rsidRPr="00457A85">
        <w:t xml:space="preserve"> as suggested in our response to Q</w:t>
      </w:r>
      <w:r w:rsidR="009617D6">
        <w:t>4</w:t>
      </w:r>
      <w:r w:rsidRPr="00457A85">
        <w:t>.</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6ECBC582" w14:textId="062E463F" w:rsidR="00172050" w:rsidRPr="00172050" w:rsidRDefault="00172050" w:rsidP="00172050">
      <w:permStart w:id="834536465" w:edGrp="everyone"/>
      <w:r w:rsidRPr="00172050">
        <w:t>24</w:t>
      </w:r>
      <w:r w:rsidR="001A1426">
        <w:t>h</w:t>
      </w:r>
      <w:r w:rsidRPr="00172050">
        <w:t xml:space="preserve">/ trading will </w:t>
      </w:r>
      <w:proofErr w:type="gramStart"/>
      <w:r w:rsidR="009617D6">
        <w:t>potential</w:t>
      </w:r>
      <w:proofErr w:type="gramEnd"/>
      <w:r w:rsidRPr="00172050">
        <w:t xml:space="preserve"> </w:t>
      </w:r>
      <w:proofErr w:type="gramStart"/>
      <w:r w:rsidRPr="00172050">
        <w:t>increase</w:t>
      </w:r>
      <w:proofErr w:type="gramEnd"/>
      <w:r w:rsidRPr="00172050">
        <w:t xml:space="preserve"> use of auctions in all aspects as 24</w:t>
      </w:r>
      <w:r w:rsidR="0069724A">
        <w:t>h</w:t>
      </w:r>
      <w:r w:rsidRPr="00172050">
        <w:t xml:space="preserve">/ trading </w:t>
      </w:r>
      <w:proofErr w:type="gramStart"/>
      <w:r w:rsidRPr="00172050">
        <w:t>in itself most</w:t>
      </w:r>
      <w:proofErr w:type="gramEnd"/>
      <w:r w:rsidRPr="00172050">
        <w:t xml:space="preserve"> likely contribute to increased </w:t>
      </w:r>
      <w:proofErr w:type="gramStart"/>
      <w:r w:rsidRPr="00172050">
        <w:t>fragmentation in itself</w:t>
      </w:r>
      <w:proofErr w:type="gramEnd"/>
      <w:r w:rsidRPr="00172050">
        <w:t xml:space="preserve">. Hence, </w:t>
      </w:r>
      <w:proofErr w:type="gramStart"/>
      <w:r w:rsidRPr="00172050">
        <w:t>in order to</w:t>
      </w:r>
      <w:proofErr w:type="gramEnd"/>
      <w:r w:rsidRPr="00172050">
        <w:t xml:space="preserve"> ensure some liquidity concentration to minimise market impact, the market participants may increasingly seek to the </w:t>
      </w:r>
      <w:r w:rsidR="00F22DFD">
        <w:t xml:space="preserve">scheduled </w:t>
      </w:r>
      <w:r w:rsidRPr="00172050">
        <w:t xml:space="preserve">auctions </w:t>
      </w:r>
      <w:r>
        <w:t>-</w:t>
      </w:r>
      <w:r w:rsidRPr="00172050">
        <w:t xml:space="preserve"> including the closing auctions</w:t>
      </w:r>
      <w:r w:rsidR="00F22DFD">
        <w:t xml:space="preserve"> which still needs to be firmly scheduled due to the importance of “End-of-Day” prices (closing price) – aka “normal business hours”</w:t>
      </w:r>
      <w:r w:rsidRPr="00172050">
        <w:t>.</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033D580E" w:rsidR="003A33E5" w:rsidRDefault="00172050" w:rsidP="003A33E5">
      <w:permStart w:id="54361316" w:edGrp="everyone"/>
      <w:r>
        <w:t>Please see our responses to previous answers.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32FC4E01" w14:textId="3A48DE08" w:rsidR="005C4370" w:rsidRPr="005C4370" w:rsidRDefault="005C4370" w:rsidP="005C4370">
      <w:permStart w:id="1032677898" w:edGrp="everyone"/>
      <w:r w:rsidRPr="005C4370">
        <w:t xml:space="preserve">FBA is a way to </w:t>
      </w:r>
      <w:r w:rsidR="000C5AE3">
        <w:t>mitigate the impact of Single Volume Cap (SVC)</w:t>
      </w:r>
      <w:r w:rsidRPr="005C4370">
        <w:t>.</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4EC33361" w14:textId="7A421F23" w:rsidR="005E4527" w:rsidRPr="005E4527" w:rsidRDefault="005E4527" w:rsidP="005E4527">
      <w:permStart w:id="2057074625" w:edGrp="everyone"/>
      <w:r w:rsidRPr="005E4527">
        <w:t>SVC has implied more caps on various shares and resulted in increased use of FBAs.</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82D14A7" w14:textId="30AB9EC3" w:rsidR="009E7213" w:rsidRPr="009E7213" w:rsidRDefault="009E7213" w:rsidP="009E7213">
      <w:permStart w:id="174423608" w:edGrp="everyone"/>
      <w:r w:rsidRPr="009E7213">
        <w:t>Please see responses to previous questions</w:t>
      </w:r>
      <w:r>
        <w:t>.</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6349DD80" w14:textId="6E459813" w:rsidR="003C3050" w:rsidRPr="003C3050" w:rsidRDefault="003C3050" w:rsidP="003C3050">
      <w:permStart w:id="1672904074" w:edGrp="everyone"/>
      <w:r w:rsidRPr="003C3050">
        <w:t xml:space="preserve">They are price forming both due to pre- and </w:t>
      </w:r>
      <w:proofErr w:type="spellStart"/>
      <w:r w:rsidRPr="003C3050">
        <w:t>post trade</w:t>
      </w:r>
      <w:proofErr w:type="spellEnd"/>
      <w:r w:rsidRPr="003C3050">
        <w:t xml:space="preserve"> transparency</w:t>
      </w:r>
      <w:r>
        <w:t>.</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347B0118" w14:textId="373AFD92" w:rsidR="00A31FE3" w:rsidRPr="00A31FE3" w:rsidRDefault="00A31FE3" w:rsidP="00A31FE3">
      <w:permStart w:id="1032158778" w:edGrp="everyone"/>
      <w:r w:rsidRPr="00A31FE3">
        <w:t xml:space="preserve">SIs </w:t>
      </w:r>
      <w:r w:rsidR="003E491A">
        <w:t xml:space="preserve">should be allowed to match off-tick </w:t>
      </w:r>
      <w:proofErr w:type="gramStart"/>
      <w:r w:rsidR="003E491A">
        <w:t>similar to</w:t>
      </w:r>
      <w:proofErr w:type="gramEnd"/>
      <w:r w:rsidR="003E491A">
        <w:t xml:space="preserve"> FBA and NTW to ensure a level playing f</w:t>
      </w:r>
      <w:r w:rsidR="009C0284">
        <w:t>ield</w:t>
      </w:r>
      <w:r w:rsidRPr="00A31FE3">
        <w:t>.</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50902298" w14:textId="4AD91616" w:rsidR="00AF50E5" w:rsidRPr="00AF50E5" w:rsidRDefault="00AF50E5" w:rsidP="00AF50E5">
      <w:permStart w:id="529949636" w:edGrp="everyone"/>
      <w:r w:rsidRPr="00AF50E5">
        <w:t>SIs should provide risk capital and must be considered as a supplement to other execution venues. There are rules governing the regime and the application should be monitored and enforced as we observe SIs not taking risk including S</w:t>
      </w:r>
      <w:r w:rsidR="009C0284">
        <w:t>I</w:t>
      </w:r>
      <w:r w:rsidRPr="00AF50E5">
        <w:t xml:space="preserve">s </w:t>
      </w:r>
      <w:r w:rsidR="009C0284">
        <w:t>act as</w:t>
      </w:r>
      <w:r w:rsidRPr="00AF50E5">
        <w:t xml:space="preserve"> trading venues. See also our response to Q</w:t>
      </w:r>
      <w:r w:rsidR="009C0284">
        <w:t>4</w:t>
      </w:r>
      <w:r w:rsidRPr="00AF50E5">
        <w:t xml:space="preserve">. </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7992BDE8" w14:textId="05586847" w:rsidR="005678DE" w:rsidRPr="005678DE" w:rsidRDefault="005678DE" w:rsidP="005678DE">
      <w:permStart w:id="818545257" w:edGrp="everyone"/>
      <w:r w:rsidRPr="005678DE">
        <w:t>Sis are execution venues which serve as a supplement to other execution venues and may offer trading in all sizes to various types of clients. SI trading contributes to increasing the execution choices</w:t>
      </w:r>
      <w:r w:rsidR="009C0284">
        <w:t>/competition</w:t>
      </w:r>
      <w:r w:rsidRPr="005678DE">
        <w:t xml:space="preserve"> for investors and the ability for clients to choose between execution venues should be preserved. </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1B512C67" w14:textId="43701810" w:rsidR="00C63B74" w:rsidRPr="00E16808" w:rsidRDefault="0053575A" w:rsidP="00C63B74">
      <w:permStart w:id="1751220061" w:edGrp="everyone"/>
      <w:r w:rsidRPr="00E16808">
        <w:t xml:space="preserve">As also addressed by ESMA in point 109 on page 62, there is a need to align the flags between RTS 1 and RTS 22. This </w:t>
      </w:r>
      <w:proofErr w:type="gramStart"/>
      <w:r w:rsidRPr="00E16808">
        <w:t>in order to</w:t>
      </w:r>
      <w:proofErr w:type="gramEnd"/>
      <w:r w:rsidRPr="00E16808">
        <w:t xml:space="preserve"> improve the data quality to be used e.g. to measure price improvements. As we understand ESMA, (point 121, page 78) this exercise will be done in a medium term due to the recent change of RTS 1 and with the upcoming simplification of the reporting regime. As ESMA writes in it work programme for 2026, page 19 under item 2.1.5: </w:t>
      </w:r>
      <w:proofErr w:type="gramStart"/>
      <w:r w:rsidRPr="00E16808">
        <w:t>“..</w:t>
      </w:r>
      <w:proofErr w:type="gramEnd"/>
      <w:r w:rsidRPr="00E16808">
        <w:t xml:space="preserve"> </w:t>
      </w:r>
      <w:r w:rsidRPr="00E16808">
        <w:rPr>
          <w:i/>
          <w:iCs/>
        </w:rPr>
        <w:t xml:space="preserve">Under the MiFIR Review, ESMA contributes to the implementation of the revised transparency framework, while increasing data reuse (e.g., by reusing MiFIR transaction data for transparency calculations). Furthermore, ESMA has developed proposals on a holistic review of transactional reporting under MiFIR, EMIR and SFTR, with the aim of removing duplications and developing a streamlined reporting </w:t>
      </w:r>
      <w:r w:rsidR="00C63B74" w:rsidRPr="00E16808">
        <w:rPr>
          <w:i/>
          <w:iCs/>
        </w:rPr>
        <w:t>system that would lead to substantial reduction of reporting burden…</w:t>
      </w:r>
      <w:r w:rsidR="00C63B74" w:rsidRPr="00E16808">
        <w:t xml:space="preserve">”. Finance Denmark welcomes this step. </w:t>
      </w:r>
    </w:p>
    <w:permEnd w:id="1751220061"/>
    <w:p w14:paraId="4602E310" w14:textId="6A96B316"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lastRenderedPageBreak/>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4306E3B2" w14:textId="0B4B084B" w:rsidR="008F454E" w:rsidRPr="008F454E" w:rsidRDefault="008F454E" w:rsidP="008F454E">
      <w:permStart w:id="797907736" w:edGrp="everyone"/>
      <w:r>
        <w:t>Please s</w:t>
      </w:r>
      <w:r w:rsidRPr="008F454E">
        <w:t>ee responses to Q6 and Q20</w:t>
      </w:r>
      <w:r>
        <w:t>.</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306B78FE" w14:textId="539ECA0D" w:rsidR="00520BFB" w:rsidRPr="00CF1432" w:rsidRDefault="003A580D" w:rsidP="00520BFB">
      <w:pPr>
        <w:spacing w:before="200"/>
        <w:rPr>
          <w:rFonts w:ascii="Calibri" w:hAnsi="Calibri" w:cs="Calibri"/>
          <w:sz w:val="24"/>
          <w:szCs w:val="24"/>
          <w:lang w:val="en-US"/>
        </w:rPr>
      </w:pPr>
      <w:permStart w:id="165951741" w:edGrp="everyone"/>
      <w:r>
        <w:t>As we have mention</w:t>
      </w:r>
      <w:r w:rsidR="00A07D53">
        <w:t>ed above, w</w:t>
      </w:r>
      <w:r w:rsidR="00BF274E" w:rsidRPr="00587C84">
        <w:t>e are concerned</w:t>
      </w:r>
      <w:r w:rsidR="00B978F1" w:rsidRPr="00587C84">
        <w:t xml:space="preserve"> that certain market participants operate in practice as trading venues without holding the required </w:t>
      </w:r>
      <w:r w:rsidR="00A27016" w:rsidRPr="00587C84">
        <w:t xml:space="preserve">authorization. </w:t>
      </w:r>
      <w:proofErr w:type="gramStart"/>
      <w:r w:rsidR="00A27016" w:rsidRPr="00587C84">
        <w:t>In particular, there</w:t>
      </w:r>
      <w:proofErr w:type="gramEnd"/>
      <w:r w:rsidR="00A27016" w:rsidRPr="00587C84">
        <w:t xml:space="preserve"> is a lack of consistent enforcement regarding the distinction between regulated trading venues an</w:t>
      </w:r>
      <w:r w:rsidR="008A06DA" w:rsidRPr="00587C84">
        <w:t>d</w:t>
      </w:r>
      <w:r w:rsidR="00A27016" w:rsidRPr="00587C84">
        <w:t xml:space="preserve"> systematic </w:t>
      </w:r>
      <w:proofErr w:type="spellStart"/>
      <w:r w:rsidR="00A27016" w:rsidRPr="00587C84">
        <w:t>internalisers</w:t>
      </w:r>
      <w:proofErr w:type="spellEnd"/>
      <w:r w:rsidR="00E0444F" w:rsidRPr="00587C84">
        <w:t xml:space="preserve">. </w:t>
      </w:r>
      <w:r w:rsidR="00520BFB" w:rsidRPr="00587C84">
        <w:t xml:space="preserve">SIs </w:t>
      </w:r>
      <w:r w:rsidR="003046FE" w:rsidRPr="00587C84">
        <w:t>fulfils</w:t>
      </w:r>
      <w:r w:rsidR="00520BFB" w:rsidRPr="00587C84">
        <w:t xml:space="preserve"> an important function as liquidity providers for the capital markets. It is thus important to ensure that they operate within their intended framework, namely by engaging exclusively in bilateral trading at risk on own account, with the exclusion of any internalisation or orderbook</w:t>
      </w:r>
      <w:r w:rsidR="00C111A2" w:rsidRPr="00587C84">
        <w:t xml:space="preserve"> </w:t>
      </w:r>
      <w:r w:rsidR="00520BFB" w:rsidRPr="00587C84">
        <w:t xml:space="preserve">like activities as those constitute multilateral trading under MiFIR. In this context, and in line with the simplification agenda, </w:t>
      </w:r>
      <w:r w:rsidR="005852A5" w:rsidRPr="00587C84">
        <w:t>Finance Denmark</w:t>
      </w:r>
      <w:r w:rsidR="00520BFB" w:rsidRPr="00587C84">
        <w:t xml:space="preserve"> considers that priority should be placed on the effective enforcement of the existing MiFIR framework and that is no need for more rules in this area.</w:t>
      </w:r>
      <w:r w:rsidR="00587C84" w:rsidRPr="00587C84">
        <w:t xml:space="preserve"> For example, introducing measures which introduce additional burdens on SIs and may imply an unlevel playing field compared to other execution venues. For example, by requiring SIs to contribute to a pre-trade CT as the quotes are only available to clients, to require public update of quotes which have been price improved to clients, to require SIs to provide quotes in illiquid instruments etc.</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lastRenderedPageBreak/>
        <w:t>&lt;ESMA_QUESTION_MSEM_2</w:t>
      </w:r>
      <w:r w:rsidR="169EBBA7">
        <w:t>6</w:t>
      </w:r>
      <w:r>
        <w:t>&gt;</w:t>
      </w:r>
    </w:p>
    <w:p w14:paraId="62C1FC88" w14:textId="700C1A4D" w:rsidR="003A33E5" w:rsidRDefault="00587C84" w:rsidP="003A33E5">
      <w:permStart w:id="1012798389" w:edGrp="everyone"/>
      <w:r>
        <w:t>Yes – see our response to Q9.</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357141D6" w:rsidR="003A33E5" w:rsidRDefault="00587C84" w:rsidP="003A33E5">
      <w:permStart w:id="921442006" w:edGrp="everyone"/>
      <w:r>
        <w:t>We do not have any objections to this proposal.</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3D381C3F" w14:textId="443CE386" w:rsidR="00813B3A" w:rsidRPr="00813B3A" w:rsidRDefault="00813B3A" w:rsidP="00813B3A">
      <w:permStart w:id="180496860" w:edGrp="everyone"/>
      <w:r w:rsidRPr="00813B3A">
        <w:t xml:space="preserve">May be used for mid-point matching which is ok </w:t>
      </w:r>
      <w:r>
        <w:t>-</w:t>
      </w:r>
      <w:r w:rsidRPr="00813B3A">
        <w:t xml:space="preserve"> but also trajectory crossing, which can be problematic cf. Q9 above.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lastRenderedPageBreak/>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243C4AF9" w14:textId="77777777" w:rsidR="00291D5B" w:rsidRPr="00291D5B" w:rsidRDefault="00291D5B" w:rsidP="00291D5B">
      <w:permStart w:id="1316118649" w:edGrp="everyone"/>
      <w:r w:rsidRPr="00291D5B">
        <w:t xml:space="preserve">Yes, provided that ESMA consults on the guidelines </w:t>
      </w:r>
      <w:proofErr w:type="gramStart"/>
      <w:r w:rsidRPr="00291D5B">
        <w:t>in order to</w:t>
      </w:r>
      <w:proofErr w:type="gramEnd"/>
      <w:r w:rsidRPr="00291D5B">
        <w:t xml:space="preserve"> ensure that the problematic areas are adequately covered.</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29058942" w14:textId="17673735" w:rsidR="008D57A1" w:rsidRPr="008D57A1" w:rsidRDefault="008D57A1" w:rsidP="008D57A1">
      <w:permStart w:id="1195064322" w:edGrp="everyone"/>
      <w:r w:rsidRPr="008D57A1">
        <w:t>Please see our response to Q6 and Q9</w:t>
      </w:r>
      <w:r>
        <w:t>.</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287099B3" w:rsidR="003A33E5" w:rsidRDefault="009C0284" w:rsidP="003A33E5">
      <w:permStart w:id="1084183535" w:edGrp="everyone"/>
      <w:r>
        <w:t xml:space="preserve">This would most likely lead to more creative interpretation of the exemption from </w:t>
      </w:r>
      <w:r w:rsidR="001F5C0E">
        <w:t>for instance the Share Trading Obligation.</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2DA947E" w14:textId="61BC7301" w:rsidR="008A5B81" w:rsidRPr="008A5B81" w:rsidRDefault="008A5B81" w:rsidP="008A5B81">
      <w:permStart w:id="1454133558" w:edGrp="everyone"/>
      <w:r w:rsidRPr="008A5B81">
        <w:t>Please see our response to Q</w:t>
      </w:r>
      <w:r w:rsidR="001F5C0E">
        <w:t>4</w:t>
      </w:r>
      <w:r w:rsidRPr="008A5B81">
        <w:t xml:space="preserve"> – the structural problems with the Capital Market Infrastructure should be handled.</w:t>
      </w:r>
    </w:p>
    <w:permEnd w:id="1454133558"/>
    <w:p w14:paraId="0B3333F7" w14:textId="61C0F782" w:rsidR="003A33E5" w:rsidRDefault="003A33E5" w:rsidP="003A33E5">
      <w:r>
        <w:lastRenderedPageBreak/>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9EDE4B7" w14:textId="7B0E9D68" w:rsidR="001E5BB0" w:rsidRPr="001E5BB0" w:rsidRDefault="001E5BB0" w:rsidP="001E5BB0">
      <w:permStart w:id="1509051285" w:edGrp="everyone"/>
      <w:r w:rsidRPr="001E5BB0">
        <w:t>Finance Denmark agrees to the three approaches. However, as also mentioned in Q1, the wording of addressable liquidity seems very broad and is not interpreted equally in the market.</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lastRenderedPageBreak/>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98AD" w14:textId="77777777" w:rsidR="00C35E46" w:rsidRDefault="00C35E46" w:rsidP="007E7997">
      <w:pPr>
        <w:spacing w:line="240" w:lineRule="auto"/>
      </w:pPr>
      <w:r>
        <w:separator/>
      </w:r>
    </w:p>
  </w:endnote>
  <w:endnote w:type="continuationSeparator" w:id="0">
    <w:p w14:paraId="04637780" w14:textId="77777777" w:rsidR="00C35E46" w:rsidRDefault="00C35E46" w:rsidP="007E7997">
      <w:pPr>
        <w:spacing w:line="240" w:lineRule="auto"/>
      </w:pPr>
      <w:r>
        <w:continuationSeparator/>
      </w:r>
    </w:p>
  </w:endnote>
  <w:endnote w:type="continuationNotice" w:id="1">
    <w:p w14:paraId="5B70F0DF" w14:textId="77777777" w:rsidR="00C35E46" w:rsidRDefault="00C35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nskeLight">
    <w:altName w:val="Calibri"/>
    <w:charset w:val="00"/>
    <w:family w:val="auto"/>
    <w:pitch w:val="variable"/>
    <w:sig w:usb0="A00000FF" w:usb1="4000E05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efod"/>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DDEA" w14:textId="77777777" w:rsidR="00C35E46" w:rsidRDefault="00C35E46" w:rsidP="007E7997">
      <w:pPr>
        <w:spacing w:line="240" w:lineRule="auto"/>
      </w:pPr>
      <w:r>
        <w:separator/>
      </w:r>
    </w:p>
  </w:footnote>
  <w:footnote w:type="continuationSeparator" w:id="0">
    <w:p w14:paraId="4C1952D9" w14:textId="77777777" w:rsidR="00C35E46" w:rsidRDefault="00C35E46" w:rsidP="007E7997">
      <w:pPr>
        <w:spacing w:line="240" w:lineRule="auto"/>
      </w:pPr>
      <w:r>
        <w:continuationSeparator/>
      </w:r>
    </w:p>
  </w:footnote>
  <w:footnote w:type="continuationNotice" w:id="1">
    <w:p w14:paraId="54D34DBC" w14:textId="77777777" w:rsidR="00C35E46" w:rsidRDefault="00C35E46">
      <w:pPr>
        <w:spacing w:after="0" w:line="240" w:lineRule="auto"/>
      </w:pPr>
    </w:p>
  </w:footnote>
  <w:footnote w:id="2">
    <w:p w14:paraId="456D9B2F" w14:textId="77777777" w:rsidR="00685394" w:rsidRDefault="00685394" w:rsidP="00685394">
      <w:pPr>
        <w:pStyle w:val="Fodnotetekst"/>
      </w:pPr>
      <w:r>
        <w:rPr>
          <w:rStyle w:val="Fodnotehenvisning"/>
        </w:rPr>
        <w:footnoteRef/>
      </w:r>
      <w:r w:rsidRPr="005A1989">
        <w:rPr>
          <w:lang w:val="en-US"/>
        </w:rPr>
        <w:t xml:space="preserve"> </w:t>
      </w:r>
      <w:r w:rsidRPr="004665C7">
        <w:rPr>
          <w:rFonts w:eastAsiaTheme="majorEastAsia" w:cstheme="majorBidi"/>
          <w:color w:val="171717"/>
          <w:szCs w:val="16"/>
          <w:lang w:val="en-US"/>
        </w:rPr>
        <w:t>Finance Denmark is a business</w:t>
      </w:r>
      <w:r>
        <w:rPr>
          <w:rFonts w:eastAsiaTheme="majorEastAsia" w:cstheme="majorBidi"/>
          <w:color w:val="171717"/>
          <w:szCs w:val="16"/>
          <w:lang w:val="en-US"/>
        </w:rPr>
        <w:t xml:space="preserve"> association for banks, mortgage institutions, asset management, securities trading and investment funds in Denmark. EU Transparency Register – registration number 20705158207-35.</w:t>
      </w:r>
    </w:p>
    <w:p w14:paraId="18E74201" w14:textId="77777777" w:rsidR="00685394" w:rsidRDefault="00685394" w:rsidP="00685394">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Sidehoved"/>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ehoved"/>
    </w:pPr>
  </w:p>
  <w:p w14:paraId="76D78551" w14:textId="45227A06" w:rsidR="00AD0B10" w:rsidRDefault="00AD0B10" w:rsidP="00AD0B10">
    <w:pPr>
      <w:pStyle w:val="Sidehoved"/>
    </w:pPr>
  </w:p>
  <w:p w14:paraId="56B00CEC" w14:textId="77777777" w:rsidR="00AD0B10" w:rsidRPr="0043139E" w:rsidRDefault="00AD0B10" w:rsidP="00AD0B10">
    <w:pPr>
      <w:pStyle w:val="Sidehoved"/>
    </w:pPr>
  </w:p>
  <w:p w14:paraId="68227DE6" w14:textId="77777777" w:rsidR="00AD0B10" w:rsidRPr="0043139E" w:rsidRDefault="00AD0B10" w:rsidP="00AD0B10">
    <w:pPr>
      <w:pStyle w:val="Sidehoved"/>
    </w:pPr>
  </w:p>
  <w:p w14:paraId="0E44DBD1" w14:textId="77777777" w:rsidR="00AD0B10" w:rsidRPr="0043139E" w:rsidRDefault="00AD0B10" w:rsidP="00AD0B10">
    <w:pPr>
      <w:pStyle w:val="Sidehove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ehoved"/>
    </w:pPr>
  </w:p>
  <w:p w14:paraId="706EF268" w14:textId="77777777" w:rsidR="00AD0B10" w:rsidRPr="0043139E" w:rsidRDefault="00AD0B10" w:rsidP="00AD0B10">
    <w:pPr>
      <w:pStyle w:val="Sidehoved"/>
    </w:pPr>
  </w:p>
  <w:p w14:paraId="6B568202" w14:textId="77777777" w:rsidR="00AD0B10" w:rsidRPr="0043139E" w:rsidRDefault="00AD0B10" w:rsidP="00AD0B10">
    <w:pPr>
      <w:pStyle w:val="Sidehoved"/>
    </w:pPr>
  </w:p>
  <w:p w14:paraId="70C66BCD" w14:textId="77777777" w:rsidR="00AD0B10" w:rsidRPr="0043139E" w:rsidRDefault="00AD0B10" w:rsidP="00AD0B10">
    <w:pPr>
      <w:pStyle w:val="Sidehoved"/>
    </w:pPr>
  </w:p>
  <w:p w14:paraId="07229907" w14:textId="77777777" w:rsidR="00AD0B10" w:rsidRPr="0043139E" w:rsidRDefault="00AD0B10" w:rsidP="00AD0B10">
    <w:pPr>
      <w:pStyle w:val="Sidehoved"/>
    </w:pPr>
  </w:p>
  <w:p w14:paraId="55555744" w14:textId="77777777" w:rsidR="00AD0B10" w:rsidRPr="0043139E" w:rsidRDefault="00AD0B10" w:rsidP="00AD0B10">
    <w:pPr>
      <w:pStyle w:val="Sidehoved"/>
    </w:pPr>
  </w:p>
  <w:p w14:paraId="4601AE9C" w14:textId="77777777" w:rsidR="00AD0B10" w:rsidRDefault="00AD0B10" w:rsidP="00AD0B10">
    <w:pPr>
      <w:pStyle w:val="Sidehoved"/>
    </w:pPr>
  </w:p>
  <w:p w14:paraId="49946785" w14:textId="77777777" w:rsidR="00AD0B10" w:rsidRPr="0043139E" w:rsidRDefault="00AD0B10" w:rsidP="00AD0B10">
    <w:pPr>
      <w:pStyle w:val="Sidehoved"/>
    </w:pPr>
  </w:p>
  <w:p w14:paraId="72BAD19F" w14:textId="77777777" w:rsidR="008858FE" w:rsidRPr="00AD0B10" w:rsidRDefault="008858FE" w:rsidP="00AD0B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afsni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verskrift1"/>
      <w:lvlText w:val="%1"/>
      <w:lvlJc w:val="left"/>
      <w:pPr>
        <w:ind w:left="4686" w:hanging="432"/>
      </w:pPr>
    </w:lvl>
    <w:lvl w:ilvl="1">
      <w:start w:val="1"/>
      <w:numFmt w:val="decimal"/>
      <w:pStyle w:val="Overskrift2"/>
      <w:lvlText w:val="%1.%2"/>
      <w:lvlJc w:val="left"/>
      <w:pPr>
        <w:ind w:left="8230"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B01F3"/>
    <w:multiLevelType w:val="hybridMultilevel"/>
    <w:tmpl w:val="E692F5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81922119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EDC"/>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47D4E"/>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23B"/>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AB5"/>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995"/>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AE3"/>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7A2"/>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2CF4"/>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7EA"/>
    <w:rsid w:val="001678F4"/>
    <w:rsid w:val="001706ED"/>
    <w:rsid w:val="00170D35"/>
    <w:rsid w:val="00170D8A"/>
    <w:rsid w:val="00171149"/>
    <w:rsid w:val="001715FF"/>
    <w:rsid w:val="00172046"/>
    <w:rsid w:val="00172050"/>
    <w:rsid w:val="0017230D"/>
    <w:rsid w:val="00172469"/>
    <w:rsid w:val="001727C0"/>
    <w:rsid w:val="00172CDC"/>
    <w:rsid w:val="00172EF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426"/>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C4F"/>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B0"/>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C0E"/>
    <w:rsid w:val="001F5F4E"/>
    <w:rsid w:val="001F6749"/>
    <w:rsid w:val="001F6811"/>
    <w:rsid w:val="001F6936"/>
    <w:rsid w:val="001F6DD6"/>
    <w:rsid w:val="001F711E"/>
    <w:rsid w:val="001F7C99"/>
    <w:rsid w:val="001F7D89"/>
    <w:rsid w:val="001F7E7D"/>
    <w:rsid w:val="00200005"/>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03E"/>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D5B"/>
    <w:rsid w:val="00291FBD"/>
    <w:rsid w:val="0029217E"/>
    <w:rsid w:val="00292755"/>
    <w:rsid w:val="00292807"/>
    <w:rsid w:val="00292D3A"/>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A06"/>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6F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2691"/>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80D"/>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050"/>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91A"/>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7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A85"/>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23F"/>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BFB"/>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75A"/>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678DE"/>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59D"/>
    <w:rsid w:val="00580729"/>
    <w:rsid w:val="00580E56"/>
    <w:rsid w:val="00580F63"/>
    <w:rsid w:val="0058140C"/>
    <w:rsid w:val="0058165F"/>
    <w:rsid w:val="00581931"/>
    <w:rsid w:val="00581B50"/>
    <w:rsid w:val="00582588"/>
    <w:rsid w:val="00582C01"/>
    <w:rsid w:val="00582D3C"/>
    <w:rsid w:val="005840C3"/>
    <w:rsid w:val="005840C6"/>
    <w:rsid w:val="00585110"/>
    <w:rsid w:val="005852A5"/>
    <w:rsid w:val="0058592C"/>
    <w:rsid w:val="00586116"/>
    <w:rsid w:val="00586449"/>
    <w:rsid w:val="00586851"/>
    <w:rsid w:val="00586CD1"/>
    <w:rsid w:val="00586DB1"/>
    <w:rsid w:val="00587017"/>
    <w:rsid w:val="005870F7"/>
    <w:rsid w:val="005875CB"/>
    <w:rsid w:val="00587A9F"/>
    <w:rsid w:val="00587C4F"/>
    <w:rsid w:val="00587C84"/>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130"/>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370"/>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527"/>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7EC"/>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1F8D"/>
    <w:rsid w:val="006322E2"/>
    <w:rsid w:val="00632A8F"/>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1DE"/>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799"/>
    <w:rsid w:val="0066185A"/>
    <w:rsid w:val="00661B12"/>
    <w:rsid w:val="00661D1A"/>
    <w:rsid w:val="006623DF"/>
    <w:rsid w:val="00662882"/>
    <w:rsid w:val="00662B77"/>
    <w:rsid w:val="00663072"/>
    <w:rsid w:val="006630E0"/>
    <w:rsid w:val="006631EB"/>
    <w:rsid w:val="00663691"/>
    <w:rsid w:val="00663F4C"/>
    <w:rsid w:val="006644F7"/>
    <w:rsid w:val="00664DE9"/>
    <w:rsid w:val="00665567"/>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55C"/>
    <w:rsid w:val="006829D5"/>
    <w:rsid w:val="00682B21"/>
    <w:rsid w:val="00682B58"/>
    <w:rsid w:val="00682CB1"/>
    <w:rsid w:val="00683568"/>
    <w:rsid w:val="00683A01"/>
    <w:rsid w:val="00683F26"/>
    <w:rsid w:val="00683FD8"/>
    <w:rsid w:val="00684AF0"/>
    <w:rsid w:val="00684B9D"/>
    <w:rsid w:val="00684D1A"/>
    <w:rsid w:val="00684EB0"/>
    <w:rsid w:val="00685394"/>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13B"/>
    <w:rsid w:val="00693597"/>
    <w:rsid w:val="00693807"/>
    <w:rsid w:val="00694832"/>
    <w:rsid w:val="00694A04"/>
    <w:rsid w:val="006956FE"/>
    <w:rsid w:val="006958E3"/>
    <w:rsid w:val="00695A42"/>
    <w:rsid w:val="00695AC2"/>
    <w:rsid w:val="006960E9"/>
    <w:rsid w:val="00696B02"/>
    <w:rsid w:val="0069724A"/>
    <w:rsid w:val="006A09FA"/>
    <w:rsid w:val="006A0E18"/>
    <w:rsid w:val="006A1288"/>
    <w:rsid w:val="006A1ABD"/>
    <w:rsid w:val="006A1E77"/>
    <w:rsid w:val="006A2C89"/>
    <w:rsid w:val="006A2DC8"/>
    <w:rsid w:val="006A30A8"/>
    <w:rsid w:val="006A3A5C"/>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595"/>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B3A"/>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235"/>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285"/>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6DA"/>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5B81"/>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7A1"/>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82A"/>
    <w:rsid w:val="008F39FB"/>
    <w:rsid w:val="008F3D0D"/>
    <w:rsid w:val="008F3D56"/>
    <w:rsid w:val="008F454E"/>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272"/>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7D6"/>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284"/>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02"/>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213"/>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07D53"/>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016"/>
    <w:rsid w:val="00A27AD9"/>
    <w:rsid w:val="00A27B86"/>
    <w:rsid w:val="00A27D22"/>
    <w:rsid w:val="00A27D7A"/>
    <w:rsid w:val="00A308E0"/>
    <w:rsid w:val="00A30B49"/>
    <w:rsid w:val="00A30BE4"/>
    <w:rsid w:val="00A30E0C"/>
    <w:rsid w:val="00A30F11"/>
    <w:rsid w:val="00A312B0"/>
    <w:rsid w:val="00A31618"/>
    <w:rsid w:val="00A316B4"/>
    <w:rsid w:val="00A317D6"/>
    <w:rsid w:val="00A31FE3"/>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2571"/>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78"/>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05F"/>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0E5"/>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A16"/>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4736"/>
    <w:rsid w:val="00B25327"/>
    <w:rsid w:val="00B25399"/>
    <w:rsid w:val="00B25C8A"/>
    <w:rsid w:val="00B26198"/>
    <w:rsid w:val="00B26E5D"/>
    <w:rsid w:val="00B27499"/>
    <w:rsid w:val="00B275D7"/>
    <w:rsid w:val="00B2764F"/>
    <w:rsid w:val="00B27EDD"/>
    <w:rsid w:val="00B303A1"/>
    <w:rsid w:val="00B30933"/>
    <w:rsid w:val="00B30BCC"/>
    <w:rsid w:val="00B30FB3"/>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37CAD"/>
    <w:rsid w:val="00B40B74"/>
    <w:rsid w:val="00B40D81"/>
    <w:rsid w:val="00B410C4"/>
    <w:rsid w:val="00B4130E"/>
    <w:rsid w:val="00B417D4"/>
    <w:rsid w:val="00B4232B"/>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BAB"/>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77E54"/>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978F1"/>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56"/>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274E"/>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1A2"/>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5E46"/>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B74"/>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230"/>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4BD"/>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0F6F"/>
    <w:rsid w:val="00D21195"/>
    <w:rsid w:val="00D211D0"/>
    <w:rsid w:val="00D21C35"/>
    <w:rsid w:val="00D21C75"/>
    <w:rsid w:val="00D220E2"/>
    <w:rsid w:val="00D2297E"/>
    <w:rsid w:val="00D22CD9"/>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679"/>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A32"/>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5AB"/>
    <w:rsid w:val="00E02FC9"/>
    <w:rsid w:val="00E034A3"/>
    <w:rsid w:val="00E03793"/>
    <w:rsid w:val="00E04282"/>
    <w:rsid w:val="00E0444F"/>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808"/>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4B7"/>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4E"/>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33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2DFD"/>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90C"/>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63A"/>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Overskrift1">
    <w:name w:val="heading 1"/>
    <w:basedOn w:val="Normal"/>
    <w:next w:val="Normal"/>
    <w:link w:val="Overskrift1Teg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verskrift2">
    <w:name w:val="heading 2"/>
    <w:basedOn w:val="Normal"/>
    <w:next w:val="Normal"/>
    <w:link w:val="Overskrift2Teg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verskrift3">
    <w:name w:val="heading 3"/>
    <w:basedOn w:val="Normal"/>
    <w:next w:val="Normal"/>
    <w:link w:val="Overskrift3Teg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verskrift7">
    <w:name w:val="heading 7"/>
    <w:basedOn w:val="Normal"/>
    <w:next w:val="Normal"/>
    <w:link w:val="Overskrift7Teg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verskrift8">
    <w:name w:val="heading 8"/>
    <w:basedOn w:val="Normal"/>
    <w:next w:val="Normal"/>
    <w:link w:val="Overskrift8Teg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verskrift9">
    <w:name w:val="heading 9"/>
    <w:basedOn w:val="Normal"/>
    <w:next w:val="Normal"/>
    <w:link w:val="Overskrift9Teg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verskrift3Tegn">
    <w:name w:val="Overskrift 3 Tegn"/>
    <w:basedOn w:val="Standardskrifttypeiafsnit"/>
    <w:link w:val="Oversk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verskrift1Tegn">
    <w:name w:val="Overskrift 1 Tegn"/>
    <w:basedOn w:val="Standardskrifttypeiafsnit"/>
    <w:link w:val="Overskrift1"/>
    <w:uiPriority w:val="9"/>
    <w:rsid w:val="0082744A"/>
    <w:rPr>
      <w:rFonts w:asciiTheme="majorHAnsi" w:eastAsiaTheme="majorEastAsia" w:hAnsiTheme="majorHAnsi" w:cstheme="majorBidi"/>
      <w:b/>
      <w:color w:val="00379F" w:themeColor="text1"/>
      <w:sz w:val="32"/>
      <w:szCs w:val="32"/>
      <w:lang w:val="en-GB"/>
    </w:rPr>
  </w:style>
  <w:style w:type="character" w:customStyle="1" w:styleId="Overskrift2Tegn">
    <w:name w:val="Overskrift 2 Tegn"/>
    <w:basedOn w:val="Standardskrifttypeiafsnit"/>
    <w:link w:val="Oversk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qFormat/>
    <w:rsid w:val="00F205B9"/>
    <w:pPr>
      <w:numPr>
        <w:numId w:val="0"/>
      </w:numPr>
      <w:ind w:left="792" w:hanging="432"/>
    </w:pPr>
    <w:rPr>
      <w:b/>
      <w:color w:val="00379F" w:themeColor="text1"/>
      <w:sz w:val="28"/>
    </w:rPr>
  </w:style>
  <w:style w:type="character" w:customStyle="1" w:styleId="Title1Char">
    <w:name w:val="Title 1 Char"/>
    <w:basedOn w:val="Standardskrifttypeiafsnit"/>
    <w:link w:val="Title1"/>
    <w:rsid w:val="00F205B9"/>
    <w:rPr>
      <w:rFonts w:asciiTheme="majorHAnsi" w:hAnsiTheme="majorHAnsi" w:cstheme="majorHAnsi"/>
      <w:b/>
      <w:color w:val="00379F" w:themeColor="text1"/>
      <w:sz w:val="28"/>
      <w:szCs w:val="22"/>
      <w:lang w:val="pt-PT"/>
    </w:rPr>
  </w:style>
  <w:style w:type="paragraph" w:styleId="Listeafsnit">
    <w:name w:val="List Paragraph"/>
    <w:aliases w:val="Paragraphe EI,Paragraphe de liste1,EC,zListeafsnit"/>
    <w:basedOn w:val="Normal"/>
    <w:link w:val="ListeafsnitTeg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afsnit"/>
    <w:link w:val="Title3Char"/>
    <w:autoRedefine/>
    <w:rsid w:val="00F205B9"/>
    <w:pPr>
      <w:numPr>
        <w:ilvl w:val="3"/>
        <w:numId w:val="4"/>
      </w:numPr>
    </w:pPr>
  </w:style>
  <w:style w:type="character" w:customStyle="1" w:styleId="Title3Char">
    <w:name w:val="Title 3 Char"/>
    <w:basedOn w:val="Standardskrifttypeiafsni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krifttypeiafsni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Normal"/>
    <w:next w:val="Normal"/>
    <w:link w:val="TitelTeg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Tegn">
    <w:name w:val="Titel Tegn"/>
    <w:basedOn w:val="Standardskrifttypeiafsni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titel">
    <w:name w:val="Subtitle"/>
    <w:basedOn w:val="Normal"/>
    <w:next w:val="Normal"/>
    <w:link w:val="UndertitelTeg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titelTegn">
    <w:name w:val="Undertitel Tegn"/>
    <w:basedOn w:val="Standardskrifttypeiafsnit"/>
    <w:link w:val="Undertitel"/>
    <w:uiPriority w:val="11"/>
    <w:rsid w:val="0082744A"/>
    <w:rPr>
      <w:rFonts w:asciiTheme="majorHAnsi" w:eastAsiaTheme="majorEastAsia" w:hAnsiTheme="majorHAnsi" w:cstheme="majorBidi"/>
      <w:sz w:val="28"/>
      <w:szCs w:val="24"/>
      <w:lang w:val="en-GB"/>
    </w:rPr>
  </w:style>
  <w:style w:type="character" w:customStyle="1" w:styleId="Overskrift7Tegn">
    <w:name w:val="Overskrift 7 Tegn"/>
    <w:basedOn w:val="Standardskrifttypeiafsnit"/>
    <w:link w:val="Oversk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verskrift8Tegn">
    <w:name w:val="Overskrift 8 Tegn"/>
    <w:basedOn w:val="Standardskrifttypeiafsnit"/>
    <w:link w:val="Oversk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verskrift9Tegn">
    <w:name w:val="Overskrift 9 Tegn"/>
    <w:basedOn w:val="Standardskrifttypeiafsnit"/>
    <w:link w:val="Overskrift9"/>
    <w:uiPriority w:val="9"/>
    <w:semiHidden/>
    <w:rsid w:val="00AA054E"/>
    <w:rPr>
      <w:rFonts w:asciiTheme="majorHAnsi" w:eastAsiaTheme="majorEastAsia" w:hAnsiTheme="majorHAnsi" w:cstheme="majorBidi"/>
      <w:b/>
      <w:bCs/>
      <w:i/>
      <w:iCs/>
      <w:color w:val="007EFF" w:themeColor="text2"/>
      <w:sz w:val="22"/>
      <w:lang w:val="en-GB"/>
    </w:rPr>
  </w:style>
  <w:style w:type="paragraph" w:styleId="Billedtekst">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0055F7" w:themeColor="text1" w:themeTint="BF"/>
    </w:rPr>
  </w:style>
  <w:style w:type="character" w:customStyle="1" w:styleId="CitatTegn">
    <w:name w:val="Citat Tegn"/>
    <w:basedOn w:val="Standardskrifttypeiafsnit"/>
    <w:link w:val="Citat"/>
    <w:uiPriority w:val="29"/>
    <w:rsid w:val="00AA054E"/>
    <w:rPr>
      <w:i/>
      <w:iCs/>
      <w:color w:val="0055F7" w:themeColor="text1" w:themeTint="BF"/>
    </w:rPr>
  </w:style>
  <w:style w:type="paragraph" w:styleId="Strktcitat">
    <w:name w:val="Intense Quote"/>
    <w:basedOn w:val="Normal"/>
    <w:next w:val="Normal"/>
    <w:link w:val="StrktcitatTeg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34009F" w:themeColor="accent1"/>
      <w:sz w:val="28"/>
      <w:szCs w:val="28"/>
    </w:rPr>
  </w:style>
  <w:style w:type="character" w:styleId="Svagfremhvning">
    <w:name w:val="Subtle Emphasis"/>
    <w:basedOn w:val="Standardskrifttypeiafsnit"/>
    <w:uiPriority w:val="19"/>
    <w:qFormat/>
    <w:rsid w:val="00AA054E"/>
    <w:rPr>
      <w:i/>
      <w:iCs/>
      <w:color w:val="0055F7" w:themeColor="text1" w:themeTint="BF"/>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0055F7" w:themeColor="text1" w:themeTint="BF"/>
      <w:u w:val="single" w:color="4E8BF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F205B9"/>
    <w:pPr>
      <w:numPr>
        <w:numId w:val="0"/>
      </w:num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ehovedTegn">
    <w:name w:val="Sidehoved Tegn"/>
    <w:basedOn w:val="Standardskrifttypeiafsnit"/>
    <w:link w:val="Sidehoved"/>
    <w:rsid w:val="00AF6B1E"/>
    <w:rPr>
      <w:color w:val="001B4F" w:themeColor="text1" w:themeShade="80"/>
      <w:sz w:val="16"/>
      <w:lang w:val="en-GB"/>
    </w:rPr>
  </w:style>
  <w:style w:type="paragraph" w:styleId="Sidefod">
    <w:name w:val="footer"/>
    <w:basedOn w:val="Normal"/>
    <w:link w:val="SidefodTeg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efodTegn">
    <w:name w:val="Sidefod Tegn"/>
    <w:basedOn w:val="Standardskrifttypeiafsnit"/>
    <w:link w:val="Sidefod"/>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dholdsfortegnelse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dholdsfortegnelse2">
    <w:name w:val="toc 2"/>
    <w:basedOn w:val="Indholdsfortegnelse1"/>
    <w:next w:val="Normal"/>
    <w:uiPriority w:val="39"/>
    <w:unhideWhenUsed/>
    <w:qFormat/>
    <w:rsid w:val="00F205B9"/>
    <w:pPr>
      <w:framePr w:wrap="around"/>
      <w:tabs>
        <w:tab w:val="right" w:leader="dot" w:pos="440"/>
      </w:tabs>
      <w:ind w:left="220"/>
    </w:pPr>
  </w:style>
  <w:style w:type="paragraph" w:styleId="Indholdsfortegnelse3">
    <w:name w:val="toc 3"/>
    <w:basedOn w:val="Indholdsfortegnelse1"/>
    <w:next w:val="Normal"/>
    <w:uiPriority w:val="39"/>
    <w:unhideWhenUsed/>
    <w:qFormat/>
    <w:rsid w:val="00AD0B10"/>
    <w:pPr>
      <w:framePr w:wrap="around"/>
      <w:ind w:left="442"/>
    </w:pPr>
  </w:style>
  <w:style w:type="character" w:styleId="Hyperlink">
    <w:name w:val="Hyperlink"/>
    <w:basedOn w:val="Standardskrifttypeiafsni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krifttypeiafsni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pPr>
      <w:spacing w:after="0" w:line="240" w:lineRule="auto"/>
    </w:pPr>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basedOn w:val="Normal"/>
    <w:link w:val="FodnotetekstTegn"/>
    <w:autoRedefine/>
    <w:uiPriority w:val="99"/>
    <w:unhideWhenUsed/>
    <w:qFormat/>
    <w:rsid w:val="007A1A9D"/>
    <w:pPr>
      <w:spacing w:after="0" w:line="240" w:lineRule="auto"/>
    </w:pPr>
    <w:rPr>
      <w:sz w:val="16"/>
    </w:rPr>
  </w:style>
  <w:style w:type="character" w:customStyle="1" w:styleId="FodnotetekstTegn">
    <w:name w:val="Fodnotetekst Tegn"/>
    <w:basedOn w:val="Standardskrifttypeiafsnit"/>
    <w:link w:val="Fodnotetekst"/>
    <w:uiPriority w:val="99"/>
    <w:rsid w:val="007A1A9D"/>
    <w:rPr>
      <w:color w:val="181818" w:themeColor="background1" w:themeShade="1A"/>
      <w:sz w:val="16"/>
      <w:lang w:val="en-GB"/>
    </w:rPr>
  </w:style>
  <w:style w:type="character" w:styleId="Fodnotehenvisning">
    <w:name w:val="footnote reference"/>
    <w:basedOn w:val="Standardskrifttypeiafsnit"/>
    <w:uiPriority w:val="99"/>
    <w:semiHidden/>
    <w:unhideWhenUsed/>
    <w:qFormat/>
    <w:rsid w:val="00A91D91"/>
    <w:rPr>
      <w:rFonts w:asciiTheme="majorHAnsi" w:hAnsiTheme="majorHAnsi"/>
      <w:sz w:val="16"/>
      <w:vertAlign w:val="superscript"/>
    </w:rPr>
  </w:style>
  <w:style w:type="paragraph" w:customStyle="1" w:styleId="Footnote">
    <w:name w:val="Footnote"/>
    <w:basedOn w:val="Fodnotetekst"/>
    <w:link w:val="FootnoteChar"/>
    <w:qFormat/>
    <w:rsid w:val="00672C04"/>
    <w:pPr>
      <w:ind w:left="454" w:hanging="454"/>
    </w:pPr>
    <w:rPr>
      <w:lang w:val="nl-BE"/>
    </w:rPr>
  </w:style>
  <w:style w:type="character" w:customStyle="1" w:styleId="FootnoteChar">
    <w:name w:val="Footnote Char"/>
    <w:basedOn w:val="FodnotetekstTegn"/>
    <w:link w:val="Footnote"/>
    <w:rsid w:val="00672C04"/>
    <w:rPr>
      <w:color w:val="181818" w:themeColor="background1" w:themeShade="1A"/>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Markeringsbobletekst">
    <w:name w:val="Balloon Text"/>
    <w:basedOn w:val="Normal"/>
    <w:link w:val="MarkeringsbobletekstTegn"/>
    <w:uiPriority w:val="99"/>
    <w:semiHidden/>
    <w:unhideWhenUsed/>
    <w:rsid w:val="007151B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151BF"/>
    <w:rPr>
      <w:rFonts w:ascii="Tahoma" w:hAnsi="Tahoma" w:cs="Tahoma"/>
      <w:sz w:val="16"/>
      <w:szCs w:val="16"/>
      <w:lang w:val="en-GB"/>
    </w:rPr>
  </w:style>
  <w:style w:type="paragraph" w:styleId="Indholdsfortegnelse4">
    <w:name w:val="toc 4"/>
    <w:basedOn w:val="Indholdsfortegnelse1"/>
    <w:next w:val="Normal"/>
    <w:uiPriority w:val="39"/>
    <w:unhideWhenUsed/>
    <w:qFormat/>
    <w:rsid w:val="00F205B9"/>
    <w:pPr>
      <w:framePr w:wrap="around"/>
      <w:ind w:left="660"/>
    </w:pPr>
  </w:style>
  <w:style w:type="character" w:styleId="Kommentarhenvisning">
    <w:name w:val="annotation reference"/>
    <w:basedOn w:val="Standardskrifttypeiafsnit"/>
    <w:uiPriority w:val="99"/>
    <w:semiHidden/>
    <w:unhideWhenUsed/>
    <w:rsid w:val="00D33C31"/>
    <w:rPr>
      <w:sz w:val="16"/>
      <w:szCs w:val="16"/>
    </w:rPr>
  </w:style>
  <w:style w:type="paragraph" w:styleId="Kommentartekst">
    <w:name w:val="annotation text"/>
    <w:basedOn w:val="Normal"/>
    <w:link w:val="KommentartekstTegn"/>
    <w:uiPriority w:val="99"/>
    <w:unhideWhenUsed/>
    <w:rsid w:val="00D33C31"/>
    <w:pPr>
      <w:spacing w:line="240" w:lineRule="auto"/>
    </w:pPr>
    <w:rPr>
      <w:sz w:val="20"/>
    </w:rPr>
  </w:style>
  <w:style w:type="character" w:customStyle="1" w:styleId="KommentartekstTegn">
    <w:name w:val="Kommentartekst Tegn"/>
    <w:basedOn w:val="Standardskrifttypeiafsnit"/>
    <w:link w:val="Kommentartekst"/>
    <w:uiPriority w:val="99"/>
    <w:rsid w:val="00D33C31"/>
    <w:rPr>
      <w:lang w:val="en-GB"/>
    </w:rPr>
  </w:style>
  <w:style w:type="paragraph" w:styleId="Kommentaremne">
    <w:name w:val="annotation subject"/>
    <w:basedOn w:val="Kommentartekst"/>
    <w:next w:val="Kommentartekst"/>
    <w:link w:val="KommentaremneTegn"/>
    <w:uiPriority w:val="99"/>
    <w:semiHidden/>
    <w:unhideWhenUsed/>
    <w:rsid w:val="00D33C31"/>
    <w:rPr>
      <w:b/>
      <w:bCs/>
    </w:rPr>
  </w:style>
  <w:style w:type="character" w:customStyle="1" w:styleId="KommentaremneTegn">
    <w:name w:val="Kommentaremne Tegn"/>
    <w:basedOn w:val="KommentartekstTegn"/>
    <w:link w:val="Kommentaremne"/>
    <w:uiPriority w:val="99"/>
    <w:semiHidden/>
    <w:rsid w:val="00D33C31"/>
    <w:rPr>
      <w:b/>
      <w:bCs/>
      <w:lang w:val="en-GB"/>
    </w:rPr>
  </w:style>
  <w:style w:type="character" w:styleId="Ulstomtale">
    <w:name w:val="Unresolved Mention"/>
    <w:basedOn w:val="Standardskrifttypeiafsni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ehoved"/>
    <w:qFormat/>
    <w:rsid w:val="00AF6B1E"/>
  </w:style>
  <w:style w:type="paragraph" w:customStyle="1" w:styleId="Pageheader">
    <w:name w:val="Page header"/>
    <w:basedOn w:val="Sidehoved"/>
    <w:next w:val="Sidehove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dholdsfortegnelse5">
    <w:name w:val="toc 5"/>
    <w:basedOn w:val="Normal"/>
    <w:next w:val="Normal"/>
    <w:uiPriority w:val="39"/>
    <w:semiHidden/>
    <w:unhideWhenUsed/>
    <w:qFormat/>
    <w:rsid w:val="00F205B9"/>
    <w:pPr>
      <w:spacing w:after="100"/>
      <w:ind w:left="880"/>
    </w:pPr>
  </w:style>
  <w:style w:type="paragraph" w:styleId="Indholdsfortegnelse6">
    <w:name w:val="toc 6"/>
    <w:basedOn w:val="Normal"/>
    <w:next w:val="Normal"/>
    <w:uiPriority w:val="39"/>
    <w:semiHidden/>
    <w:unhideWhenUsed/>
    <w:qFormat/>
    <w:rsid w:val="00F205B9"/>
    <w:pPr>
      <w:spacing w:after="100"/>
      <w:ind w:left="1100"/>
    </w:pPr>
  </w:style>
  <w:style w:type="paragraph" w:styleId="Indholdsfortegnelse7">
    <w:name w:val="toc 7"/>
    <w:basedOn w:val="Normal"/>
    <w:next w:val="Normal"/>
    <w:uiPriority w:val="39"/>
    <w:semiHidden/>
    <w:unhideWhenUsed/>
    <w:qFormat/>
    <w:rsid w:val="00F205B9"/>
    <w:pPr>
      <w:spacing w:after="100"/>
      <w:ind w:left="1320"/>
    </w:pPr>
  </w:style>
  <w:style w:type="paragraph" w:styleId="Indholdsfortegnelse8">
    <w:name w:val="toc 8"/>
    <w:basedOn w:val="Normal"/>
    <w:next w:val="Normal"/>
    <w:uiPriority w:val="39"/>
    <w:semiHidden/>
    <w:unhideWhenUsed/>
    <w:qFormat/>
    <w:rsid w:val="00F205B9"/>
    <w:pPr>
      <w:spacing w:after="100"/>
      <w:ind w:left="1540"/>
    </w:pPr>
  </w:style>
  <w:style w:type="paragraph" w:styleId="Indholdsfortegnelse9">
    <w:name w:val="toc 9"/>
    <w:basedOn w:val="Normal"/>
    <w:next w:val="Normal"/>
    <w:uiPriority w:val="39"/>
    <w:semiHidden/>
    <w:unhideWhenUsed/>
    <w:qFormat/>
    <w:rsid w:val="00F205B9"/>
    <w:pPr>
      <w:spacing w:after="100"/>
      <w:ind w:left="1760"/>
    </w:pPr>
  </w:style>
  <w:style w:type="character" w:styleId="BesgtLink">
    <w:name w:val="FollowedHyperlink"/>
    <w:basedOn w:val="Standardskrifttypeiafsnit"/>
    <w:uiPriority w:val="99"/>
    <w:semiHidden/>
    <w:unhideWhenUsed/>
    <w:rsid w:val="0043139E"/>
    <w:rPr>
      <w:color w:val="0174AF" w:themeColor="followedHyperlink"/>
      <w:u w:val="single"/>
    </w:rPr>
  </w:style>
  <w:style w:type="character" w:customStyle="1" w:styleId="ListeafsnitTegn">
    <w:name w:val="Listeafsnit Tegn"/>
    <w:aliases w:val="Paragraphe EI Tegn,Paragraphe de liste1 Tegn,EC Tegn,zListeafsnit Tegn"/>
    <w:link w:val="Listeafsnit"/>
    <w:uiPriority w:val="34"/>
    <w:locked/>
    <w:rsid w:val="00EC6066"/>
    <w:rPr>
      <w:rFonts w:asciiTheme="majorHAnsi" w:hAnsiTheme="majorHAnsi" w:cstheme="majorHAnsi"/>
      <w:color w:val="181818" w:themeColor="background1" w:themeShade="1A"/>
      <w:sz w:val="22"/>
      <w:szCs w:val="22"/>
      <w:lang w:val="pt-PT"/>
    </w:rPr>
  </w:style>
  <w:style w:type="paragraph" w:styleId="Korrektur">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krifttypeiafsnit"/>
    <w:rsid w:val="00061F32"/>
    <w:rPr>
      <w:rFonts w:ascii="Segoe UI" w:hAnsi="Segoe UI" w:cs="Segoe UI" w:hint="default"/>
      <w:sz w:val="18"/>
      <w:szCs w:val="18"/>
    </w:rPr>
  </w:style>
  <w:style w:type="character" w:customStyle="1" w:styleId="cf11">
    <w:name w:val="cf11"/>
    <w:basedOn w:val="Standardskrifttypeiafsnit"/>
    <w:rsid w:val="00061F32"/>
    <w:rPr>
      <w:rFonts w:ascii="Segoe UI" w:hAnsi="Segoe UI" w:cs="Segoe UI" w:hint="default"/>
      <w:color w:val="333333"/>
      <w:sz w:val="18"/>
      <w:szCs w:val="18"/>
      <w:shd w:val="clear" w:color="auto" w:fill="FFFFFF"/>
    </w:rPr>
  </w:style>
  <w:style w:type="character" w:styleId="Omtal">
    <w:name w:val="Mention"/>
    <w:basedOn w:val="Standardskrifttypeiafsnit"/>
    <w:uiPriority w:val="99"/>
    <w:unhideWhenUsed/>
    <w:rsid w:val="00251F26"/>
    <w:rPr>
      <w:color w:val="2B579A"/>
      <w:shd w:val="clear" w:color="auto" w:fill="E1DFDD"/>
    </w:rPr>
  </w:style>
  <w:style w:type="character" w:styleId="Pladsholdertekst">
    <w:name w:val="Placeholder Text"/>
    <w:basedOn w:val="Standardskrifttypeiafsnit"/>
    <w:uiPriority w:val="99"/>
    <w:semiHidden/>
    <w:rsid w:val="00635BCA"/>
    <w:rPr>
      <w:color w:val="808080"/>
    </w:rPr>
  </w:style>
  <w:style w:type="paragraph" w:customStyle="1" w:styleId="para">
    <w:name w:val="para"/>
    <w:basedOn w:val="Listeafsnit"/>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krifttypeiafsnit"/>
    <w:link w:val="para"/>
    <w:rsid w:val="00641F03"/>
    <w:rPr>
      <w:bCs/>
      <w:iCs/>
      <w:color w:val="181818" w:themeColor="background1" w:themeShade="1A"/>
      <w:sz w:val="22"/>
      <w:lang w:val="en-GB"/>
    </w:rPr>
  </w:style>
  <w:style w:type="character" w:customStyle="1" w:styleId="normaltextrun">
    <w:name w:val="normaltextrun"/>
    <w:basedOn w:val="Standardskrifttypeiafsni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xchange-data.com/de/exchange-data-international-edi-publishes-legal-analysis-on-copyrightability-of-ticker-symbol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implementconsultinggroup.com/article/tapping-into-the-full-potential-of-eu-capital-marke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xchange-data.com/closing-prices-and-other-stock-exchange-data-copyright-and-competition-law-issues/?utm_source=EDI&amp;utm_medium=Closing_Prices_P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dsholderteks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dsholderteks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nskeLight">
    <w:altName w:val="Calibri"/>
    <w:charset w:val="00"/>
    <w:family w:val="auto"/>
    <w:pitch w:val="variable"/>
    <w:sig w:usb0="A00000FF" w:usb1="4000E05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0F2C59"/>
    <w:rsid w:val="001359BA"/>
    <w:rsid w:val="0015768C"/>
    <w:rsid w:val="001B10BF"/>
    <w:rsid w:val="002536E7"/>
    <w:rsid w:val="00254E75"/>
    <w:rsid w:val="0034145D"/>
    <w:rsid w:val="00346524"/>
    <w:rsid w:val="00372212"/>
    <w:rsid w:val="00417A76"/>
    <w:rsid w:val="004E4CF9"/>
    <w:rsid w:val="004F4339"/>
    <w:rsid w:val="00516094"/>
    <w:rsid w:val="00596130"/>
    <w:rsid w:val="005D66AB"/>
    <w:rsid w:val="006320FF"/>
    <w:rsid w:val="006451DE"/>
    <w:rsid w:val="00663894"/>
    <w:rsid w:val="006954E6"/>
    <w:rsid w:val="006D3543"/>
    <w:rsid w:val="00701E25"/>
    <w:rsid w:val="0071141B"/>
    <w:rsid w:val="00793A39"/>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24736"/>
    <w:rsid w:val="00B46CAE"/>
    <w:rsid w:val="00CA74DD"/>
    <w:rsid w:val="00D52831"/>
    <w:rsid w:val="00D63E3A"/>
    <w:rsid w:val="00DC3796"/>
    <w:rsid w:val="00DC4211"/>
    <w:rsid w:val="00E023D2"/>
    <w:rsid w:val="00E41C46"/>
    <w:rsid w:val="00E76338"/>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A63DF08F052542BBEC4B7143196D92" ma:contentTypeVersion="23" ma:contentTypeDescription="Create a new document." ma:contentTypeScope="" ma:versionID="738ac8e54b0664c20e0de80fe404341f">
  <xsd:schema xmlns:xsd="http://www.w3.org/2001/XMLSchema" xmlns:xs="http://www.w3.org/2001/XMLSchema" xmlns:p="http://schemas.microsoft.com/office/2006/metadata/properties" xmlns:ns2="24943991-94d7-4778-a9b3-19e5f2086ea5" xmlns:ns3="a8b3785c-1687-4cfb-bb96-457c34477ce8" targetNamespace="http://schemas.microsoft.com/office/2006/metadata/properties" ma:root="true" ma:fieldsID="c9fe697d1eef047cddf32f41e09ef63f" ns2:_="" ns3:_="">
    <xsd:import namespace="24943991-94d7-4778-a9b3-19e5f2086ea5"/>
    <xsd:import namespace="a8b3785c-1687-4cfb-bb96-457c34477ce8"/>
    <xsd:element name="properties">
      <xsd:complexType>
        <xsd:sequence>
          <xsd:element name="documentManagement">
            <xsd:complexType>
              <xsd:all>
                <xsd:element ref="ns2:_dlc_DocId" minOccurs="0"/>
                <xsd:element ref="ns2:_dlc_DocIdUrl" minOccurs="0"/>
                <xsd:element ref="ns2:_dlc_DocIdPersistId" minOccurs="0"/>
                <xsd:element ref="ns2:fd_documentDate" minOccurs="0"/>
                <xsd:element ref="ns2:ob7afa27584f400f95462db069cc28f2" minOccurs="0"/>
                <xsd:element ref="ns2:TaxCatchAll" minOccurs="0"/>
                <xsd:element ref="ns2:fd_owner" minOccurs="0"/>
                <xsd:element ref="ns3:MediaServiceMetadata" minOccurs="0"/>
                <xsd:element ref="ns3:MediaServiceFastMetadata" minOccurs="0"/>
                <xsd:element ref="ns2:SharedWithUsers" minOccurs="0"/>
                <xsd:element ref="ns2:SharedWithDetails" minOccurs="0"/>
                <xsd:element ref="ns3:Person"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3991-94d7-4778-a9b3-19e5f2086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_documentDate" ma:index="11" nillable="true" ma:displayName="Document Date" ma:format="DateOnly" ma:internalName="fd_documentDate">
      <xsd:simpleType>
        <xsd:restriction base="dms:DateTime"/>
      </xsd:simpleType>
    </xsd:element>
    <xsd:element name="ob7afa27584f400f95462db069cc28f2" ma:index="13" nillable="true" ma:taxonomy="true" ma:internalName="ob7afa27584f400f95462db069cc28f2" ma:taxonomyFieldName="fd_journal" ma:displayName="Journal" ma:default="" ma:fieldId="{8b7afa27-584f-400f-9546-2db069cc28f2}" ma:taxonomyMulti="true" ma:sspId="6f0cbb39-80df-46cc-b4ae-a450fbe8aaff" ma:termSetId="eff4ded4-4221-4ac8-94b2-15177ff2d36d"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0d50d06-2bfc-473a-b0a8-bd4ab380f6a6}" ma:internalName="TaxCatchAll" ma:showField="CatchAllData" ma:web="24943991-94d7-4778-a9b3-19e5f2086ea5">
      <xsd:complexType>
        <xsd:complexContent>
          <xsd:extension base="dms:MultiChoiceLookup">
            <xsd:sequence>
              <xsd:element name="Value" type="dms:Lookup" maxOccurs="unbounded" minOccurs="0" nillable="true"/>
            </xsd:sequence>
          </xsd:extension>
        </xsd:complexContent>
      </xsd:complexType>
    </xsd:element>
    <xsd:element name="fd_owner" ma:index="15" nillable="true" ma:displayName="Owner" ma:internalName="fd_owner">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3785c-1687-4cfb-bb96-457c34477ce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Person" ma:index="20" nillable="true" ma:displayName="Perso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f0cbb39-80df-46cc-b4ae-a450fbe8aaff"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943991-94d7-4778-a9b3-19e5f2086ea5" xsi:nil="true"/>
    <_dlc_DocId xmlns="24943991-94d7-4778-a9b3-19e5f2086ea5">FIDA-1344658213-689959</_dlc_DocId>
    <_dlc_DocIdUrl xmlns="24943991-94d7-4778-a9b3-19e5f2086ea5">
      <Url>https://fida.sharepoint.com/sites/INT-Rega/_layouts/15/DocIdRedir.aspx?ID=FIDA-1344658213-689959</Url>
      <Description>FIDA-1344658213-689959</Description>
    </_dlc_DocIdUrl>
    <_dlc_DocIdPersistId xmlns="24943991-94d7-4778-a9b3-19e5f2086ea5" xsi:nil="true"/>
    <ob7afa27584f400f95462db069cc28f2 xmlns="24943991-94d7-4778-a9b3-19e5f2086ea5">
      <Terms xmlns="http://schemas.microsoft.com/office/infopath/2007/PartnerControls"/>
    </ob7afa27584f400f95462db069cc28f2>
    <fd_documentDate xmlns="24943991-94d7-4778-a9b3-19e5f2086ea5" xsi:nil="true"/>
    <lcf76f155ced4ddcb4097134ff3c332f xmlns="a8b3785c-1687-4cfb-bb96-457c34477ce8">
      <Terms xmlns="http://schemas.microsoft.com/office/infopath/2007/PartnerControls"/>
    </lcf76f155ced4ddcb4097134ff3c332f>
    <Person xmlns="a8b3785c-1687-4cfb-bb96-457c34477ce8">
      <UserInfo>
        <DisplayName/>
        <AccountId xsi:nil="true"/>
        <AccountType/>
      </UserInfo>
    </Person>
    <fd_owner xmlns="24943991-94d7-4778-a9b3-19e5f2086ea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0E68B00C-EF96-4B5F-AC19-142FACCE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3991-94d7-4778-a9b3-19e5f2086ea5"/>
    <ds:schemaRef ds:uri="a8b3785c-1687-4cfb-bb96-457c3447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24943991-94d7-4778-a9b3-19e5f2086ea5"/>
    <ds:schemaRef ds:uri="a8b3785c-1687-4cfb-bb96-457c34477ce8"/>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3987</Words>
  <Characters>24325</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Kirsten Hjortshøj Bederholm</cp:lastModifiedBy>
  <cp:revision>2</cp:revision>
  <cp:lastPrinted>2023-09-09T09:53:00Z</cp:lastPrinted>
  <dcterms:created xsi:type="dcterms:W3CDTF">2026-06-30T10:22:00Z</dcterms:created>
  <dcterms:modified xsi:type="dcterms:W3CDTF">2026-06-30T10:22:00Z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0x0101005BA63DF08F052542BBEC4B7143196D92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Topic">
    <vt:lpwstr>1277</vt:lpwstr>
  </property>
  <property fmtid="{D5CDD505-2E9C-101B-9397-08002B2CF9AE}" pid="8" name="ConfidentialityLevel">
    <vt:lpwstr>6;#Regular|07f1e362-856b-423d-bea6-a14079762141</vt:lpwstr>
  </property>
  <property fmtid="{D5CDD505-2E9C-101B-9397-08002B2CF9AE}" pid="9" name="DocumentType">
    <vt:lpwstr>282;#Call for Evidence|4dd13041-d074-4513-b0c9-9d450ea451f0</vt:lpwstr>
  </property>
  <property fmtid="{D5CDD505-2E9C-101B-9397-08002B2CF9AE}" pid="10" name="Order">
    <vt:r8>52000</vt:r8>
  </property>
  <property fmtid="{D5CDD505-2E9C-101B-9397-08002B2CF9AE}" pid="11" name="DocumentSetDescription">
    <vt:lpwstr/>
  </property>
  <property fmtid="{D5CDD505-2E9C-101B-9397-08002B2CF9AE}" pid="12" name="TeamName">
    <vt:lpwstr>8;#Secondary Markets|0116aa60-aa30-4997-8f0f-29abf5f5f198</vt:lpwstr>
  </property>
  <property fmtid="{D5CDD505-2E9C-101B-9397-08002B2CF9AE}" pid="13" name="MediaServiceImageTags">
    <vt:lpwstr/>
  </property>
  <property fmtid="{D5CDD505-2E9C-101B-9397-08002B2CF9AE}" pid="14" name="_ExtendedDescription">
    <vt:lpwstr/>
  </property>
  <property fmtid="{D5CDD505-2E9C-101B-9397-08002B2CF9AE}" pid="15" name="URL">
    <vt:lpwstr/>
  </property>
  <property fmtid="{D5CDD505-2E9C-101B-9397-08002B2CF9AE}" pid="16" name="MSIP_Label_05ae7051-b702-462d-8e81-9ac0b6085f00_Removed">
    <vt:lpwstr>False</vt:lpwstr>
  </property>
  <property fmtid="{D5CDD505-2E9C-101B-9397-08002B2CF9AE}" pid="17" name="MSIP_Label_05ae7051-b702-462d-8e81-9ac0b6085f00_ActionId">
    <vt:lpwstr>eed8db07-3a95-4776-bf64-2fe769d96685</vt:lpwstr>
  </property>
  <property fmtid="{D5CDD505-2E9C-101B-9397-08002B2CF9AE}" pid="18" name="MSIP_Label_05ae7051-b702-462d-8e81-9ac0b6085f00_Name">
    <vt:lpwstr>Regular</vt:lpwstr>
  </property>
  <property fmtid="{D5CDD505-2E9C-101B-9397-08002B2CF9AE}" pid="19" name="MSIP_Label_05ae7051-b702-462d-8e81-9ac0b6085f00_SetDate">
    <vt:lpwstr>2025-06-17T16:05:48Z</vt:lpwstr>
  </property>
  <property fmtid="{D5CDD505-2E9C-101B-9397-08002B2CF9AE}" pid="20" name="MSIP_Label_05ae7051-b702-462d-8e81-9ac0b6085f00_SiteId">
    <vt:lpwstr>e406f268-4ae7-4c80-8994-02493da00c03</vt:lpwstr>
  </property>
  <property fmtid="{D5CDD505-2E9C-101B-9397-08002B2CF9AE}" pid="21" name="MSIP_Label_05ae7051-b702-462d-8e81-9ac0b6085f00_Enabled">
    <vt:lpwstr>True</vt:lpwstr>
  </property>
  <property fmtid="{D5CDD505-2E9C-101B-9397-08002B2CF9AE}" pid="22" name="MSIP_Label_05ae7051-b702-462d-8e81-9ac0b6085f00_Extended_MSFT_Method">
    <vt:lpwstr>Standard</vt:lpwstr>
  </property>
  <property fmtid="{D5CDD505-2E9C-101B-9397-08002B2CF9AE}" pid="23" name="Sensitivity">
    <vt:lpwstr>Regular</vt:lpwstr>
  </property>
  <property fmtid="{D5CDD505-2E9C-101B-9397-08002B2CF9AE}" pid="24" name="docLang">
    <vt:lpwstr>en</vt:lpwstr>
  </property>
  <property fmtid="{D5CDD505-2E9C-101B-9397-08002B2CF9AE}" pid="25" name="_dlc_DocIdItemGuid">
    <vt:lpwstr>4e7c512f-1802-49dc-9060-c1b6204f0164</vt:lpwstr>
  </property>
  <property fmtid="{D5CDD505-2E9C-101B-9397-08002B2CF9AE}" pid="26" name="fd_journal">
    <vt:lpwstr/>
  </property>
</Properties>
</file>