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bCs/>
          <w:spacing w:val="0"/>
          <w:kern w:val="0"/>
          <w:sz w:val="28"/>
          <w:szCs w:val="28"/>
        </w:rPr>
        <w:id w:val="-973058580"/>
        <w:docPartObj>
          <w:docPartGallery w:val="Cover Pages"/>
          <w:docPartUnique/>
        </w:docPartObj>
      </w:sdtPr>
      <w:sdtEndPr>
        <w:rPr>
          <w:sz w:val="22"/>
          <w:szCs w:val="22"/>
        </w:rPr>
      </w:sdtEndPr>
      <w:sdtContent>
        <w:p w14:paraId="39D54431" w14:textId="77777777" w:rsidR="00785AC1" w:rsidRPr="000744E3" w:rsidRDefault="00785AC1" w:rsidP="00785AC1">
          <w:pPr>
            <w:pStyle w:val="Title"/>
            <w:rPr>
              <w:rFonts w:asciiTheme="minorHAnsi" w:eastAsiaTheme="minorEastAsia" w:hAnsiTheme="minorHAnsi" w:cstheme="minorBidi"/>
              <w:b/>
              <w:spacing w:val="0"/>
              <w:sz w:val="28"/>
              <w:szCs w:val="28"/>
            </w:rPr>
          </w:pPr>
        </w:p>
        <w:p w14:paraId="45A5D96D" w14:textId="77777777" w:rsidR="00785AC1" w:rsidRPr="000744E3" w:rsidRDefault="00785AC1" w:rsidP="00785AC1">
          <w:pPr>
            <w:pStyle w:val="Title"/>
            <w:rPr>
              <w:rFonts w:asciiTheme="minorHAnsi" w:eastAsiaTheme="minorEastAsia" w:hAnsiTheme="minorHAnsi" w:cstheme="minorBidi"/>
              <w:b/>
              <w:spacing w:val="0"/>
              <w:sz w:val="28"/>
              <w:szCs w:val="28"/>
            </w:rPr>
          </w:pPr>
        </w:p>
        <w:p w14:paraId="06930B55" w14:textId="77777777" w:rsidR="00785AC1" w:rsidRPr="000744E3" w:rsidRDefault="00785AC1" w:rsidP="00785AC1">
          <w:pPr>
            <w:pStyle w:val="Title"/>
            <w:rPr>
              <w:rFonts w:asciiTheme="minorHAnsi" w:eastAsiaTheme="minorEastAsia" w:hAnsiTheme="minorHAnsi" w:cstheme="minorBidi"/>
              <w:b/>
              <w:spacing w:val="0"/>
              <w:sz w:val="28"/>
              <w:szCs w:val="28"/>
            </w:rPr>
          </w:pPr>
        </w:p>
        <w:p w14:paraId="52268276" w14:textId="77777777" w:rsidR="00785AC1" w:rsidRPr="000744E3" w:rsidRDefault="00785AC1" w:rsidP="00785AC1">
          <w:pPr>
            <w:pStyle w:val="Title"/>
            <w:tabs>
              <w:tab w:val="center" w:pos="4536"/>
            </w:tabs>
          </w:pPr>
          <w:r w:rsidRPr="000744E3">
            <w:t>Reply Form</w:t>
          </w:r>
          <w:r w:rsidRPr="000744E3">
            <w:tab/>
          </w:r>
        </w:p>
        <w:p w14:paraId="2A67C6C1" w14:textId="77777777" w:rsidR="00785AC1" w:rsidRPr="000744E3" w:rsidRDefault="00785AC1" w:rsidP="00785AC1">
          <w:pPr>
            <w:pStyle w:val="Subtitle"/>
            <w:rPr>
              <w:rFonts w:cs="Arial"/>
              <w:sz w:val="36"/>
              <w:szCs w:val="36"/>
            </w:rPr>
          </w:pPr>
          <w:r w:rsidRPr="000744E3">
            <w:rPr>
              <w:rStyle w:val="normaltextrun"/>
              <w:rFonts w:ascii="Arial" w:hAnsi="Arial" w:cs="Arial"/>
              <w:color w:val="181818"/>
              <w:bdr w:val="none" w:sz="0" w:space="0" w:color="auto" w:frame="1"/>
            </w:rPr>
            <w:t xml:space="preserve">Call for evidence on the market structure of European equity markets. </w:t>
          </w:r>
          <w:r w:rsidRPr="000744E3">
            <w:rPr>
              <w:noProof/>
              <w:sz w:val="36"/>
              <w:szCs w:val="36"/>
            </w:rPr>
            <mc:AlternateContent>
              <mc:Choice Requires="wps">
                <w:drawing>
                  <wp:anchor distT="0" distB="0" distL="114300" distR="114300" simplePos="0" relativeHeight="251658240" behindDoc="1" locked="1" layoutInCell="1" allowOverlap="0" wp14:anchorId="73F09E01" wp14:editId="70EA8D3D">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1"/>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D8799E"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D2rXFR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5pt">
                    <v:fill r:id="rId12"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p>
        <w:p w14:paraId="6A40A471" w14:textId="77777777" w:rsidR="00785AC1" w:rsidRPr="000744E3" w:rsidRDefault="00785AC1" w:rsidP="00785AC1"/>
        <w:p w14:paraId="4CF16415" w14:textId="77777777" w:rsidR="00785AC1" w:rsidRPr="000744E3" w:rsidRDefault="00785AC1" w:rsidP="00785AC1">
          <w:pPr>
            <w:sectPr w:rsidR="00785AC1" w:rsidRPr="000744E3" w:rsidSect="00785AC1">
              <w:headerReference w:type="first" r:id="rId13"/>
              <w:pgSz w:w="11906" w:h="16838"/>
              <w:pgMar w:top="1417" w:right="1417" w:bottom="1417" w:left="1417" w:header="862" w:footer="708" w:gutter="0"/>
              <w:pgNumType w:start="0"/>
              <w:cols w:space="708"/>
              <w:titlePg/>
              <w:docGrid w:linePitch="360"/>
            </w:sectPr>
          </w:pPr>
        </w:p>
        <w:p w14:paraId="63995C15" w14:textId="77777777" w:rsidR="00785AC1" w:rsidRPr="000744E3" w:rsidRDefault="00785AC1" w:rsidP="00785AC1">
          <w:pPr>
            <w:pStyle w:val="Subtitle"/>
          </w:pPr>
          <w:r w:rsidRPr="000744E3">
            <w:t xml:space="preserve">Responding to this Consultation Paper </w:t>
          </w:r>
        </w:p>
        <w:p w14:paraId="0D6E8566" w14:textId="77777777" w:rsidR="00785AC1" w:rsidRPr="000744E3" w:rsidRDefault="00785AC1" w:rsidP="00785AC1">
          <w:r w:rsidRPr="000744E3">
            <w:t>ESMA invites comments on all matters in this Consultation Paper and in particular on the specific questions summarised in Annex 1. Comments are most helpful if they:</w:t>
          </w:r>
        </w:p>
        <w:p w14:paraId="64003F84" w14:textId="77777777" w:rsidR="00785AC1" w:rsidRPr="000744E3" w:rsidRDefault="00785AC1" w:rsidP="00785AC1">
          <w:pPr>
            <w:pStyle w:val="ListParagraph"/>
            <w:ind w:left="1070" w:hanging="360"/>
            <w:contextualSpacing w:val="0"/>
          </w:pPr>
          <w:r w:rsidRPr="000744E3">
            <w:t>respond to the question stated;</w:t>
          </w:r>
        </w:p>
        <w:p w14:paraId="7891A442" w14:textId="77777777" w:rsidR="00785AC1" w:rsidRPr="000744E3" w:rsidRDefault="00785AC1" w:rsidP="00785AC1">
          <w:pPr>
            <w:pStyle w:val="ListParagraph"/>
            <w:ind w:left="1070" w:hanging="360"/>
            <w:contextualSpacing w:val="0"/>
          </w:pPr>
          <w:r w:rsidRPr="000744E3">
            <w:t>indicate the specific question to which the comment relates;</w:t>
          </w:r>
        </w:p>
        <w:p w14:paraId="06577B1B" w14:textId="77777777" w:rsidR="00785AC1" w:rsidRPr="000744E3" w:rsidRDefault="00785AC1" w:rsidP="00785AC1">
          <w:pPr>
            <w:pStyle w:val="ListParagraph"/>
            <w:ind w:left="1070" w:hanging="360"/>
            <w:contextualSpacing w:val="0"/>
          </w:pPr>
          <w:r w:rsidRPr="000744E3">
            <w:t>contain a clear rationale; and</w:t>
          </w:r>
        </w:p>
        <w:p w14:paraId="651A697D" w14:textId="77777777" w:rsidR="00785AC1" w:rsidRPr="000744E3" w:rsidRDefault="00785AC1" w:rsidP="00785AC1">
          <w:pPr>
            <w:pStyle w:val="ListParagraph"/>
            <w:ind w:left="1070" w:hanging="360"/>
            <w:contextualSpacing w:val="0"/>
          </w:pPr>
          <w:r w:rsidRPr="000744E3">
            <w:t>describe any alternatives ESMA should consider.</w:t>
          </w:r>
        </w:p>
        <w:p w14:paraId="414DC078" w14:textId="77777777" w:rsidR="00785AC1" w:rsidRPr="000744E3" w:rsidRDefault="00785AC1" w:rsidP="00785AC1">
          <w:r w:rsidRPr="000744E3">
            <w:t xml:space="preserve">ESMA will consider all comments received by </w:t>
          </w:r>
          <w:r w:rsidRPr="000744E3">
            <w:rPr>
              <w:b/>
            </w:rPr>
            <w:t xml:space="preserve">30 June 2026. </w:t>
          </w:r>
        </w:p>
        <w:p w14:paraId="5EDD9030" w14:textId="77777777" w:rsidR="00785AC1" w:rsidRPr="000744E3" w:rsidRDefault="00785AC1" w:rsidP="00785AC1">
          <w:r w:rsidRPr="000744E3">
            <w:t xml:space="preserve">All contributions should be submitted online at </w:t>
          </w:r>
          <w:hyperlink r:id="rId14" w:history="1">
            <w:r w:rsidRPr="000744E3">
              <w:rPr>
                <w:rStyle w:val="Hyperlink"/>
              </w:rPr>
              <w:t>www.esma.europa.eu</w:t>
            </w:r>
          </w:hyperlink>
          <w:r w:rsidRPr="000744E3">
            <w:t xml:space="preserve"> under the heading ‘Your input - Consultations’. </w:t>
          </w:r>
        </w:p>
        <w:p w14:paraId="74F15E0C" w14:textId="77777777" w:rsidR="00785AC1" w:rsidRPr="000744E3" w:rsidRDefault="00785AC1" w:rsidP="00785AC1">
          <w:pPr>
            <w:pStyle w:val="Subtitle"/>
            <w:rPr>
              <w:b/>
              <w:sz w:val="24"/>
              <w:szCs w:val="22"/>
            </w:rPr>
          </w:pPr>
          <w:r w:rsidRPr="000744E3">
            <w:t>Instructions</w:t>
          </w:r>
        </w:p>
        <w:p w14:paraId="6AB1DFAD" w14:textId="77777777" w:rsidR="00785AC1" w:rsidRPr="000744E3" w:rsidRDefault="00785AC1" w:rsidP="00785AC1">
          <w:pPr>
            <w:rPr>
              <w:bCs/>
            </w:rPr>
          </w:pPr>
          <w:r w:rsidRPr="000744E3">
            <w:rPr>
              <w:bCs/>
            </w:rPr>
            <w:t>In order to facilitate analysis of responses to the Consultation Paper, respondents are requested to follow the below steps when preparing and submitting their response:</w:t>
          </w:r>
        </w:p>
        <w:p w14:paraId="44DEF0A6" w14:textId="77777777" w:rsidR="00785AC1" w:rsidRPr="000744E3" w:rsidRDefault="00785AC1" w:rsidP="00785AC1">
          <w:pPr>
            <w:ind w:left="142"/>
            <w:rPr>
              <w:bCs/>
            </w:rPr>
          </w:pPr>
          <w:r w:rsidRPr="000744E3">
            <w:rPr>
              <w:bCs/>
            </w:rPr>
            <w:t>•</w:t>
          </w:r>
          <w:r w:rsidRPr="000744E3">
            <w:rPr>
              <w:bCs/>
            </w:rPr>
            <w:tab/>
            <w:t xml:space="preserve">Insert your responses to the questions in the Consultation Paper in this reply form. </w:t>
          </w:r>
        </w:p>
        <w:p w14:paraId="37C2F35C" w14:textId="77777777" w:rsidR="00785AC1" w:rsidRPr="000744E3" w:rsidRDefault="00785AC1" w:rsidP="00785AC1">
          <w:pPr>
            <w:ind w:left="708" w:hanging="566"/>
            <w:rPr>
              <w:bCs/>
            </w:rPr>
          </w:pPr>
          <w:r w:rsidRPr="000744E3">
            <w:rPr>
              <w:bCs/>
            </w:rPr>
            <w:t>•</w:t>
          </w:r>
          <w:r w:rsidRPr="000744E3">
            <w:rPr>
              <w:bCs/>
            </w:rPr>
            <w:tab/>
            <w:t>Please do not remove tags of the type &lt;</w:t>
          </w:r>
          <w:r w:rsidRPr="000744E3">
            <w:t xml:space="preserve"> </w:t>
          </w:r>
          <w:r w:rsidRPr="000744E3">
            <w:rPr>
              <w:bCs/>
            </w:rPr>
            <w:t xml:space="preserve">ESMA_QUESTION_MSEM_0&gt;. Your response </w:t>
          </w:r>
          <w:r w:rsidRPr="000744E3">
            <w:rPr>
              <w:bCs/>
            </w:rPr>
            <w:tab/>
            <w:t>to each question has to be framed by the two tags corresponding to the question.</w:t>
          </w:r>
        </w:p>
        <w:p w14:paraId="4CFEEF35" w14:textId="77777777" w:rsidR="00785AC1" w:rsidRPr="000744E3" w:rsidRDefault="00785AC1" w:rsidP="00785AC1">
          <w:pPr>
            <w:ind w:left="142"/>
            <w:rPr>
              <w:bCs/>
            </w:rPr>
          </w:pPr>
          <w:r w:rsidRPr="000744E3">
            <w:rPr>
              <w:bCs/>
            </w:rPr>
            <w:t>•</w:t>
          </w:r>
          <w:r w:rsidRPr="000744E3">
            <w:rPr>
              <w:bCs/>
            </w:rPr>
            <w:tab/>
            <w:t xml:space="preserve">If you do not wish to respond to a given question, please do not delete it but simply </w:t>
          </w:r>
          <w:r w:rsidRPr="000744E3">
            <w:rPr>
              <w:bCs/>
            </w:rPr>
            <w:tab/>
            <w:t>leave the text “TYPE YOUR TEXT HERE” between the tags.</w:t>
          </w:r>
        </w:p>
        <w:p w14:paraId="6B2B9579" w14:textId="77777777" w:rsidR="00785AC1" w:rsidRPr="000744E3" w:rsidRDefault="00785AC1" w:rsidP="00785AC1">
          <w:pPr>
            <w:ind w:left="142"/>
            <w:rPr>
              <w:bCs/>
            </w:rPr>
          </w:pPr>
          <w:r w:rsidRPr="000744E3">
            <w:rPr>
              <w:bCs/>
            </w:rPr>
            <w:t>•</w:t>
          </w:r>
          <w:r w:rsidRPr="000744E3">
            <w:rPr>
              <w:bCs/>
            </w:rPr>
            <w:tab/>
            <w:t xml:space="preserve">When you have drafted your responses, save the reply form according to the following </w:t>
          </w:r>
          <w:r w:rsidRPr="000744E3">
            <w:rPr>
              <w:bCs/>
            </w:rPr>
            <w:tab/>
            <w:t xml:space="preserve">convention: ESMA_CP1_ </w:t>
          </w:r>
          <w:proofErr w:type="spellStart"/>
          <w:r w:rsidRPr="000744E3">
            <w:rPr>
              <w:bCs/>
            </w:rPr>
            <w:t>MSEM_nameofrespondent</w:t>
          </w:r>
          <w:proofErr w:type="spellEnd"/>
          <w:r w:rsidRPr="000744E3">
            <w:rPr>
              <w:bCs/>
            </w:rPr>
            <w:t xml:space="preserve">. </w:t>
          </w:r>
        </w:p>
        <w:p w14:paraId="02123F44" w14:textId="77777777" w:rsidR="00785AC1" w:rsidRPr="000744E3" w:rsidRDefault="00785AC1" w:rsidP="00785AC1">
          <w:pPr>
            <w:ind w:left="142"/>
            <w:rPr>
              <w:bCs/>
            </w:rPr>
          </w:pPr>
          <w:r w:rsidRPr="000744E3">
            <w:rPr>
              <w:bCs/>
            </w:rPr>
            <w:tab/>
            <w:t xml:space="preserve">For example, for a respondent named ABCD, the reply form would be saved with the </w:t>
          </w:r>
          <w:r w:rsidRPr="000744E3">
            <w:rPr>
              <w:bCs/>
            </w:rPr>
            <w:tab/>
            <w:t>following name: ESMA_CP1_ MSEM_ABCD.</w:t>
          </w:r>
        </w:p>
        <w:p w14:paraId="740CEA9F" w14:textId="49948FD6" w:rsidR="00785AC1" w:rsidRPr="000744E3" w:rsidRDefault="00785AC1" w:rsidP="00770BDD">
          <w:pPr>
            <w:ind w:left="142"/>
            <w:rPr>
              <w:bCs/>
              <w:i/>
              <w:iCs/>
            </w:rPr>
          </w:pPr>
          <w:r w:rsidRPr="000744E3">
            <w:rPr>
              <w:bCs/>
            </w:rPr>
            <w:t>•</w:t>
          </w:r>
          <w:r w:rsidRPr="000744E3">
            <w:rPr>
              <w:bCs/>
            </w:rPr>
            <w:tab/>
            <w:t>Upload the Word reply form containing your responses to ESMA’s website (</w:t>
          </w:r>
          <w:r w:rsidRPr="000744E3">
            <w:rPr>
              <w:b/>
            </w:rPr>
            <w:t xml:space="preserve">pdf </w:t>
          </w:r>
          <w:r w:rsidRPr="000744E3">
            <w:tab/>
          </w:r>
          <w:r w:rsidRPr="000744E3">
            <w:rPr>
              <w:b/>
            </w:rPr>
            <w:t>documents will not be considered except for annexes</w:t>
          </w:r>
          <w:r w:rsidRPr="000744E3">
            <w:rPr>
              <w:bCs/>
            </w:rPr>
            <w:t xml:space="preserve">). All contributions should be </w:t>
          </w:r>
          <w:r w:rsidRPr="000744E3">
            <w:rPr>
              <w:bCs/>
            </w:rPr>
            <w:tab/>
            <w:t xml:space="preserve">submitted online at </w:t>
          </w:r>
          <w:r w:rsidRPr="000744E3">
            <w:rPr>
              <w:bCs/>
              <w:i/>
              <w:iCs/>
            </w:rPr>
            <w:t>www.esma.europa.eu</w:t>
          </w:r>
          <w:r w:rsidRPr="000744E3">
            <w:rPr>
              <w:bCs/>
            </w:rPr>
            <w:t xml:space="preserve"> under the heading </w:t>
          </w:r>
          <w:r w:rsidRPr="000744E3">
            <w:rPr>
              <w:bCs/>
              <w:i/>
              <w:iCs/>
            </w:rPr>
            <w:t xml:space="preserve">‘Your input - </w:t>
          </w:r>
          <w:r w:rsidRPr="000744E3">
            <w:tab/>
          </w:r>
          <w:r w:rsidRPr="000744E3">
            <w:rPr>
              <w:bCs/>
              <w:i/>
              <w:iCs/>
            </w:rPr>
            <w:t>Consultations’.</w:t>
          </w:r>
        </w:p>
        <w:p w14:paraId="2E91C9C1" w14:textId="77777777" w:rsidR="00785AC1" w:rsidRPr="000744E3" w:rsidRDefault="00785AC1" w:rsidP="00785AC1">
          <w:pPr>
            <w:rPr>
              <w:b/>
            </w:rPr>
          </w:pPr>
          <w:r w:rsidRPr="000744E3">
            <w:rPr>
              <w:b/>
            </w:rPr>
            <w:t>Publication of responses</w:t>
          </w:r>
        </w:p>
        <w:p w14:paraId="29F5AB7C" w14:textId="77777777" w:rsidR="00785AC1" w:rsidRPr="000744E3" w:rsidRDefault="00785AC1" w:rsidP="00785AC1">
          <w:r w:rsidRPr="000744E3">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50C07AA1" w14:textId="77777777" w:rsidR="00785AC1" w:rsidRPr="000744E3" w:rsidRDefault="00785AC1" w:rsidP="00785AC1">
          <w:pPr>
            <w:rPr>
              <w:b/>
            </w:rPr>
          </w:pPr>
          <w:r w:rsidRPr="000744E3">
            <w:rPr>
              <w:b/>
            </w:rPr>
            <w:t>Data protection</w:t>
          </w:r>
        </w:p>
        <w:p w14:paraId="032D5061" w14:textId="77777777" w:rsidR="00785AC1" w:rsidRPr="000744E3" w:rsidRDefault="00785AC1" w:rsidP="00785AC1">
          <w:r w:rsidRPr="000744E3">
            <w:t xml:space="preserve">Information on data protection can be found at </w:t>
          </w:r>
          <w:hyperlink r:id="rId15" w:history="1">
            <w:r w:rsidRPr="000744E3">
              <w:rPr>
                <w:rStyle w:val="Hyperlink"/>
              </w:rPr>
              <w:t>www.esma.europa.eu</w:t>
            </w:r>
          </w:hyperlink>
          <w:r w:rsidRPr="000744E3">
            <w:t xml:space="preserve"> under the heading </w:t>
          </w:r>
          <w:r w:rsidRPr="000744E3">
            <w:rPr>
              <w:rStyle w:val="Hyperlink"/>
            </w:rPr>
            <w:t>‘</w:t>
          </w:r>
          <w:hyperlink r:id="rId16" w:history="1">
            <w:r w:rsidRPr="000744E3">
              <w:rPr>
                <w:rStyle w:val="Hyperlink"/>
              </w:rPr>
              <w:t>Data protection</w:t>
            </w:r>
          </w:hyperlink>
          <w:r w:rsidRPr="000744E3">
            <w:rPr>
              <w:rStyle w:val="Hyperlink"/>
            </w:rPr>
            <w:t>’</w:t>
          </w:r>
          <w:r w:rsidRPr="000744E3">
            <w:t>.</w:t>
          </w:r>
        </w:p>
        <w:p w14:paraId="7C713D33" w14:textId="77777777" w:rsidR="00785AC1" w:rsidRPr="000744E3" w:rsidRDefault="00785AC1" w:rsidP="00785AC1">
          <w:pPr>
            <w:rPr>
              <w:b/>
            </w:rPr>
          </w:pPr>
          <w:r w:rsidRPr="000744E3">
            <w:rPr>
              <w:b/>
            </w:rPr>
            <w:t>Who should read this paper?</w:t>
          </w:r>
        </w:p>
      </w:sdtContent>
    </w:sdt>
    <w:p w14:paraId="1F45D4ED" w14:textId="77777777" w:rsidR="00785AC1" w:rsidRPr="000744E3" w:rsidRDefault="00785AC1" w:rsidP="00785AC1">
      <w:r w:rsidRPr="000744E3">
        <w:t>This paper is primarily addressed to all financial market participants, including trading venues and investment firms, as well as to asset management, data reporting service providers, trade associations, issuers and other stakeholders involved in financial regulation, investor education, and retail investment market developments.</w:t>
      </w:r>
    </w:p>
    <w:p w14:paraId="55065B31" w14:textId="77777777" w:rsidR="00785AC1" w:rsidRPr="000744E3" w:rsidRDefault="00785AC1" w:rsidP="00785AC1">
      <w:pPr>
        <w:spacing w:after="120" w:line="264" w:lineRule="auto"/>
        <w:jc w:val="left"/>
        <w:rPr>
          <w:rFonts w:asciiTheme="majorHAnsi" w:eastAsiaTheme="majorEastAsia" w:hAnsiTheme="majorHAnsi" w:cstheme="majorBidi"/>
          <w:sz w:val="28"/>
          <w:szCs w:val="24"/>
        </w:rPr>
      </w:pPr>
      <w:r w:rsidRPr="000744E3">
        <w:rPr>
          <w:rFonts w:asciiTheme="majorHAnsi" w:eastAsiaTheme="majorEastAsia" w:hAnsiTheme="majorHAnsi" w:cstheme="majorBidi"/>
          <w:sz w:val="28"/>
          <w:szCs w:val="24"/>
        </w:rPr>
        <w:br w:type="page"/>
      </w:r>
    </w:p>
    <w:p w14:paraId="6FE5517F" w14:textId="77777777" w:rsidR="00785AC1" w:rsidRPr="000744E3" w:rsidRDefault="00785AC1" w:rsidP="00785AC1">
      <w:pPr>
        <w:pStyle w:val="Heading1"/>
        <w:rPr>
          <w:lang w:val="fr-BE"/>
        </w:rPr>
      </w:pPr>
      <w:r w:rsidRPr="000744E3">
        <w:rPr>
          <w:lang w:val="fr-BE"/>
        </w:rPr>
        <w:t xml:space="preserve">General information about </w:t>
      </w:r>
      <w:r w:rsidRPr="000744E3">
        <w:t>respondent</w:t>
      </w:r>
    </w:p>
    <w:tbl>
      <w:tblPr>
        <w:tblStyle w:val="TableGrid"/>
        <w:tblW w:w="0" w:type="auto"/>
        <w:tblLook w:val="04A0" w:firstRow="1" w:lastRow="0" w:firstColumn="1" w:lastColumn="0" w:noHBand="0" w:noVBand="1"/>
      </w:tblPr>
      <w:tblGrid>
        <w:gridCol w:w="4531"/>
        <w:gridCol w:w="4531"/>
      </w:tblGrid>
      <w:tr w:rsidR="00785AC1" w:rsidRPr="000744E3" w14:paraId="7D68FC4B" w14:textId="77777777">
        <w:tc>
          <w:tcPr>
            <w:tcW w:w="4531" w:type="dxa"/>
          </w:tcPr>
          <w:p w14:paraId="4B746827" w14:textId="77777777" w:rsidR="00785AC1" w:rsidRPr="000744E3" w:rsidRDefault="00785AC1">
            <w:pPr>
              <w:rPr>
                <w:color w:val="000000" w:themeColor="text1"/>
                <w:sz w:val="24"/>
                <w:szCs w:val="22"/>
                <w:lang w:val="en-GB"/>
              </w:rPr>
            </w:pPr>
            <w:r w:rsidRPr="000744E3">
              <w:rPr>
                <w:color w:val="000000" w:themeColor="text1"/>
                <w:sz w:val="24"/>
                <w:szCs w:val="22"/>
                <w:lang w:val="en-GB"/>
              </w:rPr>
              <w:t>Name of the company / organisation</w:t>
            </w:r>
          </w:p>
        </w:tc>
        <w:sdt>
          <w:sdtPr>
            <w:id w:val="925615268"/>
            <w:placeholder>
              <w:docPart w:val="C8DFE2843E0D45EDA4864712FBB3E7B8"/>
            </w:placeholder>
          </w:sdtPr>
          <w:sdtEndPr/>
          <w:sdtContent>
            <w:tc>
              <w:tcPr>
                <w:tcW w:w="4531" w:type="dxa"/>
              </w:tcPr>
              <w:p w14:paraId="4BCC731D" w14:textId="77777777" w:rsidR="00785AC1" w:rsidRPr="000744E3" w:rsidRDefault="00785AC1">
                <w:pPr>
                  <w:rPr>
                    <w:lang w:val="fr-FR"/>
                  </w:rPr>
                </w:pPr>
                <w:r w:rsidRPr="000744E3">
                  <w:rPr>
                    <w:lang w:val="fr-FR"/>
                  </w:rPr>
                  <w:t>Aquis Exchange Ltd &amp; Aquis Exchange Europe SAS</w:t>
                </w:r>
              </w:p>
            </w:tc>
          </w:sdtContent>
        </w:sdt>
      </w:tr>
      <w:tr w:rsidR="00785AC1" w:rsidRPr="000744E3" w14:paraId="56D03241" w14:textId="77777777">
        <w:tc>
          <w:tcPr>
            <w:tcW w:w="4531" w:type="dxa"/>
          </w:tcPr>
          <w:p w14:paraId="3FA3C481" w14:textId="77777777" w:rsidR="00785AC1" w:rsidRPr="000744E3" w:rsidRDefault="00785AC1">
            <w:pPr>
              <w:rPr>
                <w:color w:val="000000" w:themeColor="text1"/>
                <w:sz w:val="24"/>
                <w:szCs w:val="22"/>
              </w:rPr>
            </w:pPr>
            <w:r w:rsidRPr="000744E3">
              <w:rPr>
                <w:color w:val="000000" w:themeColor="text1"/>
                <w:sz w:val="24"/>
                <w:szCs w:val="22"/>
              </w:rPr>
              <w:t>Activity</w:t>
            </w:r>
          </w:p>
        </w:tc>
        <w:sdt>
          <w:sdtPr>
            <w:alias w:val="Select an activity"/>
            <w:tag w:val="Select an activity"/>
            <w:id w:val="1608545486"/>
            <w:placeholder>
              <w:docPart w:val="42012DE1DC2040729CB52F38FDDD7FDB"/>
            </w:placeholder>
            <w:comboBox>
              <w:listItem w:value="Choose an item."/>
              <w:listItem w:displayText="Trading Venues" w:value="Trading Venues"/>
              <w:listItem w:displayText="Investment firm" w:value="Investment firm"/>
              <w:listItem w:displayText="Asset manager" w:value="Asset manager"/>
              <w:listItem w:displayText="Data reporting service providers" w:value="Data reporting service providers"/>
              <w:listItem w:displayText="Credit institution" w:value="Credit institution"/>
              <w:listItem w:displayText="Trade association" w:value="Trade association"/>
              <w:listItem w:displayText="Financial regulation" w:value="Financial regulation"/>
              <w:listItem w:displayText="Investor education" w:value="Investor education"/>
              <w:listItem w:displayText="Retail investment market developments" w:value="Retail investment market developments"/>
              <w:listItem w:displayText="Public authority" w:value="Public authority"/>
              <w:listItem w:displayText="Other" w:value="Other"/>
            </w:comboBox>
          </w:sdtPr>
          <w:sdtEndPr/>
          <w:sdtContent>
            <w:tc>
              <w:tcPr>
                <w:tcW w:w="4531" w:type="dxa"/>
              </w:tcPr>
              <w:p w14:paraId="08B65B10" w14:textId="77777777" w:rsidR="00785AC1" w:rsidRPr="000744E3" w:rsidRDefault="00785AC1">
                <w:proofErr w:type="spellStart"/>
                <w:r w:rsidRPr="000744E3">
                  <w:t>Trading</w:t>
                </w:r>
                <w:proofErr w:type="spellEnd"/>
                <w:r w:rsidRPr="000744E3">
                  <w:t xml:space="preserve"> </w:t>
                </w:r>
                <w:proofErr w:type="spellStart"/>
                <w:r w:rsidRPr="000744E3">
                  <w:t>Venues</w:t>
                </w:r>
                <w:proofErr w:type="spellEnd"/>
              </w:p>
            </w:tc>
          </w:sdtContent>
        </w:sdt>
      </w:tr>
      <w:tr w:rsidR="00785AC1" w:rsidRPr="000744E3" w14:paraId="0B5B8004" w14:textId="77777777">
        <w:tc>
          <w:tcPr>
            <w:tcW w:w="4531" w:type="dxa"/>
            <w:vAlign w:val="center"/>
          </w:tcPr>
          <w:p w14:paraId="0C24BF5C" w14:textId="77777777" w:rsidR="00785AC1" w:rsidRPr="000744E3" w:rsidRDefault="00785AC1">
            <w:pPr>
              <w:rPr>
                <w:color w:val="000000" w:themeColor="text1"/>
                <w:sz w:val="24"/>
                <w:szCs w:val="22"/>
                <w:lang w:val="en-GB"/>
              </w:rPr>
            </w:pPr>
            <w:r w:rsidRPr="000744E3">
              <w:rPr>
                <w:color w:val="00379F"/>
                <w:lang w:val="en-GB"/>
              </w:rPr>
              <w:t>Are you representing an association?</w:t>
            </w:r>
          </w:p>
        </w:tc>
        <w:sdt>
          <w:sdtPr>
            <w:id w:val="-226150188"/>
            <w14:checkbox>
              <w14:checked w14:val="0"/>
              <w14:checkedState w14:val="2612" w14:font="MS Gothic"/>
              <w14:uncheckedState w14:val="2610" w14:font="MS Gothic"/>
            </w14:checkbox>
          </w:sdtPr>
          <w:sdtEndPr/>
          <w:sdtContent>
            <w:tc>
              <w:tcPr>
                <w:tcW w:w="4531" w:type="dxa"/>
                <w:vAlign w:val="center"/>
              </w:tcPr>
              <w:p w14:paraId="78CDD46E" w14:textId="77777777" w:rsidR="00785AC1" w:rsidRPr="000744E3" w:rsidRDefault="00785AC1">
                <w:r w:rsidRPr="000744E3">
                  <w:rPr>
                    <w:rFonts w:ascii="MS Gothic" w:eastAsia="MS Gothic" w:hAnsi="MS Gothic" w:hint="eastAsia"/>
                  </w:rPr>
                  <w:t>☐</w:t>
                </w:r>
              </w:p>
            </w:tc>
          </w:sdtContent>
        </w:sdt>
      </w:tr>
      <w:tr w:rsidR="00785AC1" w:rsidRPr="000744E3" w14:paraId="0D6355E9" w14:textId="77777777">
        <w:tc>
          <w:tcPr>
            <w:tcW w:w="4531" w:type="dxa"/>
          </w:tcPr>
          <w:p w14:paraId="504ADD43" w14:textId="77777777" w:rsidR="00785AC1" w:rsidRPr="000744E3" w:rsidRDefault="00785AC1">
            <w:pPr>
              <w:rPr>
                <w:color w:val="000000" w:themeColor="text1"/>
                <w:sz w:val="24"/>
                <w:szCs w:val="22"/>
              </w:rPr>
            </w:pPr>
            <w:r w:rsidRPr="000744E3">
              <w:rPr>
                <w:color w:val="000000" w:themeColor="text1"/>
                <w:sz w:val="24"/>
                <w:szCs w:val="22"/>
              </w:rPr>
              <w:t xml:space="preserve">Country / </w:t>
            </w:r>
            <w:proofErr w:type="spellStart"/>
            <w:r w:rsidRPr="000744E3">
              <w:rPr>
                <w:color w:val="000000" w:themeColor="text1"/>
                <w:sz w:val="24"/>
                <w:szCs w:val="22"/>
              </w:rPr>
              <w:t>Region</w:t>
            </w:r>
            <w:proofErr w:type="spellEnd"/>
          </w:p>
        </w:tc>
        <w:sdt>
          <w:sdtPr>
            <w:alias w:val="Select a country/region"/>
            <w:tag w:val="Select a country/region"/>
            <w:id w:val="466400774"/>
            <w:placeholder>
              <w:docPart w:val="190E0FA6D266444EBB503B8A33AEA059"/>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4531" w:type="dxa"/>
              </w:tcPr>
              <w:p w14:paraId="63173BF0" w14:textId="77777777" w:rsidR="00785AC1" w:rsidRPr="000744E3" w:rsidRDefault="00785AC1">
                <w:r w:rsidRPr="000744E3">
                  <w:t>Europe</w:t>
                </w:r>
              </w:p>
            </w:tc>
          </w:sdtContent>
        </w:sdt>
      </w:tr>
    </w:tbl>
    <w:p w14:paraId="36E37874" w14:textId="77777777" w:rsidR="00785AC1" w:rsidRPr="000744E3" w:rsidRDefault="00785AC1" w:rsidP="00785AC1"/>
    <w:p w14:paraId="4F90C571" w14:textId="77777777" w:rsidR="00785AC1" w:rsidRPr="000744E3" w:rsidRDefault="00785AC1" w:rsidP="00785AC1">
      <w:pPr>
        <w:pStyle w:val="Heading1"/>
        <w:rPr>
          <w:lang w:val="fr-BE"/>
        </w:rPr>
      </w:pPr>
      <w:r w:rsidRPr="000744E3">
        <w:rPr>
          <w:lang w:val="fr-BE"/>
        </w:rPr>
        <w:t>Questions</w:t>
      </w:r>
    </w:p>
    <w:p w14:paraId="7FF36EF1" w14:textId="50FE4340" w:rsidR="00785AC1" w:rsidRPr="000744E3" w:rsidRDefault="00785AC1" w:rsidP="00785AC1">
      <w:pPr>
        <w:pStyle w:val="Questionstyle"/>
        <w:numPr>
          <w:ilvl w:val="0"/>
          <w:numId w:val="1"/>
        </w:numPr>
        <w:tabs>
          <w:tab w:val="clear" w:pos="567"/>
        </w:tabs>
        <w:spacing w:before="120" w:after="120"/>
        <w:ind w:left="851" w:hanging="709"/>
        <w:rPr>
          <w:color w:val="auto"/>
        </w:rPr>
      </w:pPr>
      <w:r w:rsidRPr="000744E3">
        <w:t>Do you agree with the description of the market structure summarised in Figure 1 for the purpose of the study in sections 3 and 4 based on transaction reporting data? If not, could you provide an alternative description that you consider more adapted to the reality of the European trading landscape for shares?</w:t>
      </w:r>
    </w:p>
    <w:p w14:paraId="38F40D29" w14:textId="77777777" w:rsidR="00785AC1" w:rsidRPr="000744E3" w:rsidRDefault="00785AC1" w:rsidP="00785AC1">
      <w:r w:rsidRPr="000744E3">
        <w:t>&lt;ESMA_QUESTION_MSEM_1&gt;</w:t>
      </w:r>
    </w:p>
    <w:p w14:paraId="05A9B03F" w14:textId="12692866" w:rsidR="00785AC1" w:rsidRPr="000744E3" w:rsidRDefault="00785AC1" w:rsidP="00785AC1">
      <w:r w:rsidRPr="000744E3">
        <w:t xml:space="preserve">We </w:t>
      </w:r>
      <w:r w:rsidR="00D815E4" w:rsidRPr="000744E3">
        <w:t xml:space="preserve">welcome the work undertaken by ESMA and </w:t>
      </w:r>
      <w:r w:rsidRPr="000744E3">
        <w:t xml:space="preserve">broadly agree with </w:t>
      </w:r>
      <w:r w:rsidR="00D815E4" w:rsidRPr="000744E3">
        <w:t xml:space="preserve">its </w:t>
      </w:r>
      <w:r w:rsidRPr="000744E3">
        <w:t xml:space="preserve">description of the current </w:t>
      </w:r>
      <w:r w:rsidR="001757D5" w:rsidRPr="000744E3">
        <w:t>e</w:t>
      </w:r>
      <w:r w:rsidRPr="000744E3">
        <w:t xml:space="preserve">quities market structure in Europe. ESMA’s work on transaction reporting data is the first in-depth analysis of the EEA equities market, which is an extremely beneficial undertaking. Although the analysis is dealing with material underlying data quality issues, we </w:t>
      </w:r>
      <w:r w:rsidR="03BD6D5A" w:rsidRPr="000744E3">
        <w:t xml:space="preserve">still </w:t>
      </w:r>
      <w:r w:rsidRPr="000744E3">
        <w:t>believe it gives a</w:t>
      </w:r>
      <w:r w:rsidR="00E108C0" w:rsidRPr="000744E3">
        <w:t>n insightful</w:t>
      </w:r>
      <w:r w:rsidRPr="000744E3">
        <w:t xml:space="preserve"> </w:t>
      </w:r>
      <w:r w:rsidR="00E108C0" w:rsidRPr="000744E3">
        <w:t xml:space="preserve">and as accurate as possible </w:t>
      </w:r>
      <w:r w:rsidRPr="000744E3">
        <w:t xml:space="preserve">picture of the evolution of the </w:t>
      </w:r>
      <w:r w:rsidR="1FFD6D4D" w:rsidRPr="000744E3">
        <w:t>European</w:t>
      </w:r>
      <w:r w:rsidRPr="000744E3">
        <w:t xml:space="preserve"> </w:t>
      </w:r>
      <w:r w:rsidR="00353862" w:rsidRPr="000744E3">
        <w:t>e</w:t>
      </w:r>
      <w:r w:rsidRPr="000744E3">
        <w:t>quities market. Having said that, we believe there are a few adjustments</w:t>
      </w:r>
      <w:r w:rsidR="00137942" w:rsidRPr="000744E3">
        <w:t xml:space="preserve"> that </w:t>
      </w:r>
      <w:r w:rsidR="006D51A7" w:rsidRPr="000744E3">
        <w:t>should be made</w:t>
      </w:r>
      <w:r w:rsidRPr="000744E3">
        <w:t xml:space="preserve"> to the </w:t>
      </w:r>
      <w:r w:rsidR="002132B4" w:rsidRPr="000744E3">
        <w:t>p</w:t>
      </w:r>
      <w:r w:rsidR="000A4DBE" w:rsidRPr="000744E3">
        <w:t xml:space="preserve">ost </w:t>
      </w:r>
      <w:r w:rsidR="002132B4" w:rsidRPr="000744E3">
        <w:t>t</w:t>
      </w:r>
      <w:r w:rsidR="000A4DBE" w:rsidRPr="000744E3">
        <w:t xml:space="preserve">rade and </w:t>
      </w:r>
      <w:r w:rsidR="002132B4" w:rsidRPr="000744E3">
        <w:t>t</w:t>
      </w:r>
      <w:r w:rsidR="000A4DBE" w:rsidRPr="000744E3">
        <w:t xml:space="preserve">ransaction </w:t>
      </w:r>
      <w:r w:rsidR="002132B4" w:rsidRPr="000744E3">
        <w:t>r</w:t>
      </w:r>
      <w:r w:rsidR="000A4DBE" w:rsidRPr="000744E3">
        <w:t xml:space="preserve">eporting </w:t>
      </w:r>
      <w:r w:rsidRPr="000744E3">
        <w:t>regulatory framework</w:t>
      </w:r>
      <w:r w:rsidR="00AC1A4C" w:rsidRPr="000744E3">
        <w:t xml:space="preserve">. </w:t>
      </w:r>
      <w:r w:rsidR="23A76760" w:rsidRPr="000744E3">
        <w:t>The purpose of such</w:t>
      </w:r>
      <w:r w:rsidR="00AC1A4C" w:rsidRPr="000744E3">
        <w:t xml:space="preserve"> adjustments w</w:t>
      </w:r>
      <w:r w:rsidRPr="000744E3">
        <w:t xml:space="preserve">ould </w:t>
      </w:r>
      <w:r w:rsidR="6BFE4C4B" w:rsidRPr="000744E3">
        <w:t>be to enable</w:t>
      </w:r>
      <w:r w:rsidRPr="000744E3">
        <w:t xml:space="preserve"> ESMA to refine this picture further</w:t>
      </w:r>
      <w:r w:rsidR="00AC1A4C" w:rsidRPr="000744E3">
        <w:t xml:space="preserve">, </w:t>
      </w:r>
      <w:r w:rsidRPr="000744E3">
        <w:t xml:space="preserve">allow </w:t>
      </w:r>
      <w:r w:rsidR="00AC1A4C" w:rsidRPr="000744E3">
        <w:t xml:space="preserve">for </w:t>
      </w:r>
      <w:r w:rsidR="001B6E9D" w:rsidRPr="000744E3">
        <w:t xml:space="preserve">better </w:t>
      </w:r>
      <w:r w:rsidRPr="000744E3">
        <w:t>academic stud</w:t>
      </w:r>
      <w:r w:rsidR="00AC1A4C" w:rsidRPr="000744E3">
        <w:t>ies</w:t>
      </w:r>
      <w:r w:rsidRPr="000744E3">
        <w:t xml:space="preserve"> </w:t>
      </w:r>
      <w:r w:rsidR="00F07EB7" w:rsidRPr="000744E3">
        <w:t xml:space="preserve">and </w:t>
      </w:r>
      <w:r w:rsidR="00AC1A4C" w:rsidRPr="000744E3">
        <w:t xml:space="preserve">more effective </w:t>
      </w:r>
      <w:r w:rsidR="00F07EB7" w:rsidRPr="000744E3">
        <w:t xml:space="preserve">continuous monitoring </w:t>
      </w:r>
      <w:r w:rsidRPr="000744E3">
        <w:t xml:space="preserve">of European market structure and price formation evolution. </w:t>
      </w:r>
    </w:p>
    <w:p w14:paraId="08D5ABD7" w14:textId="0F02231D" w:rsidR="00936063" w:rsidRPr="000744E3" w:rsidRDefault="00936063" w:rsidP="009A01C0">
      <w:pPr>
        <w:jc w:val="left"/>
        <w:rPr>
          <w:b/>
          <w:bCs/>
        </w:rPr>
      </w:pPr>
      <w:r w:rsidRPr="000744E3">
        <w:rPr>
          <w:b/>
          <w:bCs/>
        </w:rPr>
        <w:t xml:space="preserve">Classifying </w:t>
      </w:r>
      <w:r w:rsidR="00601242" w:rsidRPr="000744E3">
        <w:rPr>
          <w:b/>
          <w:bCs/>
        </w:rPr>
        <w:t xml:space="preserve">EEA Equities </w:t>
      </w:r>
      <w:r w:rsidRPr="000744E3">
        <w:rPr>
          <w:b/>
          <w:bCs/>
        </w:rPr>
        <w:t>liquidity</w:t>
      </w:r>
    </w:p>
    <w:p w14:paraId="59DB05E6" w14:textId="108C423B" w:rsidR="00785AC1" w:rsidRPr="000744E3" w:rsidRDefault="00785AC1" w:rsidP="00785AC1">
      <w:r w:rsidRPr="000744E3">
        <w:t xml:space="preserve">Regarding the market structure summarised in figure 1, we believe additional dimensions are required in both transparency and transaction reporting to better analyse liquidity trends. We believe that to properly understand </w:t>
      </w:r>
      <w:r w:rsidR="68114D7C" w:rsidRPr="000744E3">
        <w:t xml:space="preserve">and </w:t>
      </w:r>
      <w:r w:rsidR="521C6A8F" w:rsidRPr="000744E3">
        <w:t>assess</w:t>
      </w:r>
      <w:r w:rsidR="68114D7C" w:rsidRPr="000744E3">
        <w:t xml:space="preserve"> </w:t>
      </w:r>
      <w:r w:rsidRPr="000744E3">
        <w:t xml:space="preserve">liquidity, investors need to understand </w:t>
      </w:r>
      <w:r w:rsidRPr="000744E3">
        <w:rPr>
          <w:b/>
          <w:bCs/>
        </w:rPr>
        <w:t>where</w:t>
      </w:r>
      <w:r w:rsidRPr="000744E3">
        <w:t xml:space="preserve">, </w:t>
      </w:r>
      <w:r w:rsidRPr="000744E3">
        <w:rPr>
          <w:b/>
          <w:bCs/>
        </w:rPr>
        <w:t>when</w:t>
      </w:r>
      <w:r w:rsidRPr="000744E3">
        <w:t xml:space="preserve"> and </w:t>
      </w:r>
      <w:r w:rsidRPr="000744E3">
        <w:rPr>
          <w:b/>
          <w:bCs/>
        </w:rPr>
        <w:t>how</w:t>
      </w:r>
      <w:r w:rsidRPr="000744E3">
        <w:t xml:space="preserve"> trades occur. In addition, having transparency on the trading mechanisms used (CLOB, </w:t>
      </w:r>
      <w:r w:rsidR="005A2F38" w:rsidRPr="000744E3">
        <w:t>FBA</w:t>
      </w:r>
      <w:r w:rsidRPr="000744E3">
        <w:t>, bilateral liquidity provision, etc…) as well as who is undertaking the trades (</w:t>
      </w:r>
      <w:r w:rsidR="00493554" w:rsidRPr="000744E3">
        <w:t>Regulated Markets</w:t>
      </w:r>
      <w:r w:rsidRPr="000744E3">
        <w:t>, MTF</w:t>
      </w:r>
      <w:r w:rsidR="0017241E" w:rsidRPr="000744E3">
        <w:t>s</w:t>
      </w:r>
      <w:r w:rsidRPr="000744E3">
        <w:t xml:space="preserve"> or </w:t>
      </w:r>
      <w:r w:rsidR="00493554" w:rsidRPr="000744E3">
        <w:t>Investment Firms</w:t>
      </w:r>
      <w:r w:rsidRPr="000744E3">
        <w:t xml:space="preserve">) is important for investors to understand the liquidity they can </w:t>
      </w:r>
      <w:r w:rsidR="00AC1A4C" w:rsidRPr="000744E3">
        <w:t xml:space="preserve">easily </w:t>
      </w:r>
      <w:r w:rsidRPr="000744E3">
        <w:t>access, whether this liquidity is on</w:t>
      </w:r>
      <w:r w:rsidR="00BF7CCD" w:rsidRPr="000744E3">
        <w:t>-</w:t>
      </w:r>
      <w:r w:rsidRPr="000744E3">
        <w:t xml:space="preserve"> or off</w:t>
      </w:r>
      <w:r w:rsidR="00117C2C" w:rsidRPr="000744E3">
        <w:t>-</w:t>
      </w:r>
      <w:r w:rsidRPr="000744E3">
        <w:t xml:space="preserve">exchange. </w:t>
      </w:r>
    </w:p>
    <w:p w14:paraId="427E3E6B" w14:textId="29F2CC67" w:rsidR="00785AC1" w:rsidRPr="000744E3" w:rsidRDefault="00785AC1" w:rsidP="00785AC1">
      <w:r w:rsidRPr="000744E3">
        <w:t xml:space="preserve">We would therefore recommend amending figure 1 </w:t>
      </w:r>
      <w:r w:rsidR="4DBC2729" w:rsidRPr="000744E3">
        <w:t xml:space="preserve">so that the analysis is refined based upon the five dimensions </w:t>
      </w:r>
      <w:r w:rsidR="0A6C7C18" w:rsidRPr="000744E3">
        <w:t>outlined below (“</w:t>
      </w:r>
      <w:r w:rsidR="0A6C7C18" w:rsidRPr="000744E3">
        <w:rPr>
          <w:b/>
        </w:rPr>
        <w:t>five-dimension framework</w:t>
      </w:r>
      <w:r w:rsidR="0A6C7C18" w:rsidRPr="000744E3">
        <w:t>”)</w:t>
      </w:r>
      <w:r w:rsidRPr="000744E3">
        <w:t>. We appreciate some of those dimensions could not be integrated by ESMA in its analysis as some are relying on the current post trade transparency regime and</w:t>
      </w:r>
      <w:r w:rsidR="001B6E9D" w:rsidRPr="000744E3">
        <w:t>/or</w:t>
      </w:r>
      <w:r w:rsidRPr="000744E3">
        <w:t xml:space="preserve"> do not yet exist in</w:t>
      </w:r>
      <w:r w:rsidR="00404205" w:rsidRPr="000744E3">
        <w:t xml:space="preserve"> either</w:t>
      </w:r>
      <w:r w:rsidRPr="000744E3">
        <w:t xml:space="preserve"> the transaction reporting </w:t>
      </w:r>
      <w:r w:rsidR="00404205" w:rsidRPr="000744E3">
        <w:t xml:space="preserve">or the post trade </w:t>
      </w:r>
      <w:r w:rsidRPr="000744E3">
        <w:t>requirements:</w:t>
      </w:r>
    </w:p>
    <w:p w14:paraId="002D5E00" w14:textId="0B93BDA6" w:rsidR="00785AC1" w:rsidRPr="000744E3" w:rsidRDefault="00785AC1" w:rsidP="00785AC1">
      <w:pPr>
        <w:pStyle w:val="ListParagraph"/>
        <w:numPr>
          <w:ilvl w:val="0"/>
          <w:numId w:val="2"/>
        </w:numPr>
        <w:contextualSpacing w:val="0"/>
      </w:pPr>
      <w:r w:rsidRPr="000744E3">
        <w:rPr>
          <w:b/>
          <w:bCs/>
        </w:rPr>
        <w:t>The</w:t>
      </w:r>
      <w:r w:rsidRPr="000744E3">
        <w:t xml:space="preserve"> </w:t>
      </w:r>
      <w:r w:rsidRPr="000744E3">
        <w:rPr>
          <w:b/>
          <w:bCs/>
        </w:rPr>
        <w:t>WHERE</w:t>
      </w:r>
      <w:r w:rsidRPr="000744E3">
        <w:t xml:space="preserve">: this is adequately covered by ESMA’s distinction between </w:t>
      </w:r>
      <w:r w:rsidRPr="000744E3">
        <w:rPr>
          <w:b/>
          <w:bCs/>
        </w:rPr>
        <w:t>on</w:t>
      </w:r>
      <w:r w:rsidR="009B0B06" w:rsidRPr="000744E3">
        <w:rPr>
          <w:b/>
          <w:bCs/>
        </w:rPr>
        <w:t>-</w:t>
      </w:r>
      <w:r w:rsidRPr="000744E3">
        <w:rPr>
          <w:b/>
          <w:bCs/>
        </w:rPr>
        <w:t xml:space="preserve"> and off</w:t>
      </w:r>
      <w:r w:rsidR="009B0B06" w:rsidRPr="000744E3">
        <w:rPr>
          <w:b/>
          <w:bCs/>
        </w:rPr>
        <w:t>-</w:t>
      </w:r>
      <w:r w:rsidRPr="000744E3">
        <w:rPr>
          <w:b/>
          <w:bCs/>
        </w:rPr>
        <w:t>book</w:t>
      </w:r>
      <w:r w:rsidRPr="000744E3">
        <w:t xml:space="preserve">. </w:t>
      </w:r>
    </w:p>
    <w:p w14:paraId="677BD248" w14:textId="3096AB89" w:rsidR="00785AC1" w:rsidRPr="000744E3" w:rsidRDefault="00785AC1" w:rsidP="00785AC1">
      <w:pPr>
        <w:pStyle w:val="ListParagraph"/>
        <w:numPr>
          <w:ilvl w:val="0"/>
          <w:numId w:val="2"/>
        </w:numPr>
        <w:contextualSpacing w:val="0"/>
      </w:pPr>
      <w:r w:rsidRPr="000744E3">
        <w:rPr>
          <w:b/>
          <w:bCs/>
        </w:rPr>
        <w:t xml:space="preserve">The WHEN: </w:t>
      </w:r>
      <w:r w:rsidR="001B6E9D" w:rsidRPr="000744E3">
        <w:t>we recommend</w:t>
      </w:r>
      <w:r w:rsidR="001B6E9D" w:rsidRPr="000744E3">
        <w:rPr>
          <w:b/>
          <w:bCs/>
        </w:rPr>
        <w:t xml:space="preserve"> </w:t>
      </w:r>
      <w:r w:rsidRPr="000744E3">
        <w:t>introduc</w:t>
      </w:r>
      <w:r w:rsidR="001B6E9D" w:rsidRPr="000744E3">
        <w:t>ing</w:t>
      </w:r>
      <w:r w:rsidRPr="000744E3">
        <w:t xml:space="preserve"> a </w:t>
      </w:r>
      <w:r w:rsidRPr="000744E3">
        <w:rPr>
          <w:b/>
          <w:bCs/>
        </w:rPr>
        <w:t>trading phase data point</w:t>
      </w:r>
      <w:r w:rsidRPr="000744E3">
        <w:t xml:space="preserve">. Liquidity is tightly linked to market hours and its different trading phases. It would be good to be able to differentiate, </w:t>
      </w:r>
      <w:r w:rsidRPr="00433781">
        <w:t>at minima</w:t>
      </w:r>
      <w:r w:rsidRPr="000744E3">
        <w:t xml:space="preserve">, trading </w:t>
      </w:r>
      <w:r w:rsidR="00A43BD1" w:rsidRPr="000744E3">
        <w:t>occurring</w:t>
      </w:r>
      <w:r w:rsidRPr="000744E3">
        <w:t xml:space="preserve"> during or in reference to the closing auctions (as was introduced in the UK with the flag “CLSE”) from the rest of the trading day. </w:t>
      </w:r>
      <w:r w:rsidR="00D92F1E" w:rsidRPr="000744E3">
        <w:t>I</w:t>
      </w:r>
      <w:r w:rsidRPr="000744E3">
        <w:t>t would</w:t>
      </w:r>
      <w:r w:rsidR="00D92F1E" w:rsidRPr="000744E3">
        <w:t xml:space="preserve"> also</w:t>
      </w:r>
      <w:r w:rsidRPr="000744E3">
        <w:t xml:space="preserve"> be beneficial to easily identify and segment the notional traded </w:t>
      </w:r>
      <w:r w:rsidR="00C123A2" w:rsidRPr="000744E3">
        <w:t xml:space="preserve">and </w:t>
      </w:r>
      <w:r w:rsidR="00D02A63" w:rsidRPr="000744E3">
        <w:t xml:space="preserve">number of trades </w:t>
      </w:r>
      <w:r w:rsidR="00C123A2" w:rsidRPr="000744E3">
        <w:t xml:space="preserve">executed </w:t>
      </w:r>
      <w:r w:rsidRPr="000744E3">
        <w:t>during the open, the intraday session, the close and out of hours trading. The expectation that</w:t>
      </w:r>
      <w:r w:rsidR="7F680DCC" w:rsidRPr="000744E3">
        <w:t xml:space="preserve"> the European</w:t>
      </w:r>
      <w:r w:rsidRPr="000744E3">
        <w:t xml:space="preserve"> </w:t>
      </w:r>
      <w:r w:rsidR="00D92F1E" w:rsidRPr="000744E3">
        <w:t>e</w:t>
      </w:r>
      <w:r w:rsidRPr="000744E3">
        <w:t xml:space="preserve">quities markets will </w:t>
      </w:r>
      <w:r w:rsidR="001B6E9D" w:rsidRPr="000744E3">
        <w:t xml:space="preserve">eventually </w:t>
      </w:r>
      <w:r w:rsidRPr="000744E3">
        <w:t xml:space="preserve">move to 23/5 or even 24/7 will require the ability to do so, especially in the context of </w:t>
      </w:r>
      <w:r w:rsidR="001B6E9D" w:rsidRPr="000744E3">
        <w:t xml:space="preserve">retail execution, </w:t>
      </w:r>
      <w:r w:rsidRPr="000744E3">
        <w:t xml:space="preserve">price formation </w:t>
      </w:r>
      <w:r w:rsidR="00197E3E" w:rsidRPr="000744E3">
        <w:t xml:space="preserve">monitoring </w:t>
      </w:r>
      <w:r w:rsidRPr="000744E3">
        <w:t xml:space="preserve">and liquidity risk management. </w:t>
      </w:r>
    </w:p>
    <w:p w14:paraId="2F36FB22" w14:textId="7B2A2A55" w:rsidR="00FD7E0F" w:rsidRPr="000744E3" w:rsidRDefault="00785AC1" w:rsidP="00785AC1">
      <w:pPr>
        <w:pStyle w:val="ListParagraph"/>
        <w:numPr>
          <w:ilvl w:val="0"/>
          <w:numId w:val="2"/>
        </w:numPr>
        <w:contextualSpacing w:val="0"/>
      </w:pPr>
      <w:r w:rsidRPr="000744E3">
        <w:rPr>
          <w:b/>
          <w:bCs/>
        </w:rPr>
        <w:t>The WHAT</w:t>
      </w:r>
      <w:r w:rsidRPr="000744E3">
        <w:t xml:space="preserve">: a clear </w:t>
      </w:r>
      <w:r w:rsidR="00A43BD1" w:rsidRPr="000744E3">
        <w:rPr>
          <w:b/>
          <w:bCs/>
        </w:rPr>
        <w:t>identification</w:t>
      </w:r>
      <w:r w:rsidRPr="000744E3">
        <w:rPr>
          <w:b/>
          <w:bCs/>
        </w:rPr>
        <w:t xml:space="preserve"> of the trading mechanisms used</w:t>
      </w:r>
      <w:r w:rsidRPr="000744E3">
        <w:t>. For on</w:t>
      </w:r>
      <w:r w:rsidR="006C5487" w:rsidRPr="000744E3">
        <w:t>-</w:t>
      </w:r>
      <w:r w:rsidRPr="000744E3">
        <w:t xml:space="preserve">venue trading, this is easily done via the use of segment MIC, </w:t>
      </w:r>
      <w:r w:rsidR="006C5487" w:rsidRPr="000744E3">
        <w:t xml:space="preserve">which </w:t>
      </w:r>
      <w:r w:rsidRPr="000744E3">
        <w:t xml:space="preserve">clearly </w:t>
      </w:r>
      <w:r w:rsidR="006C5487" w:rsidRPr="000744E3">
        <w:t xml:space="preserve">defines </w:t>
      </w:r>
      <w:r w:rsidRPr="000744E3">
        <w:t>the workflow and mechanisms used by the venue</w:t>
      </w:r>
      <w:r w:rsidR="00197E3E" w:rsidRPr="000744E3">
        <w:t xml:space="preserve">, making it </w:t>
      </w:r>
      <w:r w:rsidRPr="000744E3">
        <w:t>easy for investors to understand the proportion of liquidity accessible on Central Limit Order Book</w:t>
      </w:r>
      <w:r w:rsidR="00197E3E" w:rsidRPr="000744E3">
        <w:t>s</w:t>
      </w:r>
      <w:r w:rsidRPr="000744E3">
        <w:t xml:space="preserve"> (CLOB), Frequent Batch Auctions (FBA</w:t>
      </w:r>
      <w:r w:rsidR="00197E3E" w:rsidRPr="000744E3">
        <w:t>s</w:t>
      </w:r>
      <w:r w:rsidRPr="000744E3">
        <w:t xml:space="preserve">), dark </w:t>
      </w:r>
      <w:r w:rsidR="00F46469" w:rsidRPr="000744E3">
        <w:t xml:space="preserve">Trading Venues </w:t>
      </w:r>
      <w:r w:rsidRPr="000744E3">
        <w:t>and scheduled auctions (</w:t>
      </w:r>
      <w:r w:rsidR="006C5487" w:rsidRPr="000744E3">
        <w:t>o</w:t>
      </w:r>
      <w:r w:rsidRPr="000744E3">
        <w:t xml:space="preserve">pen, </w:t>
      </w:r>
      <w:r w:rsidR="006C5487" w:rsidRPr="000744E3">
        <w:t>i</w:t>
      </w:r>
      <w:r w:rsidRPr="000744E3">
        <w:t xml:space="preserve">ntraday, </w:t>
      </w:r>
      <w:r w:rsidR="006C5487" w:rsidRPr="000744E3">
        <w:t>c</w:t>
      </w:r>
      <w:r w:rsidRPr="000744E3">
        <w:t xml:space="preserve">lose). </w:t>
      </w:r>
    </w:p>
    <w:p w14:paraId="3BF4B6A8" w14:textId="3A1404F5" w:rsidR="00FD7E0F" w:rsidRPr="000744E3" w:rsidRDefault="00785AC1" w:rsidP="00FD7E0F">
      <w:pPr>
        <w:pStyle w:val="ListParagraph"/>
        <w:ind w:left="360"/>
        <w:contextualSpacing w:val="0"/>
      </w:pPr>
      <w:r w:rsidRPr="000744E3">
        <w:t>For off</w:t>
      </w:r>
      <w:r w:rsidR="006C5487" w:rsidRPr="000744E3">
        <w:t>-</w:t>
      </w:r>
      <w:r w:rsidRPr="000744E3">
        <w:t xml:space="preserve">venue, the picture is not as easy to understand. The market relies on a set of </w:t>
      </w:r>
      <w:r w:rsidR="000257D5" w:rsidRPr="000744E3">
        <w:t xml:space="preserve">post trade transparency </w:t>
      </w:r>
      <w:r w:rsidRPr="000744E3">
        <w:t>flags indicating how the off</w:t>
      </w:r>
      <w:r w:rsidR="006C5487" w:rsidRPr="000744E3">
        <w:t>-</w:t>
      </w:r>
      <w:r w:rsidRPr="000744E3">
        <w:t>venue transaction was executed (</w:t>
      </w:r>
      <w:r w:rsidR="00F46469" w:rsidRPr="000744E3">
        <w:t>‘</w:t>
      </w:r>
      <w:r w:rsidRPr="000744E3">
        <w:t>BENC</w:t>
      </w:r>
      <w:r w:rsidR="00F46469" w:rsidRPr="000744E3">
        <w:t>’</w:t>
      </w:r>
      <w:r w:rsidRPr="000744E3">
        <w:t xml:space="preserve"> for benchmark, </w:t>
      </w:r>
      <w:r w:rsidR="00F46469" w:rsidRPr="000744E3">
        <w:t>‘</w:t>
      </w:r>
      <w:r w:rsidRPr="000744E3">
        <w:t>PORT</w:t>
      </w:r>
      <w:r w:rsidR="00F46469" w:rsidRPr="000744E3">
        <w:t>’</w:t>
      </w:r>
      <w:r w:rsidRPr="000744E3">
        <w:t xml:space="preserve"> for por</w:t>
      </w:r>
      <w:r w:rsidR="009956B4" w:rsidRPr="000744E3">
        <w:t>t</w:t>
      </w:r>
      <w:r w:rsidRPr="000744E3">
        <w:t xml:space="preserve">folio and </w:t>
      </w:r>
      <w:r w:rsidR="00F46469" w:rsidRPr="000744E3">
        <w:t>‘</w:t>
      </w:r>
      <w:r w:rsidRPr="000744E3">
        <w:t>CONT</w:t>
      </w:r>
      <w:r w:rsidR="00F46469" w:rsidRPr="000744E3">
        <w:t>’</w:t>
      </w:r>
      <w:r w:rsidRPr="000744E3">
        <w:t xml:space="preserve"> for conti</w:t>
      </w:r>
      <w:r w:rsidR="009956B4" w:rsidRPr="000744E3">
        <w:t>n</w:t>
      </w:r>
      <w:r w:rsidRPr="000744E3">
        <w:t xml:space="preserve">gent trades) and can identify if such transactions were conducted as part of a liquidity provision business (Systematic </w:t>
      </w:r>
      <w:proofErr w:type="spellStart"/>
      <w:r w:rsidRPr="000744E3">
        <w:t>Internaliser</w:t>
      </w:r>
      <w:proofErr w:type="spellEnd"/>
      <w:r w:rsidRPr="000744E3">
        <w:t>), or executed under the rules of a trading venue (off</w:t>
      </w:r>
      <w:r w:rsidR="006C5487" w:rsidRPr="000744E3">
        <w:t>-</w:t>
      </w:r>
      <w:r w:rsidRPr="000744E3">
        <w:t>book on</w:t>
      </w:r>
      <w:r w:rsidR="006C5487" w:rsidRPr="000744E3">
        <w:t>-</w:t>
      </w:r>
      <w:r w:rsidRPr="000744E3">
        <w:t>exchange</w:t>
      </w:r>
      <w:r w:rsidR="00FD7E0F" w:rsidRPr="000744E3">
        <w:t>, OBOE</w:t>
      </w:r>
      <w:r w:rsidRPr="000744E3">
        <w:t>), or as an OTC trade. If an off</w:t>
      </w:r>
      <w:r w:rsidR="006C5487" w:rsidRPr="000744E3">
        <w:t>-</w:t>
      </w:r>
      <w:r w:rsidRPr="000744E3">
        <w:t xml:space="preserve">venue transaction does not carry any of those pricing flags, we would see </w:t>
      </w:r>
      <w:r w:rsidR="006C5487" w:rsidRPr="000744E3">
        <w:t xml:space="preserve">it </w:t>
      </w:r>
      <w:r w:rsidRPr="000744E3">
        <w:t xml:space="preserve">as being “standard” or “vanilla” and likely to be </w:t>
      </w:r>
      <w:r w:rsidR="000257D5" w:rsidRPr="000744E3">
        <w:t>accessible to most investors</w:t>
      </w:r>
      <w:r w:rsidRPr="000744E3">
        <w:t xml:space="preserve">. </w:t>
      </w:r>
    </w:p>
    <w:p w14:paraId="143EFB69" w14:textId="1863DDBF" w:rsidR="00785AC1" w:rsidRPr="000744E3" w:rsidRDefault="00785AC1" w:rsidP="00220B3A">
      <w:pPr>
        <w:pStyle w:val="ListParagraph"/>
        <w:ind w:left="360"/>
        <w:contextualSpacing w:val="0"/>
      </w:pPr>
      <w:r w:rsidRPr="000744E3">
        <w:t xml:space="preserve">We believe this level of information for the market is good in principle, but as highlighted by ESMA, the quality of the underlying data </w:t>
      </w:r>
      <w:r w:rsidR="6980A30D" w:rsidRPr="000744E3">
        <w:t xml:space="preserve">might be </w:t>
      </w:r>
      <w:r w:rsidR="32EC4431" w:rsidRPr="000744E3">
        <w:t>inadequate for the purpose of</w:t>
      </w:r>
      <w:r w:rsidRPr="000744E3">
        <w:t xml:space="preserve"> clearly identify</w:t>
      </w:r>
      <w:r w:rsidR="6429A6CA" w:rsidRPr="000744E3">
        <w:t>ing</w:t>
      </w:r>
      <w:r w:rsidRPr="000744E3">
        <w:t xml:space="preserve"> the mechanisms used, and therefore the accessibility of the liquidity, for off</w:t>
      </w:r>
      <w:r w:rsidR="006C5487" w:rsidRPr="000744E3">
        <w:t>-</w:t>
      </w:r>
      <w:r w:rsidRPr="000744E3">
        <w:t xml:space="preserve">venue trades. </w:t>
      </w:r>
    </w:p>
    <w:p w14:paraId="6104B5EF" w14:textId="42A61F22" w:rsidR="00FD7E0F" w:rsidRPr="000744E3" w:rsidRDefault="00785AC1" w:rsidP="00785AC1">
      <w:pPr>
        <w:pStyle w:val="ListParagraph"/>
        <w:numPr>
          <w:ilvl w:val="0"/>
          <w:numId w:val="2"/>
        </w:numPr>
        <w:contextualSpacing w:val="0"/>
      </w:pPr>
      <w:r w:rsidRPr="000744E3">
        <w:rPr>
          <w:b/>
          <w:bCs/>
        </w:rPr>
        <w:t>The WHO</w:t>
      </w:r>
      <w:r w:rsidRPr="000744E3">
        <w:t xml:space="preserve">: this </w:t>
      </w:r>
      <w:r w:rsidR="000257D5" w:rsidRPr="000744E3">
        <w:t>data point allows</w:t>
      </w:r>
      <w:r w:rsidR="006C5487" w:rsidRPr="000744E3">
        <w:t xml:space="preserve"> us</w:t>
      </w:r>
      <w:r w:rsidR="000257D5" w:rsidRPr="000744E3">
        <w:t xml:space="preserve"> to know</w:t>
      </w:r>
      <w:r w:rsidRPr="000744E3">
        <w:t xml:space="preserve"> </w:t>
      </w:r>
      <w:r w:rsidRPr="000744E3">
        <w:rPr>
          <w:b/>
          <w:bCs/>
        </w:rPr>
        <w:t>the relative market shares between execution venues</w:t>
      </w:r>
      <w:r w:rsidRPr="000744E3">
        <w:t xml:space="preserve">. For trading venues, the proportion of trading between regulated markets and MTFs, but also the relative market share of each book, </w:t>
      </w:r>
      <w:r w:rsidR="008B6C64" w:rsidRPr="000744E3">
        <w:t xml:space="preserve">are </w:t>
      </w:r>
      <w:r w:rsidRPr="000744E3">
        <w:t xml:space="preserve">identified through their segment MIC code, which we believe is a sacrosanct data point we need to preserve. </w:t>
      </w:r>
    </w:p>
    <w:p w14:paraId="3AE09BDB" w14:textId="3635F276" w:rsidR="00FD7E0F" w:rsidRPr="000744E3" w:rsidRDefault="00785AC1" w:rsidP="00FD7E0F">
      <w:pPr>
        <w:pStyle w:val="ListParagraph"/>
        <w:ind w:left="360"/>
        <w:contextualSpacing w:val="0"/>
      </w:pPr>
      <w:r w:rsidRPr="000744E3">
        <w:t>For off</w:t>
      </w:r>
      <w:r w:rsidR="000F7F42" w:rsidRPr="000744E3">
        <w:t>-</w:t>
      </w:r>
      <w:r w:rsidRPr="000744E3">
        <w:t xml:space="preserve">venue trading, </w:t>
      </w:r>
      <w:r w:rsidR="6108FA69" w:rsidRPr="000744E3">
        <w:t xml:space="preserve">the picture is more complex because </w:t>
      </w:r>
      <w:r w:rsidRPr="000744E3">
        <w:t xml:space="preserve">the regime needs to balance </w:t>
      </w:r>
      <w:r w:rsidR="008B6C64" w:rsidRPr="000744E3">
        <w:t xml:space="preserve">level of </w:t>
      </w:r>
      <w:r w:rsidRPr="000744E3">
        <w:t xml:space="preserve">transparency </w:t>
      </w:r>
      <w:r w:rsidR="008B6C64" w:rsidRPr="000744E3">
        <w:t xml:space="preserve">vs </w:t>
      </w:r>
      <w:r w:rsidRPr="000744E3">
        <w:t xml:space="preserve">risk exposure, </w:t>
      </w:r>
      <w:r w:rsidR="0071383E" w:rsidRPr="000744E3">
        <w:t>particularly</w:t>
      </w:r>
      <w:r w:rsidRPr="000744E3">
        <w:t xml:space="preserve"> in the context of SIs. We believe removing any remaining interpretation divergence as to which trades should be flagged as SI or OTC is the most urgent issue to address (please refer to our response to question 2 for details). Similar work</w:t>
      </w:r>
      <w:r w:rsidRPr="000744E3" w:rsidDel="00725335">
        <w:t xml:space="preserve"> </w:t>
      </w:r>
      <w:r w:rsidR="00725335" w:rsidRPr="000744E3">
        <w:t xml:space="preserve">may be required </w:t>
      </w:r>
      <w:r w:rsidR="0071383E" w:rsidRPr="000744E3">
        <w:t>to make</w:t>
      </w:r>
      <w:r w:rsidRPr="000744E3">
        <w:t xml:space="preserve"> sure that </w:t>
      </w:r>
      <w:r w:rsidR="0071383E" w:rsidRPr="000744E3">
        <w:t>b</w:t>
      </w:r>
      <w:r w:rsidRPr="000744E3">
        <w:t>enchmark</w:t>
      </w:r>
      <w:r w:rsidR="0071383E" w:rsidRPr="000744E3">
        <w:t>,</w:t>
      </w:r>
      <w:r w:rsidRPr="000744E3">
        <w:t xml:space="preserve"> </w:t>
      </w:r>
      <w:r w:rsidR="00C21C45" w:rsidRPr="000744E3">
        <w:t>p</w:t>
      </w:r>
      <w:r w:rsidRPr="000744E3">
        <w:t xml:space="preserve">ortfolio and </w:t>
      </w:r>
      <w:r w:rsidR="00C21C45" w:rsidRPr="000744E3">
        <w:t>c</w:t>
      </w:r>
      <w:r w:rsidRPr="000744E3">
        <w:t xml:space="preserve">ontingent trades are used correctly. </w:t>
      </w:r>
      <w:r w:rsidR="00FD7E0F" w:rsidRPr="000744E3">
        <w:t xml:space="preserve">Accuracy on this data underpins </w:t>
      </w:r>
      <w:r w:rsidRPr="000744E3">
        <w:t xml:space="preserve">the quality of any trend analysis </w:t>
      </w:r>
      <w:r w:rsidR="008B73B1" w:rsidRPr="000744E3">
        <w:t xml:space="preserve">for </w:t>
      </w:r>
      <w:r w:rsidRPr="000744E3">
        <w:t>off</w:t>
      </w:r>
      <w:r w:rsidR="00E16D25" w:rsidRPr="000744E3">
        <w:t>-</w:t>
      </w:r>
      <w:r w:rsidRPr="000744E3">
        <w:t xml:space="preserve">venue liquidity. </w:t>
      </w:r>
    </w:p>
    <w:p w14:paraId="4F3FB88B" w14:textId="1DEB6EA4" w:rsidR="00785AC1" w:rsidRPr="000744E3" w:rsidRDefault="00785AC1" w:rsidP="00FD7E0F">
      <w:pPr>
        <w:pStyle w:val="ListParagraph"/>
        <w:ind w:left="360"/>
        <w:contextualSpacing w:val="0"/>
      </w:pPr>
      <w:r w:rsidRPr="000744E3">
        <w:t>Finally, we think that re-introducing</w:t>
      </w:r>
      <w:r w:rsidRPr="000744E3" w:rsidDel="0078114A">
        <w:t xml:space="preserve"> </w:t>
      </w:r>
      <w:r w:rsidRPr="000744E3">
        <w:t xml:space="preserve">execution reports could improve the investor’s trust </w:t>
      </w:r>
      <w:r w:rsidR="004F01A5" w:rsidRPr="000744E3">
        <w:t xml:space="preserve">in </w:t>
      </w:r>
      <w:r w:rsidRPr="000744E3">
        <w:t>the level of liquidity that can be sourced off</w:t>
      </w:r>
      <w:r w:rsidR="004F01A5" w:rsidRPr="000744E3">
        <w:t>-</w:t>
      </w:r>
      <w:r w:rsidRPr="000744E3">
        <w:t xml:space="preserve">venue. This could be </w:t>
      </w:r>
      <w:r w:rsidR="00AC25B8" w:rsidRPr="000744E3">
        <w:t>achieved</w:t>
      </w:r>
      <w:r w:rsidRPr="000744E3">
        <w:t xml:space="preserve"> by introducing transparency reporting requirements similar to those existing in the US (SEC filings 605/606 and OTC FINRA reports). In the US, those measures did not seem to impact off</w:t>
      </w:r>
      <w:r w:rsidR="00FB0B44" w:rsidRPr="000744E3">
        <w:t>-</w:t>
      </w:r>
      <w:r w:rsidRPr="000744E3">
        <w:t>venue liquidity provision whil</w:t>
      </w:r>
      <w:r w:rsidR="00BF1618" w:rsidRPr="000744E3">
        <w:t>st</w:t>
      </w:r>
      <w:r w:rsidRPr="000744E3">
        <w:t xml:space="preserve"> allowing investors to understand who the most important liquidity providers (or single dealer platforms) are. </w:t>
      </w:r>
    </w:p>
    <w:p w14:paraId="5A979EAF" w14:textId="48B67211" w:rsidR="00785AC1" w:rsidRPr="000744E3" w:rsidRDefault="00785AC1" w:rsidP="00785AC1">
      <w:pPr>
        <w:pStyle w:val="ListParagraph"/>
        <w:numPr>
          <w:ilvl w:val="0"/>
          <w:numId w:val="2"/>
        </w:numPr>
        <w:contextualSpacing w:val="0"/>
      </w:pPr>
      <w:r w:rsidRPr="000744E3">
        <w:rPr>
          <w:b/>
          <w:bCs/>
        </w:rPr>
        <w:t>The HOW</w:t>
      </w:r>
      <w:r w:rsidRPr="000744E3">
        <w:t xml:space="preserve">: by this, we mean understanding </w:t>
      </w:r>
      <w:r w:rsidRPr="000744E3">
        <w:rPr>
          <w:b/>
          <w:bCs/>
        </w:rPr>
        <w:t>whether the trade was manually executed or algorithmically driven</w:t>
      </w:r>
      <w:r w:rsidRPr="000744E3">
        <w:t>. This is a data point that only exists for trading venues (</w:t>
      </w:r>
      <w:r w:rsidR="00FD7E0F" w:rsidRPr="000744E3">
        <w:t>‘</w:t>
      </w:r>
      <w:r w:rsidRPr="000744E3">
        <w:t>ALGO</w:t>
      </w:r>
      <w:r w:rsidR="00FD7E0F" w:rsidRPr="000744E3">
        <w:t>’</w:t>
      </w:r>
      <w:r w:rsidRPr="000744E3">
        <w:t xml:space="preserve"> flag). Introducing a mandatory requirement to use the FIX tag 2405 could address this consideration. It is important as the level of flow automation is usually a proxy for </w:t>
      </w:r>
      <w:r w:rsidR="00FD7E0F" w:rsidRPr="000744E3">
        <w:t xml:space="preserve">the </w:t>
      </w:r>
      <w:r w:rsidRPr="000744E3">
        <w:t>level of accessibility. The more off</w:t>
      </w:r>
      <w:r w:rsidR="003F7883" w:rsidRPr="000744E3">
        <w:t>-</w:t>
      </w:r>
      <w:r w:rsidRPr="000744E3">
        <w:t xml:space="preserve">venue flow is automated, the more likely it is to be accessible, and therefore the more likely an investor will take these volumes into consideration when determining </w:t>
      </w:r>
      <w:r w:rsidR="00FD7E0F" w:rsidRPr="000744E3">
        <w:t xml:space="preserve">the depth of European liquidity and </w:t>
      </w:r>
      <w:r w:rsidRPr="000744E3">
        <w:t xml:space="preserve">their level of participation. </w:t>
      </w:r>
    </w:p>
    <w:p w14:paraId="6C485DD3" w14:textId="7D7CB9E3" w:rsidR="00F07EB7" w:rsidRPr="000744E3" w:rsidRDefault="00F07EB7" w:rsidP="00F07EB7">
      <w:r w:rsidRPr="000744E3">
        <w:t>Our proposal can be summarised by the following figure, which builds upon the ESMA proposal</w:t>
      </w:r>
      <w:r w:rsidR="209C6A85" w:rsidRPr="000744E3">
        <w:t xml:space="preserve"> and incorporates </w:t>
      </w:r>
      <w:r w:rsidR="3E459B32" w:rsidRPr="000744E3">
        <w:t>the five-dimension framework described above</w:t>
      </w:r>
      <w:r w:rsidR="00D02A63" w:rsidRPr="000744E3">
        <w:t xml:space="preserve"> as well as the integration </w:t>
      </w:r>
      <w:r w:rsidR="00B70F76" w:rsidRPr="000744E3">
        <w:t>of volumes executed in other jurisdictions such as the UK</w:t>
      </w:r>
      <w:r w:rsidRPr="000744E3">
        <w:t>:</w:t>
      </w:r>
    </w:p>
    <w:p w14:paraId="771DD22C" w14:textId="3CE48A4F" w:rsidR="00452206" w:rsidRPr="000744E3" w:rsidRDefault="00866CC2" w:rsidP="00452206">
      <w:pPr>
        <w:pStyle w:val="Caption"/>
      </w:pPr>
      <w:r w:rsidRPr="000744E3">
        <w:rPr>
          <w:noProof/>
        </w:rPr>
        <w:drawing>
          <wp:inline distT="0" distB="0" distL="0" distR="0" wp14:anchorId="006706D5" wp14:editId="4D3C36F1">
            <wp:extent cx="5593681" cy="2600325"/>
            <wp:effectExtent l="0" t="0" r="0" b="0"/>
            <wp:docPr id="152960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3571" cy="2604923"/>
                    </a:xfrm>
                    <a:prstGeom prst="rect">
                      <a:avLst/>
                    </a:prstGeom>
                    <a:noFill/>
                  </pic:spPr>
                </pic:pic>
              </a:graphicData>
            </a:graphic>
          </wp:inline>
        </w:drawing>
      </w:r>
    </w:p>
    <w:p w14:paraId="7111900B" w14:textId="4681B118" w:rsidR="00F07EB7" w:rsidRPr="000744E3" w:rsidRDefault="00DE0885" w:rsidP="00452206">
      <w:pPr>
        <w:pStyle w:val="Caption"/>
      </w:pPr>
      <w:r w:rsidRPr="000744E3">
        <w:t xml:space="preserve">Figure </w:t>
      </w:r>
      <w:r w:rsidR="00BA6141">
        <w:fldChar w:fldCharType="begin"/>
      </w:r>
      <w:r w:rsidR="00BA6141">
        <w:instrText xml:space="preserve"> SEQ Figure \* ARABIC </w:instrText>
      </w:r>
      <w:r w:rsidR="00BA6141">
        <w:fldChar w:fldCharType="separate"/>
      </w:r>
      <w:r w:rsidR="00BA6141" w:rsidRPr="000744E3">
        <w:rPr>
          <w:noProof/>
        </w:rPr>
        <w:t>1</w:t>
      </w:r>
      <w:r w:rsidR="00BA6141">
        <w:rPr>
          <w:noProof/>
        </w:rPr>
        <w:fldChar w:fldCharType="end"/>
      </w:r>
      <w:r w:rsidRPr="000744E3">
        <w:t>:</w:t>
      </w:r>
      <w:r w:rsidR="00E816B9" w:rsidRPr="000744E3">
        <w:t xml:space="preserve"> Aquis-proposed amended categorisation of trading activity in EEA shares. The diagram builds on ESMA's Figure 1 by (i) integrating the trading phase dimension (open / intraday / close / out-of-hours), (ii) distinguishing accessible from less-accessible liquidity on the basis of economic interest rather than execution channel, and (iii) treating contingent trades as </w:t>
      </w:r>
      <w:r w:rsidR="000D756F" w:rsidRPr="000744E3">
        <w:t xml:space="preserve">price forming but unlikely </w:t>
      </w:r>
      <w:r w:rsidR="0069229A" w:rsidRPr="000744E3">
        <w:t>easily</w:t>
      </w:r>
      <w:r w:rsidR="000D756F" w:rsidRPr="000744E3">
        <w:t xml:space="preserve"> </w:t>
      </w:r>
      <w:r w:rsidR="00E816B9" w:rsidRPr="000744E3">
        <w:t>accessible."</w:t>
      </w:r>
    </w:p>
    <w:p w14:paraId="226D9848" w14:textId="1D8424CE" w:rsidR="00EC76B8" w:rsidRPr="000744E3" w:rsidRDefault="00B73377" w:rsidP="007A0F40">
      <w:pPr>
        <w:spacing w:after="120"/>
        <w:jc w:val="left"/>
        <w:rPr>
          <w:b/>
          <w:bCs/>
        </w:rPr>
      </w:pPr>
      <w:r w:rsidRPr="000744E3">
        <w:rPr>
          <w:b/>
          <w:bCs/>
        </w:rPr>
        <w:t xml:space="preserve">All </w:t>
      </w:r>
      <w:r w:rsidR="00EC76B8" w:rsidRPr="000744E3">
        <w:rPr>
          <w:b/>
          <w:bCs/>
        </w:rPr>
        <w:t xml:space="preserve">trades with economic interest should be </w:t>
      </w:r>
      <w:r w:rsidR="00936063" w:rsidRPr="000744E3">
        <w:rPr>
          <w:b/>
          <w:bCs/>
        </w:rPr>
        <w:t>made post trade transparent</w:t>
      </w:r>
    </w:p>
    <w:p w14:paraId="05AF98E3" w14:textId="61343FB1" w:rsidR="00785AC1" w:rsidRPr="000744E3" w:rsidRDefault="00785AC1" w:rsidP="007A0F40">
      <w:pPr>
        <w:spacing w:after="120"/>
      </w:pPr>
      <w:r w:rsidRPr="000744E3">
        <w:t xml:space="preserve">In addition to the above, it is essential that all trades with economic interest are made public in the transparency data. </w:t>
      </w:r>
      <w:r w:rsidR="00837DAA" w:rsidRPr="000744E3">
        <w:t xml:space="preserve">The concept </w:t>
      </w:r>
      <w:r w:rsidR="004C5FAC" w:rsidRPr="000744E3">
        <w:t xml:space="preserve">that liquidity should be defined by economic interest rather than execution </w:t>
      </w:r>
      <w:r w:rsidR="00ED13A8" w:rsidRPr="000744E3">
        <w:t xml:space="preserve">channels is a </w:t>
      </w:r>
      <w:r w:rsidR="00AE7F61" w:rsidRPr="000744E3">
        <w:t>long-established</w:t>
      </w:r>
      <w:r w:rsidR="00ED13A8" w:rsidRPr="000744E3">
        <w:t xml:space="preserve"> </w:t>
      </w:r>
      <w:r w:rsidR="00FF17FE" w:rsidRPr="000744E3">
        <w:t>academic</w:t>
      </w:r>
      <w:r w:rsidR="00ED13A8" w:rsidRPr="000744E3">
        <w:t xml:space="preserve"> view </w:t>
      </w:r>
      <w:r w:rsidR="00F65A31" w:rsidRPr="000744E3">
        <w:t xml:space="preserve">(Foucault, Pagano &amp; Roell (2013), 'Market Liquidity: Theory, Evidence, and Policy', Oxford University Press) </w:t>
      </w:r>
      <w:r w:rsidR="00ED13A8" w:rsidRPr="000744E3">
        <w:t xml:space="preserve">and should </w:t>
      </w:r>
      <w:r w:rsidR="00FF17FE" w:rsidRPr="000744E3">
        <w:t xml:space="preserve">be the key criteria to define the </w:t>
      </w:r>
      <w:r w:rsidR="00F65A31" w:rsidRPr="000744E3">
        <w:t xml:space="preserve">regulatory </w:t>
      </w:r>
      <w:r w:rsidR="00FF17FE" w:rsidRPr="000744E3">
        <w:t>scope of post trade transparency</w:t>
      </w:r>
      <w:r w:rsidR="00F65A31" w:rsidRPr="000744E3">
        <w:t xml:space="preserve"> in </w:t>
      </w:r>
      <w:r w:rsidR="261F77CC" w:rsidRPr="000744E3">
        <w:t>European</w:t>
      </w:r>
      <w:r w:rsidR="00F65A31" w:rsidRPr="000744E3">
        <w:t xml:space="preserve"> </w:t>
      </w:r>
      <w:r w:rsidR="00582D13" w:rsidRPr="000744E3">
        <w:t>e</w:t>
      </w:r>
      <w:r w:rsidR="00F65A31" w:rsidRPr="000744E3">
        <w:t>quities</w:t>
      </w:r>
      <w:r w:rsidR="0069229A" w:rsidRPr="000744E3">
        <w:t xml:space="preserve">. </w:t>
      </w:r>
      <w:r w:rsidR="00E13DEF" w:rsidRPr="000744E3">
        <w:t>However, t</w:t>
      </w:r>
      <w:r w:rsidRPr="000744E3">
        <w:t xml:space="preserve">ransaction reporting data should </w:t>
      </w:r>
      <w:r w:rsidR="00E13DEF" w:rsidRPr="000744E3">
        <w:t xml:space="preserve">also </w:t>
      </w:r>
      <w:r w:rsidRPr="000744E3">
        <w:t>preserve technical transaction</w:t>
      </w:r>
      <w:r w:rsidR="0069229A" w:rsidRPr="000744E3">
        <w:t>s</w:t>
      </w:r>
      <w:r w:rsidRPr="000744E3">
        <w:t xml:space="preserve"> as they may prove useful for supervision purposes. </w:t>
      </w:r>
    </w:p>
    <w:p w14:paraId="377AF792" w14:textId="3236FB69" w:rsidR="00452206" w:rsidRPr="000744E3" w:rsidRDefault="00452206" w:rsidP="007A0F40">
      <w:pPr>
        <w:spacing w:after="120"/>
      </w:pPr>
      <w:r w:rsidRPr="000744E3">
        <w:t>With regard to technical trades, we agree that intragroup transactions should be remove</w:t>
      </w:r>
      <w:r w:rsidR="0069229A" w:rsidRPr="000744E3">
        <w:t>d</w:t>
      </w:r>
      <w:r w:rsidRPr="000744E3">
        <w:t xml:space="preserve"> when they are not the product of a real economic interest transfer. Similarly, we believe NPFT transactions should be removed from the mandatory scope applicable to off</w:t>
      </w:r>
      <w:r w:rsidR="001F5254" w:rsidRPr="000744E3">
        <w:t>-</w:t>
      </w:r>
      <w:r w:rsidRPr="000744E3">
        <w:t>book on</w:t>
      </w:r>
      <w:r w:rsidR="001F5254" w:rsidRPr="000744E3">
        <w:t>-</w:t>
      </w:r>
      <w:r w:rsidRPr="000744E3">
        <w:t xml:space="preserve">exchange (OBOE) trades. </w:t>
      </w:r>
    </w:p>
    <w:p w14:paraId="1940260C" w14:textId="77777777" w:rsidR="004F498E" w:rsidRPr="000744E3" w:rsidRDefault="004F498E" w:rsidP="007A0F40">
      <w:pPr>
        <w:spacing w:after="120"/>
        <w:jc w:val="left"/>
        <w:rPr>
          <w:b/>
          <w:bCs/>
        </w:rPr>
      </w:pPr>
      <w:r w:rsidRPr="000744E3">
        <w:rPr>
          <w:b/>
          <w:bCs/>
        </w:rPr>
        <w:t>Addressability is better framed by accessibility</w:t>
      </w:r>
    </w:p>
    <w:p w14:paraId="3C88F2DD" w14:textId="51E351AE" w:rsidR="00785AC1" w:rsidRPr="000744E3" w:rsidRDefault="00785AC1" w:rsidP="007A0F40">
      <w:pPr>
        <w:spacing w:after="120"/>
      </w:pPr>
      <w:r w:rsidRPr="000744E3">
        <w:t>Rather than using the terms ‘addressable’ and ‘non addressable’ liquidity</w:t>
      </w:r>
      <w:r w:rsidR="00452206" w:rsidRPr="000744E3">
        <w:t>,</w:t>
      </w:r>
      <w:r w:rsidRPr="000744E3">
        <w:t xml:space="preserve"> we suggest grouping </w:t>
      </w:r>
      <w:r w:rsidR="00452206" w:rsidRPr="000744E3">
        <w:t xml:space="preserve">the notional traded </w:t>
      </w:r>
      <w:r w:rsidRPr="000744E3">
        <w:t>into ‘accessible’ and ‘less accessible’ liquidity. These groupings more appropriately cover all trades of economic interest, and accessibility is a concept applicable both on</w:t>
      </w:r>
      <w:r w:rsidR="00873AD2" w:rsidRPr="000744E3">
        <w:t>-</w:t>
      </w:r>
      <w:r w:rsidRPr="000744E3">
        <w:t xml:space="preserve"> and off</w:t>
      </w:r>
      <w:r w:rsidR="00873AD2" w:rsidRPr="000744E3">
        <w:t>-</w:t>
      </w:r>
      <w:r w:rsidRPr="000744E3">
        <w:t>venue. Not all trading venues</w:t>
      </w:r>
      <w:r w:rsidR="00873AD2" w:rsidRPr="000744E3">
        <w:t>’</w:t>
      </w:r>
      <w:r w:rsidRPr="000744E3">
        <w:t xml:space="preserve"> books are relevant to all investors and similarly not all off venue liquidity is accessible to all. </w:t>
      </w:r>
    </w:p>
    <w:p w14:paraId="6CD9DD2D" w14:textId="626F4D0A" w:rsidR="00785AC1" w:rsidRPr="000744E3" w:rsidRDefault="006C2C1A" w:rsidP="007A0F40">
      <w:pPr>
        <w:spacing w:after="120"/>
      </w:pPr>
      <w:r w:rsidRPr="000744E3">
        <w:t>W</w:t>
      </w:r>
      <w:r w:rsidR="00785AC1" w:rsidRPr="000744E3">
        <w:t xml:space="preserve">e are concerned that </w:t>
      </w:r>
      <w:r w:rsidRPr="000744E3">
        <w:t xml:space="preserve">the concept of ‘addressable’ liquidity </w:t>
      </w:r>
      <w:r w:rsidR="00A31E90" w:rsidRPr="000744E3">
        <w:t xml:space="preserve">as presented by ESMA </w:t>
      </w:r>
      <w:r w:rsidR="00785AC1" w:rsidRPr="000744E3">
        <w:t xml:space="preserve">may become a proxy for </w:t>
      </w:r>
      <w:r w:rsidR="00C60CB5" w:rsidRPr="000744E3">
        <w:t>granting more exemption</w:t>
      </w:r>
      <w:r w:rsidR="004F498E" w:rsidRPr="000744E3">
        <w:t>s</w:t>
      </w:r>
      <w:r w:rsidR="00C60CB5" w:rsidRPr="000744E3">
        <w:t xml:space="preserve"> from post trade transparency</w:t>
      </w:r>
      <w:r w:rsidR="004F498E" w:rsidRPr="000744E3">
        <w:t xml:space="preserve"> which could lead to reduced perceived liquidity. W</w:t>
      </w:r>
      <w:r w:rsidR="00C60CB5" w:rsidRPr="000744E3">
        <w:t>e</w:t>
      </w:r>
      <w:r w:rsidR="00785AC1" w:rsidRPr="000744E3">
        <w:t xml:space="preserve"> believe that ‘accessible’ is more likely to encompass the economic interest factor outlined above. </w:t>
      </w:r>
    </w:p>
    <w:p w14:paraId="492D0EA5" w14:textId="684E78AA" w:rsidR="00487A12" w:rsidRPr="000744E3" w:rsidRDefault="00487A12" w:rsidP="007A0F40">
      <w:pPr>
        <w:spacing w:after="120"/>
        <w:rPr>
          <w:b/>
          <w:bCs/>
        </w:rPr>
      </w:pPr>
      <w:r w:rsidRPr="000744E3">
        <w:rPr>
          <w:b/>
          <w:bCs/>
        </w:rPr>
        <w:t xml:space="preserve">Transaction reporting and post trade transparency trade </w:t>
      </w:r>
      <w:r w:rsidR="00A31E90" w:rsidRPr="000744E3">
        <w:rPr>
          <w:b/>
          <w:bCs/>
        </w:rPr>
        <w:t xml:space="preserve">data </w:t>
      </w:r>
      <w:r w:rsidRPr="000744E3">
        <w:rPr>
          <w:b/>
          <w:bCs/>
        </w:rPr>
        <w:t>should align</w:t>
      </w:r>
    </w:p>
    <w:p w14:paraId="10916B38" w14:textId="25EC656B" w:rsidR="00785AC1" w:rsidRPr="000744E3" w:rsidRDefault="006C2C1A" w:rsidP="007A0F40">
      <w:pPr>
        <w:spacing w:after="120"/>
      </w:pPr>
      <w:r w:rsidRPr="000744E3">
        <w:t>I</w:t>
      </w:r>
      <w:r w:rsidR="00785AC1" w:rsidRPr="000744E3">
        <w:t>t is essential to address the creeping discrepancy between transaction reporting and post trade transparency. As noted by ESMA, the transparency regime has been amended to remove a number of technical trades (such as give-in/give up), to enhance data granularity (with the migration from TNCP to BENC, PORT, CONT). We believe it is critical to adjust transaction reporting to align the flagging but keep technical transaction</w:t>
      </w:r>
      <w:r w:rsidR="00D23688" w:rsidRPr="000744E3">
        <w:t>s</w:t>
      </w:r>
      <w:r w:rsidR="00785AC1" w:rsidRPr="000744E3">
        <w:t xml:space="preserve"> in the RTS 22, while removing them from RTS1. </w:t>
      </w:r>
    </w:p>
    <w:p w14:paraId="55F70EA7" w14:textId="7297384B" w:rsidR="00CE092F" w:rsidRPr="000744E3" w:rsidRDefault="003F233A" w:rsidP="007A0F40">
      <w:pPr>
        <w:spacing w:after="120"/>
        <w:jc w:val="left"/>
        <w:rPr>
          <w:b/>
          <w:bCs/>
        </w:rPr>
      </w:pPr>
      <w:r w:rsidRPr="000744E3">
        <w:rPr>
          <w:b/>
          <w:bCs/>
        </w:rPr>
        <w:t>Holistic d</w:t>
      </w:r>
      <w:r w:rsidR="00CE092F" w:rsidRPr="000744E3">
        <w:rPr>
          <w:b/>
          <w:bCs/>
        </w:rPr>
        <w:t xml:space="preserve">ata </w:t>
      </w:r>
      <w:r w:rsidR="00601242" w:rsidRPr="000744E3">
        <w:rPr>
          <w:b/>
          <w:bCs/>
        </w:rPr>
        <w:t>coverage matters to identify trends</w:t>
      </w:r>
    </w:p>
    <w:p w14:paraId="7CB58CA6" w14:textId="26970363" w:rsidR="002D65DB" w:rsidRPr="000744E3" w:rsidRDefault="002D65DB" w:rsidP="007A0F40">
      <w:pPr>
        <w:spacing w:after="120"/>
      </w:pPr>
      <w:r w:rsidRPr="000744E3">
        <w:t xml:space="preserve">As ESMA acknowledges, </w:t>
      </w:r>
      <w:r w:rsidR="00C64075" w:rsidRPr="000744E3">
        <w:t xml:space="preserve">its </w:t>
      </w:r>
      <w:r w:rsidRPr="000744E3">
        <w:t>analysis is built on transaction reporting data and therefore captures only a partial view of off-venue activity executed outside the EEA. This is particularly material for SIs: based on Aquis's post-trade transparency data analysis across the EU, UK and Switzerland, approximately 55% of equity volumes published as SI activity for EEA shares between January and April 2026 were published</w:t>
      </w:r>
      <w:r w:rsidR="00355B8E" w:rsidRPr="000744E3">
        <w:t xml:space="preserve"> (</w:t>
      </w:r>
      <w:proofErr w:type="spellStart"/>
      <w:r w:rsidR="00355B8E" w:rsidRPr="000744E3">
        <w:t>i.e</w:t>
      </w:r>
      <w:proofErr w:type="spellEnd"/>
      <w:r w:rsidR="00355B8E" w:rsidRPr="000744E3">
        <w:t xml:space="preserve"> executed) </w:t>
      </w:r>
      <w:r w:rsidRPr="000744E3">
        <w:t xml:space="preserve"> in the UK. Similarly, approximately </w:t>
      </w:r>
      <w:r w:rsidR="005A7F97" w:rsidRPr="000744E3">
        <w:t>60</w:t>
      </w:r>
      <w:r w:rsidRPr="000744E3">
        <w:t>% of all off-venue activity</w:t>
      </w:r>
      <w:r w:rsidR="005A7F97" w:rsidRPr="000744E3">
        <w:t xml:space="preserve"> (OTC, OBOE, SI)</w:t>
      </w:r>
      <w:r w:rsidRPr="000744E3">
        <w:t xml:space="preserve"> in EEA shares is </w:t>
      </w:r>
      <w:r w:rsidR="00355B8E" w:rsidRPr="000744E3">
        <w:t xml:space="preserve">executed </w:t>
      </w:r>
      <w:r w:rsidRPr="000744E3">
        <w:t xml:space="preserve">in the UK. Any analysis of EEA equity market structure that excludes these volumes risks materially understating the off-venue </w:t>
      </w:r>
      <w:r w:rsidR="003934F6" w:rsidRPr="000744E3">
        <w:t xml:space="preserve">proportion of trading and </w:t>
      </w:r>
      <w:r w:rsidR="006C2C1A" w:rsidRPr="000744E3">
        <w:t xml:space="preserve">could </w:t>
      </w:r>
      <w:r w:rsidR="00712549" w:rsidRPr="000744E3">
        <w:t xml:space="preserve">be misleading </w:t>
      </w:r>
      <w:r w:rsidR="00A13808" w:rsidRPr="000744E3">
        <w:t>when</w:t>
      </w:r>
      <w:r w:rsidR="00712549" w:rsidRPr="000744E3">
        <w:t xml:space="preserve"> analysing liquidity trends and price formation</w:t>
      </w:r>
      <w:r w:rsidRPr="000744E3">
        <w:t>. We encourage ESMA to seek a data-sharing arrangement with the UK FCA to close this gap.</w:t>
      </w:r>
    </w:p>
    <w:p w14:paraId="05857096" w14:textId="65F7A369" w:rsidR="00600F73" w:rsidRPr="000744E3" w:rsidRDefault="00C31F88" w:rsidP="007A0F40">
      <w:pPr>
        <w:spacing w:after="120"/>
      </w:pPr>
      <w:r w:rsidRPr="000744E3">
        <w:t>Comparing ESMA EEA transaction reporting analysis with our post trade data analysis</w:t>
      </w:r>
      <w:r w:rsidR="00600F73" w:rsidRPr="000744E3">
        <w:t xml:space="preserve"> (having removed any NPFT trades from the </w:t>
      </w:r>
      <w:r w:rsidR="001631C4" w:rsidRPr="000744E3">
        <w:t>analysis</w:t>
      </w:r>
      <w:r w:rsidR="00600F73" w:rsidRPr="000744E3">
        <w:t>), we find the following differences:</w:t>
      </w:r>
    </w:p>
    <w:tbl>
      <w:tblPr>
        <w:tblStyle w:val="TableGrid"/>
        <w:tblW w:w="0" w:type="auto"/>
        <w:tblInd w:w="1413" w:type="dxa"/>
        <w:tblLook w:val="04A0" w:firstRow="1" w:lastRow="0" w:firstColumn="1" w:lastColumn="0" w:noHBand="0" w:noVBand="1"/>
      </w:tblPr>
      <w:tblGrid>
        <w:gridCol w:w="1555"/>
        <w:gridCol w:w="1559"/>
        <w:gridCol w:w="1701"/>
        <w:gridCol w:w="1559"/>
      </w:tblGrid>
      <w:tr w:rsidR="00504C1F" w:rsidRPr="000744E3" w14:paraId="16621D15" w14:textId="6E9D385B" w:rsidTr="007A0F40">
        <w:trPr>
          <w:trHeight w:val="392"/>
        </w:trPr>
        <w:tc>
          <w:tcPr>
            <w:tcW w:w="1555" w:type="dxa"/>
            <w:shd w:val="clear" w:color="auto" w:fill="0E2841" w:themeFill="text2"/>
          </w:tcPr>
          <w:p w14:paraId="03856634" w14:textId="49F350B2" w:rsidR="00504C1F" w:rsidRPr="007A0F40" w:rsidRDefault="00504C1F" w:rsidP="007A0F40">
            <w:pPr>
              <w:spacing w:after="0" w:line="240" w:lineRule="auto"/>
              <w:rPr>
                <w:color w:val="FFFFFF" w:themeColor="background1"/>
                <w:sz w:val="18"/>
                <w:szCs w:val="16"/>
              </w:rPr>
            </w:pPr>
            <w:r w:rsidRPr="007A0F40">
              <w:rPr>
                <w:color w:val="FFFFFF" w:themeColor="background1"/>
                <w:sz w:val="18"/>
                <w:szCs w:val="16"/>
              </w:rPr>
              <w:t xml:space="preserve">Market share </w:t>
            </w:r>
          </w:p>
        </w:tc>
        <w:tc>
          <w:tcPr>
            <w:tcW w:w="1559" w:type="dxa"/>
            <w:shd w:val="clear" w:color="auto" w:fill="0E2841" w:themeFill="text2"/>
          </w:tcPr>
          <w:p w14:paraId="2AB848B4" w14:textId="77777777" w:rsidR="00504C1F" w:rsidRPr="007A0F40" w:rsidRDefault="00504C1F" w:rsidP="0012036D">
            <w:pPr>
              <w:spacing w:after="0" w:line="240" w:lineRule="auto"/>
              <w:jc w:val="center"/>
              <w:rPr>
                <w:color w:val="FFFFFF" w:themeColor="background1"/>
                <w:sz w:val="18"/>
                <w:szCs w:val="16"/>
              </w:rPr>
            </w:pPr>
            <w:r w:rsidRPr="007A0F40">
              <w:rPr>
                <w:color w:val="FFFFFF" w:themeColor="background1"/>
                <w:sz w:val="18"/>
                <w:szCs w:val="16"/>
              </w:rPr>
              <w:t>ESMA TR Analysis</w:t>
            </w:r>
          </w:p>
          <w:p w14:paraId="2FAE8121" w14:textId="0322BF92" w:rsidR="00DF7AFD" w:rsidRPr="007A0F40" w:rsidRDefault="00DF7AFD" w:rsidP="0012036D">
            <w:pPr>
              <w:spacing w:after="0" w:line="240" w:lineRule="auto"/>
              <w:jc w:val="center"/>
              <w:rPr>
                <w:color w:val="FFFFFF" w:themeColor="background1"/>
                <w:sz w:val="18"/>
                <w:szCs w:val="16"/>
              </w:rPr>
            </w:pPr>
            <w:r w:rsidRPr="007A0F40">
              <w:rPr>
                <w:color w:val="FFFFFF" w:themeColor="background1"/>
                <w:sz w:val="18"/>
                <w:szCs w:val="16"/>
              </w:rPr>
              <w:t>Jan-Dec 25</w:t>
            </w:r>
          </w:p>
        </w:tc>
        <w:tc>
          <w:tcPr>
            <w:tcW w:w="1701" w:type="dxa"/>
            <w:shd w:val="clear" w:color="auto" w:fill="0E2841" w:themeFill="text2"/>
          </w:tcPr>
          <w:p w14:paraId="5EC0D44D" w14:textId="77777777" w:rsidR="00E1454F" w:rsidRPr="007A0F40" w:rsidRDefault="00504C1F" w:rsidP="0012036D">
            <w:pPr>
              <w:spacing w:after="0" w:line="240" w:lineRule="auto"/>
              <w:jc w:val="center"/>
              <w:rPr>
                <w:color w:val="FFFFFF" w:themeColor="background1"/>
                <w:sz w:val="18"/>
                <w:szCs w:val="16"/>
              </w:rPr>
            </w:pPr>
            <w:r w:rsidRPr="007A0F40">
              <w:rPr>
                <w:color w:val="FFFFFF" w:themeColor="background1"/>
                <w:sz w:val="18"/>
                <w:szCs w:val="16"/>
              </w:rPr>
              <w:t>Aquis PTT Analysis</w:t>
            </w:r>
          </w:p>
          <w:p w14:paraId="549C9738" w14:textId="3D9AB311" w:rsidR="00504C1F" w:rsidRPr="007A0F40" w:rsidRDefault="00E1454F" w:rsidP="0012036D">
            <w:pPr>
              <w:spacing w:after="0" w:line="240" w:lineRule="auto"/>
              <w:jc w:val="center"/>
              <w:rPr>
                <w:color w:val="FFFFFF" w:themeColor="background1"/>
                <w:sz w:val="18"/>
                <w:szCs w:val="16"/>
              </w:rPr>
            </w:pPr>
            <w:r w:rsidRPr="007A0F40">
              <w:rPr>
                <w:color w:val="FFFFFF" w:themeColor="background1"/>
                <w:sz w:val="18"/>
                <w:szCs w:val="16"/>
              </w:rPr>
              <w:t>Jan-Dec 25</w:t>
            </w:r>
          </w:p>
        </w:tc>
        <w:tc>
          <w:tcPr>
            <w:tcW w:w="1559" w:type="dxa"/>
            <w:shd w:val="clear" w:color="auto" w:fill="0E2841" w:themeFill="text2"/>
          </w:tcPr>
          <w:p w14:paraId="40F125BB" w14:textId="77777777" w:rsidR="00504C1F" w:rsidRPr="007A0F40" w:rsidRDefault="00E1454F" w:rsidP="0012036D">
            <w:pPr>
              <w:spacing w:after="0" w:line="240" w:lineRule="auto"/>
              <w:jc w:val="center"/>
              <w:rPr>
                <w:color w:val="FFFFFF" w:themeColor="background1"/>
                <w:sz w:val="18"/>
                <w:szCs w:val="16"/>
                <w:lang w:val="en-GB"/>
              </w:rPr>
            </w:pPr>
            <w:r w:rsidRPr="007A0F40">
              <w:rPr>
                <w:color w:val="FFFFFF" w:themeColor="background1"/>
                <w:sz w:val="18"/>
                <w:szCs w:val="16"/>
                <w:lang w:val="en-GB"/>
              </w:rPr>
              <w:t>Aquis PTT Analysis</w:t>
            </w:r>
          </w:p>
          <w:p w14:paraId="2087E1F0" w14:textId="61CCBE13" w:rsidR="00E1454F" w:rsidRPr="007A0F40" w:rsidRDefault="00E1454F" w:rsidP="0012036D">
            <w:pPr>
              <w:spacing w:after="0" w:line="240" w:lineRule="auto"/>
              <w:jc w:val="center"/>
              <w:rPr>
                <w:color w:val="FFFFFF" w:themeColor="background1"/>
                <w:sz w:val="18"/>
                <w:szCs w:val="16"/>
                <w:lang w:val="en-GB"/>
              </w:rPr>
            </w:pPr>
            <w:r w:rsidRPr="007A0F40">
              <w:rPr>
                <w:color w:val="FFFFFF" w:themeColor="background1"/>
                <w:sz w:val="18"/>
                <w:szCs w:val="16"/>
                <w:lang w:val="en-GB"/>
              </w:rPr>
              <w:t>Jan-April 26</w:t>
            </w:r>
          </w:p>
        </w:tc>
      </w:tr>
      <w:tr w:rsidR="00504C1F" w:rsidRPr="000744E3" w14:paraId="5C988641" w14:textId="04DF0145" w:rsidTr="007A0F40">
        <w:trPr>
          <w:trHeight w:val="58"/>
        </w:trPr>
        <w:tc>
          <w:tcPr>
            <w:tcW w:w="1555" w:type="dxa"/>
            <w:shd w:val="clear" w:color="auto" w:fill="DAE9F7" w:themeFill="text2" w:themeFillTint="1A"/>
          </w:tcPr>
          <w:p w14:paraId="4D026B05" w14:textId="65CA3782" w:rsidR="00504C1F" w:rsidRPr="007A0F40" w:rsidRDefault="00504C1F" w:rsidP="007A0F40">
            <w:pPr>
              <w:spacing w:after="0" w:line="240" w:lineRule="auto"/>
              <w:rPr>
                <w:b/>
                <w:bCs/>
                <w:sz w:val="18"/>
                <w:szCs w:val="16"/>
              </w:rPr>
            </w:pPr>
            <w:r w:rsidRPr="007A0F40">
              <w:rPr>
                <w:b/>
                <w:bCs/>
                <w:sz w:val="18"/>
                <w:szCs w:val="16"/>
              </w:rPr>
              <w:t>Off</w:t>
            </w:r>
            <w:r w:rsidR="00A13808" w:rsidRPr="007A0F40">
              <w:rPr>
                <w:b/>
                <w:bCs/>
                <w:sz w:val="18"/>
                <w:szCs w:val="16"/>
              </w:rPr>
              <w:t>-</w:t>
            </w:r>
            <w:proofErr w:type="spellStart"/>
            <w:r w:rsidR="00DB7E86" w:rsidRPr="007A0F40">
              <w:rPr>
                <w:b/>
                <w:bCs/>
                <w:sz w:val="18"/>
                <w:szCs w:val="16"/>
              </w:rPr>
              <w:t>Venue</w:t>
            </w:r>
            <w:proofErr w:type="spellEnd"/>
          </w:p>
        </w:tc>
        <w:tc>
          <w:tcPr>
            <w:tcW w:w="1559" w:type="dxa"/>
            <w:shd w:val="clear" w:color="auto" w:fill="DAE9F7" w:themeFill="text2" w:themeFillTint="1A"/>
          </w:tcPr>
          <w:p w14:paraId="70D08817" w14:textId="255F95C3" w:rsidR="00504C1F" w:rsidRPr="007A0F40" w:rsidRDefault="00504C1F" w:rsidP="0012036D">
            <w:pPr>
              <w:spacing w:after="0" w:line="240" w:lineRule="auto"/>
              <w:jc w:val="center"/>
              <w:rPr>
                <w:b/>
                <w:bCs/>
                <w:sz w:val="18"/>
                <w:szCs w:val="16"/>
              </w:rPr>
            </w:pPr>
            <w:r w:rsidRPr="007A0F40">
              <w:rPr>
                <w:b/>
                <w:bCs/>
                <w:sz w:val="18"/>
                <w:szCs w:val="16"/>
              </w:rPr>
              <w:t>25%</w:t>
            </w:r>
          </w:p>
        </w:tc>
        <w:tc>
          <w:tcPr>
            <w:tcW w:w="1701" w:type="dxa"/>
            <w:shd w:val="clear" w:color="auto" w:fill="DAE9F7" w:themeFill="text2" w:themeFillTint="1A"/>
          </w:tcPr>
          <w:p w14:paraId="0B01BC11" w14:textId="11F2DFF0" w:rsidR="00504C1F" w:rsidRPr="007A0F40" w:rsidRDefault="00504C1F" w:rsidP="0012036D">
            <w:pPr>
              <w:spacing w:after="0" w:line="240" w:lineRule="auto"/>
              <w:jc w:val="center"/>
              <w:rPr>
                <w:b/>
                <w:bCs/>
                <w:sz w:val="18"/>
                <w:szCs w:val="16"/>
              </w:rPr>
            </w:pPr>
            <w:r w:rsidRPr="007A0F40">
              <w:rPr>
                <w:b/>
                <w:bCs/>
                <w:sz w:val="18"/>
                <w:szCs w:val="16"/>
              </w:rPr>
              <w:t>3</w:t>
            </w:r>
            <w:r w:rsidR="000608DD" w:rsidRPr="007A0F40">
              <w:rPr>
                <w:b/>
                <w:bCs/>
                <w:sz w:val="18"/>
                <w:szCs w:val="16"/>
              </w:rPr>
              <w:t>4.</w:t>
            </w:r>
            <w:r w:rsidR="006D71C7" w:rsidRPr="007A0F40">
              <w:rPr>
                <w:b/>
                <w:bCs/>
                <w:sz w:val="18"/>
                <w:szCs w:val="16"/>
              </w:rPr>
              <w:t>6</w:t>
            </w:r>
            <w:r w:rsidRPr="007A0F40">
              <w:rPr>
                <w:b/>
                <w:bCs/>
                <w:sz w:val="18"/>
                <w:szCs w:val="16"/>
              </w:rPr>
              <w:t>%</w:t>
            </w:r>
          </w:p>
        </w:tc>
        <w:tc>
          <w:tcPr>
            <w:tcW w:w="1559" w:type="dxa"/>
            <w:shd w:val="clear" w:color="auto" w:fill="DAE9F7" w:themeFill="text2" w:themeFillTint="1A"/>
          </w:tcPr>
          <w:p w14:paraId="7A405AF3" w14:textId="4DFE8CD0" w:rsidR="00504C1F" w:rsidRPr="007A0F40" w:rsidRDefault="00EE51C0" w:rsidP="0012036D">
            <w:pPr>
              <w:spacing w:after="0" w:line="240" w:lineRule="auto"/>
              <w:jc w:val="center"/>
              <w:rPr>
                <w:b/>
                <w:bCs/>
                <w:sz w:val="18"/>
                <w:szCs w:val="16"/>
              </w:rPr>
            </w:pPr>
            <w:r w:rsidRPr="007A0F40">
              <w:rPr>
                <w:b/>
                <w:bCs/>
                <w:sz w:val="18"/>
                <w:szCs w:val="16"/>
              </w:rPr>
              <w:t>3</w:t>
            </w:r>
            <w:r w:rsidR="007F37F1" w:rsidRPr="007A0F40">
              <w:rPr>
                <w:b/>
                <w:bCs/>
                <w:sz w:val="18"/>
                <w:szCs w:val="16"/>
              </w:rPr>
              <w:t>5</w:t>
            </w:r>
            <w:r w:rsidRPr="007A0F40">
              <w:rPr>
                <w:b/>
                <w:bCs/>
                <w:sz w:val="18"/>
                <w:szCs w:val="16"/>
              </w:rPr>
              <w:t>%</w:t>
            </w:r>
          </w:p>
        </w:tc>
      </w:tr>
      <w:tr w:rsidR="00504C1F" w:rsidRPr="000744E3" w14:paraId="2C31F079" w14:textId="3BD5F6FE" w:rsidTr="007A0F40">
        <w:tc>
          <w:tcPr>
            <w:tcW w:w="1555" w:type="dxa"/>
          </w:tcPr>
          <w:p w14:paraId="626360A6" w14:textId="0D4A5D8D" w:rsidR="00504C1F" w:rsidRPr="007A0F40" w:rsidRDefault="00504C1F" w:rsidP="007A0F40">
            <w:pPr>
              <w:spacing w:after="0" w:line="240" w:lineRule="auto"/>
              <w:ind w:left="720"/>
              <w:rPr>
                <w:sz w:val="18"/>
                <w:szCs w:val="16"/>
              </w:rPr>
            </w:pPr>
            <w:r w:rsidRPr="007A0F40">
              <w:rPr>
                <w:sz w:val="18"/>
                <w:szCs w:val="16"/>
              </w:rPr>
              <w:t>SI</w:t>
            </w:r>
          </w:p>
        </w:tc>
        <w:tc>
          <w:tcPr>
            <w:tcW w:w="1559" w:type="dxa"/>
          </w:tcPr>
          <w:p w14:paraId="197FB5DF" w14:textId="6ADDF036" w:rsidR="00504C1F" w:rsidRPr="007A0F40" w:rsidRDefault="00504C1F" w:rsidP="0012036D">
            <w:pPr>
              <w:spacing w:after="0" w:line="240" w:lineRule="auto"/>
              <w:jc w:val="center"/>
              <w:rPr>
                <w:sz w:val="18"/>
                <w:szCs w:val="16"/>
              </w:rPr>
            </w:pPr>
            <w:r w:rsidRPr="007A0F40">
              <w:rPr>
                <w:sz w:val="18"/>
                <w:szCs w:val="16"/>
              </w:rPr>
              <w:t>11%</w:t>
            </w:r>
          </w:p>
        </w:tc>
        <w:tc>
          <w:tcPr>
            <w:tcW w:w="1701" w:type="dxa"/>
          </w:tcPr>
          <w:p w14:paraId="5370DF43" w14:textId="01E2BEC8" w:rsidR="00504C1F" w:rsidRPr="007A0F40" w:rsidRDefault="00504C1F" w:rsidP="0012036D">
            <w:pPr>
              <w:spacing w:after="0" w:line="240" w:lineRule="auto"/>
              <w:jc w:val="center"/>
              <w:rPr>
                <w:sz w:val="18"/>
                <w:szCs w:val="16"/>
              </w:rPr>
            </w:pPr>
            <w:r w:rsidRPr="007A0F40">
              <w:rPr>
                <w:sz w:val="18"/>
                <w:szCs w:val="16"/>
              </w:rPr>
              <w:t>1</w:t>
            </w:r>
            <w:r w:rsidR="000608DD" w:rsidRPr="007A0F40">
              <w:rPr>
                <w:sz w:val="18"/>
                <w:szCs w:val="16"/>
              </w:rPr>
              <w:t>4.8</w:t>
            </w:r>
            <w:r w:rsidRPr="007A0F40">
              <w:rPr>
                <w:sz w:val="18"/>
                <w:szCs w:val="16"/>
              </w:rPr>
              <w:t>%</w:t>
            </w:r>
          </w:p>
        </w:tc>
        <w:tc>
          <w:tcPr>
            <w:tcW w:w="1559" w:type="dxa"/>
          </w:tcPr>
          <w:p w14:paraId="1A71421F" w14:textId="6E6D2BF8" w:rsidR="00504C1F" w:rsidRPr="007A0F40" w:rsidRDefault="00446554" w:rsidP="0012036D">
            <w:pPr>
              <w:spacing w:after="0" w:line="240" w:lineRule="auto"/>
              <w:jc w:val="center"/>
              <w:rPr>
                <w:sz w:val="18"/>
                <w:szCs w:val="16"/>
              </w:rPr>
            </w:pPr>
            <w:r w:rsidRPr="007A0F40">
              <w:rPr>
                <w:sz w:val="18"/>
                <w:szCs w:val="16"/>
              </w:rPr>
              <w:t>1</w:t>
            </w:r>
            <w:r w:rsidR="006441BF" w:rsidRPr="007A0F40">
              <w:rPr>
                <w:sz w:val="18"/>
                <w:szCs w:val="16"/>
              </w:rPr>
              <w:t>6.7</w:t>
            </w:r>
            <w:r w:rsidRPr="007A0F40">
              <w:rPr>
                <w:sz w:val="18"/>
                <w:szCs w:val="16"/>
              </w:rPr>
              <w:t>%</w:t>
            </w:r>
          </w:p>
        </w:tc>
      </w:tr>
      <w:tr w:rsidR="00504C1F" w:rsidRPr="000744E3" w14:paraId="00F3A5B6" w14:textId="1EC83BF3" w:rsidTr="007A0F40">
        <w:trPr>
          <w:trHeight w:val="58"/>
        </w:trPr>
        <w:tc>
          <w:tcPr>
            <w:tcW w:w="1555" w:type="dxa"/>
          </w:tcPr>
          <w:p w14:paraId="54DC37CC" w14:textId="35071F2C" w:rsidR="00504C1F" w:rsidRPr="007A0F40" w:rsidRDefault="00504C1F" w:rsidP="007A0F40">
            <w:pPr>
              <w:spacing w:after="0" w:line="240" w:lineRule="auto"/>
              <w:ind w:left="720"/>
              <w:rPr>
                <w:sz w:val="18"/>
                <w:szCs w:val="16"/>
              </w:rPr>
            </w:pPr>
            <w:r w:rsidRPr="007A0F40">
              <w:rPr>
                <w:sz w:val="18"/>
                <w:szCs w:val="16"/>
              </w:rPr>
              <w:t>OBOE</w:t>
            </w:r>
          </w:p>
        </w:tc>
        <w:tc>
          <w:tcPr>
            <w:tcW w:w="1559" w:type="dxa"/>
          </w:tcPr>
          <w:p w14:paraId="1F5576B0" w14:textId="76993001" w:rsidR="00504C1F" w:rsidRPr="007A0F40" w:rsidRDefault="00504C1F" w:rsidP="0012036D">
            <w:pPr>
              <w:spacing w:after="0" w:line="240" w:lineRule="auto"/>
              <w:jc w:val="center"/>
              <w:rPr>
                <w:sz w:val="18"/>
                <w:szCs w:val="16"/>
              </w:rPr>
            </w:pPr>
            <w:r w:rsidRPr="007A0F40">
              <w:rPr>
                <w:sz w:val="18"/>
                <w:szCs w:val="16"/>
              </w:rPr>
              <w:t>6.1%</w:t>
            </w:r>
          </w:p>
        </w:tc>
        <w:tc>
          <w:tcPr>
            <w:tcW w:w="1701" w:type="dxa"/>
          </w:tcPr>
          <w:p w14:paraId="2CB6EECB" w14:textId="721E67DD" w:rsidR="00504C1F" w:rsidRPr="007A0F40" w:rsidRDefault="000608DD" w:rsidP="0012036D">
            <w:pPr>
              <w:spacing w:after="0" w:line="240" w:lineRule="auto"/>
              <w:jc w:val="center"/>
              <w:rPr>
                <w:sz w:val="18"/>
                <w:szCs w:val="16"/>
              </w:rPr>
            </w:pPr>
            <w:r w:rsidRPr="007A0F40">
              <w:rPr>
                <w:sz w:val="18"/>
                <w:szCs w:val="16"/>
              </w:rPr>
              <w:t>6.8</w:t>
            </w:r>
            <w:r w:rsidR="00504C1F" w:rsidRPr="007A0F40">
              <w:rPr>
                <w:sz w:val="18"/>
                <w:szCs w:val="16"/>
              </w:rPr>
              <w:t>%</w:t>
            </w:r>
          </w:p>
        </w:tc>
        <w:tc>
          <w:tcPr>
            <w:tcW w:w="1559" w:type="dxa"/>
          </w:tcPr>
          <w:p w14:paraId="02B08BDC" w14:textId="00196735" w:rsidR="00504C1F" w:rsidRPr="007A0F40" w:rsidRDefault="0069525F" w:rsidP="0012036D">
            <w:pPr>
              <w:spacing w:after="0" w:line="240" w:lineRule="auto"/>
              <w:jc w:val="center"/>
              <w:rPr>
                <w:sz w:val="18"/>
                <w:szCs w:val="16"/>
              </w:rPr>
            </w:pPr>
            <w:r w:rsidRPr="007A0F40">
              <w:rPr>
                <w:sz w:val="18"/>
                <w:szCs w:val="16"/>
              </w:rPr>
              <w:t>6.8</w:t>
            </w:r>
            <w:r w:rsidR="007F37F1" w:rsidRPr="007A0F40">
              <w:rPr>
                <w:sz w:val="18"/>
                <w:szCs w:val="16"/>
              </w:rPr>
              <w:t>%</w:t>
            </w:r>
          </w:p>
        </w:tc>
      </w:tr>
      <w:tr w:rsidR="00504C1F" w:rsidRPr="000744E3" w14:paraId="0F312943" w14:textId="391617F1" w:rsidTr="007A0F40">
        <w:tc>
          <w:tcPr>
            <w:tcW w:w="1555" w:type="dxa"/>
          </w:tcPr>
          <w:p w14:paraId="44E16404" w14:textId="1CBBCC24" w:rsidR="00504C1F" w:rsidRPr="007A0F40" w:rsidRDefault="00504C1F" w:rsidP="007A0F40">
            <w:pPr>
              <w:spacing w:after="0" w:line="240" w:lineRule="auto"/>
              <w:ind w:left="720"/>
              <w:rPr>
                <w:sz w:val="18"/>
                <w:szCs w:val="16"/>
              </w:rPr>
            </w:pPr>
            <w:r w:rsidRPr="007A0F40">
              <w:rPr>
                <w:sz w:val="18"/>
                <w:szCs w:val="16"/>
              </w:rPr>
              <w:t>OTC</w:t>
            </w:r>
          </w:p>
        </w:tc>
        <w:tc>
          <w:tcPr>
            <w:tcW w:w="1559" w:type="dxa"/>
          </w:tcPr>
          <w:p w14:paraId="15C6C4E6" w14:textId="65D2E8C8" w:rsidR="00504C1F" w:rsidRPr="007A0F40" w:rsidRDefault="00504C1F" w:rsidP="0012036D">
            <w:pPr>
              <w:spacing w:after="0" w:line="240" w:lineRule="auto"/>
              <w:jc w:val="center"/>
              <w:rPr>
                <w:sz w:val="18"/>
                <w:szCs w:val="16"/>
              </w:rPr>
            </w:pPr>
            <w:r w:rsidRPr="007A0F40">
              <w:rPr>
                <w:sz w:val="18"/>
                <w:szCs w:val="16"/>
              </w:rPr>
              <w:t>6.8%</w:t>
            </w:r>
          </w:p>
        </w:tc>
        <w:tc>
          <w:tcPr>
            <w:tcW w:w="1701" w:type="dxa"/>
          </w:tcPr>
          <w:p w14:paraId="057C5E0F" w14:textId="45FA151B" w:rsidR="00504C1F" w:rsidRPr="007A0F40" w:rsidRDefault="00504C1F" w:rsidP="0012036D">
            <w:pPr>
              <w:spacing w:after="0" w:line="240" w:lineRule="auto"/>
              <w:jc w:val="center"/>
              <w:rPr>
                <w:sz w:val="18"/>
                <w:szCs w:val="16"/>
              </w:rPr>
            </w:pPr>
            <w:r w:rsidRPr="007A0F40">
              <w:rPr>
                <w:sz w:val="18"/>
                <w:szCs w:val="16"/>
              </w:rPr>
              <w:t>13%</w:t>
            </w:r>
          </w:p>
        </w:tc>
        <w:tc>
          <w:tcPr>
            <w:tcW w:w="1559" w:type="dxa"/>
          </w:tcPr>
          <w:p w14:paraId="1FA13F23" w14:textId="66E055AC" w:rsidR="00504C1F" w:rsidRPr="007A0F40" w:rsidRDefault="007F37F1" w:rsidP="0012036D">
            <w:pPr>
              <w:spacing w:after="0" w:line="240" w:lineRule="auto"/>
              <w:jc w:val="center"/>
              <w:rPr>
                <w:sz w:val="18"/>
                <w:szCs w:val="16"/>
              </w:rPr>
            </w:pPr>
            <w:r w:rsidRPr="007A0F40">
              <w:rPr>
                <w:sz w:val="18"/>
                <w:szCs w:val="16"/>
              </w:rPr>
              <w:t>11</w:t>
            </w:r>
            <w:r w:rsidR="0069525F" w:rsidRPr="007A0F40">
              <w:rPr>
                <w:sz w:val="18"/>
                <w:szCs w:val="16"/>
              </w:rPr>
              <w:t>.5</w:t>
            </w:r>
            <w:r w:rsidRPr="007A0F40">
              <w:rPr>
                <w:sz w:val="18"/>
                <w:szCs w:val="16"/>
              </w:rPr>
              <w:t>%</w:t>
            </w:r>
          </w:p>
        </w:tc>
      </w:tr>
      <w:tr w:rsidR="00504C1F" w:rsidRPr="000744E3" w14:paraId="4D2B7FB1" w14:textId="45817371" w:rsidTr="007A0F40">
        <w:tc>
          <w:tcPr>
            <w:tcW w:w="1555" w:type="dxa"/>
            <w:shd w:val="clear" w:color="auto" w:fill="DAE9F7" w:themeFill="text2" w:themeFillTint="1A"/>
          </w:tcPr>
          <w:p w14:paraId="1CD94914" w14:textId="76FB2991" w:rsidR="00504C1F" w:rsidRPr="007A0F40" w:rsidRDefault="00504C1F" w:rsidP="007A0F40">
            <w:pPr>
              <w:spacing w:after="0" w:line="240" w:lineRule="auto"/>
              <w:rPr>
                <w:b/>
                <w:bCs/>
                <w:sz w:val="18"/>
                <w:szCs w:val="16"/>
              </w:rPr>
            </w:pPr>
            <w:r w:rsidRPr="007A0F40">
              <w:rPr>
                <w:b/>
                <w:bCs/>
                <w:sz w:val="18"/>
                <w:szCs w:val="16"/>
              </w:rPr>
              <w:t>CLOB</w:t>
            </w:r>
          </w:p>
        </w:tc>
        <w:tc>
          <w:tcPr>
            <w:tcW w:w="1559" w:type="dxa"/>
            <w:shd w:val="clear" w:color="auto" w:fill="DAE9F7" w:themeFill="text2" w:themeFillTint="1A"/>
          </w:tcPr>
          <w:p w14:paraId="56D552B7" w14:textId="733ABCCB" w:rsidR="00504C1F" w:rsidRPr="007A0F40" w:rsidRDefault="00504C1F" w:rsidP="0012036D">
            <w:pPr>
              <w:spacing w:after="0" w:line="240" w:lineRule="auto"/>
              <w:jc w:val="center"/>
              <w:rPr>
                <w:b/>
                <w:bCs/>
                <w:sz w:val="18"/>
                <w:szCs w:val="16"/>
              </w:rPr>
            </w:pPr>
            <w:r w:rsidRPr="007A0F40">
              <w:rPr>
                <w:b/>
                <w:bCs/>
                <w:sz w:val="18"/>
                <w:szCs w:val="16"/>
              </w:rPr>
              <w:t>45%</w:t>
            </w:r>
          </w:p>
        </w:tc>
        <w:tc>
          <w:tcPr>
            <w:tcW w:w="1701" w:type="dxa"/>
            <w:shd w:val="clear" w:color="auto" w:fill="DAE9F7" w:themeFill="text2" w:themeFillTint="1A"/>
          </w:tcPr>
          <w:p w14:paraId="50D31723" w14:textId="0C4C4BC2" w:rsidR="00504C1F" w:rsidRPr="007A0F40" w:rsidRDefault="00504C1F" w:rsidP="0012036D">
            <w:pPr>
              <w:spacing w:after="0" w:line="240" w:lineRule="auto"/>
              <w:jc w:val="center"/>
              <w:rPr>
                <w:b/>
                <w:bCs/>
                <w:sz w:val="18"/>
                <w:szCs w:val="16"/>
              </w:rPr>
            </w:pPr>
            <w:r w:rsidRPr="007A0F40">
              <w:rPr>
                <w:b/>
                <w:bCs/>
                <w:sz w:val="18"/>
                <w:szCs w:val="16"/>
              </w:rPr>
              <w:t>37.5%</w:t>
            </w:r>
          </w:p>
        </w:tc>
        <w:tc>
          <w:tcPr>
            <w:tcW w:w="1559" w:type="dxa"/>
            <w:shd w:val="clear" w:color="auto" w:fill="DAE9F7" w:themeFill="text2" w:themeFillTint="1A"/>
          </w:tcPr>
          <w:p w14:paraId="12369896" w14:textId="44AD1670" w:rsidR="00504C1F" w:rsidRPr="007A0F40" w:rsidRDefault="007F37F1" w:rsidP="0012036D">
            <w:pPr>
              <w:spacing w:after="0" w:line="240" w:lineRule="auto"/>
              <w:jc w:val="center"/>
              <w:rPr>
                <w:b/>
                <w:bCs/>
                <w:sz w:val="18"/>
                <w:szCs w:val="16"/>
              </w:rPr>
            </w:pPr>
            <w:r w:rsidRPr="007A0F40">
              <w:rPr>
                <w:b/>
                <w:bCs/>
                <w:sz w:val="18"/>
                <w:szCs w:val="16"/>
              </w:rPr>
              <w:t>3</w:t>
            </w:r>
            <w:r w:rsidR="005233E7" w:rsidRPr="007A0F40">
              <w:rPr>
                <w:b/>
                <w:bCs/>
                <w:sz w:val="18"/>
                <w:szCs w:val="16"/>
              </w:rPr>
              <w:t>3.9</w:t>
            </w:r>
            <w:r w:rsidRPr="007A0F40">
              <w:rPr>
                <w:b/>
                <w:bCs/>
                <w:sz w:val="18"/>
                <w:szCs w:val="16"/>
              </w:rPr>
              <w:t>%</w:t>
            </w:r>
          </w:p>
        </w:tc>
      </w:tr>
      <w:tr w:rsidR="00504C1F" w:rsidRPr="000744E3" w14:paraId="61B08225" w14:textId="19288294" w:rsidTr="007A0F40">
        <w:tc>
          <w:tcPr>
            <w:tcW w:w="1555" w:type="dxa"/>
          </w:tcPr>
          <w:p w14:paraId="60B9CCE6" w14:textId="008BFF26" w:rsidR="00504C1F" w:rsidRPr="007A0F40" w:rsidRDefault="00504C1F" w:rsidP="007A0F40">
            <w:pPr>
              <w:spacing w:after="0" w:line="240" w:lineRule="auto"/>
              <w:rPr>
                <w:sz w:val="18"/>
                <w:szCs w:val="16"/>
              </w:rPr>
            </w:pPr>
            <w:proofErr w:type="spellStart"/>
            <w:r w:rsidRPr="007A0F40">
              <w:rPr>
                <w:sz w:val="18"/>
                <w:szCs w:val="16"/>
              </w:rPr>
              <w:t>FBAs</w:t>
            </w:r>
            <w:proofErr w:type="spellEnd"/>
          </w:p>
        </w:tc>
        <w:tc>
          <w:tcPr>
            <w:tcW w:w="1559" w:type="dxa"/>
          </w:tcPr>
          <w:p w14:paraId="52F675A3" w14:textId="6ABB1EF2" w:rsidR="00504C1F" w:rsidRPr="007A0F40" w:rsidRDefault="00504C1F" w:rsidP="0012036D">
            <w:pPr>
              <w:spacing w:after="0" w:line="240" w:lineRule="auto"/>
              <w:jc w:val="center"/>
              <w:rPr>
                <w:sz w:val="18"/>
                <w:szCs w:val="16"/>
              </w:rPr>
            </w:pPr>
            <w:r w:rsidRPr="007A0F40">
              <w:rPr>
                <w:sz w:val="18"/>
                <w:szCs w:val="16"/>
              </w:rPr>
              <w:t>6.1%</w:t>
            </w:r>
          </w:p>
        </w:tc>
        <w:tc>
          <w:tcPr>
            <w:tcW w:w="1701" w:type="dxa"/>
          </w:tcPr>
          <w:p w14:paraId="540BBF23" w14:textId="49A46325" w:rsidR="00504C1F" w:rsidRPr="007A0F40" w:rsidRDefault="00504C1F" w:rsidP="0012036D">
            <w:pPr>
              <w:spacing w:after="0" w:line="240" w:lineRule="auto"/>
              <w:jc w:val="center"/>
              <w:rPr>
                <w:sz w:val="18"/>
                <w:szCs w:val="16"/>
              </w:rPr>
            </w:pPr>
            <w:r w:rsidRPr="007A0F40">
              <w:rPr>
                <w:sz w:val="18"/>
                <w:szCs w:val="16"/>
              </w:rPr>
              <w:t>5.8%</w:t>
            </w:r>
          </w:p>
        </w:tc>
        <w:tc>
          <w:tcPr>
            <w:tcW w:w="1559" w:type="dxa"/>
          </w:tcPr>
          <w:p w14:paraId="42261AA4" w14:textId="71F51991" w:rsidR="00504C1F" w:rsidRPr="007A0F40" w:rsidRDefault="0069525F" w:rsidP="0012036D">
            <w:pPr>
              <w:spacing w:after="0" w:line="240" w:lineRule="auto"/>
              <w:jc w:val="center"/>
              <w:rPr>
                <w:sz w:val="18"/>
                <w:szCs w:val="16"/>
              </w:rPr>
            </w:pPr>
            <w:r w:rsidRPr="007A0F40">
              <w:rPr>
                <w:sz w:val="18"/>
                <w:szCs w:val="16"/>
              </w:rPr>
              <w:t>7.8%</w:t>
            </w:r>
          </w:p>
        </w:tc>
      </w:tr>
      <w:tr w:rsidR="00504C1F" w:rsidRPr="000744E3" w14:paraId="41116C7D" w14:textId="27EBB231" w:rsidTr="007A0F40">
        <w:tc>
          <w:tcPr>
            <w:tcW w:w="1555" w:type="dxa"/>
          </w:tcPr>
          <w:p w14:paraId="04703458" w14:textId="7FFE600B" w:rsidR="00504C1F" w:rsidRPr="007A0F40" w:rsidRDefault="00504C1F" w:rsidP="007A0F40">
            <w:pPr>
              <w:spacing w:after="0" w:line="240" w:lineRule="auto"/>
              <w:rPr>
                <w:sz w:val="18"/>
                <w:szCs w:val="16"/>
              </w:rPr>
            </w:pPr>
            <w:r w:rsidRPr="007A0F40">
              <w:rPr>
                <w:sz w:val="18"/>
                <w:szCs w:val="16"/>
              </w:rPr>
              <w:t>Dark</w:t>
            </w:r>
          </w:p>
        </w:tc>
        <w:tc>
          <w:tcPr>
            <w:tcW w:w="1559" w:type="dxa"/>
          </w:tcPr>
          <w:p w14:paraId="5F94C293" w14:textId="577ADA03" w:rsidR="00504C1F" w:rsidRPr="007A0F40" w:rsidRDefault="00504C1F" w:rsidP="0012036D">
            <w:pPr>
              <w:spacing w:after="0" w:line="240" w:lineRule="auto"/>
              <w:jc w:val="center"/>
              <w:rPr>
                <w:sz w:val="18"/>
                <w:szCs w:val="16"/>
              </w:rPr>
            </w:pPr>
            <w:r w:rsidRPr="007A0F40">
              <w:rPr>
                <w:sz w:val="18"/>
                <w:szCs w:val="16"/>
              </w:rPr>
              <w:t>4.8%</w:t>
            </w:r>
          </w:p>
        </w:tc>
        <w:tc>
          <w:tcPr>
            <w:tcW w:w="1701" w:type="dxa"/>
          </w:tcPr>
          <w:p w14:paraId="68F95A7D" w14:textId="659D58E7" w:rsidR="00504C1F" w:rsidRPr="007A0F40" w:rsidRDefault="00504C1F" w:rsidP="0012036D">
            <w:pPr>
              <w:spacing w:after="0" w:line="240" w:lineRule="auto"/>
              <w:jc w:val="center"/>
              <w:rPr>
                <w:sz w:val="18"/>
                <w:szCs w:val="16"/>
              </w:rPr>
            </w:pPr>
            <w:r w:rsidRPr="007A0F40">
              <w:rPr>
                <w:sz w:val="18"/>
                <w:szCs w:val="16"/>
              </w:rPr>
              <w:t>6.1%</w:t>
            </w:r>
          </w:p>
        </w:tc>
        <w:tc>
          <w:tcPr>
            <w:tcW w:w="1559" w:type="dxa"/>
          </w:tcPr>
          <w:p w14:paraId="181FC35E" w14:textId="6F195DCD" w:rsidR="00504C1F" w:rsidRPr="007A0F40" w:rsidRDefault="005233E7" w:rsidP="0012036D">
            <w:pPr>
              <w:spacing w:after="0" w:line="240" w:lineRule="auto"/>
              <w:jc w:val="center"/>
              <w:rPr>
                <w:sz w:val="18"/>
                <w:szCs w:val="16"/>
              </w:rPr>
            </w:pPr>
            <w:r w:rsidRPr="007A0F40">
              <w:rPr>
                <w:sz w:val="18"/>
                <w:szCs w:val="16"/>
              </w:rPr>
              <w:t>6.5%</w:t>
            </w:r>
          </w:p>
        </w:tc>
      </w:tr>
      <w:tr w:rsidR="006441BF" w:rsidRPr="000744E3" w14:paraId="2CD23385" w14:textId="77777777" w:rsidTr="007A0F40">
        <w:tc>
          <w:tcPr>
            <w:tcW w:w="1555" w:type="dxa"/>
          </w:tcPr>
          <w:p w14:paraId="28472744" w14:textId="6D7328D6" w:rsidR="006441BF" w:rsidRPr="007A0F40" w:rsidRDefault="006441BF" w:rsidP="007A0F40">
            <w:pPr>
              <w:spacing w:after="0" w:line="240" w:lineRule="auto"/>
              <w:rPr>
                <w:sz w:val="18"/>
                <w:szCs w:val="16"/>
              </w:rPr>
            </w:pPr>
            <w:r w:rsidRPr="007A0F40">
              <w:rPr>
                <w:sz w:val="18"/>
                <w:szCs w:val="16"/>
              </w:rPr>
              <w:t>Close</w:t>
            </w:r>
          </w:p>
        </w:tc>
        <w:tc>
          <w:tcPr>
            <w:tcW w:w="1559" w:type="dxa"/>
          </w:tcPr>
          <w:p w14:paraId="4CBA255B" w14:textId="44FE6F77" w:rsidR="006441BF" w:rsidRPr="007A0F40" w:rsidRDefault="00147EFA" w:rsidP="0012036D">
            <w:pPr>
              <w:spacing w:after="0" w:line="240" w:lineRule="auto"/>
              <w:jc w:val="center"/>
              <w:rPr>
                <w:sz w:val="18"/>
                <w:szCs w:val="16"/>
              </w:rPr>
            </w:pPr>
            <w:r w:rsidRPr="007A0F40">
              <w:rPr>
                <w:sz w:val="18"/>
                <w:szCs w:val="16"/>
              </w:rPr>
              <w:t>19.2%</w:t>
            </w:r>
          </w:p>
        </w:tc>
        <w:tc>
          <w:tcPr>
            <w:tcW w:w="1701" w:type="dxa"/>
          </w:tcPr>
          <w:p w14:paraId="1C38031B" w14:textId="5B133F1C" w:rsidR="006441BF" w:rsidRPr="007A0F40" w:rsidRDefault="00147EFA" w:rsidP="0012036D">
            <w:pPr>
              <w:spacing w:after="0" w:line="240" w:lineRule="auto"/>
              <w:jc w:val="center"/>
              <w:rPr>
                <w:sz w:val="18"/>
                <w:szCs w:val="16"/>
              </w:rPr>
            </w:pPr>
            <w:r w:rsidRPr="007A0F40">
              <w:rPr>
                <w:sz w:val="18"/>
                <w:szCs w:val="16"/>
              </w:rPr>
              <w:t>15.2%</w:t>
            </w:r>
          </w:p>
        </w:tc>
        <w:tc>
          <w:tcPr>
            <w:tcW w:w="1559" w:type="dxa"/>
          </w:tcPr>
          <w:p w14:paraId="2BDBDDA1" w14:textId="4F86DD8F" w:rsidR="006441BF" w:rsidRPr="007A0F40" w:rsidRDefault="00147EFA" w:rsidP="0012036D">
            <w:pPr>
              <w:spacing w:after="0" w:line="240" w:lineRule="auto"/>
              <w:jc w:val="center"/>
              <w:rPr>
                <w:sz w:val="18"/>
                <w:szCs w:val="16"/>
              </w:rPr>
            </w:pPr>
            <w:r w:rsidRPr="007A0F40">
              <w:rPr>
                <w:sz w:val="18"/>
                <w:szCs w:val="16"/>
              </w:rPr>
              <w:t>16%</w:t>
            </w:r>
          </w:p>
        </w:tc>
      </w:tr>
    </w:tbl>
    <w:p w14:paraId="62FF4B5E" w14:textId="0AFF54F9" w:rsidR="00600F73" w:rsidRPr="000744E3" w:rsidRDefault="005233E7" w:rsidP="007C322A">
      <w:pPr>
        <w:pStyle w:val="Caption"/>
      </w:pPr>
      <w:r w:rsidRPr="000744E3">
        <w:t xml:space="preserve">Table </w:t>
      </w:r>
      <w:r w:rsidR="001865EE">
        <w:fldChar w:fldCharType="begin"/>
      </w:r>
      <w:r w:rsidR="001865EE">
        <w:instrText xml:space="preserve"> SEQ Table \* ARABIC </w:instrText>
      </w:r>
      <w:r w:rsidR="001865EE">
        <w:fldChar w:fldCharType="separate"/>
      </w:r>
      <w:r w:rsidR="001865EE" w:rsidRPr="000744E3">
        <w:rPr>
          <w:noProof/>
        </w:rPr>
        <w:t>1</w:t>
      </w:r>
      <w:r w:rsidR="001865EE">
        <w:rPr>
          <w:noProof/>
        </w:rPr>
        <w:fldChar w:fldCharType="end"/>
      </w:r>
      <w:r w:rsidRPr="000744E3">
        <w:t xml:space="preserve">: Aquis vs ESMA analysis, Aquis </w:t>
      </w:r>
      <w:r w:rsidR="002E4304" w:rsidRPr="000744E3">
        <w:t>Analysis</w:t>
      </w:r>
      <w:r w:rsidRPr="000744E3">
        <w:t xml:space="preserve"> based on BMLL data, </w:t>
      </w:r>
      <w:r w:rsidR="006F6488" w:rsidRPr="000744E3">
        <w:t>on the following listings Amsterdam, Brussels, Copenhagen, Dublin, Frankfurt, Helsinki, Lisbon, Milan, Paris, Oslo, Stockholm, Vienna.</w:t>
      </w:r>
      <w:r w:rsidR="003C08C1" w:rsidRPr="000744E3">
        <w:t xml:space="preserve"> </w:t>
      </w:r>
      <w:r w:rsidR="00196268" w:rsidRPr="000744E3">
        <w:t>Please note that d</w:t>
      </w:r>
      <w:r w:rsidR="003C08C1" w:rsidRPr="000744E3">
        <w:t xml:space="preserve">ifferences in proportion between ESMA and Aquis analysis </w:t>
      </w:r>
      <w:r w:rsidR="00DB3B4A" w:rsidRPr="000744E3">
        <w:t xml:space="preserve">are </w:t>
      </w:r>
      <w:r w:rsidR="003C08C1" w:rsidRPr="000744E3">
        <w:t xml:space="preserve">due to differences in </w:t>
      </w:r>
      <w:r w:rsidR="00DB3B4A" w:rsidRPr="000744E3">
        <w:t xml:space="preserve">the data set </w:t>
      </w:r>
      <w:r w:rsidR="00196268" w:rsidRPr="000744E3">
        <w:t xml:space="preserve">(TR vs PTT) </w:t>
      </w:r>
      <w:r w:rsidR="00DB3B4A" w:rsidRPr="000744E3">
        <w:t>and the universe of stocks</w:t>
      </w:r>
      <w:r w:rsidR="00196268" w:rsidRPr="000744E3">
        <w:t xml:space="preserve"> (Aquis </w:t>
      </w:r>
      <w:r w:rsidR="003C08C1" w:rsidRPr="000744E3">
        <w:t xml:space="preserve">data </w:t>
      </w:r>
      <w:r w:rsidR="00196268" w:rsidRPr="000744E3">
        <w:t>only include a subset of EEA list</w:t>
      </w:r>
      <w:r w:rsidR="00B967FD" w:rsidRPr="000744E3">
        <w:t>ing).</w:t>
      </w:r>
    </w:p>
    <w:p w14:paraId="35CAF8EB" w14:textId="5821BFFB" w:rsidR="00785AC1" w:rsidRPr="000744E3" w:rsidRDefault="00785AC1" w:rsidP="00785AC1">
      <w:r w:rsidRPr="000744E3">
        <w:t xml:space="preserve">This is important </w:t>
      </w:r>
      <w:r w:rsidR="00A13808" w:rsidRPr="000744E3">
        <w:t xml:space="preserve">as </w:t>
      </w:r>
      <w:r w:rsidRPr="000744E3">
        <w:t xml:space="preserve">international investors usually </w:t>
      </w:r>
      <w:r w:rsidR="00A13808" w:rsidRPr="000744E3">
        <w:t xml:space="preserve">source </w:t>
      </w:r>
      <w:r w:rsidRPr="000744E3">
        <w:t>execution services from UK</w:t>
      </w:r>
      <w:r w:rsidR="00A13808" w:rsidRPr="000744E3">
        <w:t>-</w:t>
      </w:r>
      <w:r w:rsidRPr="000744E3">
        <w:t xml:space="preserve">based firms for EEA shares, </w:t>
      </w:r>
      <w:r w:rsidR="00A13808" w:rsidRPr="000744E3">
        <w:t xml:space="preserve">and </w:t>
      </w:r>
      <w:r w:rsidRPr="000744E3">
        <w:t xml:space="preserve">as such they </w:t>
      </w:r>
      <w:r w:rsidR="00A13808" w:rsidRPr="000744E3">
        <w:t>look</w:t>
      </w:r>
      <w:r w:rsidRPr="000744E3">
        <w:t xml:space="preserve"> at the size of the market independently to the jurisdiction of execution.</w:t>
      </w:r>
      <w:r w:rsidR="00BB2AD0" w:rsidRPr="000744E3">
        <w:t xml:space="preserve"> Maximising the perception of liquidity depth is important to attract investment flow for EEA issuers. </w:t>
      </w:r>
    </w:p>
    <w:p w14:paraId="5FBB0617" w14:textId="6CBB1CCB" w:rsidR="002E4304" w:rsidRPr="000744E3" w:rsidRDefault="002E4304" w:rsidP="00785AC1">
      <w:r w:rsidRPr="000744E3">
        <w:t>This leads to our</w:t>
      </w:r>
      <w:r w:rsidR="00A13808" w:rsidRPr="000744E3">
        <w:t xml:space="preserve"> final</w:t>
      </w:r>
      <w:r w:rsidRPr="000744E3">
        <w:t xml:space="preserve"> recommendations </w:t>
      </w:r>
      <w:r w:rsidR="00A13808" w:rsidRPr="000744E3">
        <w:t>regarding</w:t>
      </w:r>
      <w:r w:rsidR="00EC5376" w:rsidRPr="000744E3">
        <w:t xml:space="preserve"> </w:t>
      </w:r>
      <w:r w:rsidR="003F4D05" w:rsidRPr="000744E3">
        <w:t>post trade transpar</w:t>
      </w:r>
      <w:r w:rsidR="0029452C" w:rsidRPr="000744E3">
        <w:t>ency</w:t>
      </w:r>
      <w:r w:rsidR="00EC5376" w:rsidRPr="000744E3">
        <w:t xml:space="preserve">. </w:t>
      </w:r>
      <w:r w:rsidR="00A13808" w:rsidRPr="000744E3">
        <w:t>Post</w:t>
      </w:r>
      <w:r w:rsidR="00EC5376" w:rsidRPr="000744E3">
        <w:t xml:space="preserve"> Brexit, a number of off venue trades are </w:t>
      </w:r>
      <w:r w:rsidR="00A13808" w:rsidRPr="000744E3">
        <w:t xml:space="preserve">now </w:t>
      </w:r>
      <w:r w:rsidR="00EC5376" w:rsidRPr="000744E3">
        <w:t xml:space="preserve">published in both the UK and the EU. We identified </w:t>
      </w:r>
      <w:r w:rsidR="00A13808" w:rsidRPr="000744E3">
        <w:t>two</w:t>
      </w:r>
      <w:r w:rsidR="00107766" w:rsidRPr="000744E3">
        <w:t xml:space="preserve"> </w:t>
      </w:r>
      <w:r w:rsidR="00EC5376" w:rsidRPr="000744E3">
        <w:t xml:space="preserve">scenarios </w:t>
      </w:r>
      <w:r w:rsidR="00CE180D" w:rsidRPr="000744E3">
        <w:t xml:space="preserve">where a mutual recognition of UK and EU APAs could </w:t>
      </w:r>
      <w:r w:rsidR="008925B8" w:rsidRPr="000744E3">
        <w:t xml:space="preserve">remove duplicative trade reports: </w:t>
      </w:r>
    </w:p>
    <w:p w14:paraId="2357ABA1" w14:textId="2C133690" w:rsidR="00EC5376" w:rsidRPr="000744E3" w:rsidRDefault="00BC6293" w:rsidP="007D2D9A">
      <w:pPr>
        <w:pStyle w:val="ListParagraph"/>
        <w:numPr>
          <w:ilvl w:val="0"/>
          <w:numId w:val="11"/>
        </w:numPr>
      </w:pPr>
      <w:r w:rsidRPr="000744E3">
        <w:rPr>
          <w:b/>
          <w:bCs/>
        </w:rPr>
        <w:t xml:space="preserve">Duplication of </w:t>
      </w:r>
      <w:r w:rsidR="00DD08E3" w:rsidRPr="000744E3">
        <w:rPr>
          <w:b/>
          <w:bCs/>
        </w:rPr>
        <w:t>“</w:t>
      </w:r>
      <w:r w:rsidR="00156B71" w:rsidRPr="000744E3">
        <w:rPr>
          <w:b/>
          <w:bCs/>
        </w:rPr>
        <w:t>STO exempt</w:t>
      </w:r>
      <w:r w:rsidR="002C1BAC" w:rsidRPr="000744E3">
        <w:rPr>
          <w:b/>
          <w:bCs/>
        </w:rPr>
        <w:t>”</w:t>
      </w:r>
      <w:r w:rsidR="00156B71" w:rsidRPr="000744E3">
        <w:rPr>
          <w:b/>
          <w:bCs/>
        </w:rPr>
        <w:t xml:space="preserve"> SI executions</w:t>
      </w:r>
      <w:r w:rsidR="00DD08E3" w:rsidRPr="000744E3">
        <w:rPr>
          <w:b/>
          <w:bCs/>
        </w:rPr>
        <w:t xml:space="preserve"> undertaken in the UK</w:t>
      </w:r>
      <w:r w:rsidR="00156B71" w:rsidRPr="000744E3">
        <w:t xml:space="preserve">: </w:t>
      </w:r>
      <w:r w:rsidR="00B83C51" w:rsidRPr="000744E3">
        <w:t>an EU MiFID investment firm executing benchmark, portfolio</w:t>
      </w:r>
      <w:r w:rsidR="00110D06" w:rsidRPr="000744E3">
        <w:t xml:space="preserve"> </w:t>
      </w:r>
      <w:r w:rsidR="00B83C51" w:rsidRPr="000744E3">
        <w:t>or contingent trades with a UK SI would</w:t>
      </w:r>
      <w:r w:rsidR="0004453A" w:rsidRPr="000744E3">
        <w:t xml:space="preserve"> </w:t>
      </w:r>
      <w:r w:rsidR="00B83C51" w:rsidRPr="000744E3">
        <w:t xml:space="preserve">have to </w:t>
      </w:r>
      <w:r w:rsidR="4D502973" w:rsidRPr="000744E3">
        <w:t>separately</w:t>
      </w:r>
      <w:r w:rsidR="00B83C51" w:rsidRPr="000744E3">
        <w:t xml:space="preserve"> report the trade </w:t>
      </w:r>
      <w:r w:rsidR="306EA95A" w:rsidRPr="000744E3">
        <w:t xml:space="preserve">in the UK and </w:t>
      </w:r>
      <w:r w:rsidR="00B83C51" w:rsidRPr="000744E3">
        <w:t xml:space="preserve">the EU. </w:t>
      </w:r>
      <w:r w:rsidR="009471B5" w:rsidRPr="000744E3">
        <w:t xml:space="preserve">Those </w:t>
      </w:r>
      <w:r w:rsidR="0004453A" w:rsidRPr="000744E3">
        <w:t xml:space="preserve">EU </w:t>
      </w:r>
      <w:r w:rsidR="009471B5" w:rsidRPr="000744E3">
        <w:t xml:space="preserve">trades </w:t>
      </w:r>
      <w:r w:rsidR="0004453A" w:rsidRPr="000744E3">
        <w:t xml:space="preserve">reports </w:t>
      </w:r>
      <w:r w:rsidR="009471B5" w:rsidRPr="000744E3">
        <w:t xml:space="preserve">are likely published as OTC (MIC=XOFF), </w:t>
      </w:r>
      <w:r w:rsidR="0004453A" w:rsidRPr="000744E3">
        <w:t xml:space="preserve">although we understand </w:t>
      </w:r>
      <w:r w:rsidR="009471B5" w:rsidRPr="000744E3">
        <w:t xml:space="preserve">some member states </w:t>
      </w:r>
      <w:r w:rsidR="0004453A" w:rsidRPr="000744E3">
        <w:t xml:space="preserve">require </w:t>
      </w:r>
      <w:r w:rsidR="009471B5" w:rsidRPr="000744E3">
        <w:t xml:space="preserve">them to be flagged as SI (MIC = SINT) if the UK SI is also a UK branch of an EU investment firm. </w:t>
      </w:r>
    </w:p>
    <w:p w14:paraId="0E1E6E98" w14:textId="7C56628A" w:rsidR="00107766" w:rsidRPr="000744E3" w:rsidRDefault="009471B5" w:rsidP="00107766">
      <w:pPr>
        <w:pStyle w:val="ListParagraph"/>
        <w:numPr>
          <w:ilvl w:val="0"/>
          <w:numId w:val="11"/>
        </w:numPr>
      </w:pPr>
      <w:r w:rsidRPr="000744E3">
        <w:rPr>
          <w:b/>
          <w:bCs/>
        </w:rPr>
        <w:t xml:space="preserve">Duplication of </w:t>
      </w:r>
      <w:r w:rsidR="00107766" w:rsidRPr="000744E3">
        <w:rPr>
          <w:b/>
          <w:bCs/>
        </w:rPr>
        <w:t>SI executions undertaken in the EU:</w:t>
      </w:r>
      <w:r w:rsidR="00107766" w:rsidRPr="000744E3">
        <w:t xml:space="preserve"> if </w:t>
      </w:r>
      <w:r w:rsidR="00B83C51" w:rsidRPr="000744E3">
        <w:t xml:space="preserve">a UK investment firm </w:t>
      </w:r>
      <w:r w:rsidR="00107766" w:rsidRPr="000744E3">
        <w:t xml:space="preserve">is </w:t>
      </w:r>
      <w:r w:rsidR="00B83C51" w:rsidRPr="000744E3">
        <w:t>sourcing liquidity from an EU SI</w:t>
      </w:r>
      <w:r w:rsidR="00107766" w:rsidRPr="000744E3">
        <w:t xml:space="preserve">, it would likely have to report the trade in the UK (as a significant proportion of EU stocks are TOTV in the UK). Similarly, this duplication is likely to inflate the reported OTC volumes. </w:t>
      </w:r>
    </w:p>
    <w:p w14:paraId="2519A893" w14:textId="1BDEFABD" w:rsidR="00107766" w:rsidRPr="000744E3" w:rsidRDefault="00107766" w:rsidP="00107766">
      <w:r w:rsidRPr="000744E3">
        <w:t xml:space="preserve">A mutual recognition of UK and EU APAs would allow for the suppression of those duplicates </w:t>
      </w:r>
      <w:r w:rsidR="004E71EE" w:rsidRPr="000744E3">
        <w:t>as well as</w:t>
      </w:r>
      <w:r w:rsidRPr="000744E3">
        <w:t xml:space="preserve"> a finer analysis of liquidity trends. In addition, a systematic exchange of transaction reporting data between the FCA and EU NCAs would strengthen supervision across </w:t>
      </w:r>
      <w:r w:rsidR="00292C96" w:rsidRPr="000744E3">
        <w:t>both jurisdictions.</w:t>
      </w:r>
    </w:p>
    <w:p w14:paraId="2678247B" w14:textId="40BBB97B" w:rsidR="00785AC1" w:rsidRPr="000744E3" w:rsidRDefault="007F6CEA" w:rsidP="00785AC1">
      <w:r w:rsidRPr="000744E3">
        <w:t>The combination of (i) the five-dimension framework set out above, (ii) the accessible/less-accessible reframing, and (iii) the recognition that a significant share of activity in EEA shares is currently published outside the EEA, should inform the remainder of the analysis in this Call for Evidence. We refer to these points throughout our response.</w:t>
      </w:r>
    </w:p>
    <w:p w14:paraId="6A1C50D5" w14:textId="77777777" w:rsidR="00785AC1" w:rsidRPr="000744E3" w:rsidRDefault="00785AC1" w:rsidP="00785AC1">
      <w:r w:rsidRPr="000744E3">
        <w:t>&lt;ESMA_QUESTION_MSEM_1&gt;</w:t>
      </w:r>
    </w:p>
    <w:p w14:paraId="5B55E686" w14:textId="77777777" w:rsidR="00785AC1" w:rsidRPr="000744E3" w:rsidRDefault="00785AC1" w:rsidP="00785AC1"/>
    <w:p w14:paraId="09799925"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have any insights on the XOFF transactions reported by investment firms who also act as an SI (SI-OTC trades)?</w:t>
      </w:r>
    </w:p>
    <w:p w14:paraId="18F4DA97" w14:textId="77777777" w:rsidR="00785AC1" w:rsidRPr="000744E3" w:rsidRDefault="00785AC1" w:rsidP="00785AC1">
      <w:r w:rsidRPr="000744E3">
        <w:t>&lt;ESMA_QUESTION_MSEM_2&gt;</w:t>
      </w:r>
    </w:p>
    <w:p w14:paraId="04728489" w14:textId="2D2D506E" w:rsidR="00785AC1" w:rsidRPr="000744E3" w:rsidRDefault="00785AC1" w:rsidP="00785AC1">
      <w:r w:rsidRPr="000744E3">
        <w:t xml:space="preserve">We are not an investment firm and therefore can only base our response </w:t>
      </w:r>
      <w:r w:rsidR="000F2C2E" w:rsidRPr="000744E3">
        <w:t xml:space="preserve">on our interpretation of current market practice and engagement with other market participants </w:t>
      </w:r>
      <w:r w:rsidRPr="000744E3">
        <w:t xml:space="preserve">On this basis, we believe there are several potential explanations for SI firms </w:t>
      </w:r>
      <w:r w:rsidR="00D054B0" w:rsidRPr="000744E3">
        <w:t>reporting</w:t>
      </w:r>
      <w:r w:rsidRPr="000744E3">
        <w:t xml:space="preserve"> trades as OTC in the EU:</w:t>
      </w:r>
    </w:p>
    <w:p w14:paraId="38533FA8" w14:textId="2A64B413" w:rsidR="00785AC1" w:rsidRPr="000744E3" w:rsidRDefault="00785AC1" w:rsidP="00785AC1">
      <w:pPr>
        <w:pStyle w:val="ListParagraph"/>
        <w:numPr>
          <w:ilvl w:val="0"/>
          <w:numId w:val="3"/>
        </w:numPr>
        <w:contextualSpacing w:val="0"/>
      </w:pPr>
      <w:r w:rsidRPr="000744E3">
        <w:rPr>
          <w:b/>
          <w:bCs/>
        </w:rPr>
        <w:t xml:space="preserve">Interpretation of the </w:t>
      </w:r>
      <w:r w:rsidR="00D054B0" w:rsidRPr="000744E3">
        <w:rPr>
          <w:b/>
          <w:bCs/>
        </w:rPr>
        <w:t>s</w:t>
      </w:r>
      <w:r w:rsidRPr="000744E3">
        <w:rPr>
          <w:b/>
          <w:bCs/>
        </w:rPr>
        <w:t>hare trading obligation rule</w:t>
      </w:r>
      <w:r w:rsidRPr="000744E3">
        <w:t>: the STO grants an exemption to execute trades in an EEA ISIN on an EEA trading venue, an EEA SI or a third-country equivalent trading venue if the transaction is executed as a benchmark</w:t>
      </w:r>
      <w:r w:rsidR="00FB2ADB" w:rsidRPr="000744E3">
        <w:t>,</w:t>
      </w:r>
      <w:r w:rsidR="005C45EA" w:rsidRPr="000744E3">
        <w:t xml:space="preserve"> </w:t>
      </w:r>
      <w:r w:rsidRPr="000744E3">
        <w:t xml:space="preserve">portfolio or a contingent trade, or if the trades are </w:t>
      </w:r>
      <w:r w:rsidR="006F4C20" w:rsidRPr="000744E3">
        <w:t>non-systematic</w:t>
      </w:r>
      <w:r w:rsidRPr="000744E3">
        <w:t xml:space="preserve">, ad-hoc, irregular and infrequent. </w:t>
      </w:r>
      <w:r w:rsidR="00FB2ADB" w:rsidRPr="000744E3">
        <w:t>Instead, w</w:t>
      </w:r>
      <w:r w:rsidRPr="000744E3">
        <w:t xml:space="preserve">e believe the key driver between flagging a trade “SINT” or “XOFF” should be the capacity in which the investment firm is acting. If the firm provides liquidity on risk and is an SI, the trade should be reported as an SI trade, irrespective of how it has been priced or structured. </w:t>
      </w:r>
    </w:p>
    <w:p w14:paraId="6CBDD93C" w14:textId="3791D912" w:rsidR="00785AC1" w:rsidRPr="000744E3" w:rsidRDefault="00785AC1" w:rsidP="00785AC1">
      <w:pPr>
        <w:pStyle w:val="ListParagraph"/>
        <w:numPr>
          <w:ilvl w:val="0"/>
          <w:numId w:val="3"/>
        </w:numPr>
        <w:contextualSpacing w:val="0"/>
      </w:pPr>
      <w:r w:rsidRPr="000744E3">
        <w:rPr>
          <w:b/>
          <w:bCs/>
        </w:rPr>
        <w:t>Effect of intragroup risk transfer</w:t>
      </w:r>
      <w:r w:rsidRPr="000744E3">
        <w:t>: as identified by ESMA, if an investment firm has operations in both the UK and the EU, it may be necessary to move positions between entities</w:t>
      </w:r>
      <w:r w:rsidR="00D206A3" w:rsidRPr="000744E3">
        <w:t xml:space="preserve"> which creates</w:t>
      </w:r>
      <w:r w:rsidRPr="000744E3">
        <w:t xml:space="preserve"> transactions that </w:t>
      </w:r>
      <w:r w:rsidR="009A2EEE" w:rsidRPr="000744E3">
        <w:t xml:space="preserve">are driven by compliance, accounting, and operational reasons </w:t>
      </w:r>
      <w:r w:rsidRPr="000744E3">
        <w:t>rather than real economic transactions</w:t>
      </w:r>
      <w:r w:rsidR="009A2EEE" w:rsidRPr="000744E3">
        <w:t xml:space="preserve"> between independent third parties</w:t>
      </w:r>
      <w:r w:rsidRPr="000744E3">
        <w:t xml:space="preserve">. The suppression of those post trade reports could lower the </w:t>
      </w:r>
      <w:r w:rsidR="009639AF" w:rsidRPr="000744E3">
        <w:t xml:space="preserve">observed </w:t>
      </w:r>
      <w:r w:rsidRPr="000744E3">
        <w:t xml:space="preserve">proportion of OTC. We recommend creating a dedicated flag for transaction reporting so regulators can easily identify transactions </w:t>
      </w:r>
      <w:r w:rsidR="005B6AFF" w:rsidRPr="000744E3">
        <w:t xml:space="preserve">that should </w:t>
      </w:r>
      <w:r w:rsidRPr="000744E3">
        <w:t xml:space="preserve">be removed from any liquidity analysis </w:t>
      </w:r>
      <w:r w:rsidR="00B053F0" w:rsidRPr="000744E3">
        <w:t>whilst keeping</w:t>
      </w:r>
      <w:r w:rsidRPr="000744E3">
        <w:t xml:space="preserve"> access to data that are important for supervision purposes. </w:t>
      </w:r>
    </w:p>
    <w:p w14:paraId="4A43BE65" w14:textId="2620488D" w:rsidR="00785AC1" w:rsidRPr="000744E3" w:rsidRDefault="00785AC1" w:rsidP="00785AC1">
      <w:pPr>
        <w:pStyle w:val="ListParagraph"/>
        <w:numPr>
          <w:ilvl w:val="0"/>
          <w:numId w:val="3"/>
        </w:numPr>
        <w:contextualSpacing w:val="0"/>
      </w:pPr>
      <w:r w:rsidRPr="000744E3">
        <w:rPr>
          <w:b/>
          <w:bCs/>
        </w:rPr>
        <w:t>Effect of Brexit</w:t>
      </w:r>
      <w:r w:rsidRPr="000744E3">
        <w:t>: linked to a)</w:t>
      </w:r>
      <w:r w:rsidR="009639AF" w:rsidRPr="000744E3">
        <w:t xml:space="preserve"> and as explained in our response to Q1</w:t>
      </w:r>
      <w:r w:rsidRPr="000744E3">
        <w:t xml:space="preserve">, </w:t>
      </w:r>
      <w:r w:rsidR="009639AF" w:rsidRPr="000744E3">
        <w:t>there are two scenario</w:t>
      </w:r>
      <w:r w:rsidR="00BE234C" w:rsidRPr="000744E3">
        <w:t>s</w:t>
      </w:r>
      <w:r w:rsidR="009639AF" w:rsidRPr="000744E3">
        <w:t xml:space="preserve"> likely to trigger a duplicative OTC post trade report. </w:t>
      </w:r>
      <w:r w:rsidR="1DDC9D95" w:rsidRPr="000744E3">
        <w:t>We would therefore support some form of equivalence or recognition framework between UK and EEA APAs to reduce duplicative report</w:t>
      </w:r>
      <w:r w:rsidR="00087890" w:rsidRPr="000744E3">
        <w:t xml:space="preserve">s </w:t>
      </w:r>
      <w:r w:rsidR="1DDC9D95" w:rsidRPr="000744E3">
        <w:t xml:space="preserve">and what we believe is an artificial inflation of XOFF activity in EU datasets. </w:t>
      </w:r>
      <w:r w:rsidR="003B064D" w:rsidRPr="000744E3">
        <w:t>Those transactions should still be part of transaction reporting but a</w:t>
      </w:r>
      <w:r w:rsidR="004E2C78" w:rsidRPr="000744E3">
        <w:t xml:space="preserve"> dedicated flag should be created so regulators can easily differentiate between transactions reports. </w:t>
      </w:r>
      <w:r w:rsidR="1DDC9D95" w:rsidRPr="000744E3">
        <w:t>This would improve the quality of market structure analysis and provide a more accurate picture of how liquidity is sourced and executed across UK and EU markets.</w:t>
      </w:r>
    </w:p>
    <w:p w14:paraId="23EBFC3D" w14:textId="77777777" w:rsidR="00785AC1" w:rsidRPr="000744E3" w:rsidRDefault="00785AC1" w:rsidP="00A35B56">
      <w:r w:rsidRPr="000744E3">
        <w:t>&lt;ESMA_QUESTION_MSEM_2&gt;</w:t>
      </w:r>
    </w:p>
    <w:p w14:paraId="245E32D7" w14:textId="2F04171E" w:rsidR="00785AC1" w:rsidRPr="000744E3" w:rsidRDefault="00785AC1" w:rsidP="00785AC1">
      <w:pPr>
        <w:spacing w:after="120" w:line="264" w:lineRule="auto"/>
        <w:jc w:val="left"/>
        <w:rPr>
          <w:b/>
        </w:rPr>
      </w:pPr>
    </w:p>
    <w:p w14:paraId="4CD13739" w14:textId="77777777" w:rsidR="00785AC1" w:rsidRPr="000744E3" w:rsidRDefault="00785AC1" w:rsidP="00785AC1">
      <w:pPr>
        <w:pStyle w:val="Questionstyle"/>
        <w:numPr>
          <w:ilvl w:val="0"/>
          <w:numId w:val="1"/>
        </w:numPr>
        <w:tabs>
          <w:tab w:val="clear" w:pos="567"/>
        </w:tabs>
        <w:spacing w:before="120" w:after="120"/>
        <w:ind w:left="851" w:hanging="709"/>
      </w:pPr>
      <w:r w:rsidRPr="000744E3">
        <w:t xml:space="preserve">Do you agree with the general trends identified regarding on-book vs. off-book trading, and addressable vs. non-addressable liquidity? What other trends do you consider relevant, also in terms of competitive pressures? </w:t>
      </w:r>
    </w:p>
    <w:p w14:paraId="11406CBD" w14:textId="77777777" w:rsidR="00785AC1" w:rsidRPr="000744E3" w:rsidRDefault="00785AC1" w:rsidP="00785AC1">
      <w:r w:rsidRPr="000744E3">
        <w:t>&lt;ESMA_QUESTION_MSEM_3&gt;</w:t>
      </w:r>
    </w:p>
    <w:p w14:paraId="0C487066" w14:textId="65067802" w:rsidR="0060657C" w:rsidRPr="000744E3" w:rsidRDefault="00785AC1" w:rsidP="00785AC1">
      <w:r w:rsidRPr="000744E3">
        <w:t xml:space="preserve">We broadly agree with ESMA’s assessments on liquidity trends. </w:t>
      </w:r>
      <w:r w:rsidR="00DF2FE0" w:rsidRPr="000744E3">
        <w:t>Over time we have seen</w:t>
      </w:r>
      <w:r w:rsidRPr="000744E3">
        <w:t xml:space="preserve"> a transfer of volumes from the CLOB to other trading mechanisms, such as the closing auction</w:t>
      </w:r>
      <w:r w:rsidR="00C64427" w:rsidRPr="000744E3">
        <w:t>s</w:t>
      </w:r>
      <w:r w:rsidRPr="000744E3">
        <w:t xml:space="preserve">, periodic </w:t>
      </w:r>
      <w:r w:rsidR="00C64427" w:rsidRPr="000744E3">
        <w:t xml:space="preserve">auction </w:t>
      </w:r>
      <w:r w:rsidRPr="000744E3">
        <w:t>book</w:t>
      </w:r>
      <w:r w:rsidR="00C64427" w:rsidRPr="000744E3">
        <w:t>s</w:t>
      </w:r>
      <w:r w:rsidRPr="000744E3">
        <w:t xml:space="preserve"> and bilateral </w:t>
      </w:r>
      <w:r w:rsidR="0060657C" w:rsidRPr="000744E3">
        <w:t>mechanisms</w:t>
      </w:r>
      <w:r w:rsidRPr="000744E3">
        <w:t xml:space="preserve">. </w:t>
      </w:r>
    </w:p>
    <w:p w14:paraId="6F9838C4" w14:textId="46489561" w:rsidR="00785AC1" w:rsidRPr="000744E3" w:rsidRDefault="00785AC1" w:rsidP="00785AC1">
      <w:r w:rsidRPr="000744E3">
        <w:t xml:space="preserve">We </w:t>
      </w:r>
      <w:r w:rsidR="64A9CE71" w:rsidRPr="000744E3">
        <w:t>believe</w:t>
      </w:r>
      <w:r w:rsidRPr="000744E3">
        <w:t xml:space="preserve"> this is driven by structural aspects of </w:t>
      </w:r>
      <w:r w:rsidR="005D743E" w:rsidRPr="000744E3">
        <w:t xml:space="preserve">European </w:t>
      </w:r>
      <w:r w:rsidRPr="000744E3">
        <w:t xml:space="preserve">market, </w:t>
      </w:r>
      <w:r w:rsidR="00DF2FE0" w:rsidRPr="000744E3">
        <w:t xml:space="preserve">where </w:t>
      </w:r>
      <w:r w:rsidRPr="000744E3">
        <w:t xml:space="preserve">the </w:t>
      </w:r>
      <w:r w:rsidR="00DF2FE0" w:rsidRPr="000744E3">
        <w:t>long-</w:t>
      </w:r>
      <w:r w:rsidRPr="000744E3">
        <w:t xml:space="preserve">standing focus on investor protection and performance </w:t>
      </w:r>
      <w:r w:rsidR="00D228DB" w:rsidRPr="000744E3">
        <w:t xml:space="preserve">has </w:t>
      </w:r>
      <w:r w:rsidRPr="000744E3">
        <w:t>led investor</w:t>
      </w:r>
      <w:r w:rsidR="004E5491" w:rsidRPr="000744E3">
        <w:t>s</w:t>
      </w:r>
      <w:r w:rsidRPr="000744E3">
        <w:t xml:space="preserve"> and intermediaries to </w:t>
      </w:r>
      <w:r w:rsidR="00C13582" w:rsidRPr="000744E3">
        <w:t>use</w:t>
      </w:r>
      <w:r w:rsidRPr="000744E3">
        <w:t xml:space="preserve"> trading mechanisms that favour executing within the spread (mid-point, benchmark) and reducing market impact. Such objectives can more easily be achieved in periodic auction book</w:t>
      </w:r>
      <w:r w:rsidR="004E5491" w:rsidRPr="000744E3">
        <w:t>s</w:t>
      </w:r>
      <w:r w:rsidRPr="000744E3">
        <w:t>, dark order book</w:t>
      </w:r>
      <w:r w:rsidR="004E5491" w:rsidRPr="000744E3">
        <w:t>s</w:t>
      </w:r>
      <w:r w:rsidRPr="000744E3">
        <w:t xml:space="preserve"> and off</w:t>
      </w:r>
      <w:r w:rsidR="00C13582" w:rsidRPr="000744E3">
        <w:t>-</w:t>
      </w:r>
      <w:r w:rsidRPr="000744E3">
        <w:t>exchange, with off</w:t>
      </w:r>
      <w:r w:rsidR="00C13582" w:rsidRPr="000744E3">
        <w:t>-</w:t>
      </w:r>
      <w:r w:rsidRPr="000744E3">
        <w:t xml:space="preserve">exchange often presenting the best market impact </w:t>
      </w:r>
      <w:r w:rsidR="00301B81" w:rsidRPr="000744E3">
        <w:t xml:space="preserve">performance </w:t>
      </w:r>
      <w:r w:rsidRPr="000744E3">
        <w:t xml:space="preserve">profile. </w:t>
      </w:r>
      <w:r w:rsidR="00080238" w:rsidRPr="000744E3">
        <w:t>Although w</w:t>
      </w:r>
      <w:r w:rsidRPr="000744E3">
        <w:t xml:space="preserve">e do not believe we have enough data to make a firm </w:t>
      </w:r>
      <w:r w:rsidR="0060657C" w:rsidRPr="000744E3">
        <w:t xml:space="preserve">determination </w:t>
      </w:r>
      <w:r w:rsidRPr="000744E3">
        <w:t xml:space="preserve">on whether or not price formation </w:t>
      </w:r>
      <w:r w:rsidR="0060657C" w:rsidRPr="000744E3">
        <w:t xml:space="preserve">is degrading, </w:t>
      </w:r>
      <w:r w:rsidR="00080238" w:rsidRPr="000744E3">
        <w:t xml:space="preserve">we acknowledge the overall </w:t>
      </w:r>
      <w:r w:rsidR="00371EA1" w:rsidRPr="000744E3">
        <w:t>volume</w:t>
      </w:r>
      <w:r w:rsidR="00080238" w:rsidRPr="000744E3">
        <w:t xml:space="preserve"> migration away from </w:t>
      </w:r>
      <w:r w:rsidR="00371EA1" w:rsidRPr="000744E3">
        <w:t xml:space="preserve">the </w:t>
      </w:r>
      <w:r w:rsidR="00080238" w:rsidRPr="000744E3">
        <w:t xml:space="preserve">central limit order book and the </w:t>
      </w:r>
      <w:r w:rsidR="00371EA1" w:rsidRPr="000744E3">
        <w:t xml:space="preserve">resulting </w:t>
      </w:r>
      <w:r w:rsidR="00080238" w:rsidRPr="000744E3">
        <w:t>potential risk to price formation o</w:t>
      </w:r>
      <w:r w:rsidR="00371EA1" w:rsidRPr="000744E3">
        <w:t>ver</w:t>
      </w:r>
      <w:r w:rsidR="00080238" w:rsidRPr="000744E3">
        <w:t xml:space="preserve"> the medium to long term</w:t>
      </w:r>
      <w:r w:rsidR="0060657C" w:rsidRPr="000744E3">
        <w:t xml:space="preserve">. </w:t>
      </w:r>
      <w:r w:rsidR="00DE7DD5" w:rsidRPr="000744E3">
        <w:t>A</w:t>
      </w:r>
      <w:r w:rsidRPr="000744E3">
        <w:t xml:space="preserve"> number of data</w:t>
      </w:r>
      <w:r w:rsidR="00371EA1" w:rsidRPr="000744E3">
        <w:t>-</w:t>
      </w:r>
      <w:r w:rsidRPr="000744E3">
        <w:t>focused regulatory changes</w:t>
      </w:r>
      <w:r w:rsidR="00DE7DD5" w:rsidRPr="000744E3">
        <w:t xml:space="preserve"> are required</w:t>
      </w:r>
      <w:r w:rsidRPr="000744E3">
        <w:t xml:space="preserve"> to allow for the proper monitoring of price formation</w:t>
      </w:r>
      <w:r w:rsidR="00AD2AAD" w:rsidRPr="000744E3">
        <w:t>.</w:t>
      </w:r>
      <w:r w:rsidR="00F277B9" w:rsidRPr="000744E3">
        <w:t xml:space="preserve"> </w:t>
      </w:r>
    </w:p>
    <w:p w14:paraId="2DA51E41" w14:textId="23AA7063" w:rsidR="039B310E" w:rsidRPr="000744E3" w:rsidRDefault="00371EA1" w:rsidP="6130485C">
      <w:r w:rsidRPr="000744E3">
        <w:rPr>
          <w:rFonts w:ascii="Aptos" w:eastAsia="Aptos" w:hAnsi="Aptos" w:cs="Aptos"/>
          <w:szCs w:val="22"/>
        </w:rPr>
        <w:t>As outlined in our answers to Q1 and Q2, w</w:t>
      </w:r>
      <w:r w:rsidR="039B310E" w:rsidRPr="000744E3">
        <w:rPr>
          <w:rFonts w:ascii="Aptos" w:eastAsia="Aptos" w:hAnsi="Aptos" w:cs="Aptos"/>
          <w:szCs w:val="22"/>
        </w:rPr>
        <w:t>e caution against drawing conclusions solely from EU transaction reporting data</w:t>
      </w:r>
      <w:r w:rsidRPr="000744E3">
        <w:rPr>
          <w:rFonts w:ascii="Aptos" w:eastAsia="Aptos" w:hAnsi="Aptos" w:cs="Aptos"/>
          <w:szCs w:val="22"/>
        </w:rPr>
        <w:t xml:space="preserve"> as a</w:t>
      </w:r>
      <w:r w:rsidR="039B310E" w:rsidRPr="000744E3">
        <w:rPr>
          <w:rFonts w:ascii="Aptos" w:eastAsia="Aptos" w:hAnsi="Aptos" w:cs="Aptos"/>
          <w:szCs w:val="22"/>
        </w:rPr>
        <w:t xml:space="preserve"> significant proportion of trading in EEA shares, particularly bilateral liquidity provision, continues to be executed in the UK</w:t>
      </w:r>
      <w:r w:rsidRPr="000744E3">
        <w:rPr>
          <w:rFonts w:ascii="Aptos" w:eastAsia="Aptos" w:hAnsi="Aptos" w:cs="Aptos"/>
          <w:szCs w:val="22"/>
        </w:rPr>
        <w:t>.</w:t>
      </w:r>
      <w:r w:rsidR="039B310E" w:rsidRPr="000744E3">
        <w:rPr>
          <w:rFonts w:ascii="Aptos" w:eastAsia="Aptos" w:hAnsi="Aptos" w:cs="Aptos"/>
          <w:szCs w:val="22"/>
        </w:rPr>
        <w:t xml:space="preserve"> As a result, any assessment of liquidity trends based exclusively on EU data will necessarily provide only a partial view of the broader European equity market.</w:t>
      </w:r>
    </w:p>
    <w:p w14:paraId="6CE7CBF3" w14:textId="625C4D99" w:rsidR="039B310E" w:rsidRPr="000744E3" w:rsidRDefault="039B310E" w:rsidP="65FFDA2E">
      <w:r w:rsidRPr="000744E3">
        <w:rPr>
          <w:rFonts w:ascii="Aptos" w:eastAsia="Aptos" w:hAnsi="Aptos" w:cs="Aptos"/>
          <w:szCs w:val="22"/>
        </w:rPr>
        <w:t xml:space="preserve">In addition, market structure trends should be analysed in the context of prevailing market conditions. Factors such as volatility, index rebalancing events and expiry cycles can materially affect the relative market share of different execution mechanisms. We would therefore encourage ESMA to normalise its analysis for such factors where possible. For example, periods of elevated volatility are often associated with increased participation in lit order books and reduced participation in </w:t>
      </w:r>
      <w:r w:rsidR="00301B81" w:rsidRPr="000744E3">
        <w:rPr>
          <w:rFonts w:ascii="Aptos" w:eastAsia="Aptos" w:hAnsi="Aptos" w:cs="Aptos"/>
          <w:szCs w:val="22"/>
        </w:rPr>
        <w:t>the close, the dark</w:t>
      </w:r>
      <w:r w:rsidR="00080238" w:rsidRPr="000744E3">
        <w:rPr>
          <w:rFonts w:ascii="Aptos" w:eastAsia="Aptos" w:hAnsi="Aptos" w:cs="Aptos"/>
          <w:szCs w:val="22"/>
        </w:rPr>
        <w:t>,</w:t>
      </w:r>
      <w:r w:rsidR="00301B81" w:rsidRPr="000744E3">
        <w:rPr>
          <w:rFonts w:ascii="Aptos" w:eastAsia="Aptos" w:hAnsi="Aptos" w:cs="Aptos"/>
          <w:szCs w:val="22"/>
        </w:rPr>
        <w:t xml:space="preserve"> and </w:t>
      </w:r>
      <w:r w:rsidRPr="000744E3">
        <w:rPr>
          <w:rFonts w:ascii="Aptos" w:eastAsia="Aptos" w:hAnsi="Aptos" w:cs="Aptos"/>
          <w:szCs w:val="22"/>
        </w:rPr>
        <w:t>bilateral liquidity provision, suggesting that different trading mechanisms fulfil different functions under different market conditions.</w:t>
      </w:r>
      <w:r w:rsidR="00FA5552" w:rsidRPr="000744E3">
        <w:rPr>
          <w:rFonts w:ascii="Aptos" w:eastAsia="Aptos" w:hAnsi="Aptos" w:cs="Aptos"/>
          <w:szCs w:val="22"/>
        </w:rPr>
        <w:t xml:space="preserve"> Please refer to our answer to question 5 for an insight o</w:t>
      </w:r>
      <w:r w:rsidR="007E6696" w:rsidRPr="000744E3">
        <w:rPr>
          <w:rFonts w:ascii="Aptos" w:eastAsia="Aptos" w:hAnsi="Aptos" w:cs="Aptos"/>
          <w:szCs w:val="22"/>
        </w:rPr>
        <w:t>n</w:t>
      </w:r>
      <w:r w:rsidR="00FA5552" w:rsidRPr="000744E3">
        <w:rPr>
          <w:rFonts w:ascii="Aptos" w:eastAsia="Aptos" w:hAnsi="Aptos" w:cs="Aptos"/>
          <w:szCs w:val="22"/>
        </w:rPr>
        <w:t xml:space="preserve"> how market events can materially impact </w:t>
      </w:r>
      <w:r w:rsidR="007E6696" w:rsidRPr="000744E3">
        <w:rPr>
          <w:rFonts w:ascii="Aptos" w:eastAsia="Aptos" w:hAnsi="Aptos" w:cs="Aptos"/>
          <w:szCs w:val="22"/>
        </w:rPr>
        <w:t xml:space="preserve">where and how the market participants trade. </w:t>
      </w:r>
    </w:p>
    <w:p w14:paraId="7E0A884E" w14:textId="77777777" w:rsidR="00785AC1" w:rsidRPr="000744E3" w:rsidRDefault="00785AC1" w:rsidP="00785AC1">
      <w:r w:rsidRPr="000744E3">
        <w:t>&lt;ESMA_QUESTION_MSEM_3&gt;</w:t>
      </w:r>
    </w:p>
    <w:p w14:paraId="751C08BA" w14:textId="77777777" w:rsidR="00785AC1" w:rsidRPr="000744E3" w:rsidRDefault="00785AC1" w:rsidP="00785AC1"/>
    <w:p w14:paraId="4F87B317"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have any concerns on the impact of the identified trends on the general functioning of the EEA markets for shares? In your view, what are the implications of the relative decreasing trend in trading on CLOB for the effective price formation in the EEA markets for shares? What are the implications on price formation should this trend persist or even accelerate?</w:t>
      </w:r>
    </w:p>
    <w:p w14:paraId="23EE6C5F" w14:textId="77777777" w:rsidR="00785AC1" w:rsidRPr="000744E3" w:rsidRDefault="00785AC1" w:rsidP="00785AC1">
      <w:r w:rsidRPr="000744E3">
        <w:t>&lt;ESMA_QUESTION_MSEM_4&gt;</w:t>
      </w:r>
    </w:p>
    <w:p w14:paraId="64D3D5E3" w14:textId="5D3C67EC" w:rsidR="003732FB" w:rsidRPr="000744E3" w:rsidRDefault="005B7378" w:rsidP="00785AC1">
      <w:r w:rsidRPr="000744E3">
        <w:t>D</w:t>
      </w:r>
      <w:r w:rsidR="00CD3CB2" w:rsidRPr="000744E3">
        <w:t xml:space="preserve">etermining </w:t>
      </w:r>
      <w:r w:rsidR="0005642F" w:rsidRPr="000744E3">
        <w:t>whether</w:t>
      </w:r>
      <w:r w:rsidR="00CD3CB2" w:rsidRPr="000744E3">
        <w:t xml:space="preserve"> price formation is degrading is difficult</w:t>
      </w:r>
      <w:r w:rsidR="00C8430C" w:rsidRPr="000744E3">
        <w:t>;</w:t>
      </w:r>
      <w:r w:rsidR="00140543" w:rsidRPr="000744E3">
        <w:t xml:space="preserve"> even more so if the data </w:t>
      </w:r>
      <w:r w:rsidR="00A831BF" w:rsidRPr="000744E3">
        <w:t>required</w:t>
      </w:r>
      <w:r w:rsidR="007E6696" w:rsidRPr="000744E3">
        <w:t xml:space="preserve"> to do so</w:t>
      </w:r>
      <w:r w:rsidR="00A831BF" w:rsidRPr="000744E3">
        <w:t xml:space="preserve"> is not </w:t>
      </w:r>
      <w:r w:rsidR="00117762" w:rsidRPr="000744E3">
        <w:t xml:space="preserve">accurate and </w:t>
      </w:r>
      <w:r w:rsidR="00AF057E" w:rsidRPr="000744E3">
        <w:t>holisti</w:t>
      </w:r>
      <w:r w:rsidR="000F7EE1" w:rsidRPr="000744E3">
        <w:t>c</w:t>
      </w:r>
      <w:r w:rsidR="00117762" w:rsidRPr="000744E3">
        <w:t xml:space="preserve"> </w:t>
      </w:r>
      <w:r w:rsidR="00A831BF" w:rsidRPr="000744E3">
        <w:t>enough</w:t>
      </w:r>
      <w:r w:rsidR="00CD3CB2" w:rsidRPr="000744E3">
        <w:t xml:space="preserve">. </w:t>
      </w:r>
      <w:r w:rsidR="00200E31" w:rsidRPr="000744E3">
        <w:t>Market consensus is that</w:t>
      </w:r>
      <w:r w:rsidR="00CD3CB2" w:rsidRPr="000744E3">
        <w:t xml:space="preserve"> there is a link between level of activity in central order book</w:t>
      </w:r>
      <w:r w:rsidR="00200E31" w:rsidRPr="000744E3">
        <w:t>s</w:t>
      </w:r>
      <w:r w:rsidR="00CD3CB2" w:rsidRPr="000744E3">
        <w:t xml:space="preserve"> and quality of price formation, but </w:t>
      </w:r>
      <w:r w:rsidR="00753D74" w:rsidRPr="000744E3">
        <w:t xml:space="preserve">there is not yet any </w:t>
      </w:r>
      <w:r w:rsidR="00200E31" w:rsidRPr="000744E3">
        <w:t>broad agreement</w:t>
      </w:r>
      <w:r w:rsidR="00753D74" w:rsidRPr="000744E3">
        <w:t xml:space="preserve"> on the </w:t>
      </w:r>
      <w:r w:rsidR="00136C58" w:rsidRPr="000744E3">
        <w:t xml:space="preserve">point at which </w:t>
      </w:r>
      <w:r w:rsidR="00200E31" w:rsidRPr="000744E3">
        <w:t>price formation starts degrading</w:t>
      </w:r>
      <w:r w:rsidR="00753D74" w:rsidRPr="000744E3">
        <w:t xml:space="preserve">. </w:t>
      </w:r>
    </w:p>
    <w:p w14:paraId="485E4DCA" w14:textId="0989BD33" w:rsidR="003732FB" w:rsidRPr="000744E3" w:rsidRDefault="003732FB" w:rsidP="00785AC1">
      <w:r w:rsidRPr="000744E3">
        <w:t>Price formation quality cannot be exclusively measured by relative market share, and need</w:t>
      </w:r>
      <w:r w:rsidR="004B7D8C" w:rsidRPr="000744E3">
        <w:t>s</w:t>
      </w:r>
      <w:r w:rsidRPr="000744E3">
        <w:t xml:space="preserve"> to </w:t>
      </w:r>
      <w:r w:rsidR="0028697F" w:rsidRPr="000744E3">
        <w:t>also consider</w:t>
      </w:r>
      <w:r w:rsidRPr="000744E3">
        <w:t xml:space="preserve"> who is forming the price (on</w:t>
      </w:r>
      <w:r w:rsidR="0028697F" w:rsidRPr="000744E3">
        <w:t>-</w:t>
      </w:r>
      <w:r w:rsidRPr="000744E3">
        <w:t xml:space="preserve"> and off</w:t>
      </w:r>
      <w:r w:rsidR="00E647A3" w:rsidRPr="000744E3">
        <w:t>-</w:t>
      </w:r>
      <w:r w:rsidRPr="000744E3">
        <w:t>exchange) and how key liquidity metric</w:t>
      </w:r>
      <w:r w:rsidR="007E6696" w:rsidRPr="000744E3">
        <w:t>s</w:t>
      </w:r>
      <w:r w:rsidR="005B66AE" w:rsidRPr="000744E3">
        <w:t xml:space="preserve"> such as spread, depth, and execution quality (market impact)</w:t>
      </w:r>
      <w:r w:rsidRPr="000744E3">
        <w:t xml:space="preserve"> evolve</w:t>
      </w:r>
      <w:r w:rsidR="00922DD4" w:rsidRPr="000744E3">
        <w:t>.</w:t>
      </w:r>
    </w:p>
    <w:p w14:paraId="349689D1" w14:textId="483744AE" w:rsidR="00F95F7C" w:rsidRPr="000744E3" w:rsidRDefault="00815077" w:rsidP="00785AC1">
      <w:r w:rsidRPr="000744E3">
        <w:t>One metric which is a good proxy for price formation is spreads</w:t>
      </w:r>
      <w:r w:rsidR="008F7A18" w:rsidRPr="000744E3">
        <w:t>. M</w:t>
      </w:r>
      <w:r w:rsidRPr="000744E3">
        <w:t>ore</w:t>
      </w:r>
      <w:r w:rsidR="00F95F7C" w:rsidRPr="000744E3">
        <w:t xml:space="preserve"> specifically </w:t>
      </w:r>
      <w:r w:rsidRPr="000744E3">
        <w:t xml:space="preserve">we can look </w:t>
      </w:r>
      <w:r w:rsidR="00F95F7C" w:rsidRPr="000744E3">
        <w:t xml:space="preserve">at Time Weighted Average Spreads across the blue chip stocks </w:t>
      </w:r>
      <w:r w:rsidR="0003792B" w:rsidRPr="000744E3">
        <w:t>trading on their primary market of listing</w:t>
      </w:r>
      <w:r w:rsidR="00F311D4" w:rsidRPr="000744E3">
        <w:t>:</w:t>
      </w:r>
    </w:p>
    <w:p w14:paraId="63AC673B" w14:textId="00B65FEA" w:rsidR="006F4589" w:rsidRPr="000744E3" w:rsidRDefault="003C44E6" w:rsidP="007A0F40">
      <w:pPr>
        <w:jc w:val="center"/>
      </w:pPr>
      <w:r w:rsidRPr="000744E3">
        <w:rPr>
          <w:noProof/>
          <w14:ligatures w14:val="standardContextual"/>
        </w:rPr>
        <w:drawing>
          <wp:inline distT="0" distB="0" distL="0" distR="0" wp14:anchorId="0F6460D2" wp14:editId="08C7772F">
            <wp:extent cx="4015740" cy="2705100"/>
            <wp:effectExtent l="0" t="0" r="3810" b="0"/>
            <wp:docPr id="676157761" name="Chart 1">
              <a:extLst xmlns:a="http://schemas.openxmlformats.org/drawingml/2006/main">
                <a:ext uri="{FF2B5EF4-FFF2-40B4-BE49-F238E27FC236}">
                  <a16:creationId xmlns:a16="http://schemas.microsoft.com/office/drawing/2014/main" id="{977650DA-00A3-28F1-9DCB-CB1E3748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F0C769" w14:textId="7E3410B2" w:rsidR="006C38A7" w:rsidRPr="000744E3" w:rsidRDefault="000F51F0" w:rsidP="006B0664">
      <w:pPr>
        <w:pStyle w:val="Caption"/>
        <w:rPr>
          <w:szCs w:val="16"/>
        </w:rPr>
      </w:pPr>
      <w:r w:rsidRPr="000744E3">
        <w:t xml:space="preserve">Figure </w:t>
      </w:r>
      <w:r>
        <w:fldChar w:fldCharType="begin"/>
      </w:r>
      <w:r>
        <w:instrText xml:space="preserve"> SEQ Figure \* ARABIC </w:instrText>
      </w:r>
      <w:r>
        <w:fldChar w:fldCharType="separate"/>
      </w:r>
      <w:r w:rsidRPr="000744E3">
        <w:rPr>
          <w:noProof/>
        </w:rPr>
        <w:t>2</w:t>
      </w:r>
      <w:r>
        <w:rPr>
          <w:noProof/>
        </w:rPr>
        <w:fldChar w:fldCharType="end"/>
      </w:r>
      <w:r w:rsidRPr="000744E3">
        <w:t>: Time Weig</w:t>
      </w:r>
      <w:r w:rsidR="00056727" w:rsidRPr="000744E3">
        <w:t>h</w:t>
      </w:r>
      <w:r w:rsidRPr="000744E3">
        <w:t>ted Average spread in bps</w:t>
      </w:r>
      <w:r w:rsidR="009339C0" w:rsidRPr="000744E3">
        <w:t xml:space="preserve"> on the primary market for blue chips stocks</w:t>
      </w:r>
      <w:r w:rsidRPr="000744E3">
        <w:t xml:space="preserve">. </w:t>
      </w:r>
      <w:r w:rsidR="00815077" w:rsidRPr="000744E3">
        <w:rPr>
          <w:szCs w:val="16"/>
        </w:rPr>
        <w:t xml:space="preserve">Source: BMLL </w:t>
      </w:r>
      <w:r w:rsidRPr="000744E3">
        <w:rPr>
          <w:szCs w:val="16"/>
        </w:rPr>
        <w:t>Data</w:t>
      </w:r>
      <w:r w:rsidR="00BB399C" w:rsidRPr="000744E3">
        <w:rPr>
          <w:szCs w:val="16"/>
        </w:rPr>
        <w:t>, Aquis analysis</w:t>
      </w:r>
    </w:p>
    <w:tbl>
      <w:tblPr>
        <w:tblStyle w:val="TableGrid"/>
        <w:tblW w:w="9485" w:type="dxa"/>
        <w:tblLook w:val="04A0" w:firstRow="1" w:lastRow="0" w:firstColumn="1" w:lastColumn="0" w:noHBand="0" w:noVBand="1"/>
      </w:tblPr>
      <w:tblGrid>
        <w:gridCol w:w="3539"/>
        <w:gridCol w:w="818"/>
        <w:gridCol w:w="1023"/>
        <w:gridCol w:w="1023"/>
        <w:gridCol w:w="1023"/>
        <w:gridCol w:w="1023"/>
        <w:gridCol w:w="1036"/>
      </w:tblGrid>
      <w:tr w:rsidR="00F564F1" w:rsidRPr="000744E3" w14:paraId="37B12D03" w14:textId="77777777" w:rsidTr="007A0F40">
        <w:trPr>
          <w:trHeight w:val="106"/>
        </w:trPr>
        <w:tc>
          <w:tcPr>
            <w:tcW w:w="3539" w:type="dxa"/>
            <w:shd w:val="clear" w:color="auto" w:fill="0E2841" w:themeFill="text2"/>
            <w:noWrap/>
            <w:hideMark/>
          </w:tcPr>
          <w:p w14:paraId="72D5CA34" w14:textId="77777777" w:rsidR="00F564F1" w:rsidRPr="007A0F40" w:rsidRDefault="00F564F1" w:rsidP="007A0F40">
            <w:pPr>
              <w:spacing w:after="0" w:line="240" w:lineRule="auto"/>
              <w:rPr>
                <w:color w:val="FFFFFF" w:themeColor="background1"/>
                <w:sz w:val="20"/>
                <w:szCs w:val="18"/>
              </w:rPr>
            </w:pPr>
            <w:r w:rsidRPr="007A0F40">
              <w:rPr>
                <w:color w:val="FFFFFF" w:themeColor="background1"/>
                <w:sz w:val="20"/>
                <w:szCs w:val="18"/>
              </w:rPr>
              <w:t>Market</w:t>
            </w:r>
          </w:p>
        </w:tc>
        <w:tc>
          <w:tcPr>
            <w:tcW w:w="818" w:type="dxa"/>
            <w:shd w:val="clear" w:color="auto" w:fill="0E2841" w:themeFill="text2"/>
            <w:noWrap/>
            <w:hideMark/>
          </w:tcPr>
          <w:p w14:paraId="0EBB2A66"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XAMS</w:t>
            </w:r>
          </w:p>
        </w:tc>
        <w:tc>
          <w:tcPr>
            <w:tcW w:w="1023" w:type="dxa"/>
            <w:shd w:val="clear" w:color="auto" w:fill="0E2841" w:themeFill="text2"/>
            <w:noWrap/>
            <w:hideMark/>
          </w:tcPr>
          <w:p w14:paraId="3D56481F"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XETR</w:t>
            </w:r>
          </w:p>
        </w:tc>
        <w:tc>
          <w:tcPr>
            <w:tcW w:w="1023" w:type="dxa"/>
            <w:shd w:val="clear" w:color="auto" w:fill="0E2841" w:themeFill="text2"/>
            <w:noWrap/>
            <w:hideMark/>
          </w:tcPr>
          <w:p w14:paraId="3219A887"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XLON</w:t>
            </w:r>
          </w:p>
        </w:tc>
        <w:tc>
          <w:tcPr>
            <w:tcW w:w="1023" w:type="dxa"/>
            <w:shd w:val="clear" w:color="auto" w:fill="0E2841" w:themeFill="text2"/>
            <w:noWrap/>
            <w:hideMark/>
          </w:tcPr>
          <w:p w14:paraId="1D62FFAA"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XMIL</w:t>
            </w:r>
          </w:p>
        </w:tc>
        <w:tc>
          <w:tcPr>
            <w:tcW w:w="1023" w:type="dxa"/>
            <w:shd w:val="clear" w:color="auto" w:fill="0E2841" w:themeFill="text2"/>
            <w:noWrap/>
            <w:hideMark/>
          </w:tcPr>
          <w:p w14:paraId="79F6CE35"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XPAR</w:t>
            </w:r>
          </w:p>
        </w:tc>
        <w:tc>
          <w:tcPr>
            <w:tcW w:w="1036" w:type="dxa"/>
            <w:shd w:val="clear" w:color="auto" w:fill="0E2841" w:themeFill="text2"/>
            <w:noWrap/>
            <w:hideMark/>
          </w:tcPr>
          <w:p w14:paraId="0C51C2F7" w14:textId="77777777" w:rsidR="00F564F1" w:rsidRPr="007A0F40" w:rsidRDefault="00F564F1" w:rsidP="007A0F40">
            <w:pPr>
              <w:spacing w:after="0" w:line="240" w:lineRule="auto"/>
              <w:jc w:val="center"/>
              <w:rPr>
                <w:color w:val="FFFFFF" w:themeColor="background1"/>
                <w:sz w:val="20"/>
                <w:szCs w:val="18"/>
              </w:rPr>
            </w:pPr>
            <w:r w:rsidRPr="007A0F40">
              <w:rPr>
                <w:color w:val="FFFFFF" w:themeColor="background1"/>
                <w:sz w:val="20"/>
                <w:szCs w:val="18"/>
              </w:rPr>
              <w:t>XSWX</w:t>
            </w:r>
          </w:p>
        </w:tc>
      </w:tr>
      <w:tr w:rsidR="00F564F1" w:rsidRPr="000744E3" w14:paraId="625C413D" w14:textId="77777777" w:rsidTr="007A0F40">
        <w:trPr>
          <w:trHeight w:val="152"/>
        </w:trPr>
        <w:tc>
          <w:tcPr>
            <w:tcW w:w="3539" w:type="dxa"/>
            <w:shd w:val="clear" w:color="auto" w:fill="0E2841" w:themeFill="text2"/>
            <w:noWrap/>
            <w:hideMark/>
          </w:tcPr>
          <w:p w14:paraId="2318972C" w14:textId="77777777" w:rsidR="00F564F1" w:rsidRPr="007A0F40" w:rsidRDefault="00F564F1" w:rsidP="007A0F40">
            <w:pPr>
              <w:spacing w:after="0" w:line="240" w:lineRule="auto"/>
              <w:rPr>
                <w:color w:val="FFFFFF" w:themeColor="background1"/>
                <w:sz w:val="20"/>
                <w:szCs w:val="18"/>
                <w:lang w:val="en-GB"/>
              </w:rPr>
            </w:pPr>
            <w:r w:rsidRPr="007A0F40">
              <w:rPr>
                <w:color w:val="FFFFFF" w:themeColor="background1"/>
                <w:sz w:val="20"/>
                <w:szCs w:val="18"/>
                <w:lang w:val="en-GB"/>
              </w:rPr>
              <w:t>% change from Q1 2022 to Q4 2025</w:t>
            </w:r>
          </w:p>
        </w:tc>
        <w:tc>
          <w:tcPr>
            <w:tcW w:w="818" w:type="dxa"/>
            <w:noWrap/>
            <w:hideMark/>
          </w:tcPr>
          <w:p w14:paraId="016C269D" w14:textId="77777777" w:rsidR="00F564F1" w:rsidRPr="007A0F40" w:rsidRDefault="00F564F1" w:rsidP="007A0F40">
            <w:pPr>
              <w:spacing w:after="0" w:line="240" w:lineRule="auto"/>
              <w:rPr>
                <w:sz w:val="20"/>
                <w:szCs w:val="18"/>
              </w:rPr>
            </w:pPr>
            <w:r w:rsidRPr="007A0F40">
              <w:rPr>
                <w:sz w:val="20"/>
                <w:szCs w:val="18"/>
              </w:rPr>
              <w:t>2%</w:t>
            </w:r>
          </w:p>
        </w:tc>
        <w:tc>
          <w:tcPr>
            <w:tcW w:w="1023" w:type="dxa"/>
            <w:noWrap/>
            <w:hideMark/>
          </w:tcPr>
          <w:p w14:paraId="2D120E48" w14:textId="77777777" w:rsidR="00F564F1" w:rsidRPr="007A0F40" w:rsidRDefault="00F564F1" w:rsidP="007A0F40">
            <w:pPr>
              <w:spacing w:after="0" w:line="240" w:lineRule="auto"/>
              <w:rPr>
                <w:sz w:val="20"/>
                <w:szCs w:val="18"/>
              </w:rPr>
            </w:pPr>
            <w:r w:rsidRPr="007A0F40">
              <w:rPr>
                <w:sz w:val="20"/>
                <w:szCs w:val="18"/>
              </w:rPr>
              <w:t>45%</w:t>
            </w:r>
          </w:p>
        </w:tc>
        <w:tc>
          <w:tcPr>
            <w:tcW w:w="1023" w:type="dxa"/>
            <w:noWrap/>
            <w:hideMark/>
          </w:tcPr>
          <w:p w14:paraId="28BAB14E" w14:textId="77777777" w:rsidR="00F564F1" w:rsidRPr="007A0F40" w:rsidRDefault="00F564F1" w:rsidP="007A0F40">
            <w:pPr>
              <w:spacing w:after="0" w:line="240" w:lineRule="auto"/>
              <w:rPr>
                <w:sz w:val="20"/>
                <w:szCs w:val="18"/>
              </w:rPr>
            </w:pPr>
            <w:r w:rsidRPr="007A0F40">
              <w:rPr>
                <w:sz w:val="20"/>
                <w:szCs w:val="18"/>
              </w:rPr>
              <w:t>9%</w:t>
            </w:r>
          </w:p>
        </w:tc>
        <w:tc>
          <w:tcPr>
            <w:tcW w:w="1023" w:type="dxa"/>
            <w:noWrap/>
            <w:hideMark/>
          </w:tcPr>
          <w:p w14:paraId="1D30D7D0" w14:textId="77777777" w:rsidR="00F564F1" w:rsidRPr="007A0F40" w:rsidRDefault="00F564F1" w:rsidP="007A0F40">
            <w:pPr>
              <w:spacing w:after="0" w:line="240" w:lineRule="auto"/>
              <w:rPr>
                <w:sz w:val="20"/>
                <w:szCs w:val="18"/>
              </w:rPr>
            </w:pPr>
            <w:r w:rsidRPr="007A0F40">
              <w:rPr>
                <w:sz w:val="20"/>
                <w:szCs w:val="18"/>
              </w:rPr>
              <w:t>-10%</w:t>
            </w:r>
          </w:p>
        </w:tc>
        <w:tc>
          <w:tcPr>
            <w:tcW w:w="1023" w:type="dxa"/>
            <w:noWrap/>
            <w:hideMark/>
          </w:tcPr>
          <w:p w14:paraId="75D419EB" w14:textId="77777777" w:rsidR="00F564F1" w:rsidRPr="007A0F40" w:rsidRDefault="00F564F1" w:rsidP="007A0F40">
            <w:pPr>
              <w:spacing w:after="0" w:line="240" w:lineRule="auto"/>
              <w:rPr>
                <w:sz w:val="20"/>
                <w:szCs w:val="18"/>
              </w:rPr>
            </w:pPr>
            <w:r w:rsidRPr="007A0F40">
              <w:rPr>
                <w:sz w:val="20"/>
                <w:szCs w:val="18"/>
              </w:rPr>
              <w:t>24%</w:t>
            </w:r>
          </w:p>
        </w:tc>
        <w:tc>
          <w:tcPr>
            <w:tcW w:w="1036" w:type="dxa"/>
            <w:noWrap/>
            <w:hideMark/>
          </w:tcPr>
          <w:p w14:paraId="64F33C46" w14:textId="77777777" w:rsidR="00F564F1" w:rsidRPr="007A0F40" w:rsidRDefault="00F564F1" w:rsidP="007A0F40">
            <w:pPr>
              <w:spacing w:after="0" w:line="240" w:lineRule="auto"/>
              <w:rPr>
                <w:sz w:val="20"/>
                <w:szCs w:val="18"/>
              </w:rPr>
            </w:pPr>
            <w:r w:rsidRPr="007A0F40">
              <w:rPr>
                <w:sz w:val="20"/>
                <w:szCs w:val="18"/>
              </w:rPr>
              <w:t>22%</w:t>
            </w:r>
          </w:p>
        </w:tc>
      </w:tr>
    </w:tbl>
    <w:p w14:paraId="67BA8639" w14:textId="51EFBB1D" w:rsidR="001B6417" w:rsidRPr="000744E3" w:rsidRDefault="000F51F0" w:rsidP="006B0664">
      <w:pPr>
        <w:pStyle w:val="Caption"/>
      </w:pPr>
      <w:r w:rsidRPr="000744E3">
        <w:t xml:space="preserve">Table </w:t>
      </w:r>
      <w:r>
        <w:fldChar w:fldCharType="begin"/>
      </w:r>
      <w:r>
        <w:instrText xml:space="preserve"> SEQ Table \* ARABIC </w:instrText>
      </w:r>
      <w:r>
        <w:fldChar w:fldCharType="separate"/>
      </w:r>
      <w:r w:rsidRPr="000744E3">
        <w:rPr>
          <w:noProof/>
        </w:rPr>
        <w:t>2</w:t>
      </w:r>
      <w:r>
        <w:rPr>
          <w:noProof/>
        </w:rPr>
        <w:fldChar w:fldCharType="end"/>
      </w:r>
      <w:r w:rsidRPr="000744E3">
        <w:t xml:space="preserve">: Evolution of time weighted average spread </w:t>
      </w:r>
      <w:r w:rsidR="006B0664" w:rsidRPr="000744E3">
        <w:t xml:space="preserve">between Q1 2022 and Q4 2025. </w:t>
      </w:r>
      <w:r w:rsidR="00990E4E" w:rsidRPr="000744E3">
        <w:t xml:space="preserve">Positive value means spreads have widened. </w:t>
      </w:r>
      <w:r w:rsidR="006B0664" w:rsidRPr="000744E3">
        <w:t xml:space="preserve"> </w:t>
      </w:r>
      <w:r w:rsidR="006C38A7" w:rsidRPr="000744E3">
        <w:rPr>
          <w:szCs w:val="16"/>
        </w:rPr>
        <w:t>Source: BMLL Technologies</w:t>
      </w:r>
      <w:r w:rsidR="006C38A7" w:rsidRPr="000744E3">
        <w:t xml:space="preserve"> </w:t>
      </w:r>
    </w:p>
    <w:p w14:paraId="7744DB13" w14:textId="081A9577" w:rsidR="00F311D4" w:rsidRPr="000744E3" w:rsidRDefault="00F311D4" w:rsidP="00200E31">
      <w:r w:rsidRPr="000744E3">
        <w:t xml:space="preserve">We can see in Figure 2 above a slight degradation of spreads over time, which could be linked to the decrease in lit market share, but are </w:t>
      </w:r>
      <w:r w:rsidR="00BB399C" w:rsidRPr="000744E3">
        <w:t xml:space="preserve">more </w:t>
      </w:r>
      <w:r w:rsidRPr="000744E3">
        <w:t>likely correlated to macro market conditions and geopolitical events over the period</w:t>
      </w:r>
      <w:r w:rsidR="00BB399C" w:rsidRPr="000744E3">
        <w:t>.</w:t>
      </w:r>
    </w:p>
    <w:p w14:paraId="30E455AC" w14:textId="554D5F72" w:rsidR="00200E31" w:rsidRPr="000744E3" w:rsidRDefault="00CE4DE2" w:rsidP="00200E31">
      <w:r w:rsidRPr="000744E3">
        <w:t xml:space="preserve">If the </w:t>
      </w:r>
      <w:r w:rsidR="005C32DD" w:rsidRPr="000744E3">
        <w:t>relative decreasing trend in trading on CLOB</w:t>
      </w:r>
      <w:r w:rsidRPr="000744E3">
        <w:t xml:space="preserve"> accelerate, </w:t>
      </w:r>
      <w:r w:rsidR="00677ED3" w:rsidRPr="000744E3">
        <w:t xml:space="preserve">it could materially change </w:t>
      </w:r>
      <w:r w:rsidR="00200E31" w:rsidRPr="000744E3">
        <w:t xml:space="preserve"> the direction of equities market structure, with </w:t>
      </w:r>
      <w:r w:rsidR="009E032D" w:rsidRPr="000744E3">
        <w:t>two</w:t>
      </w:r>
      <w:r w:rsidR="00200E31" w:rsidRPr="000744E3">
        <w:t xml:space="preserve"> </w:t>
      </w:r>
      <w:r w:rsidR="00677ED3" w:rsidRPr="000744E3">
        <w:t>consequences</w:t>
      </w:r>
      <w:r w:rsidR="00200E31" w:rsidRPr="000744E3">
        <w:t xml:space="preserve"> that could lead to degradation of price formation:</w:t>
      </w:r>
      <w:r w:rsidR="00A831BF" w:rsidRPr="000744E3">
        <w:t xml:space="preserve"> a potential</w:t>
      </w:r>
      <w:r w:rsidR="00200E31" w:rsidRPr="000744E3">
        <w:t xml:space="preserve"> </w:t>
      </w:r>
      <w:r w:rsidR="00A831BF" w:rsidRPr="000744E3">
        <w:t xml:space="preserve">reduction </w:t>
      </w:r>
      <w:r w:rsidR="00200E31" w:rsidRPr="000744E3">
        <w:t xml:space="preserve">of </w:t>
      </w:r>
      <w:r w:rsidR="00214AFE" w:rsidRPr="000744E3">
        <w:t xml:space="preserve">the diversity of </w:t>
      </w:r>
      <w:r w:rsidR="00A831BF" w:rsidRPr="000744E3">
        <w:t xml:space="preserve">market participants </w:t>
      </w:r>
      <w:r w:rsidR="00200E31" w:rsidRPr="000744E3">
        <w:t>in the CLOB</w:t>
      </w:r>
      <w:r w:rsidR="007E6696" w:rsidRPr="000744E3">
        <w:t>s</w:t>
      </w:r>
      <w:r w:rsidR="00200E31" w:rsidRPr="000744E3">
        <w:t xml:space="preserve"> and </w:t>
      </w:r>
      <w:r w:rsidR="00A831BF" w:rsidRPr="000744E3">
        <w:t xml:space="preserve">a </w:t>
      </w:r>
      <w:r w:rsidR="00200E31" w:rsidRPr="000744E3">
        <w:t xml:space="preserve">slow move towards a more price driven market. </w:t>
      </w:r>
    </w:p>
    <w:p w14:paraId="0CC04B63" w14:textId="519031E4" w:rsidR="00785AC1" w:rsidRPr="000744E3" w:rsidRDefault="00785AC1" w:rsidP="00785AC1">
      <w:r w:rsidRPr="000744E3">
        <w:t>The decreas</w:t>
      </w:r>
      <w:r w:rsidR="006C3D5B" w:rsidRPr="000744E3">
        <w:t>e</w:t>
      </w:r>
      <w:r w:rsidRPr="000744E3">
        <w:t xml:space="preserve"> in</w:t>
      </w:r>
      <w:r w:rsidR="000248B8" w:rsidRPr="000744E3">
        <w:t xml:space="preserve"> market share on the</w:t>
      </w:r>
      <w:r w:rsidRPr="000744E3">
        <w:t xml:space="preserve"> CLOB could</w:t>
      </w:r>
      <w:r w:rsidR="004D3D99" w:rsidRPr="000744E3">
        <w:t xml:space="preserve"> </w:t>
      </w:r>
      <w:r w:rsidRPr="000744E3">
        <w:t>lead to attrition in the price formation for equities</w:t>
      </w:r>
      <w:r w:rsidR="004D3D99" w:rsidRPr="000744E3">
        <w:t>, with less</w:t>
      </w:r>
      <w:r w:rsidR="000248B8" w:rsidRPr="000744E3">
        <w:t xml:space="preserve"> participation from</w:t>
      </w:r>
      <w:r w:rsidR="004D3D99" w:rsidRPr="000744E3">
        <w:t xml:space="preserve"> institutional and retail flow</w:t>
      </w:r>
      <w:r w:rsidRPr="000744E3">
        <w:t xml:space="preserve">. </w:t>
      </w:r>
      <w:r w:rsidR="008B4D24" w:rsidRPr="000744E3">
        <w:t>I</w:t>
      </w:r>
      <w:r w:rsidRPr="000744E3">
        <w:t>nteraction between diverse participants ensure</w:t>
      </w:r>
      <w:r w:rsidR="000423D4" w:rsidRPr="000744E3">
        <w:t>s</w:t>
      </w:r>
      <w:r w:rsidRPr="000744E3">
        <w:t xml:space="preserve"> the price is formed by investors that have a </w:t>
      </w:r>
      <w:r w:rsidR="00EB30D6" w:rsidRPr="000744E3">
        <w:t>long</w:t>
      </w:r>
      <w:r w:rsidR="00022EF5" w:rsidRPr="000744E3">
        <w:t>-</w:t>
      </w:r>
      <w:r w:rsidR="00EB30D6" w:rsidRPr="000744E3">
        <w:t xml:space="preserve">term </w:t>
      </w:r>
      <w:r w:rsidRPr="000744E3">
        <w:t>view on the value of the asset</w:t>
      </w:r>
      <w:r w:rsidR="005F5704" w:rsidRPr="000744E3">
        <w:t>,</w:t>
      </w:r>
      <w:r w:rsidRPr="000744E3">
        <w:t xml:space="preserve"> </w:t>
      </w:r>
      <w:r w:rsidR="00022EF5" w:rsidRPr="000744E3">
        <w:t xml:space="preserve">whilst also </w:t>
      </w:r>
      <w:r w:rsidRPr="000744E3">
        <w:t>complement</w:t>
      </w:r>
      <w:r w:rsidR="005B0375" w:rsidRPr="000744E3">
        <w:t>ed</w:t>
      </w:r>
      <w:r w:rsidRPr="000744E3">
        <w:t xml:space="preserve"> by market maker</w:t>
      </w:r>
      <w:r w:rsidR="00EB30D6" w:rsidRPr="000744E3">
        <w:t>s</w:t>
      </w:r>
      <w:r w:rsidRPr="000744E3">
        <w:t xml:space="preserve"> and arbitrageur</w:t>
      </w:r>
      <w:r w:rsidR="00EB30D6" w:rsidRPr="000744E3">
        <w:t>s</w:t>
      </w:r>
      <w:r w:rsidRPr="000744E3">
        <w:t>, the former providing continuous access to liquidity and the latter ensuring price consistency between assets</w:t>
      </w:r>
      <w:r w:rsidR="005B0375" w:rsidRPr="000744E3">
        <w:t>, venues</w:t>
      </w:r>
      <w:r w:rsidRPr="000744E3">
        <w:t xml:space="preserve"> and currencies. A price formed without</w:t>
      </w:r>
      <w:r w:rsidR="00CD7656" w:rsidRPr="000744E3">
        <w:t xml:space="preserve"> the participation of</w:t>
      </w:r>
      <w:r w:rsidRPr="000744E3">
        <w:t xml:space="preserve"> strong </w:t>
      </w:r>
      <w:r w:rsidR="005B0375" w:rsidRPr="000744E3">
        <w:t>long</w:t>
      </w:r>
      <w:r w:rsidR="00022EF5" w:rsidRPr="000744E3">
        <w:t>-</w:t>
      </w:r>
      <w:r w:rsidR="005B0375" w:rsidRPr="000744E3">
        <w:t xml:space="preserve">term investors </w:t>
      </w:r>
      <w:r w:rsidRPr="000744E3">
        <w:t>is potentially of less quality</w:t>
      </w:r>
      <w:r w:rsidR="00763D65" w:rsidRPr="000744E3">
        <w:t>.</w:t>
      </w:r>
    </w:p>
    <w:p w14:paraId="75BAC1AF" w14:textId="24D6AE65" w:rsidR="005B0375" w:rsidRPr="000744E3" w:rsidRDefault="005B0375" w:rsidP="005B0375">
      <w:r w:rsidRPr="000744E3">
        <w:t xml:space="preserve">European equity markets have historically been built around an order-driven model where prices emerge from the interaction of buy and sell orders. A sustained increase in bilateral execution </w:t>
      </w:r>
      <w:r w:rsidR="00763D65" w:rsidRPr="000744E3">
        <w:t xml:space="preserve">could </w:t>
      </w:r>
      <w:r w:rsidRPr="000744E3">
        <w:t>risk shifting the market towards more of a price-driven model, where dealers post quotes and clients execute against them, similar to fixed income markets</w:t>
      </w:r>
      <w:r w:rsidR="00770547" w:rsidRPr="000744E3">
        <w:t xml:space="preserve"> or to a</w:t>
      </w:r>
      <w:r w:rsidR="004B10CB" w:rsidRPr="000744E3">
        <w:t>n extent FX</w:t>
      </w:r>
      <w:r w:rsidRPr="000744E3">
        <w:t>.</w:t>
      </w:r>
    </w:p>
    <w:p w14:paraId="18A54685" w14:textId="70A40D64" w:rsidR="005B0375" w:rsidRPr="000744E3" w:rsidRDefault="005B0375" w:rsidP="005B0375">
      <w:r w:rsidRPr="000744E3">
        <w:t xml:space="preserve">The order-driven model is the regulatory premise of MiFID I, MiFID II and </w:t>
      </w:r>
      <w:proofErr w:type="spellStart"/>
      <w:r w:rsidRPr="000744E3">
        <w:t>MiFIR</w:t>
      </w:r>
      <w:proofErr w:type="spellEnd"/>
      <w:r w:rsidR="006817B5" w:rsidRPr="000744E3">
        <w:t xml:space="preserve"> in </w:t>
      </w:r>
      <w:r w:rsidR="00317149" w:rsidRPr="000744E3">
        <w:t>E</w:t>
      </w:r>
      <w:r w:rsidR="006817B5" w:rsidRPr="000744E3">
        <w:t>quities</w:t>
      </w:r>
      <w:r w:rsidRPr="000744E3">
        <w:t xml:space="preserve">. It is what makes best execution measurable: arrival price, slippage, and spread capture all reference a public order book. It is what makes investor protection enforceable: retail investors </w:t>
      </w:r>
      <w:r w:rsidR="005871F6" w:rsidRPr="000744E3">
        <w:t xml:space="preserve">are </w:t>
      </w:r>
      <w:r w:rsidR="00BC4E6C" w:rsidRPr="000744E3">
        <w:t xml:space="preserve">able to </w:t>
      </w:r>
      <w:r w:rsidRPr="000744E3">
        <w:t>interact with the same prices as institutional investors. It is what gives reference prices their reliability: publicly visible BBO</w:t>
      </w:r>
      <w:r w:rsidR="00927331" w:rsidRPr="000744E3">
        <w:t>s</w:t>
      </w:r>
      <w:r w:rsidR="00317149" w:rsidRPr="000744E3">
        <w:t xml:space="preserve"> or indicative auction price</w:t>
      </w:r>
      <w:r w:rsidR="00927331" w:rsidRPr="000744E3">
        <w:t>s</w:t>
      </w:r>
      <w:r w:rsidRPr="000744E3">
        <w:t xml:space="preserve"> </w:t>
      </w:r>
      <w:r w:rsidR="005871F6" w:rsidRPr="000744E3">
        <w:t>emerge</w:t>
      </w:r>
      <w:r w:rsidRPr="000744E3">
        <w:t xml:space="preserve"> from the interaction of competing orders. A shift to a price-driven model </w:t>
      </w:r>
      <w:r w:rsidRPr="000744E3" w:rsidDel="00EA1A61">
        <w:t>c</w:t>
      </w:r>
      <w:r w:rsidRPr="000744E3">
        <w:t xml:space="preserve">ould significantly undermine each of these foundations. It could also embed a potential structural </w:t>
      </w:r>
      <w:r w:rsidR="00317149" w:rsidRPr="000744E3">
        <w:t xml:space="preserve">risk </w:t>
      </w:r>
      <w:r w:rsidRPr="000744E3">
        <w:t>between liquidity provision on</w:t>
      </w:r>
      <w:r w:rsidR="00EA1A61" w:rsidRPr="000744E3">
        <w:t>-</w:t>
      </w:r>
      <w:r w:rsidRPr="000744E3">
        <w:t>venue and off</w:t>
      </w:r>
      <w:r w:rsidR="00EA1A61" w:rsidRPr="000744E3">
        <w:t>-</w:t>
      </w:r>
      <w:r w:rsidRPr="000744E3">
        <w:t xml:space="preserve">exchange, with the current market structure creating a feedback loop between market making in CLOBs and liquidity provision off exchange. </w:t>
      </w:r>
    </w:p>
    <w:p w14:paraId="79332FB4" w14:textId="15176F38" w:rsidR="00785AC1" w:rsidRPr="000744E3" w:rsidRDefault="005B0375" w:rsidP="005B0375">
      <w:r w:rsidRPr="000744E3">
        <w:t>If the market structure continues to drift towards a dealer-driven model, the regulatory framework will progressively misalign with the underlying market reality. This is a slow-moving problem, not a crisis, but it is exactly the kind of structural drift that benefits from early regulatory engagement rather than late corrective action. We would encourage ESMA to commission independent academic work on this question</w:t>
      </w:r>
      <w:r w:rsidR="0000176D" w:rsidRPr="000744E3">
        <w:t xml:space="preserve"> and engage </w:t>
      </w:r>
      <w:r w:rsidR="00AA287A" w:rsidRPr="000744E3">
        <w:t xml:space="preserve">further </w:t>
      </w:r>
      <w:r w:rsidR="0000176D" w:rsidRPr="000744E3">
        <w:t>with market participants</w:t>
      </w:r>
      <w:r w:rsidR="00AA287A" w:rsidRPr="000744E3">
        <w:t xml:space="preserve"> on defining the right metrics to monitor quality of price formation for European equities</w:t>
      </w:r>
      <w:r w:rsidR="00D95850" w:rsidRPr="000744E3">
        <w:t>.</w:t>
      </w:r>
      <w:r w:rsidR="001148B2" w:rsidRPr="000744E3">
        <w:t xml:space="preserve"> </w:t>
      </w:r>
    </w:p>
    <w:p w14:paraId="14BB3338" w14:textId="77777777" w:rsidR="00785AC1" w:rsidRPr="000744E3" w:rsidRDefault="00785AC1" w:rsidP="00785AC1">
      <w:r w:rsidRPr="000744E3">
        <w:t>&lt;ESMA_QUESTION_MSEM_4&gt;</w:t>
      </w:r>
    </w:p>
    <w:p w14:paraId="6CA8BB11" w14:textId="77777777" w:rsidR="00785AC1" w:rsidRPr="000744E3" w:rsidRDefault="00785AC1" w:rsidP="00785AC1"/>
    <w:p w14:paraId="201D5F35" w14:textId="77777777" w:rsidR="00785AC1" w:rsidRPr="000744E3" w:rsidRDefault="00785AC1" w:rsidP="00785AC1">
      <w:pPr>
        <w:pStyle w:val="Questionstyle"/>
        <w:numPr>
          <w:ilvl w:val="0"/>
          <w:numId w:val="1"/>
        </w:numPr>
        <w:tabs>
          <w:tab w:val="clear" w:pos="567"/>
        </w:tabs>
        <w:spacing w:before="120" w:after="120"/>
        <w:ind w:left="851" w:hanging="709"/>
      </w:pPr>
      <w:r w:rsidRPr="000744E3">
        <w:t>As the choice of trading facility has increased, it is important for ESMA to understand why market participants are choosing the execution facilities that they do. What are the drivers that you consider most relevant when choosing on which execution venue and with which execution method to trade?</w:t>
      </w:r>
    </w:p>
    <w:p w14:paraId="21DA3A9D" w14:textId="77777777" w:rsidR="00785AC1" w:rsidRPr="000744E3" w:rsidRDefault="00785AC1" w:rsidP="00785AC1">
      <w:r w:rsidRPr="000744E3">
        <w:t>&lt;ESMA_QUESTION_MSEM_5&gt;</w:t>
      </w:r>
    </w:p>
    <w:p w14:paraId="7C735DAE" w14:textId="6E46B5F9" w:rsidR="008B15D7" w:rsidRPr="000744E3" w:rsidRDefault="00785AC1" w:rsidP="00785AC1">
      <w:r w:rsidRPr="000744E3">
        <w:t xml:space="preserve">As a </w:t>
      </w:r>
      <w:r w:rsidR="009D3A6F" w:rsidRPr="000744E3">
        <w:t>t</w:t>
      </w:r>
      <w:r w:rsidRPr="000744E3">
        <w:t xml:space="preserve">rading </w:t>
      </w:r>
      <w:r w:rsidR="009D3A6F" w:rsidRPr="000744E3">
        <w:t>v</w:t>
      </w:r>
      <w:r w:rsidRPr="000744E3">
        <w:t xml:space="preserve">enue, we </w:t>
      </w:r>
      <w:r w:rsidR="00A945F3" w:rsidRPr="000744E3">
        <w:t xml:space="preserve">observe </w:t>
      </w:r>
      <w:r w:rsidRPr="000744E3">
        <w:t>that our member</w:t>
      </w:r>
      <w:r w:rsidR="000D56AE" w:rsidRPr="000744E3">
        <w:t>s</w:t>
      </w:r>
      <w:r w:rsidRPr="000744E3">
        <w:t xml:space="preserve"> </w:t>
      </w:r>
      <w:r w:rsidR="000D56AE" w:rsidRPr="000744E3">
        <w:t>make execution</w:t>
      </w:r>
      <w:r w:rsidR="00C41BF0" w:rsidRPr="000744E3">
        <w:t xml:space="preserve"> decisions through a multi-factor optimisation that weighs (i) expected execution price, (ii) expected market impact, (iii)</w:t>
      </w:r>
      <w:r w:rsidR="00C41BF0" w:rsidRPr="000744E3">
        <w:rPr>
          <w:i/>
          <w:iCs/>
        </w:rPr>
        <w:t xml:space="preserve"> </w:t>
      </w:r>
      <w:r w:rsidR="00C41BF0" w:rsidRPr="000744E3">
        <w:t xml:space="preserve">certainty of execution, (iv) information leakage risk, (v) post-trade processing and settlement costs, and (vi) regulatory obligations such as PRIIPs/MiFID best execution criteria. The relative weight of these factors can vary </w:t>
      </w:r>
      <w:r w:rsidR="00FE7E4C" w:rsidRPr="000744E3">
        <w:t xml:space="preserve">by investor type and </w:t>
      </w:r>
      <w:r w:rsidR="00C41BF0" w:rsidRPr="000744E3">
        <w:t>with market conditions</w:t>
      </w:r>
      <w:r w:rsidR="00A717B9" w:rsidRPr="000744E3">
        <w:t xml:space="preserve"> </w:t>
      </w:r>
      <w:r w:rsidR="00C41BF0" w:rsidRPr="000744E3">
        <w:t xml:space="preserve">(volatility, index </w:t>
      </w:r>
      <w:r w:rsidR="00127E3D" w:rsidRPr="000744E3">
        <w:t xml:space="preserve">rebalancing, </w:t>
      </w:r>
      <w:r w:rsidR="00C41BF0" w:rsidRPr="000744E3">
        <w:t>monthly expiries, etc), order size, instrument’s liquidity profile, and the time of day.</w:t>
      </w:r>
      <w:r w:rsidR="000D56AE" w:rsidRPr="000744E3">
        <w:t xml:space="preserve"> </w:t>
      </w:r>
    </w:p>
    <w:p w14:paraId="11FD83BD" w14:textId="30F0C498" w:rsidR="008B15D7" w:rsidRPr="000744E3" w:rsidRDefault="008B15D7" w:rsidP="00785AC1">
      <w:r w:rsidRPr="000744E3">
        <w:t xml:space="preserve">From our data analysis on BMLL, </w:t>
      </w:r>
      <w:r w:rsidR="00475D63" w:rsidRPr="000744E3">
        <w:t xml:space="preserve">we observe </w:t>
      </w:r>
      <w:r w:rsidRPr="000744E3">
        <w:t xml:space="preserve">several key patterns </w:t>
      </w:r>
      <w:r w:rsidR="00BB3DEF" w:rsidRPr="000744E3">
        <w:t>regarding</w:t>
      </w:r>
      <w:r w:rsidR="00A717B9" w:rsidRPr="000744E3">
        <w:t xml:space="preserve"> market conditions</w:t>
      </w:r>
      <w:r w:rsidR="002C2962" w:rsidRPr="000744E3">
        <w:t xml:space="preserve">. </w:t>
      </w:r>
      <w:r w:rsidR="00475D63" w:rsidRPr="000744E3">
        <w:t>T</w:t>
      </w:r>
      <w:r w:rsidR="002C2962" w:rsidRPr="000744E3">
        <w:t xml:space="preserve">he chart </w:t>
      </w:r>
      <w:r w:rsidR="00CD1A58" w:rsidRPr="000744E3">
        <w:t>below</w:t>
      </w:r>
      <w:r w:rsidR="00475D63" w:rsidRPr="000744E3">
        <w:t xml:space="preserve"> highlights</w:t>
      </w:r>
      <w:r w:rsidR="00CD1A58" w:rsidRPr="000744E3">
        <w:t xml:space="preserve"> </w:t>
      </w:r>
      <w:r w:rsidR="002C2962" w:rsidRPr="000744E3">
        <w:t xml:space="preserve">different market events and the corresponding market share of each mechanism (taking into account the liquidity on EEA shares </w:t>
      </w:r>
      <w:r w:rsidR="00D93CF9" w:rsidRPr="000744E3">
        <w:t>executed in the UK)</w:t>
      </w:r>
      <w:r w:rsidRPr="000744E3">
        <w:t xml:space="preserve">: </w:t>
      </w:r>
    </w:p>
    <w:p w14:paraId="4C3B5999" w14:textId="43505B20" w:rsidR="00E47CC5" w:rsidRPr="000744E3" w:rsidRDefault="00FC51BF" w:rsidP="00785AC1">
      <w:r w:rsidRPr="000744E3">
        <w:rPr>
          <w:noProof/>
          <w14:ligatures w14:val="standardContextual"/>
        </w:rPr>
        <w:t xml:space="preserve"> </w:t>
      </w:r>
      <w:r w:rsidR="00A23DB8" w:rsidRPr="000744E3">
        <w:rPr>
          <w:noProof/>
          <w14:ligatures w14:val="standardContextual"/>
        </w:rPr>
        <w:t xml:space="preserve"> </w:t>
      </w:r>
      <w:r w:rsidR="00B12186" w:rsidRPr="000744E3">
        <w:rPr>
          <w:noProof/>
          <w14:ligatures w14:val="standardContextual"/>
        </w:rPr>
        <w:t xml:space="preserve"> </w:t>
      </w:r>
      <w:r w:rsidR="00B12186" w:rsidRPr="000744E3">
        <w:rPr>
          <w:noProof/>
          <w14:ligatures w14:val="standardContextual"/>
        </w:rPr>
        <w:drawing>
          <wp:inline distT="0" distB="0" distL="0" distR="0" wp14:anchorId="1A693D33" wp14:editId="11A07C44">
            <wp:extent cx="5760720" cy="2578735"/>
            <wp:effectExtent l="0" t="0" r="0" b="0"/>
            <wp:docPr id="171336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60841" name=""/>
                    <pic:cNvPicPr/>
                  </pic:nvPicPr>
                  <pic:blipFill>
                    <a:blip r:embed="rId19"/>
                    <a:stretch>
                      <a:fillRect/>
                    </a:stretch>
                  </pic:blipFill>
                  <pic:spPr>
                    <a:xfrm>
                      <a:off x="0" y="0"/>
                      <a:ext cx="5760720" cy="2578735"/>
                    </a:xfrm>
                    <a:prstGeom prst="rect">
                      <a:avLst/>
                    </a:prstGeom>
                  </pic:spPr>
                </pic:pic>
              </a:graphicData>
            </a:graphic>
          </wp:inline>
        </w:drawing>
      </w:r>
    </w:p>
    <w:p w14:paraId="76398CBF" w14:textId="0974B672" w:rsidR="008B285F" w:rsidRPr="000744E3" w:rsidRDefault="008B285F" w:rsidP="008C3408">
      <w:pPr>
        <w:pStyle w:val="Caption"/>
      </w:pPr>
      <w:r w:rsidRPr="000744E3">
        <w:t xml:space="preserve">Figure </w:t>
      </w:r>
      <w:r w:rsidR="000F51F0">
        <w:fldChar w:fldCharType="begin"/>
      </w:r>
      <w:r w:rsidR="000F51F0">
        <w:instrText xml:space="preserve"> SEQ Figure \* ARABIC </w:instrText>
      </w:r>
      <w:r w:rsidR="000F51F0">
        <w:fldChar w:fldCharType="separate"/>
      </w:r>
      <w:r w:rsidR="000F51F0" w:rsidRPr="000744E3">
        <w:rPr>
          <w:noProof/>
        </w:rPr>
        <w:t>3</w:t>
      </w:r>
      <w:r w:rsidR="000F51F0">
        <w:rPr>
          <w:noProof/>
        </w:rPr>
        <w:fldChar w:fldCharType="end"/>
      </w:r>
      <w:r w:rsidRPr="000744E3">
        <w:t xml:space="preserve">: </w:t>
      </w:r>
      <w:r w:rsidR="009F4B7F" w:rsidRPr="000744E3">
        <w:t>D</w:t>
      </w:r>
      <w:r w:rsidRPr="000744E3">
        <w:t xml:space="preserve">aily notional </w:t>
      </w:r>
      <w:r w:rsidR="009F4B7F" w:rsidRPr="000744E3">
        <w:t xml:space="preserve">and market share </w:t>
      </w:r>
      <w:r w:rsidRPr="000744E3">
        <w:t xml:space="preserve">by trading mechanism </w:t>
      </w:r>
      <w:r w:rsidR="009F4B7F" w:rsidRPr="000744E3">
        <w:t xml:space="preserve">executed in the UK and in the EU between </w:t>
      </w:r>
      <w:r w:rsidRPr="000744E3">
        <w:t>Jan</w:t>
      </w:r>
      <w:r w:rsidR="009F4B7F" w:rsidRPr="000744E3">
        <w:t xml:space="preserve">uary and </w:t>
      </w:r>
      <w:r w:rsidRPr="000744E3">
        <w:t>April 2026 on listing</w:t>
      </w:r>
      <w:r w:rsidR="00621BD3" w:rsidRPr="000744E3">
        <w:t>s</w:t>
      </w:r>
      <w:r w:rsidRPr="000744E3">
        <w:t xml:space="preserve"> </w:t>
      </w:r>
      <w:r w:rsidR="006114D0" w:rsidRPr="000744E3">
        <w:t>from</w:t>
      </w:r>
      <w:r w:rsidRPr="000744E3">
        <w:t xml:space="preserve"> </w:t>
      </w:r>
      <w:r w:rsidR="009D2B8A" w:rsidRPr="000744E3">
        <w:t xml:space="preserve">Amsterdam, Brussels, Copenhagen, </w:t>
      </w:r>
      <w:r w:rsidR="00424ED2" w:rsidRPr="000744E3">
        <w:t xml:space="preserve">Dublin, Frankfurt, </w:t>
      </w:r>
      <w:r w:rsidR="000A6A7B" w:rsidRPr="000744E3">
        <w:t xml:space="preserve">Helsinki, </w:t>
      </w:r>
      <w:r w:rsidR="000F2E0A" w:rsidRPr="000744E3">
        <w:t>Lisbon,</w:t>
      </w:r>
      <w:r w:rsidR="002C1C29" w:rsidRPr="000744E3">
        <w:t xml:space="preserve"> Milan, </w:t>
      </w:r>
      <w:r w:rsidR="00424ED2" w:rsidRPr="000744E3">
        <w:t xml:space="preserve">Paris, </w:t>
      </w:r>
      <w:r w:rsidR="00192765" w:rsidRPr="000744E3">
        <w:t xml:space="preserve">Oslo, </w:t>
      </w:r>
      <w:r w:rsidR="00C0464D" w:rsidRPr="000744E3">
        <w:t xml:space="preserve">Stockholm, </w:t>
      </w:r>
      <w:r w:rsidR="00272095" w:rsidRPr="000744E3">
        <w:t xml:space="preserve">Vienna. </w:t>
      </w:r>
      <w:r w:rsidR="009F4B7F" w:rsidRPr="000744E3">
        <w:t xml:space="preserve">BMLL data, Aquis </w:t>
      </w:r>
      <w:r w:rsidR="00621BD3" w:rsidRPr="000744E3">
        <w:t>a</w:t>
      </w:r>
      <w:r w:rsidR="009F4B7F" w:rsidRPr="000744E3">
        <w:t xml:space="preserve">nalysis. </w:t>
      </w:r>
    </w:p>
    <w:p w14:paraId="2F0353E0" w14:textId="54F6EB3C" w:rsidR="0055268C" w:rsidRPr="000744E3" w:rsidRDefault="008B15D7" w:rsidP="00CD1A58">
      <w:pPr>
        <w:pStyle w:val="ListParagraph"/>
        <w:numPr>
          <w:ilvl w:val="0"/>
          <w:numId w:val="12"/>
        </w:numPr>
      </w:pPr>
      <w:r w:rsidRPr="000744E3">
        <w:rPr>
          <w:b/>
          <w:bCs/>
        </w:rPr>
        <w:t>When volatility increases materially</w:t>
      </w:r>
      <w:r w:rsidR="00DF1B6F" w:rsidRPr="000744E3">
        <w:t>, market share shift</w:t>
      </w:r>
      <w:r w:rsidR="00E02905" w:rsidRPr="000744E3">
        <w:t>s</w:t>
      </w:r>
      <w:r w:rsidR="00DF1B6F" w:rsidRPr="000744E3">
        <w:t xml:space="preserve"> from off</w:t>
      </w:r>
      <w:r w:rsidR="00621BD3" w:rsidRPr="000744E3">
        <w:t>-</w:t>
      </w:r>
      <w:r w:rsidR="00DF1B6F" w:rsidRPr="000744E3">
        <w:t xml:space="preserve"> to on</w:t>
      </w:r>
      <w:r w:rsidR="00621BD3" w:rsidRPr="000744E3">
        <w:t>-</w:t>
      </w:r>
      <w:r w:rsidR="00DF1B6F" w:rsidRPr="000744E3">
        <w:t>exchange, with a marked preference for central limit order books. This reflects the investor</w:t>
      </w:r>
      <w:r w:rsidR="00046841" w:rsidRPr="000744E3">
        <w:t>’</w:t>
      </w:r>
      <w:r w:rsidR="00DF1B6F" w:rsidRPr="000744E3">
        <w:t>s favour</w:t>
      </w:r>
      <w:r w:rsidR="007B56F0" w:rsidRPr="000744E3">
        <w:t>ing of</w:t>
      </w:r>
      <w:r w:rsidR="00DF1B6F" w:rsidRPr="000744E3">
        <w:t xml:space="preserve"> certainty </w:t>
      </w:r>
      <w:r w:rsidR="00A6469C" w:rsidRPr="000744E3">
        <w:t xml:space="preserve">and speed </w:t>
      </w:r>
      <w:r w:rsidR="00DF1B6F" w:rsidRPr="000744E3">
        <w:t>of execution</w:t>
      </w:r>
      <w:r w:rsidR="0055268C" w:rsidRPr="000744E3">
        <w:t xml:space="preserve"> as risk is elevated. </w:t>
      </w:r>
    </w:p>
    <w:p w14:paraId="4370A3B3" w14:textId="7D1BD5DF" w:rsidR="00B2718B" w:rsidRPr="000744E3" w:rsidRDefault="0055268C" w:rsidP="00CD1A58">
      <w:pPr>
        <w:pStyle w:val="ListParagraph"/>
        <w:numPr>
          <w:ilvl w:val="0"/>
          <w:numId w:val="12"/>
        </w:numPr>
      </w:pPr>
      <w:r w:rsidRPr="000744E3">
        <w:rPr>
          <w:b/>
          <w:bCs/>
        </w:rPr>
        <w:t>On special days (e.g. rebalancing, expiry)</w:t>
      </w:r>
      <w:r w:rsidR="00A22C1B" w:rsidRPr="000744E3">
        <w:t>, the share of the close and SI liquidity materially increase</w:t>
      </w:r>
      <w:r w:rsidR="00A6469C" w:rsidRPr="000744E3">
        <w:t>s</w:t>
      </w:r>
      <w:r w:rsidR="00A22C1B" w:rsidRPr="000744E3">
        <w:t xml:space="preserve">, because the order flow is </w:t>
      </w:r>
      <w:r w:rsidR="007B56F0" w:rsidRPr="000744E3">
        <w:t xml:space="preserve">predominantly </w:t>
      </w:r>
      <w:r w:rsidR="00A22C1B" w:rsidRPr="000744E3">
        <w:t xml:space="preserve">driven by benchmark executions, </w:t>
      </w:r>
      <w:r w:rsidR="00B2718B" w:rsidRPr="000744E3">
        <w:t>linked to passive investments</w:t>
      </w:r>
      <w:r w:rsidR="00020366" w:rsidRPr="000744E3">
        <w:t xml:space="preserve"> and </w:t>
      </w:r>
      <w:r w:rsidR="00776292" w:rsidRPr="000744E3">
        <w:t>execution performance objectives</w:t>
      </w:r>
      <w:r w:rsidR="00B2718B" w:rsidRPr="000744E3">
        <w:t xml:space="preserve">. </w:t>
      </w:r>
    </w:p>
    <w:p w14:paraId="0536555C" w14:textId="63EF4379" w:rsidR="00FE428B" w:rsidRPr="000744E3" w:rsidRDefault="00B2718B" w:rsidP="00CD1A58">
      <w:pPr>
        <w:pStyle w:val="ListParagraph"/>
        <w:numPr>
          <w:ilvl w:val="0"/>
          <w:numId w:val="12"/>
        </w:numPr>
      </w:pPr>
      <w:r w:rsidRPr="000744E3">
        <w:rPr>
          <w:b/>
          <w:bCs/>
        </w:rPr>
        <w:t>In normal market condition</w:t>
      </w:r>
      <w:r w:rsidR="0047291A" w:rsidRPr="000744E3">
        <w:rPr>
          <w:b/>
          <w:bCs/>
        </w:rPr>
        <w:t>s</w:t>
      </w:r>
      <w:r w:rsidRPr="000744E3">
        <w:rPr>
          <w:b/>
          <w:bCs/>
        </w:rPr>
        <w:t xml:space="preserve">, </w:t>
      </w:r>
      <w:r w:rsidRPr="000744E3">
        <w:t xml:space="preserve">quality of execution is likely the main driver, and investors will seek </w:t>
      </w:r>
      <w:r w:rsidR="00776292" w:rsidRPr="000744E3">
        <w:t xml:space="preserve">first and foremost </w:t>
      </w:r>
      <w:r w:rsidRPr="000744E3">
        <w:t>mechanis</w:t>
      </w:r>
      <w:r w:rsidR="00B06A03" w:rsidRPr="000744E3">
        <w:t xml:space="preserve">ms that minimise market impact such as dark trading, periodic auctions and SI executions. </w:t>
      </w:r>
    </w:p>
    <w:p w14:paraId="3377634F" w14:textId="2EA69844" w:rsidR="00FE428B" w:rsidRPr="000744E3" w:rsidRDefault="00FE428B" w:rsidP="004455FA">
      <w:r w:rsidRPr="000744E3">
        <w:t xml:space="preserve">This is not to say that market conditions are the only factor explaining where and when investors trade. </w:t>
      </w:r>
      <w:r w:rsidR="00776292" w:rsidRPr="000744E3">
        <w:t>R</w:t>
      </w:r>
      <w:r w:rsidRPr="000744E3">
        <w:t>egulation also ha</w:t>
      </w:r>
      <w:r w:rsidR="00776292" w:rsidRPr="000744E3">
        <w:t>s</w:t>
      </w:r>
      <w:r w:rsidRPr="000744E3">
        <w:t xml:space="preserve"> a direct influence on how order flow is being managed. </w:t>
      </w:r>
      <w:r w:rsidR="00930097" w:rsidRPr="000744E3">
        <w:t xml:space="preserve">Amongst those regulatory factors, three are worth mentioning: </w:t>
      </w:r>
      <w:r w:rsidR="00EA363D" w:rsidRPr="000744E3">
        <w:t xml:space="preserve">(i) </w:t>
      </w:r>
      <w:r w:rsidR="00930097" w:rsidRPr="000744E3">
        <w:t>the discrepancy between tick size</w:t>
      </w:r>
      <w:r w:rsidR="00EA363D" w:rsidRPr="000744E3">
        <w:t>s</w:t>
      </w:r>
      <w:r w:rsidR="00930097" w:rsidRPr="000744E3">
        <w:t xml:space="preserve"> applicable to trading venues and SI liquidity, </w:t>
      </w:r>
      <w:r w:rsidR="00EA363D" w:rsidRPr="000744E3">
        <w:t xml:space="preserve">(ii) best execution as a driver </w:t>
      </w:r>
      <w:r w:rsidR="00E641D7" w:rsidRPr="000744E3">
        <w:t>for favouring</w:t>
      </w:r>
      <w:r w:rsidR="00EA363D" w:rsidRPr="000744E3">
        <w:t xml:space="preserve"> benchmark execution and (iii) </w:t>
      </w:r>
      <w:r w:rsidR="00CA5AFF" w:rsidRPr="000744E3">
        <w:t>PRIIPs KID transaction cost methodology (from 1 January 2025). All three combine</w:t>
      </w:r>
      <w:r w:rsidR="00E641D7" w:rsidRPr="000744E3">
        <w:t>d</w:t>
      </w:r>
      <w:r w:rsidR="00CA5AFF" w:rsidRPr="000744E3">
        <w:t xml:space="preserve"> incentivise asset managers and execution service providers to favour </w:t>
      </w:r>
      <w:r w:rsidR="000841EF" w:rsidRPr="000744E3">
        <w:t>trading mechanism</w:t>
      </w:r>
      <w:r w:rsidR="00E641D7" w:rsidRPr="000744E3">
        <w:t>s</w:t>
      </w:r>
      <w:r w:rsidR="000841EF" w:rsidRPr="000744E3">
        <w:t xml:space="preserve"> that minimise slippage and de facto favour midpoint and benchmark execution</w:t>
      </w:r>
      <w:r w:rsidR="00E641D7" w:rsidRPr="000744E3">
        <w:t>s</w:t>
      </w:r>
      <w:r w:rsidR="000841EF" w:rsidRPr="000744E3">
        <w:t xml:space="preserve">. </w:t>
      </w:r>
    </w:p>
    <w:p w14:paraId="270C1D1C" w14:textId="0111C570" w:rsidR="00785AC1" w:rsidRPr="000744E3" w:rsidRDefault="00785AC1" w:rsidP="00785AC1">
      <w:r w:rsidRPr="000744E3">
        <w:t>&lt;ESMA_QUESTION_MSEM_5&gt;</w:t>
      </w:r>
    </w:p>
    <w:p w14:paraId="3AA963D2" w14:textId="77777777" w:rsidR="00785AC1" w:rsidRPr="000744E3" w:rsidRDefault="00785AC1" w:rsidP="00785AC1">
      <w:pPr>
        <w:pStyle w:val="Questionstyle"/>
        <w:numPr>
          <w:ilvl w:val="0"/>
          <w:numId w:val="1"/>
        </w:numPr>
        <w:tabs>
          <w:tab w:val="clear" w:pos="567"/>
        </w:tabs>
        <w:spacing w:before="120" w:after="120"/>
        <w:ind w:left="851" w:hanging="709"/>
      </w:pPr>
      <w:r w:rsidRPr="000744E3">
        <w:t xml:space="preserve">What are your experiences with regard to gaining access to liquidity? To what extent are you, either directly or via a broker, able to access liquidity on relevant trading venues or relevant systematic internalisers? If not, please explain what stands in the way of gaining such access. </w:t>
      </w:r>
    </w:p>
    <w:p w14:paraId="0F675425" w14:textId="77777777" w:rsidR="00785AC1" w:rsidRPr="000744E3" w:rsidRDefault="00785AC1" w:rsidP="00785AC1">
      <w:r w:rsidRPr="000744E3">
        <w:t>&lt;ESMA_QUESTION_MSEM_6&gt;</w:t>
      </w:r>
    </w:p>
    <w:p w14:paraId="6278ABBF" w14:textId="77777777" w:rsidR="00BC73CB" w:rsidRPr="000744E3" w:rsidRDefault="000E738A" w:rsidP="00785AC1">
      <w:r w:rsidRPr="000744E3">
        <w:t xml:space="preserve">It is important to differentiate technical access from economic access to liquidity. </w:t>
      </w:r>
    </w:p>
    <w:p w14:paraId="2659FF58" w14:textId="3430FCDC" w:rsidR="00BF2679" w:rsidRPr="000744E3" w:rsidRDefault="000E738A" w:rsidP="00785AC1">
      <w:r w:rsidRPr="000744E3">
        <w:rPr>
          <w:b/>
          <w:bCs/>
        </w:rPr>
        <w:t>Technical access to liquidity works well in Europe</w:t>
      </w:r>
      <w:r w:rsidRPr="000744E3">
        <w:t xml:space="preserve"> thanks to the FIX protocol global standard: most</w:t>
      </w:r>
      <w:r w:rsidR="009839EF" w:rsidRPr="000744E3">
        <w:t>,</w:t>
      </w:r>
      <w:r w:rsidRPr="000744E3">
        <w:t xml:space="preserve"> if not all</w:t>
      </w:r>
      <w:r w:rsidR="009839EF" w:rsidRPr="000744E3">
        <w:t>,</w:t>
      </w:r>
      <w:r w:rsidRPr="000744E3">
        <w:t xml:space="preserve"> equities execution venues (trading </w:t>
      </w:r>
      <w:r w:rsidR="009839EF" w:rsidRPr="000744E3">
        <w:t>v</w:t>
      </w:r>
      <w:r w:rsidRPr="000744E3">
        <w:t>enues and SI</w:t>
      </w:r>
      <w:r w:rsidR="00E50D90" w:rsidRPr="000744E3">
        <w:t>s</w:t>
      </w:r>
      <w:r w:rsidRPr="000744E3">
        <w:t>) provide such connectivity</w:t>
      </w:r>
      <w:r w:rsidR="00460E66" w:rsidRPr="000744E3">
        <w:t>. S</w:t>
      </w:r>
      <w:r w:rsidRPr="000744E3">
        <w:t xml:space="preserve">o do OMS and </w:t>
      </w:r>
      <w:r w:rsidR="00BF2679" w:rsidRPr="000744E3">
        <w:t>trading system</w:t>
      </w:r>
      <w:r w:rsidR="009839EF" w:rsidRPr="000744E3">
        <w:t>s</w:t>
      </w:r>
      <w:r w:rsidR="00BF2679" w:rsidRPr="000744E3">
        <w:t xml:space="preserve"> that provide off</w:t>
      </w:r>
      <w:r w:rsidR="007E6C0B" w:rsidRPr="000744E3">
        <w:t>-</w:t>
      </w:r>
      <w:r w:rsidR="00BF2679" w:rsidRPr="000744E3">
        <w:t xml:space="preserve">venue negotiation mechanisms. </w:t>
      </w:r>
      <w:r w:rsidR="006C3891" w:rsidRPr="000744E3">
        <w:t>F</w:t>
      </w:r>
      <w:r w:rsidR="00BF2679" w:rsidRPr="000744E3">
        <w:t xml:space="preserve">low between asset managers and liquidity </w:t>
      </w:r>
      <w:r w:rsidR="00B14069" w:rsidRPr="000744E3">
        <w:t>centres</w:t>
      </w:r>
      <w:r w:rsidR="00BF2679" w:rsidRPr="000744E3">
        <w:t xml:space="preserve"> benefit</w:t>
      </w:r>
      <w:r w:rsidR="006C3891" w:rsidRPr="000744E3">
        <w:t>s</w:t>
      </w:r>
      <w:r w:rsidR="00BF2679" w:rsidRPr="000744E3">
        <w:t xml:space="preserve"> from a healthy network of intermediaries, both local and global providers</w:t>
      </w:r>
      <w:r w:rsidR="006C3891" w:rsidRPr="000744E3">
        <w:t>;</w:t>
      </w:r>
      <w:r w:rsidR="00BF2679" w:rsidRPr="000744E3">
        <w:t xml:space="preserve"> </w:t>
      </w:r>
      <w:r w:rsidR="006C3891" w:rsidRPr="000744E3">
        <w:t>i</w:t>
      </w:r>
      <w:r w:rsidR="006F5FA5" w:rsidRPr="000744E3">
        <w:t>nvestors have the choice to connect to venues directly or via brokers, who typically normalise access across multiple venues.</w:t>
      </w:r>
    </w:p>
    <w:p w14:paraId="5B9AA351" w14:textId="5B3745F5" w:rsidR="00004F27" w:rsidRPr="000744E3" w:rsidRDefault="00004F27" w:rsidP="00785AC1">
      <w:r w:rsidRPr="000744E3">
        <w:rPr>
          <w:b/>
          <w:bCs/>
        </w:rPr>
        <w:t>Economic access is more nuanced</w:t>
      </w:r>
      <w:r w:rsidRPr="000744E3">
        <w:t>, especially in the case of bilateral liquidity and certain off</w:t>
      </w:r>
      <w:r w:rsidR="00FC4782" w:rsidRPr="000744E3">
        <w:t>-</w:t>
      </w:r>
      <w:r w:rsidRPr="000744E3">
        <w:t>venue platform</w:t>
      </w:r>
      <w:r w:rsidR="0017547F" w:rsidRPr="000744E3">
        <w:t>s</w:t>
      </w:r>
      <w:r w:rsidRPr="000744E3">
        <w:t xml:space="preserve">. Access </w:t>
      </w:r>
      <w:r w:rsidR="0017547F" w:rsidRPr="000744E3">
        <w:t>is</w:t>
      </w:r>
      <w:r w:rsidRPr="000744E3">
        <w:t xml:space="preserve"> more discretionary and often linked to both </w:t>
      </w:r>
      <w:r w:rsidR="00903171" w:rsidRPr="000744E3">
        <w:t xml:space="preserve">commercial and regulatory criteria. </w:t>
      </w:r>
      <w:r w:rsidR="0005392C" w:rsidRPr="000744E3">
        <w:t>Bilateral liquidity is provided on risk and</w:t>
      </w:r>
      <w:r w:rsidR="00FC4782" w:rsidRPr="000744E3">
        <w:t>,</w:t>
      </w:r>
      <w:r w:rsidR="0005392C" w:rsidRPr="000744E3">
        <w:t xml:space="preserve"> as such</w:t>
      </w:r>
      <w:r w:rsidR="00FC4782" w:rsidRPr="000744E3">
        <w:t>,</w:t>
      </w:r>
      <w:r w:rsidR="0005392C" w:rsidRPr="000744E3">
        <w:t xml:space="preserve"> SI</w:t>
      </w:r>
      <w:r w:rsidR="00915EDF" w:rsidRPr="000744E3">
        <w:t>s</w:t>
      </w:r>
      <w:r w:rsidR="0005392C" w:rsidRPr="000744E3">
        <w:t xml:space="preserve"> have more ability to restrict access to their pools than </w:t>
      </w:r>
      <w:r w:rsidR="2C273653" w:rsidRPr="000744E3">
        <w:t>trading</w:t>
      </w:r>
      <w:r w:rsidR="0005392C" w:rsidRPr="000744E3">
        <w:t xml:space="preserve"> venues do. Trading venues</w:t>
      </w:r>
      <w:r w:rsidR="00915EDF" w:rsidRPr="000744E3">
        <w:t>,</w:t>
      </w:r>
      <w:r w:rsidR="0005392C" w:rsidRPr="000744E3">
        <w:t xml:space="preserve"> </w:t>
      </w:r>
      <w:r w:rsidR="00EA77B6" w:rsidRPr="000744E3">
        <w:t>however</w:t>
      </w:r>
      <w:r w:rsidR="00915EDF" w:rsidRPr="000744E3">
        <w:t>,</w:t>
      </w:r>
      <w:r w:rsidR="00EA77B6" w:rsidRPr="000744E3">
        <w:t xml:space="preserve"> have no discretion as to who they accept as members, as long as they fit the established criteria</w:t>
      </w:r>
      <w:r w:rsidR="00707E41" w:rsidRPr="000744E3">
        <w:t xml:space="preserve">. It is therefore important </w:t>
      </w:r>
      <w:r w:rsidR="00F975A5" w:rsidRPr="000744E3">
        <w:t>for investor</w:t>
      </w:r>
      <w:r w:rsidR="00965B03" w:rsidRPr="000744E3">
        <w:t>s</w:t>
      </w:r>
      <w:r w:rsidR="00F975A5" w:rsidRPr="000744E3">
        <w:t xml:space="preserve"> </w:t>
      </w:r>
      <w:r w:rsidR="00707E41" w:rsidRPr="000744E3">
        <w:t xml:space="preserve">to </w:t>
      </w:r>
      <w:r w:rsidR="00965B03" w:rsidRPr="000744E3">
        <w:t xml:space="preserve">understand </w:t>
      </w:r>
      <w:r w:rsidR="00707E41" w:rsidRPr="000744E3">
        <w:t xml:space="preserve">the nature and the level of accessibility </w:t>
      </w:r>
      <w:r w:rsidR="00F5766E" w:rsidRPr="000744E3">
        <w:t xml:space="preserve">each liquidity pool </w:t>
      </w:r>
      <w:r w:rsidR="00915EDF" w:rsidRPr="000744E3">
        <w:t>has</w:t>
      </w:r>
      <w:r w:rsidR="00F5766E" w:rsidRPr="000744E3">
        <w:t xml:space="preserve"> for them, regardless of where the liquidity is (on</w:t>
      </w:r>
      <w:r w:rsidR="00FC4782" w:rsidRPr="000744E3">
        <w:t>-</w:t>
      </w:r>
      <w:r w:rsidR="00F5766E" w:rsidRPr="000744E3">
        <w:t xml:space="preserve"> or off</w:t>
      </w:r>
      <w:r w:rsidR="00FC4782" w:rsidRPr="000744E3">
        <w:t>-</w:t>
      </w:r>
      <w:r w:rsidR="00F5766E" w:rsidRPr="000744E3">
        <w:t xml:space="preserve">exchange). </w:t>
      </w:r>
    </w:p>
    <w:p w14:paraId="0B587F0E" w14:textId="3CC931A0" w:rsidR="00785AC1" w:rsidRPr="000744E3" w:rsidRDefault="00B669C4" w:rsidP="00AE3A7A">
      <w:r w:rsidRPr="000744E3">
        <w:rPr>
          <w:b/>
          <w:bCs/>
        </w:rPr>
        <w:t xml:space="preserve">Finally, </w:t>
      </w:r>
      <w:r w:rsidR="00711564" w:rsidRPr="000744E3">
        <w:rPr>
          <w:b/>
          <w:bCs/>
        </w:rPr>
        <w:t>post-trade infrastructure (clearing and settlement) can create indirect barriers</w:t>
      </w:r>
      <w:r w:rsidR="00291944" w:rsidRPr="000744E3">
        <w:rPr>
          <w:b/>
          <w:bCs/>
        </w:rPr>
        <w:t xml:space="preserve"> to certain liquidity pools</w:t>
      </w:r>
      <w:r w:rsidR="00711564" w:rsidRPr="000744E3">
        <w:rPr>
          <w:b/>
          <w:bCs/>
        </w:rPr>
        <w:t>.</w:t>
      </w:r>
      <w:r w:rsidR="00711564" w:rsidRPr="000744E3">
        <w:t xml:space="preserve"> Where a trading venue is cleared through a single CCP that is not interoperable with the participant's preferred CCP, the participant must either onboard the additional CCP (with operational and capital cost) or trade through an intermediary that does so. The same applies to CSDs. The lack of integrated and fully interoperable clearing and settlement arrangements is therefore likely to have an impact on investor</w:t>
      </w:r>
      <w:r w:rsidR="00965B03" w:rsidRPr="000744E3">
        <w:t>s</w:t>
      </w:r>
      <w:r w:rsidR="00711564" w:rsidRPr="000744E3">
        <w:t xml:space="preserve"> accessing all relevant liquidity pools, as bifurcated clearing flows increase operational risks and costs. Mandatory CCP and CSD interoperability for trading venues mandated to contribute to the consolidated tape would remove a meaningful access barrier and improve competition.</w:t>
      </w:r>
    </w:p>
    <w:p w14:paraId="5D0EF4E1" w14:textId="77777777" w:rsidR="00785AC1" w:rsidRPr="000744E3" w:rsidRDefault="00785AC1" w:rsidP="00785AC1">
      <w:r w:rsidRPr="000744E3">
        <w:t>&lt;ESMA_QUESTION_MSEM_6&gt;</w:t>
      </w:r>
    </w:p>
    <w:p w14:paraId="21D54FCE" w14:textId="77777777" w:rsidR="00785AC1" w:rsidRPr="000744E3" w:rsidRDefault="00785AC1" w:rsidP="00785AC1"/>
    <w:p w14:paraId="0F63532D" w14:textId="77777777" w:rsidR="00785AC1" w:rsidRPr="000744E3" w:rsidRDefault="00785AC1" w:rsidP="00785AC1">
      <w:pPr>
        <w:pStyle w:val="Questionstyle"/>
        <w:numPr>
          <w:ilvl w:val="0"/>
          <w:numId w:val="1"/>
        </w:numPr>
        <w:tabs>
          <w:tab w:val="clear" w:pos="567"/>
        </w:tabs>
        <w:spacing w:before="120" w:after="120"/>
        <w:ind w:left="851" w:hanging="709"/>
      </w:pPr>
      <w:r w:rsidRPr="000744E3">
        <w:rPr>
          <w:bCs/>
        </w:rPr>
        <w:t>If you are an issuer, how do you see these market developments? Do you consider this an attractive environment for listing? If not, why?</w:t>
      </w:r>
    </w:p>
    <w:p w14:paraId="707AA7CE" w14:textId="77777777" w:rsidR="00785AC1" w:rsidRPr="000744E3" w:rsidRDefault="00785AC1" w:rsidP="00785AC1">
      <w:r w:rsidRPr="000744E3">
        <w:t>&lt;ESMA_QUESTION_MSEM_7&gt;</w:t>
      </w:r>
    </w:p>
    <w:p w14:paraId="21389C00" w14:textId="77777777" w:rsidR="00CC3B73" w:rsidRPr="000744E3" w:rsidRDefault="004F2E65" w:rsidP="004F2E65">
      <w:r w:rsidRPr="000744E3">
        <w:t>We do not believe the current level of fragmentation presents any material issues in understanding European liquidity, especially compared to the US</w:t>
      </w:r>
      <w:r w:rsidR="00CC3B73" w:rsidRPr="000744E3">
        <w:t xml:space="preserve">. </w:t>
      </w:r>
    </w:p>
    <w:p w14:paraId="1C44300F" w14:textId="2E52B9F9" w:rsidR="004F2E65" w:rsidRPr="000744E3" w:rsidRDefault="00CC3B73" w:rsidP="004F2E65">
      <w:r w:rsidRPr="000744E3">
        <w:t>In the</w:t>
      </w:r>
      <w:r w:rsidR="004F2E65" w:rsidRPr="000744E3">
        <w:t xml:space="preserve"> </w:t>
      </w:r>
      <w:r w:rsidRPr="000744E3">
        <w:t xml:space="preserve">US an investor may need to connect to 200+ liquidity pools to trade </w:t>
      </w:r>
      <w:r w:rsidR="004F2E65" w:rsidRPr="000744E3">
        <w:t>a single stock</w:t>
      </w:r>
      <w:r w:rsidRPr="000744E3">
        <w:t xml:space="preserve">. </w:t>
      </w:r>
      <w:r w:rsidR="792A2E55" w:rsidRPr="000744E3">
        <w:t>Contrasting this with the</w:t>
      </w:r>
      <w:r w:rsidR="004F2E65" w:rsidRPr="000744E3">
        <w:t xml:space="preserve"> EU, accessing the Primary Exchange</w:t>
      </w:r>
      <w:r w:rsidR="00A60900" w:rsidRPr="000744E3">
        <w:t xml:space="preserve"> </w:t>
      </w:r>
      <w:r w:rsidR="00FA42AA" w:rsidRPr="000744E3">
        <w:t>(</w:t>
      </w:r>
      <w:r w:rsidR="00A60900" w:rsidRPr="000744E3">
        <w:t>where the share was first listed</w:t>
      </w:r>
      <w:r w:rsidR="00FA42AA" w:rsidRPr="000744E3">
        <w:t>)</w:t>
      </w:r>
      <w:r w:rsidR="004F2E65" w:rsidRPr="000744E3">
        <w:t xml:space="preserve">, the </w:t>
      </w:r>
      <w:r w:rsidR="005A2313" w:rsidRPr="000744E3">
        <w:t>three</w:t>
      </w:r>
      <w:r w:rsidR="004F2E65" w:rsidRPr="000744E3">
        <w:t xml:space="preserve"> lit MTFs and a handful of additional dark venues and SIs ensure</w:t>
      </w:r>
      <w:r w:rsidR="005A2313" w:rsidRPr="000744E3">
        <w:t>s</w:t>
      </w:r>
      <w:r w:rsidR="004F2E65" w:rsidRPr="000744E3">
        <w:t xml:space="preserve"> access to most if not all of the accessible liquidity. </w:t>
      </w:r>
    </w:p>
    <w:p w14:paraId="28A5EFB6" w14:textId="029C7CBD" w:rsidR="00EC121D" w:rsidRPr="000744E3" w:rsidRDefault="004F2E65" w:rsidP="00785AC1">
      <w:r w:rsidRPr="000744E3">
        <w:t>Having said that, w</w:t>
      </w:r>
      <w:r w:rsidR="006A1CB8" w:rsidRPr="000744E3">
        <w:t xml:space="preserve">e </w:t>
      </w:r>
      <w:r w:rsidRPr="000744E3">
        <w:t xml:space="preserve">acknowledge it may not be easy for issuers to consolidate and understand the traded volumes on their stock. Therefore, we believe </w:t>
      </w:r>
      <w:r w:rsidR="006A1CB8" w:rsidRPr="000744E3">
        <w:t xml:space="preserve">the most important regulatory adjustment required </w:t>
      </w:r>
      <w:r w:rsidRPr="000744E3">
        <w:t xml:space="preserve">for issuers </w:t>
      </w:r>
      <w:r w:rsidR="006A1CB8" w:rsidRPr="000744E3">
        <w:t xml:space="preserve">is to have accurate and easily accessible data on where and how their shares are being traded. The consolidated tape will be an essential tool for them to assess depth and quality of execution. </w:t>
      </w:r>
      <w:r w:rsidR="00EC121D" w:rsidRPr="000744E3">
        <w:t xml:space="preserve">This means </w:t>
      </w:r>
      <w:r w:rsidR="00262F27" w:rsidRPr="000744E3">
        <w:t xml:space="preserve">that the </w:t>
      </w:r>
      <w:r w:rsidR="00EC121D" w:rsidRPr="000744E3">
        <w:t xml:space="preserve">tape </w:t>
      </w:r>
      <w:r w:rsidR="00FA42AA" w:rsidRPr="000744E3">
        <w:t xml:space="preserve">should </w:t>
      </w:r>
      <w:r w:rsidR="00EC121D" w:rsidRPr="000744E3">
        <w:t xml:space="preserve">capture all </w:t>
      </w:r>
      <w:r w:rsidR="00262F27" w:rsidRPr="000744E3">
        <w:t xml:space="preserve">relevant </w:t>
      </w:r>
      <w:r w:rsidR="00EC121D" w:rsidRPr="000744E3">
        <w:t>liquidity and label it in a</w:t>
      </w:r>
      <w:r w:rsidR="00354F88" w:rsidRPr="000744E3">
        <w:t xml:space="preserve"> way that is</w:t>
      </w:r>
      <w:r w:rsidR="00EC121D" w:rsidRPr="000744E3">
        <w:t xml:space="preserve"> easy for issuers to </w:t>
      </w:r>
      <w:r w:rsidR="00C52810" w:rsidRPr="000744E3">
        <w:t>understand</w:t>
      </w:r>
      <w:r w:rsidR="00603939" w:rsidRPr="000744E3">
        <w:t>. This</w:t>
      </w:r>
      <w:r w:rsidR="00EC121D" w:rsidRPr="000744E3">
        <w:t xml:space="preserve"> </w:t>
      </w:r>
      <w:r w:rsidR="00D86AF4" w:rsidRPr="000744E3">
        <w:t xml:space="preserve">should be </w:t>
      </w:r>
      <w:r w:rsidR="00603939" w:rsidRPr="000744E3">
        <w:t>a key</w:t>
      </w:r>
      <w:r w:rsidR="00D86AF4" w:rsidRPr="000744E3">
        <w:t xml:space="preserve"> driver of any post trade transparency regime change</w:t>
      </w:r>
      <w:r w:rsidR="00EC121D" w:rsidRPr="000744E3">
        <w:t>.</w:t>
      </w:r>
      <w:r w:rsidRPr="000744E3">
        <w:t xml:space="preserve"> </w:t>
      </w:r>
      <w:r w:rsidR="00603939" w:rsidRPr="000744E3">
        <w:t>It</w:t>
      </w:r>
      <w:r w:rsidR="007D35E0" w:rsidRPr="000744E3">
        <w:t xml:space="preserve"> </w:t>
      </w:r>
      <w:r w:rsidR="00603939" w:rsidRPr="000744E3">
        <w:t xml:space="preserve">is also </w:t>
      </w:r>
      <w:r w:rsidRPr="000744E3">
        <w:t xml:space="preserve">essential to promote our secondary markets and foster an environment conducive to primary issuance. </w:t>
      </w:r>
    </w:p>
    <w:p w14:paraId="100309C8" w14:textId="77777777" w:rsidR="00785AC1" w:rsidRPr="000744E3" w:rsidRDefault="00785AC1" w:rsidP="00785AC1">
      <w:r w:rsidRPr="000744E3">
        <w:t>&lt;ESMA_QUESTION_MSEM_7&gt;</w:t>
      </w:r>
    </w:p>
    <w:p w14:paraId="5F9B0643" w14:textId="77777777" w:rsidR="00785AC1" w:rsidRPr="000744E3" w:rsidRDefault="00785AC1" w:rsidP="00785AC1"/>
    <w:p w14:paraId="594C128D"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conclusions would you draw from the distribution of liquidity across EEA ISINs? Do you identify any policy recommendations in this context, with a view to enhancing price formation while ensuring a level playing field across different types of venues? Do you have explanations for the high share of OTC trading observed in the ISIN’s of some jurisdictions?</w:t>
      </w:r>
    </w:p>
    <w:p w14:paraId="56709FBC" w14:textId="77777777" w:rsidR="00785AC1" w:rsidRPr="000744E3" w:rsidRDefault="00785AC1" w:rsidP="00785AC1">
      <w:r w:rsidRPr="000744E3">
        <w:t>&lt;ESMA_QUESTION_MSEM_8&gt;</w:t>
      </w:r>
    </w:p>
    <w:p w14:paraId="39ACDA72" w14:textId="2E7E17BE" w:rsidR="00785AC1" w:rsidRPr="000744E3" w:rsidRDefault="00785AC1" w:rsidP="00785AC1">
      <w:r w:rsidRPr="000744E3">
        <w:t>ESMA’s analysis clearly shows significant differences between listing</w:t>
      </w:r>
      <w:r w:rsidR="004647EC" w:rsidRPr="000744E3">
        <w:t>s</w:t>
      </w:r>
      <w:r w:rsidR="0083577E" w:rsidRPr="000744E3">
        <w:t xml:space="preserve"> </w:t>
      </w:r>
      <w:r w:rsidR="002F72E4" w:rsidRPr="000744E3">
        <w:t>across EEA ISINs</w:t>
      </w:r>
      <w:r w:rsidRPr="000744E3">
        <w:t xml:space="preserve">. Although </w:t>
      </w:r>
      <w:r w:rsidR="00F0055F" w:rsidRPr="000744E3">
        <w:t xml:space="preserve">it is </w:t>
      </w:r>
      <w:r w:rsidRPr="000744E3">
        <w:t>difficult to make a clear analysis of the reasons for such differences, it is likely correlated with the listing</w:t>
      </w:r>
      <w:r w:rsidR="00F0055F" w:rsidRPr="000744E3">
        <w:t>s’</w:t>
      </w:r>
      <w:r w:rsidRPr="000744E3">
        <w:t xml:space="preserve"> liquidity. </w:t>
      </w:r>
    </w:p>
    <w:p w14:paraId="70F89E47" w14:textId="6F18D2D6" w:rsidR="00E471E6" w:rsidRPr="000744E3" w:rsidRDefault="00E471E6" w:rsidP="00785AC1">
      <w:r w:rsidRPr="000744E3">
        <w:t xml:space="preserve">It may be useful to look at liquidity through the lens of the instruments rather than the national listings to see if specific trends and patterns </w:t>
      </w:r>
      <w:r w:rsidR="0080164B" w:rsidRPr="000744E3">
        <w:t>emerge</w:t>
      </w:r>
      <w:r w:rsidR="0007172B" w:rsidRPr="000744E3">
        <w:t xml:space="preserve">. </w:t>
      </w:r>
      <w:r w:rsidR="0080164B" w:rsidRPr="000744E3">
        <w:t>To make this analysis more useful for policy</w:t>
      </w:r>
      <w:r w:rsidR="001D12BA" w:rsidRPr="000744E3">
        <w:t xml:space="preserve"> setting</w:t>
      </w:r>
      <w:r w:rsidR="0080164B" w:rsidRPr="000744E3">
        <w:t xml:space="preserve">, we would suggest </w:t>
      </w:r>
      <w:r w:rsidR="004647EC" w:rsidRPr="000744E3">
        <w:t>grouping</w:t>
      </w:r>
      <w:r w:rsidR="0080164B" w:rsidRPr="000744E3">
        <w:t xml:space="preserve"> EEA ISINs by underlying market characteristics rather than country of issuance. Useful groupings could include (i) </w:t>
      </w:r>
      <w:r w:rsidR="00326BE2" w:rsidRPr="000744E3">
        <w:t>local fiscal policies (capital gain tax</w:t>
      </w:r>
      <w:r w:rsidR="00375353" w:rsidRPr="000744E3">
        <w:t>, FTTs)</w:t>
      </w:r>
      <w:r w:rsidR="0080164B" w:rsidRPr="000744E3">
        <w:t>; (ii) blue-chip (</w:t>
      </w:r>
      <w:proofErr w:type="spellStart"/>
      <w:r w:rsidR="0080164B" w:rsidRPr="000744E3">
        <w:t>Eurostoxx</w:t>
      </w:r>
      <w:proofErr w:type="spellEnd"/>
      <w:r w:rsidR="0080164B" w:rsidRPr="000744E3">
        <w:t xml:space="preserve"> 50 and equivalent national indices) vs mid-cap vs small-cap; (iii) free float ranges; and (iv) sector composition. </w:t>
      </w:r>
      <w:r w:rsidR="00B02379" w:rsidRPr="000744E3">
        <w:t>If data was discoverable based on these groupings, this could reveal more informative trends</w:t>
      </w:r>
      <w:r w:rsidR="0080164B" w:rsidRPr="000744E3">
        <w:t xml:space="preserve">. </w:t>
      </w:r>
    </w:p>
    <w:p w14:paraId="37451783" w14:textId="77777777" w:rsidR="00785AC1" w:rsidRPr="000744E3" w:rsidRDefault="00785AC1" w:rsidP="00785AC1">
      <w:r w:rsidRPr="000744E3">
        <w:t>&lt;ESMA_QUESTION_MSEM_8&gt;</w:t>
      </w:r>
    </w:p>
    <w:p w14:paraId="3453EF96"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on the evolution of dark trading on EU trading venues? Are there any structural shifts that you noticed, which you believe should be further monitored?</w:t>
      </w:r>
    </w:p>
    <w:p w14:paraId="131B1DAB" w14:textId="77777777" w:rsidR="00785AC1" w:rsidRPr="000744E3" w:rsidRDefault="00785AC1" w:rsidP="00785AC1">
      <w:r w:rsidRPr="000744E3">
        <w:t>&lt;ESMA_QUESTION_MSEM_9&gt;</w:t>
      </w:r>
    </w:p>
    <w:p w14:paraId="4A2BB338" w14:textId="6D7A47DA" w:rsidR="003254A9" w:rsidRPr="000744E3" w:rsidRDefault="00443D01" w:rsidP="00785AC1">
      <w:r w:rsidRPr="000744E3">
        <w:t>We agree with ESMA's observation that dark trading on EU trading venues — measured as trading under the Reference Price (RP) waiver and Large In Scale (LIS) waiver — has remained relatively stable as a share of total trading volume between 2022 and 2025, in the range of 4-5%</w:t>
      </w:r>
      <w:r w:rsidR="007860A0" w:rsidRPr="000744E3">
        <w:t xml:space="preserve"> (having taken into account the ESMA views on </w:t>
      </w:r>
      <w:r w:rsidR="00C74510" w:rsidRPr="000744E3">
        <w:t>a</w:t>
      </w:r>
      <w:r w:rsidR="007860A0" w:rsidRPr="000744E3">
        <w:t>ddressable liquidity)</w:t>
      </w:r>
      <w:r w:rsidRPr="000744E3">
        <w:t>.</w:t>
      </w:r>
      <w:r w:rsidR="00E83AC6" w:rsidRPr="000744E3">
        <w:t xml:space="preserve"> This is likely a consequence of the long</w:t>
      </w:r>
      <w:r w:rsidR="00C74510" w:rsidRPr="000744E3">
        <w:t>-</w:t>
      </w:r>
      <w:r w:rsidR="00E83AC6" w:rsidRPr="000744E3">
        <w:t xml:space="preserve">standing regulatory </w:t>
      </w:r>
      <w:r w:rsidR="006803C8" w:rsidRPr="000744E3">
        <w:t>cap(s)</w:t>
      </w:r>
      <w:r w:rsidR="000A0FDD" w:rsidRPr="000744E3">
        <w:t xml:space="preserve"> on dark trading. </w:t>
      </w:r>
    </w:p>
    <w:p w14:paraId="61D9F882" w14:textId="77777777" w:rsidR="00DB7B16" w:rsidRPr="000744E3" w:rsidRDefault="00F52D8F" w:rsidP="003254A9">
      <w:r w:rsidRPr="000744E3">
        <w:t xml:space="preserve">We note that ESMA's definition of 'dark trading' captures only trading under the RP and LIS waivers </w:t>
      </w:r>
      <w:r w:rsidR="00DA5407" w:rsidRPr="000744E3">
        <w:t>although the analysis</w:t>
      </w:r>
      <w:r w:rsidRPr="000744E3">
        <w:t xml:space="preserve"> makes some parallel with the use of the NT waivers</w:t>
      </w:r>
      <w:r w:rsidR="00DB7B16" w:rsidRPr="000744E3">
        <w:t xml:space="preserve"> in figure 13</w:t>
      </w:r>
      <w:r w:rsidRPr="000744E3">
        <w:t xml:space="preserve">. </w:t>
      </w:r>
    </w:p>
    <w:p w14:paraId="491AAFEE" w14:textId="2888EDEE" w:rsidR="000C0C06" w:rsidRPr="000744E3" w:rsidRDefault="00DB7B16" w:rsidP="00EF5245">
      <w:r w:rsidRPr="000744E3">
        <w:t>To properly understand liquidity dynamics, o</w:t>
      </w:r>
      <w:r w:rsidR="00F52D8F" w:rsidRPr="000744E3">
        <w:t xml:space="preserve">ther </w:t>
      </w:r>
      <w:r w:rsidR="007B2B2D" w:rsidRPr="000744E3">
        <w:t xml:space="preserve">non-transparent </w:t>
      </w:r>
      <w:r w:rsidR="00F52D8F" w:rsidRPr="000744E3">
        <w:t>trading mechanisms achiev</w:t>
      </w:r>
      <w:r w:rsidRPr="000744E3">
        <w:t>ing</w:t>
      </w:r>
      <w:r w:rsidR="00F52D8F" w:rsidRPr="000744E3">
        <w:t xml:space="preserve"> similar execution outcomes </w:t>
      </w:r>
      <w:r w:rsidRPr="000744E3">
        <w:t>should be taken into account</w:t>
      </w:r>
      <w:r w:rsidR="003F279E" w:rsidRPr="000744E3">
        <w:t>,</w:t>
      </w:r>
      <w:r w:rsidRPr="000744E3">
        <w:t xml:space="preserve"> </w:t>
      </w:r>
      <w:r w:rsidR="00F52D8F" w:rsidRPr="000744E3">
        <w:t>including (i) trading under the negotiated transaction waivers (NT1 and NT2), (ii) SI execution</w:t>
      </w:r>
      <w:r w:rsidR="00953EF1" w:rsidRPr="000744E3">
        <w:t>s</w:t>
      </w:r>
      <w:r w:rsidR="00F52D8F" w:rsidRPr="000744E3">
        <w:t xml:space="preserve"> at midpoint or within the spread, and (iii) certain benchmark trading patterns, such as automated VWAP benchmark trades</w:t>
      </w:r>
      <w:r w:rsidR="007625EB" w:rsidRPr="000744E3">
        <w:t xml:space="preserve">, regardless if they are executed </w:t>
      </w:r>
      <w:r w:rsidR="00525BB2" w:rsidRPr="000744E3">
        <w:t xml:space="preserve">as SI, OTC or </w:t>
      </w:r>
      <w:r w:rsidR="003F279E" w:rsidRPr="000744E3">
        <w:t>OBOE</w:t>
      </w:r>
      <w:r w:rsidR="00953EF1" w:rsidRPr="000744E3">
        <w:t xml:space="preserve">. </w:t>
      </w:r>
    </w:p>
    <w:p w14:paraId="050240C1" w14:textId="6FC18AA1" w:rsidR="00F75180" w:rsidRPr="000744E3" w:rsidRDefault="00B95BBB" w:rsidP="00EF5245">
      <w:r w:rsidRPr="000744E3">
        <w:t xml:space="preserve">We do not include </w:t>
      </w:r>
      <w:r w:rsidR="00984A10" w:rsidRPr="000744E3">
        <w:t xml:space="preserve">NT3 Contingent trades (EFPs) </w:t>
      </w:r>
      <w:r w:rsidR="008931D4" w:rsidRPr="000744E3">
        <w:t>as achieving similar execution outcomes</w:t>
      </w:r>
      <w:r w:rsidR="00D96312" w:rsidRPr="000744E3">
        <w:t>, as they are not</w:t>
      </w:r>
      <w:r w:rsidRPr="000744E3">
        <w:t xml:space="preserve"> a</w:t>
      </w:r>
      <w:r w:rsidR="00984A10" w:rsidRPr="000744E3">
        <w:t xml:space="preserve"> form of dark trading that would take volumes away from lit multilateral trading venues. </w:t>
      </w:r>
      <w:r w:rsidR="00F75180" w:rsidRPr="000744E3">
        <w:t>ESMA highlights in its analysis the relatively large proportion of NT3</w:t>
      </w:r>
      <w:r w:rsidR="00525BB2" w:rsidRPr="000744E3">
        <w:t>.</w:t>
      </w:r>
      <w:r w:rsidR="00F75180" w:rsidRPr="000744E3">
        <w:t xml:space="preserve"> Based on our own analysis on post trade transparency, this is likely to be linked to EFP trading</w:t>
      </w:r>
      <w:r w:rsidR="00DA21B6" w:rsidRPr="000744E3">
        <w:t xml:space="preserve"> as </w:t>
      </w:r>
      <w:r w:rsidR="00525BB2" w:rsidRPr="000744E3">
        <w:t xml:space="preserve">most of </w:t>
      </w:r>
      <w:r w:rsidR="00DA21B6" w:rsidRPr="000744E3">
        <w:t>those trades are flagged as contingent</w:t>
      </w:r>
      <w:r w:rsidR="00F75180" w:rsidRPr="000744E3">
        <w:t>, whereby the equities and derivatives legs are negotiated as a single transaction.</w:t>
      </w:r>
    </w:p>
    <w:p w14:paraId="1AE80B53" w14:textId="1BE2A5E0" w:rsidR="007B2B2D" w:rsidRPr="000744E3" w:rsidRDefault="007B2B2D" w:rsidP="00785AC1">
      <w:r w:rsidRPr="000744E3">
        <w:t>F</w:t>
      </w:r>
      <w:r w:rsidR="002B74D3" w:rsidRPr="000744E3">
        <w:t xml:space="preserve">inally in the context of the introduction of the first SVC, specific attention should be given to how liquidity restructures itself based on external regulatory constraints. This is essential to understand whether or not </w:t>
      </w:r>
      <w:r w:rsidR="00A06E69" w:rsidRPr="000744E3">
        <w:t xml:space="preserve">a </w:t>
      </w:r>
      <w:r w:rsidR="002B74D3" w:rsidRPr="000744E3">
        <w:t xml:space="preserve">dark cap </w:t>
      </w:r>
      <w:r w:rsidR="00A06E69" w:rsidRPr="000744E3">
        <w:t>is</w:t>
      </w:r>
      <w:r w:rsidR="002B74D3" w:rsidRPr="000744E3">
        <w:t xml:space="preserve"> beneficial to </w:t>
      </w:r>
      <w:r w:rsidR="00B95BBB" w:rsidRPr="000744E3">
        <w:t>e</w:t>
      </w:r>
      <w:r w:rsidR="00A06E69" w:rsidRPr="000744E3">
        <w:t xml:space="preserve">quities </w:t>
      </w:r>
      <w:r w:rsidR="002B74D3" w:rsidRPr="000744E3">
        <w:t>market structure</w:t>
      </w:r>
      <w:r w:rsidR="00291BC0" w:rsidRPr="000744E3">
        <w:t xml:space="preserve">. Please refer to our responses to </w:t>
      </w:r>
      <w:r w:rsidR="002B74D3" w:rsidRPr="000744E3">
        <w:t>Q10 and in Q15 to 19</w:t>
      </w:r>
      <w:r w:rsidR="00B95BBB" w:rsidRPr="000744E3">
        <w:t>.</w:t>
      </w:r>
    </w:p>
    <w:p w14:paraId="1C16B6AC" w14:textId="5C567097" w:rsidR="0076182B" w:rsidRPr="0079420E" w:rsidRDefault="00984A10" w:rsidP="001E050E">
      <w:r w:rsidRPr="0079420E">
        <w:t>We would suggest ESMA publish, in addition to the current dark-trading metric, a bro</w:t>
      </w:r>
      <w:r w:rsidR="001E050E" w:rsidRPr="0079420E">
        <w:t>a</w:t>
      </w:r>
      <w:r w:rsidRPr="0079420E">
        <w:t xml:space="preserve">der 'execution without pre-trade transparency' metric capturing all these mechanisms. </w:t>
      </w:r>
    </w:p>
    <w:p w14:paraId="521FD3B7" w14:textId="1DB392D7" w:rsidR="00785AC1" w:rsidRPr="000744E3" w:rsidRDefault="00785AC1" w:rsidP="00785AC1">
      <w:r w:rsidRPr="000744E3">
        <w:t>&lt;ESMA_QUESTION_MSEM_9&gt;</w:t>
      </w:r>
    </w:p>
    <w:p w14:paraId="2A09FE1B" w14:textId="77777777" w:rsidR="00785AC1" w:rsidRPr="000744E3" w:rsidRDefault="00785AC1" w:rsidP="00785AC1"/>
    <w:p w14:paraId="5C66177E"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concerns/issues do you highlight at this stage? Do you see a need for specific regulatory interventions also in consideration of evidence available regarding practices related to dark trading functionalities (please provide details)?</w:t>
      </w:r>
    </w:p>
    <w:p w14:paraId="53A013C4" w14:textId="77777777" w:rsidR="00785AC1" w:rsidRPr="000744E3" w:rsidRDefault="00785AC1" w:rsidP="00785AC1">
      <w:r w:rsidRPr="000744E3">
        <w:t>&lt;ESMA_QUESTION_MSEM_10&gt;</w:t>
      </w:r>
    </w:p>
    <w:p w14:paraId="78BE226F" w14:textId="5515BA7A" w:rsidR="009524B8" w:rsidRPr="000744E3" w:rsidRDefault="00617F96" w:rsidP="009524B8">
      <w:r w:rsidRPr="000A11C3">
        <w:t xml:space="preserve">Our </w:t>
      </w:r>
      <w:r w:rsidR="00F0055F" w:rsidRPr="000A11C3">
        <w:t>main</w:t>
      </w:r>
      <w:r w:rsidRPr="000A11C3">
        <w:t xml:space="preserve"> concern about the current dark trading regime is that the Single Volume Cap </w:t>
      </w:r>
      <w:r w:rsidR="003A19F9" w:rsidRPr="000A11C3">
        <w:t xml:space="preserve">(SVC) </w:t>
      </w:r>
      <w:r w:rsidRPr="000A11C3">
        <w:t xml:space="preserve">functions as a regulatory constraint on trading venues without </w:t>
      </w:r>
      <w:r w:rsidR="003A4DB5" w:rsidRPr="000A11C3">
        <w:t xml:space="preserve">necessarily </w:t>
      </w:r>
      <w:r w:rsidRPr="000A11C3">
        <w:t>producing the intended outcome</w:t>
      </w:r>
      <w:r w:rsidR="00C25526" w:rsidRPr="000744E3">
        <w:t xml:space="preserve">: </w:t>
      </w:r>
      <w:r w:rsidRPr="000744E3">
        <w:t xml:space="preserve">preserving price formation on </w:t>
      </w:r>
      <w:r w:rsidR="00477BBD" w:rsidRPr="000744E3">
        <w:t>central limit order books</w:t>
      </w:r>
      <w:r w:rsidRPr="000744E3">
        <w:t>. As discussed in Q</w:t>
      </w:r>
      <w:r w:rsidR="001E48BC" w:rsidRPr="000744E3">
        <w:t>15 to19</w:t>
      </w:r>
      <w:r w:rsidRPr="000744E3">
        <w:t xml:space="preserve">, evidence from the October 2025 SVC suspensions suggests that capped flow migrates to other mechanisms, including </w:t>
      </w:r>
      <w:r w:rsidR="000A1576" w:rsidRPr="000744E3">
        <w:t xml:space="preserve">CLOB and </w:t>
      </w:r>
      <w:r w:rsidRPr="000744E3">
        <w:t>frequent batch auctions (</w:t>
      </w:r>
      <w:r w:rsidR="000A1576" w:rsidRPr="000744E3">
        <w:t xml:space="preserve">both </w:t>
      </w:r>
      <w:r w:rsidRPr="000744E3">
        <w:t xml:space="preserve">transparent) but also bilateral execution (less transparent). Where the substitute mechanism has </w:t>
      </w:r>
      <w:r w:rsidR="00C25526" w:rsidRPr="000744E3">
        <w:t xml:space="preserve">the same or even </w:t>
      </w:r>
      <w:r w:rsidRPr="000744E3">
        <w:t xml:space="preserve">lower transparency than the capped venue, the SVC works against its own objectives. </w:t>
      </w:r>
    </w:p>
    <w:p w14:paraId="60C32238" w14:textId="71C4E529" w:rsidR="00617F96" w:rsidRPr="000744E3" w:rsidRDefault="00617F96" w:rsidP="00785AC1">
      <w:r w:rsidRPr="000744E3">
        <w:t>We would recommend the following</w:t>
      </w:r>
      <w:r w:rsidR="00281714" w:rsidRPr="000744E3">
        <w:t xml:space="preserve"> in the context of dark trading</w:t>
      </w:r>
      <w:r w:rsidRPr="000744E3">
        <w:t>:</w:t>
      </w:r>
    </w:p>
    <w:p w14:paraId="44C86F9F" w14:textId="090A45FA" w:rsidR="00C40117" w:rsidRPr="000744E3" w:rsidRDefault="00C40117" w:rsidP="009C1997">
      <w:pPr>
        <w:pStyle w:val="ListParagraph"/>
        <w:numPr>
          <w:ilvl w:val="0"/>
          <w:numId w:val="4"/>
        </w:numPr>
        <w:spacing w:after="120" w:line="240" w:lineRule="auto"/>
        <w:ind w:hanging="238"/>
        <w:contextualSpacing w:val="0"/>
        <w:rPr>
          <w:b/>
          <w:bCs/>
        </w:rPr>
      </w:pPr>
      <w:r w:rsidRPr="000744E3">
        <w:rPr>
          <w:b/>
          <w:bCs/>
        </w:rPr>
        <w:t xml:space="preserve">Improve post trade transparency to better understand </w:t>
      </w:r>
      <w:r w:rsidR="00B211D1" w:rsidRPr="000744E3">
        <w:rPr>
          <w:b/>
          <w:bCs/>
        </w:rPr>
        <w:t xml:space="preserve">price improved </w:t>
      </w:r>
      <w:r w:rsidRPr="000744E3">
        <w:rPr>
          <w:b/>
          <w:bCs/>
        </w:rPr>
        <w:t xml:space="preserve">liquidity: </w:t>
      </w:r>
    </w:p>
    <w:p w14:paraId="5B366C62" w14:textId="08C6A6C9" w:rsidR="00C40117" w:rsidRPr="000744E3" w:rsidRDefault="00C40117" w:rsidP="009C1997">
      <w:pPr>
        <w:pStyle w:val="ListParagraph"/>
        <w:numPr>
          <w:ilvl w:val="1"/>
          <w:numId w:val="4"/>
        </w:numPr>
        <w:spacing w:after="120" w:line="240" w:lineRule="auto"/>
        <w:ind w:hanging="238"/>
        <w:contextualSpacing w:val="0"/>
      </w:pPr>
      <w:r w:rsidRPr="000744E3">
        <w:t>Re introduce the RPRI and SIZE flags indicating that the execution price has been improved compared to the quote provided to the client</w:t>
      </w:r>
    </w:p>
    <w:p w14:paraId="26D7DC40" w14:textId="1042C1C0" w:rsidR="00C40117" w:rsidRPr="000744E3" w:rsidRDefault="00C40117" w:rsidP="009C1997">
      <w:pPr>
        <w:pStyle w:val="ListParagraph"/>
        <w:numPr>
          <w:ilvl w:val="1"/>
          <w:numId w:val="4"/>
        </w:numPr>
        <w:spacing w:after="120" w:line="240" w:lineRule="auto"/>
        <w:ind w:hanging="238"/>
        <w:contextualSpacing w:val="0"/>
      </w:pPr>
      <w:r w:rsidRPr="000744E3">
        <w:t>Introduce a flag equivalent to FIX Tag 2405, with the objectives to identify where off</w:t>
      </w:r>
      <w:r w:rsidR="00836442" w:rsidRPr="000744E3">
        <w:t>-</w:t>
      </w:r>
      <w:r w:rsidRPr="000744E3">
        <w:t xml:space="preserve">venue </w:t>
      </w:r>
      <w:r w:rsidR="00B211D1" w:rsidRPr="000744E3">
        <w:t>liquidity</w:t>
      </w:r>
      <w:r w:rsidRPr="000744E3">
        <w:t xml:space="preserve"> was provided algorithmically. This would be the off</w:t>
      </w:r>
      <w:r w:rsidR="00836442" w:rsidRPr="000744E3">
        <w:t>-</w:t>
      </w:r>
      <w:r w:rsidRPr="000744E3">
        <w:t xml:space="preserve">venue equivalent to the “ALGO” flag currently mandated for venues. This should be applicable regardless of </w:t>
      </w:r>
      <w:r w:rsidR="00836442" w:rsidRPr="000744E3">
        <w:t>whether</w:t>
      </w:r>
      <w:r w:rsidR="00B211D1" w:rsidRPr="000744E3">
        <w:t xml:space="preserve"> the trade is executed under the SI regime, off</w:t>
      </w:r>
      <w:r w:rsidR="5CE77E10" w:rsidRPr="000744E3">
        <w:t>-</w:t>
      </w:r>
      <w:r w:rsidR="00B211D1" w:rsidRPr="000744E3">
        <w:t xml:space="preserve">book on exchange or OTC. </w:t>
      </w:r>
    </w:p>
    <w:p w14:paraId="42294988" w14:textId="5A102813" w:rsidR="00C40117" w:rsidRPr="000744E3" w:rsidRDefault="00C40117" w:rsidP="009C1997">
      <w:pPr>
        <w:pStyle w:val="ListParagraph"/>
        <w:numPr>
          <w:ilvl w:val="0"/>
          <w:numId w:val="4"/>
        </w:numPr>
        <w:spacing w:after="120" w:line="240" w:lineRule="auto"/>
        <w:ind w:hanging="238"/>
        <w:contextualSpacing w:val="0"/>
      </w:pPr>
      <w:r w:rsidRPr="000744E3">
        <w:rPr>
          <w:b/>
          <w:bCs/>
        </w:rPr>
        <w:t>Provide more information on bilateral liquidity</w:t>
      </w:r>
      <w:r w:rsidRPr="000744E3">
        <w:t xml:space="preserve">, for instance with </w:t>
      </w:r>
      <w:r w:rsidR="008C761A" w:rsidRPr="000744E3">
        <w:t xml:space="preserve">an </w:t>
      </w:r>
      <w:r w:rsidRPr="000744E3">
        <w:t>OTC attributed report inspired by the FINRA OTC Report for single dealer platforms, which are the equivalent of European SIs.</w:t>
      </w:r>
      <w:r w:rsidR="00B211D1" w:rsidRPr="000744E3">
        <w:t xml:space="preserve"> </w:t>
      </w:r>
      <w:r w:rsidR="003C50FD" w:rsidRPr="000744E3">
        <w:t>Similarly</w:t>
      </w:r>
      <w:r w:rsidR="008C761A" w:rsidRPr="000744E3">
        <w:t>,</w:t>
      </w:r>
      <w:r w:rsidR="00B211D1" w:rsidRPr="000744E3">
        <w:t xml:space="preserve"> introducing execution reports such as SEC Filings 605 and 606 would help understand which market participants are </w:t>
      </w:r>
      <w:r w:rsidR="003C50FD" w:rsidRPr="000744E3">
        <w:t xml:space="preserve">providing liquidity on risk for investors. </w:t>
      </w:r>
    </w:p>
    <w:p w14:paraId="34338DB1" w14:textId="77777777" w:rsidR="009C1997" w:rsidRDefault="00DB06FC" w:rsidP="009C1997">
      <w:pPr>
        <w:pStyle w:val="ListParagraph"/>
        <w:numPr>
          <w:ilvl w:val="0"/>
          <w:numId w:val="4"/>
        </w:numPr>
        <w:spacing w:after="120" w:line="240" w:lineRule="auto"/>
        <w:contextualSpacing w:val="0"/>
      </w:pPr>
      <w:r w:rsidRPr="009C1997">
        <w:rPr>
          <w:b/>
          <w:bCs/>
        </w:rPr>
        <w:t xml:space="preserve">Remove the SVC </w:t>
      </w:r>
      <w:r w:rsidR="009F21E5" w:rsidRPr="009C1997">
        <w:rPr>
          <w:b/>
          <w:bCs/>
        </w:rPr>
        <w:t xml:space="preserve">and allow </w:t>
      </w:r>
      <w:r w:rsidR="008B306A" w:rsidRPr="009C1997">
        <w:rPr>
          <w:b/>
          <w:bCs/>
        </w:rPr>
        <w:t xml:space="preserve">regulators to call </w:t>
      </w:r>
      <w:r w:rsidR="009F21E5" w:rsidRPr="009C1997">
        <w:rPr>
          <w:b/>
          <w:bCs/>
        </w:rPr>
        <w:t xml:space="preserve">for </w:t>
      </w:r>
      <w:r w:rsidR="00900798" w:rsidRPr="009C1997">
        <w:rPr>
          <w:b/>
          <w:bCs/>
        </w:rPr>
        <w:t xml:space="preserve">ad hoc </w:t>
      </w:r>
      <w:r w:rsidR="009F21E5" w:rsidRPr="009C1997">
        <w:rPr>
          <w:b/>
          <w:bCs/>
        </w:rPr>
        <w:t>bans</w:t>
      </w:r>
      <w:r w:rsidR="001E48BC" w:rsidRPr="009C1997">
        <w:rPr>
          <w:b/>
          <w:bCs/>
        </w:rPr>
        <w:t xml:space="preserve"> </w:t>
      </w:r>
      <w:r w:rsidR="009E5722" w:rsidRPr="009C1997">
        <w:rPr>
          <w:b/>
          <w:bCs/>
        </w:rPr>
        <w:t>on dark trading</w:t>
      </w:r>
      <w:r w:rsidRPr="000744E3">
        <w:t xml:space="preserve">, allowing competent authorities to impose temporary </w:t>
      </w:r>
      <w:r w:rsidR="00B45C8A" w:rsidRPr="000744E3">
        <w:t xml:space="preserve">dark </w:t>
      </w:r>
      <w:r w:rsidRPr="000744E3">
        <w:t xml:space="preserve">caps on a stock-specific basis if evidence emerges of price formation degradation. </w:t>
      </w:r>
      <w:r w:rsidR="008D3BB2" w:rsidRPr="000744E3">
        <w:t xml:space="preserve">This </w:t>
      </w:r>
      <w:r w:rsidR="00267E7A" w:rsidRPr="000744E3">
        <w:t xml:space="preserve">would </w:t>
      </w:r>
      <w:r w:rsidR="008D3BB2" w:rsidRPr="000744E3">
        <w:t xml:space="preserve">be similar to </w:t>
      </w:r>
      <w:r w:rsidR="00E22668" w:rsidRPr="000744E3">
        <w:t>the</w:t>
      </w:r>
      <w:r w:rsidR="008D3BB2" w:rsidRPr="000744E3">
        <w:t xml:space="preserve"> current framework </w:t>
      </w:r>
      <w:r w:rsidR="00267E7A" w:rsidRPr="000744E3">
        <w:t xml:space="preserve">applicable </w:t>
      </w:r>
      <w:r w:rsidR="008D3BB2" w:rsidRPr="000744E3">
        <w:t xml:space="preserve">for </w:t>
      </w:r>
      <w:r w:rsidR="00B24B81" w:rsidRPr="000744E3">
        <w:t>short selling and could adequately capture the mechanisms and workflow</w:t>
      </w:r>
      <w:r w:rsidR="009F21E5" w:rsidRPr="000744E3">
        <w:t>s</w:t>
      </w:r>
      <w:r w:rsidR="00B24B81" w:rsidRPr="000744E3">
        <w:t xml:space="preserve"> </w:t>
      </w:r>
      <w:r w:rsidR="00267E7A" w:rsidRPr="000744E3">
        <w:t xml:space="preserve">to be </w:t>
      </w:r>
      <w:r w:rsidR="00B24B81" w:rsidRPr="000744E3">
        <w:t>included in a ban.</w:t>
      </w:r>
      <w:r w:rsidR="009F21E5" w:rsidRPr="000744E3" w:rsidDel="00267E7A">
        <w:t>,</w:t>
      </w:r>
      <w:r w:rsidR="00B24B81" w:rsidRPr="000744E3">
        <w:t xml:space="preserve">. </w:t>
      </w:r>
      <w:r w:rsidR="004F60B6" w:rsidRPr="000744E3">
        <w:t>Such a change would</w:t>
      </w:r>
      <w:r w:rsidR="00457B28" w:rsidRPr="000744E3">
        <w:t xml:space="preserve"> </w:t>
      </w:r>
      <w:r w:rsidR="00B24B81" w:rsidRPr="000744E3">
        <w:t xml:space="preserve">require </w:t>
      </w:r>
      <w:r w:rsidR="004F60B6" w:rsidRPr="000744E3">
        <w:t xml:space="preserve">a </w:t>
      </w:r>
      <w:r w:rsidR="00B24B81" w:rsidRPr="000744E3">
        <w:t xml:space="preserve">consensus on </w:t>
      </w:r>
      <w:r w:rsidR="00B31CFF" w:rsidRPr="000744E3">
        <w:t xml:space="preserve">the methodology </w:t>
      </w:r>
      <w:r w:rsidR="00304352" w:rsidRPr="000744E3">
        <w:t xml:space="preserve">for </w:t>
      </w:r>
      <w:r w:rsidR="00B31CFF" w:rsidRPr="000744E3">
        <w:t>assess</w:t>
      </w:r>
      <w:r w:rsidR="00304352" w:rsidRPr="000744E3">
        <w:t>ing</w:t>
      </w:r>
      <w:r w:rsidR="00B31CFF" w:rsidRPr="000744E3">
        <w:t xml:space="preserve"> price degradation </w:t>
      </w:r>
      <w:r w:rsidR="004F60B6" w:rsidRPr="000744E3">
        <w:t>and trigger</w:t>
      </w:r>
      <w:r w:rsidR="00304352" w:rsidRPr="000744E3">
        <w:t>ing</w:t>
      </w:r>
      <w:r w:rsidR="004F60B6" w:rsidRPr="000744E3">
        <w:t xml:space="preserve"> a ban</w:t>
      </w:r>
      <w:r w:rsidR="00304352" w:rsidRPr="000744E3">
        <w:t>,</w:t>
      </w:r>
      <w:r w:rsidR="009F21E5" w:rsidRPr="000744E3">
        <w:t xml:space="preserve"> but it </w:t>
      </w:r>
      <w:r w:rsidR="003C50FD" w:rsidRPr="000744E3">
        <w:t xml:space="preserve">would also avoid any regulatory arbitrage and </w:t>
      </w:r>
      <w:r w:rsidR="00551B62" w:rsidRPr="000744E3">
        <w:t xml:space="preserve">a liquidity </w:t>
      </w:r>
      <w:r w:rsidR="003C50FD" w:rsidRPr="000744E3">
        <w:t xml:space="preserve">move towards less </w:t>
      </w:r>
      <w:r w:rsidR="004D5A5D" w:rsidRPr="000744E3">
        <w:t xml:space="preserve">restricted </w:t>
      </w:r>
      <w:r w:rsidR="00E6098B" w:rsidRPr="000744E3">
        <w:t xml:space="preserve">equivalent </w:t>
      </w:r>
      <w:r w:rsidR="004D5A5D" w:rsidRPr="000744E3">
        <w:t xml:space="preserve">trading mechanisms. </w:t>
      </w:r>
      <w:r w:rsidR="006242DD" w:rsidRPr="000744E3">
        <w:t>We also highlight that in jurisdictions’ such as the UK and Switzerland, where no dark cap exists, we can observe from the data</w:t>
      </w:r>
      <w:r w:rsidR="00AE13EA" w:rsidRPr="000744E3">
        <w:t xml:space="preserve"> that dark trading has not progressed beyond a certain market share. F</w:t>
      </w:r>
      <w:r w:rsidR="006242DD" w:rsidRPr="000744E3">
        <w:t xml:space="preserve">or instance </w:t>
      </w:r>
      <w:r w:rsidR="005C32DD" w:rsidRPr="000744E3">
        <w:t>for</w:t>
      </w:r>
      <w:r w:rsidR="006242DD" w:rsidRPr="000744E3">
        <w:t xml:space="preserve"> London listings, </w:t>
      </w:r>
      <w:r w:rsidR="005C32DD" w:rsidRPr="000744E3">
        <w:t>d</w:t>
      </w:r>
      <w:r w:rsidR="006242DD" w:rsidRPr="000744E3">
        <w:t xml:space="preserve">ark </w:t>
      </w:r>
      <w:r w:rsidR="005C32DD" w:rsidRPr="000744E3">
        <w:t xml:space="preserve">trading </w:t>
      </w:r>
      <w:r w:rsidR="00AE13EA" w:rsidRPr="000744E3">
        <w:t xml:space="preserve">has decreased from </w:t>
      </w:r>
      <w:r w:rsidR="00820224" w:rsidRPr="000744E3">
        <w:t xml:space="preserve">8.8% </w:t>
      </w:r>
      <w:r w:rsidR="00B04B8D" w:rsidRPr="000744E3">
        <w:t xml:space="preserve">in 2025 </w:t>
      </w:r>
      <w:r w:rsidR="00820224" w:rsidRPr="000744E3">
        <w:t>to 7.8%</w:t>
      </w:r>
      <w:r w:rsidR="00B04B8D" w:rsidRPr="000744E3">
        <w:t xml:space="preserve"> in 2026</w:t>
      </w:r>
      <w:r w:rsidR="00820224" w:rsidRPr="000744E3">
        <w:t xml:space="preserve"> while FBAs have increased from 5.5% to 6.5%</w:t>
      </w:r>
      <w:r w:rsidR="00B04B8D" w:rsidRPr="000744E3">
        <w:t>.</w:t>
      </w:r>
      <w:r w:rsidR="006A1DED" w:rsidRPr="000744E3">
        <w:rPr>
          <w:rStyle w:val="FootnoteReference"/>
        </w:rPr>
        <w:footnoteReference w:id="1"/>
      </w:r>
      <w:r w:rsidR="00B04B8D" w:rsidRPr="000744E3">
        <w:t xml:space="preserve"> </w:t>
      </w:r>
    </w:p>
    <w:p w14:paraId="7F6B036A" w14:textId="77777777" w:rsidR="009C1997" w:rsidRDefault="00DB06FC" w:rsidP="009C1997">
      <w:pPr>
        <w:pStyle w:val="ListParagraph"/>
        <w:numPr>
          <w:ilvl w:val="0"/>
          <w:numId w:val="4"/>
        </w:numPr>
        <w:spacing w:after="120" w:line="240" w:lineRule="auto"/>
        <w:contextualSpacing w:val="0"/>
      </w:pPr>
      <w:r w:rsidRPr="009C1997">
        <w:rPr>
          <w:b/>
          <w:bCs/>
        </w:rPr>
        <w:t>Remove the 'most relevant market' requirement</w:t>
      </w:r>
      <w:r w:rsidRPr="000744E3">
        <w:t xml:space="preserve"> as the source of the reference price for midpoint matching. Allow MTFs to reference </w:t>
      </w:r>
      <w:r w:rsidR="00B948FC" w:rsidRPr="000744E3">
        <w:t xml:space="preserve">a price representative of the current market conditions, for instance a </w:t>
      </w:r>
      <w:r w:rsidRPr="000744E3">
        <w:t>European Best Bid and Offer (EBBO)</w:t>
      </w:r>
      <w:r w:rsidR="00551B62" w:rsidRPr="000744E3">
        <w:t>.</w:t>
      </w:r>
      <w:r w:rsidRPr="000744E3">
        <w:t xml:space="preserve"> This </w:t>
      </w:r>
      <w:r w:rsidR="00B948FC" w:rsidRPr="000744E3">
        <w:t xml:space="preserve">would </w:t>
      </w:r>
      <w:r w:rsidR="00551B62" w:rsidRPr="000744E3">
        <w:t xml:space="preserve">create a </w:t>
      </w:r>
      <w:r w:rsidRPr="000744E3">
        <w:t>level playing field between primary venues and MTFs operating dark or midpoint mechanism</w:t>
      </w:r>
      <w:r w:rsidR="00B948FC" w:rsidRPr="000744E3">
        <w:t>s, especially considering</w:t>
      </w:r>
      <w:r w:rsidR="007B1036" w:rsidRPr="000744E3">
        <w:t xml:space="preserve"> the </w:t>
      </w:r>
      <w:r w:rsidR="005E6F34" w:rsidRPr="000744E3">
        <w:t xml:space="preserve">cost pressure imposed by </w:t>
      </w:r>
      <w:r w:rsidR="00B948FC" w:rsidRPr="000744E3">
        <w:t xml:space="preserve">recent </w:t>
      </w:r>
      <w:r w:rsidR="005C74F7" w:rsidRPr="000744E3">
        <w:t>increase</w:t>
      </w:r>
      <w:r w:rsidR="007B1036" w:rsidRPr="000744E3">
        <w:t>s</w:t>
      </w:r>
      <w:r w:rsidR="005C74F7" w:rsidRPr="000744E3">
        <w:t xml:space="preserve"> </w:t>
      </w:r>
      <w:r w:rsidR="00B948FC" w:rsidRPr="000744E3">
        <w:t xml:space="preserve">in </w:t>
      </w:r>
      <w:r w:rsidR="005E6F34" w:rsidRPr="000744E3">
        <w:t>m</w:t>
      </w:r>
      <w:r w:rsidR="00B948FC" w:rsidRPr="000744E3">
        <w:t>arket data fee</w:t>
      </w:r>
      <w:r w:rsidR="00551B62" w:rsidRPr="000744E3">
        <w:t>s</w:t>
      </w:r>
      <w:r w:rsidR="00B948FC" w:rsidRPr="000744E3">
        <w:t xml:space="preserve"> applicable to trading venues</w:t>
      </w:r>
      <w:r w:rsidR="005C74F7" w:rsidRPr="000744E3">
        <w:t xml:space="preserve"> using primary exchange data feeds</w:t>
      </w:r>
      <w:r w:rsidRPr="000744E3">
        <w:t>.</w:t>
      </w:r>
    </w:p>
    <w:p w14:paraId="2DE2092F" w14:textId="77777777" w:rsidR="009C1997" w:rsidRDefault="00DB06FC" w:rsidP="009C1997">
      <w:pPr>
        <w:pStyle w:val="ListParagraph"/>
        <w:numPr>
          <w:ilvl w:val="0"/>
          <w:numId w:val="4"/>
        </w:numPr>
        <w:spacing w:after="120" w:line="240" w:lineRule="auto"/>
        <w:contextualSpacing w:val="0"/>
      </w:pPr>
      <w:r w:rsidRPr="009C1997">
        <w:rPr>
          <w:b/>
          <w:bCs/>
        </w:rPr>
        <w:t>Apply the tick size regime consistently</w:t>
      </w:r>
      <w:r w:rsidRPr="000744E3">
        <w:t xml:space="preserve"> to all orders and </w:t>
      </w:r>
      <w:r w:rsidR="00B948FC" w:rsidRPr="000744E3">
        <w:t xml:space="preserve">all </w:t>
      </w:r>
      <w:r w:rsidRPr="000744E3">
        <w:t>quotes, in line with the original intent of RTS 11 (see our response to Q19). This removes a regulatory asymmetry that currently disadvantages on-venue execution.</w:t>
      </w:r>
    </w:p>
    <w:p w14:paraId="15107A7D" w14:textId="2D303806" w:rsidR="00CE4CF2" w:rsidRPr="000744E3" w:rsidRDefault="008674D9" w:rsidP="009C1997">
      <w:pPr>
        <w:pStyle w:val="ListParagraph"/>
        <w:numPr>
          <w:ilvl w:val="0"/>
          <w:numId w:val="4"/>
        </w:numPr>
        <w:spacing w:after="120" w:line="240" w:lineRule="auto"/>
      </w:pPr>
      <w:r w:rsidRPr="009C1997">
        <w:rPr>
          <w:b/>
          <w:bCs/>
        </w:rPr>
        <w:t>Potentially a</w:t>
      </w:r>
      <w:r w:rsidR="004D5A5D" w:rsidRPr="009C1997">
        <w:rPr>
          <w:b/>
          <w:bCs/>
        </w:rPr>
        <w:t xml:space="preserve">ddress the regulatory drivers that indirectly encourage investors to seek mid points execution, </w:t>
      </w:r>
      <w:r w:rsidR="004D5A5D" w:rsidRPr="000744E3">
        <w:t xml:space="preserve">such as PRIIPS and KID. </w:t>
      </w:r>
      <w:r w:rsidR="00B0288F" w:rsidRPr="000744E3">
        <w:t xml:space="preserve">Please refer to our </w:t>
      </w:r>
      <w:r w:rsidR="00717EC2" w:rsidRPr="000744E3">
        <w:t>response to</w:t>
      </w:r>
      <w:r w:rsidR="00B0288F" w:rsidRPr="000744E3">
        <w:t xml:space="preserve"> Q</w:t>
      </w:r>
      <w:r w:rsidR="00785F73" w:rsidRPr="000744E3">
        <w:t>5</w:t>
      </w:r>
    </w:p>
    <w:p w14:paraId="40E77F4C" w14:textId="77777777" w:rsidR="00785AC1" w:rsidRPr="000744E3" w:rsidRDefault="00785AC1" w:rsidP="00B04B8D">
      <w:pPr>
        <w:ind w:left="120"/>
      </w:pPr>
      <w:r w:rsidRPr="000744E3">
        <w:t>&lt;ESMA_QUESTION_MSEM_10&gt;</w:t>
      </w:r>
    </w:p>
    <w:p w14:paraId="0C0B6CF7" w14:textId="77777777" w:rsidR="00785AC1" w:rsidRPr="000744E3" w:rsidRDefault="00785AC1" w:rsidP="00785AC1"/>
    <w:p w14:paraId="2D5FF7DA"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on the evolution and effects of trading in closing auctions on the EU markets? Do you agree with the presented rationale for trading in closing auctions or do you consider other drivers more important for explaining the growth and increasing significance of closing auctions trading?</w:t>
      </w:r>
    </w:p>
    <w:p w14:paraId="55B441E8" w14:textId="77777777" w:rsidR="00785AC1" w:rsidRPr="000744E3" w:rsidRDefault="00785AC1" w:rsidP="00785AC1">
      <w:r w:rsidRPr="000744E3">
        <w:t>&lt;ESMA_QUESTION_MSEM_11&gt;</w:t>
      </w:r>
    </w:p>
    <w:p w14:paraId="6883FDC8" w14:textId="59A854B4" w:rsidR="00DA53AF" w:rsidRPr="000744E3" w:rsidRDefault="007E53E7" w:rsidP="003A4DB5">
      <w:pPr>
        <w:rPr>
          <w:rFonts w:eastAsia="Calibri" w:cs="Calibri"/>
        </w:rPr>
      </w:pPr>
      <w:r w:rsidRPr="000744E3">
        <w:rPr>
          <w:rFonts w:eastAsia="Calibri" w:cs="Calibri"/>
        </w:rPr>
        <w:t xml:space="preserve">We agree with ESMA's observation that closing auctions play an important role in European equity markets, and we recognise the structural drivers ESMA identifies notably the growth of passive investment, the expansion of ETFs (particularly UCITS ETFs with cash creation/redemption requiring execution at the closing price), and increased reliance on closing prices for valuation, benchmarking and index calculation. </w:t>
      </w:r>
      <w:r w:rsidR="43C8F611" w:rsidRPr="000744E3">
        <w:rPr>
          <w:rFonts w:eastAsia="Calibri" w:cs="Calibri"/>
        </w:rPr>
        <w:t xml:space="preserve">The growth of closing activity </w:t>
      </w:r>
      <w:r w:rsidR="1A406C12" w:rsidRPr="000744E3">
        <w:rPr>
          <w:rFonts w:eastAsia="Calibri" w:cs="Calibri"/>
        </w:rPr>
        <w:t>is a reflection of changing investment and benchmark trading practices</w:t>
      </w:r>
      <w:r w:rsidR="43C8F611" w:rsidRPr="000744E3">
        <w:rPr>
          <w:rFonts w:eastAsia="Calibri" w:cs="Calibri"/>
        </w:rPr>
        <w:t xml:space="preserve"> </w:t>
      </w:r>
      <w:r w:rsidR="1A406C12" w:rsidRPr="000744E3">
        <w:rPr>
          <w:rFonts w:eastAsia="Calibri" w:cs="Calibri"/>
        </w:rPr>
        <w:t xml:space="preserve">and </w:t>
      </w:r>
      <w:r w:rsidR="43C8F611" w:rsidRPr="000744E3">
        <w:rPr>
          <w:rFonts w:eastAsia="Calibri" w:cs="Calibri"/>
        </w:rPr>
        <w:t xml:space="preserve">should </w:t>
      </w:r>
      <w:r w:rsidR="00AD0E7C" w:rsidRPr="000744E3">
        <w:rPr>
          <w:rFonts w:eastAsia="Calibri" w:cs="Calibri"/>
        </w:rPr>
        <w:t>therefore not</w:t>
      </w:r>
      <w:r w:rsidR="43C8F611" w:rsidRPr="000744E3">
        <w:rPr>
          <w:rFonts w:eastAsia="Calibri" w:cs="Calibri"/>
        </w:rPr>
        <w:t xml:space="preserve"> be automatically interpreted as a sign of deteriorating </w:t>
      </w:r>
      <w:r w:rsidR="49EA9842" w:rsidRPr="000744E3">
        <w:rPr>
          <w:rFonts w:eastAsia="Calibri" w:cs="Calibri"/>
        </w:rPr>
        <w:t xml:space="preserve">lit </w:t>
      </w:r>
      <w:r w:rsidR="43C8F611" w:rsidRPr="000744E3">
        <w:rPr>
          <w:rFonts w:eastAsia="Calibri" w:cs="Calibri"/>
        </w:rPr>
        <w:t>continuous market quality .</w:t>
      </w:r>
      <w:r w:rsidR="00F1040A" w:rsidRPr="000744E3">
        <w:rPr>
          <w:rFonts w:ascii="Calibri" w:eastAsia="Calibri" w:hAnsi="Calibri" w:cs="Calibri"/>
          <w:sz w:val="20"/>
        </w:rPr>
        <w:t xml:space="preserve"> </w:t>
      </w:r>
      <w:r w:rsidR="00FE61DE" w:rsidRPr="000744E3">
        <w:rPr>
          <w:rFonts w:eastAsia="Calibri" w:cs="Calibri"/>
        </w:rPr>
        <w:t>A</w:t>
      </w:r>
      <w:r w:rsidR="009B5701" w:rsidRPr="000744E3">
        <w:rPr>
          <w:rFonts w:eastAsia="Calibri" w:cs="Calibri"/>
        </w:rPr>
        <w:t>s</w:t>
      </w:r>
      <w:r w:rsidR="00FE61DE" w:rsidRPr="000744E3">
        <w:rPr>
          <w:rFonts w:eastAsia="Calibri" w:cs="Calibri"/>
        </w:rPr>
        <w:t xml:space="preserve"> per ou</w:t>
      </w:r>
      <w:r w:rsidR="005D7EB1" w:rsidRPr="000744E3">
        <w:rPr>
          <w:rFonts w:eastAsia="Calibri" w:cs="Calibri"/>
        </w:rPr>
        <w:t>r</w:t>
      </w:r>
      <w:r w:rsidR="00FE61DE" w:rsidRPr="000744E3">
        <w:rPr>
          <w:rFonts w:eastAsia="Calibri" w:cs="Calibri"/>
        </w:rPr>
        <w:t xml:space="preserve"> answer</w:t>
      </w:r>
      <w:r w:rsidR="005D7EB1" w:rsidRPr="000744E3">
        <w:rPr>
          <w:rFonts w:eastAsia="Calibri" w:cs="Calibri"/>
        </w:rPr>
        <w:t>s</w:t>
      </w:r>
      <w:r w:rsidR="00FE61DE" w:rsidRPr="000744E3">
        <w:rPr>
          <w:rFonts w:eastAsia="Calibri" w:cs="Calibri"/>
        </w:rPr>
        <w:t xml:space="preserve"> to </w:t>
      </w:r>
      <w:r w:rsidR="00717EC2" w:rsidRPr="000744E3">
        <w:rPr>
          <w:rFonts w:eastAsia="Calibri" w:cs="Calibri"/>
        </w:rPr>
        <w:t>Q</w:t>
      </w:r>
      <w:r w:rsidR="005D7EB1" w:rsidRPr="000744E3">
        <w:rPr>
          <w:rFonts w:eastAsia="Calibri" w:cs="Calibri"/>
        </w:rPr>
        <w:t>5</w:t>
      </w:r>
      <w:r w:rsidR="008A5B88" w:rsidRPr="000744E3">
        <w:rPr>
          <w:rFonts w:eastAsia="Calibri" w:cs="Calibri"/>
        </w:rPr>
        <w:t xml:space="preserve">, </w:t>
      </w:r>
      <w:r w:rsidR="00E72117" w:rsidRPr="000744E3">
        <w:rPr>
          <w:rFonts w:eastAsia="Calibri" w:cs="Calibri"/>
        </w:rPr>
        <w:t>the regulatory framework for asset manager cost reporting (PRIIPs) and the prevailing approach to transaction cost analysis may push asset managers further towards execution mechanisms that produce a closing-price reference, which reduces observed slippage.</w:t>
      </w:r>
    </w:p>
    <w:p w14:paraId="4B66875F" w14:textId="7F7E4A5F" w:rsidR="00330E33" w:rsidRPr="000744E3" w:rsidRDefault="00DA53AF" w:rsidP="003A4DB5">
      <w:pPr>
        <w:rPr>
          <w:rFonts w:eastAsia="Calibri" w:cs="Calibri"/>
        </w:rPr>
      </w:pPr>
      <w:r w:rsidRPr="000744E3">
        <w:rPr>
          <w:rFonts w:eastAsia="Calibri" w:cs="Calibri"/>
        </w:rPr>
        <w:t xml:space="preserve">Importantly, we </w:t>
      </w:r>
      <w:r w:rsidR="00C21AE5" w:rsidRPr="000744E3">
        <w:rPr>
          <w:rFonts w:eastAsia="Calibri" w:cs="Calibri"/>
        </w:rPr>
        <w:t>reiterate</w:t>
      </w:r>
      <w:r w:rsidRPr="000744E3">
        <w:rPr>
          <w:rFonts w:eastAsia="Calibri" w:cs="Calibri"/>
        </w:rPr>
        <w:t xml:space="preserve"> the observation made in several </w:t>
      </w:r>
      <w:r w:rsidR="008373D4" w:rsidRPr="000744E3">
        <w:rPr>
          <w:rFonts w:eastAsia="Calibri" w:cs="Calibri"/>
        </w:rPr>
        <w:t xml:space="preserve">trade associations </w:t>
      </w:r>
      <w:r w:rsidR="007C7D28" w:rsidRPr="000744E3">
        <w:rPr>
          <w:rFonts w:eastAsia="Calibri" w:cs="Calibri"/>
        </w:rPr>
        <w:t xml:space="preserve">and </w:t>
      </w:r>
      <w:r w:rsidR="00EE6C35" w:rsidRPr="000744E3">
        <w:rPr>
          <w:rFonts w:eastAsia="Calibri" w:cs="Calibri"/>
        </w:rPr>
        <w:t>our</w:t>
      </w:r>
      <w:r w:rsidR="0034629C" w:rsidRPr="000744E3">
        <w:rPr>
          <w:rFonts w:eastAsia="Calibri" w:cs="Calibri"/>
        </w:rPr>
        <w:t xml:space="preserve"> own </w:t>
      </w:r>
      <w:r w:rsidRPr="000744E3">
        <w:rPr>
          <w:rFonts w:eastAsia="Calibri" w:cs="Calibri"/>
        </w:rPr>
        <w:t xml:space="preserve">responses </w:t>
      </w:r>
      <w:r w:rsidR="0034629C" w:rsidRPr="000744E3">
        <w:rPr>
          <w:rFonts w:eastAsia="Calibri" w:cs="Calibri"/>
        </w:rPr>
        <w:t>to prior consultations</w:t>
      </w:r>
      <w:r w:rsidR="007C7D28" w:rsidRPr="000744E3">
        <w:rPr>
          <w:rFonts w:eastAsia="Calibri" w:cs="Calibri"/>
        </w:rPr>
        <w:t xml:space="preserve"> </w:t>
      </w:r>
      <w:r w:rsidRPr="000744E3">
        <w:rPr>
          <w:rFonts w:eastAsia="Calibri" w:cs="Calibri"/>
        </w:rPr>
        <w:t>that the analysis would benefit from a clearer separation of trading phases. We would suggest separating</w:t>
      </w:r>
      <w:r w:rsidR="0034629C" w:rsidRPr="000744E3">
        <w:rPr>
          <w:rFonts w:eastAsia="Calibri" w:cs="Calibri"/>
        </w:rPr>
        <w:t>:</w:t>
      </w:r>
    </w:p>
    <w:p w14:paraId="020A36CE" w14:textId="2369CBFE" w:rsidR="007C7D28" w:rsidRPr="000744E3" w:rsidRDefault="00B514E3" w:rsidP="003A4DB5">
      <w:pPr>
        <w:pStyle w:val="ListParagraph"/>
        <w:numPr>
          <w:ilvl w:val="0"/>
          <w:numId w:val="7"/>
        </w:numPr>
        <w:rPr>
          <w:sz w:val="24"/>
          <w:szCs w:val="22"/>
        </w:rPr>
      </w:pPr>
      <w:r w:rsidRPr="000744E3">
        <w:rPr>
          <w:rFonts w:eastAsia="Calibri" w:cs="Calibri"/>
          <w:szCs w:val="22"/>
        </w:rPr>
        <w:t>A</w:t>
      </w:r>
      <w:r w:rsidR="00330E33" w:rsidRPr="000744E3">
        <w:rPr>
          <w:rFonts w:eastAsia="Calibri" w:cs="Calibri"/>
          <w:szCs w:val="22"/>
        </w:rPr>
        <w:t>ctivity at the close</w:t>
      </w:r>
      <w:r w:rsidR="00DA53AF" w:rsidRPr="000744E3">
        <w:rPr>
          <w:rFonts w:eastAsia="Calibri" w:cs="Calibri"/>
          <w:szCs w:val="22"/>
        </w:rPr>
        <w:t xml:space="preserve">: </w:t>
      </w:r>
    </w:p>
    <w:p w14:paraId="4DD701A0" w14:textId="10589F42" w:rsidR="002F4BBA" w:rsidRPr="000744E3" w:rsidRDefault="5635261D" w:rsidP="003A4DB5">
      <w:pPr>
        <w:pStyle w:val="ListParagraph"/>
        <w:numPr>
          <w:ilvl w:val="1"/>
          <w:numId w:val="7"/>
        </w:numPr>
        <w:rPr>
          <w:sz w:val="24"/>
          <w:szCs w:val="24"/>
        </w:rPr>
      </w:pPr>
      <w:r w:rsidRPr="000744E3">
        <w:rPr>
          <w:rFonts w:eastAsia="Calibri" w:cs="Calibri"/>
        </w:rPr>
        <w:t>t</w:t>
      </w:r>
      <w:r w:rsidR="00DA53AF" w:rsidRPr="000744E3">
        <w:rPr>
          <w:rFonts w:eastAsia="Calibri" w:cs="Calibri"/>
        </w:rPr>
        <w:t>he Primary closing auction (price-forming, scheduled, and determining the “official</w:t>
      </w:r>
      <w:r w:rsidR="74F07CF4" w:rsidRPr="000744E3">
        <w:rPr>
          <w:rFonts w:eastAsia="Calibri" w:cs="Calibri"/>
        </w:rPr>
        <w:t>””</w:t>
      </w:r>
      <w:r w:rsidR="00DA53AF" w:rsidRPr="000744E3">
        <w:rPr>
          <w:rFonts w:eastAsia="Calibri" w:cs="Calibri"/>
        </w:rPr>
        <w:t xml:space="preserve">“ closing price); </w:t>
      </w:r>
    </w:p>
    <w:p w14:paraId="0BBB3CB5" w14:textId="1669437F" w:rsidR="002F4BBA" w:rsidRPr="000744E3" w:rsidRDefault="46CE29E1" w:rsidP="003A4DB5">
      <w:pPr>
        <w:pStyle w:val="ListParagraph"/>
        <w:numPr>
          <w:ilvl w:val="1"/>
          <w:numId w:val="7"/>
        </w:numPr>
        <w:rPr>
          <w:sz w:val="24"/>
          <w:szCs w:val="24"/>
        </w:rPr>
      </w:pPr>
      <w:r w:rsidRPr="000744E3">
        <w:rPr>
          <w:rFonts w:eastAsia="Calibri" w:cs="Calibri"/>
        </w:rPr>
        <w:t>t</w:t>
      </w:r>
      <w:r w:rsidR="00724B49" w:rsidRPr="000744E3">
        <w:rPr>
          <w:rFonts w:eastAsia="Calibri" w:cs="Calibri"/>
        </w:rPr>
        <w:t xml:space="preserve">rading mechanisms such as </w:t>
      </w:r>
      <w:r w:rsidR="00B514E3" w:rsidRPr="000744E3">
        <w:rPr>
          <w:rFonts w:eastAsia="Calibri" w:cs="Calibri"/>
        </w:rPr>
        <w:t xml:space="preserve">Aquis </w:t>
      </w:r>
      <w:r w:rsidR="00724B49" w:rsidRPr="000744E3">
        <w:rPr>
          <w:rFonts w:eastAsia="Calibri" w:cs="Calibri"/>
        </w:rPr>
        <w:t>MaC, running parallel to the primary close but executing at the “official” closing price</w:t>
      </w:r>
      <w:r w:rsidR="0034629C" w:rsidRPr="000744E3">
        <w:rPr>
          <w:rFonts w:eastAsia="Calibri" w:cs="Calibri"/>
        </w:rPr>
        <w:t>;</w:t>
      </w:r>
      <w:r w:rsidR="00724B49" w:rsidRPr="000744E3">
        <w:rPr>
          <w:rFonts w:eastAsia="Calibri" w:cs="Calibri"/>
        </w:rPr>
        <w:t xml:space="preserve"> </w:t>
      </w:r>
    </w:p>
    <w:p w14:paraId="321B953B" w14:textId="0FA0FF6B" w:rsidR="002F4BBA" w:rsidRPr="000744E3" w:rsidRDefault="735C444A" w:rsidP="003A4DB5">
      <w:pPr>
        <w:pStyle w:val="ListParagraph"/>
        <w:numPr>
          <w:ilvl w:val="1"/>
          <w:numId w:val="7"/>
        </w:numPr>
        <w:rPr>
          <w:sz w:val="24"/>
          <w:szCs w:val="24"/>
        </w:rPr>
      </w:pPr>
      <w:r w:rsidRPr="000744E3">
        <w:rPr>
          <w:rFonts w:eastAsia="Calibri" w:cs="Calibri"/>
        </w:rPr>
        <w:t>t</w:t>
      </w:r>
      <w:r w:rsidR="00DA53AF" w:rsidRPr="000744E3">
        <w:rPr>
          <w:rFonts w:eastAsia="Calibri" w:cs="Calibri"/>
        </w:rPr>
        <w:t xml:space="preserve">rade-at-close mechanisms (referencing the closing price, </w:t>
      </w:r>
      <w:r w:rsidR="00724B49" w:rsidRPr="000744E3">
        <w:rPr>
          <w:rFonts w:eastAsia="Calibri" w:cs="Calibri"/>
        </w:rPr>
        <w:t xml:space="preserve">but for which order entry and execution occur </w:t>
      </w:r>
      <w:r w:rsidR="00DA53AF" w:rsidRPr="000744E3">
        <w:rPr>
          <w:rFonts w:eastAsia="Calibri" w:cs="Calibri"/>
        </w:rPr>
        <w:t xml:space="preserve">after the </w:t>
      </w:r>
      <w:r w:rsidR="00330E33" w:rsidRPr="000744E3">
        <w:rPr>
          <w:rFonts w:eastAsia="Calibri" w:cs="Calibri"/>
        </w:rPr>
        <w:t>determination of the closing price</w:t>
      </w:r>
      <w:r w:rsidR="00DA53AF" w:rsidRPr="000744E3">
        <w:rPr>
          <w:rFonts w:eastAsia="Calibri" w:cs="Calibri"/>
        </w:rPr>
        <w:t>);</w:t>
      </w:r>
    </w:p>
    <w:p w14:paraId="42089086" w14:textId="3C8B9F36" w:rsidR="002F4BBA" w:rsidRPr="000744E3" w:rsidRDefault="578D314D" w:rsidP="003A4DB5">
      <w:pPr>
        <w:pStyle w:val="ListParagraph"/>
        <w:numPr>
          <w:ilvl w:val="1"/>
          <w:numId w:val="7"/>
        </w:numPr>
        <w:rPr>
          <w:sz w:val="24"/>
          <w:szCs w:val="24"/>
        </w:rPr>
      </w:pPr>
      <w:r w:rsidRPr="000744E3">
        <w:rPr>
          <w:rFonts w:eastAsia="Calibri" w:cs="Calibri"/>
        </w:rPr>
        <w:t>o</w:t>
      </w:r>
      <w:r w:rsidR="008E27DA" w:rsidRPr="000744E3">
        <w:rPr>
          <w:rFonts w:eastAsia="Calibri" w:cs="Calibri"/>
        </w:rPr>
        <w:t>ff</w:t>
      </w:r>
      <w:r w:rsidR="0034629C" w:rsidRPr="000744E3">
        <w:rPr>
          <w:rFonts w:eastAsia="Calibri" w:cs="Calibri"/>
        </w:rPr>
        <w:t>-</w:t>
      </w:r>
      <w:r w:rsidR="008E27DA" w:rsidRPr="000744E3">
        <w:rPr>
          <w:rFonts w:eastAsia="Calibri" w:cs="Calibri"/>
        </w:rPr>
        <w:t xml:space="preserve">venue </w:t>
      </w:r>
      <w:r w:rsidR="00C97A5B" w:rsidRPr="000744E3">
        <w:rPr>
          <w:rFonts w:eastAsia="Calibri" w:cs="Calibri"/>
        </w:rPr>
        <w:t>t</w:t>
      </w:r>
      <w:r w:rsidR="002F4BBA" w:rsidRPr="000744E3">
        <w:rPr>
          <w:rFonts w:eastAsia="Calibri" w:cs="Calibri"/>
        </w:rPr>
        <w:t>rade</w:t>
      </w:r>
      <w:r w:rsidR="008E27DA" w:rsidRPr="000744E3">
        <w:rPr>
          <w:rFonts w:eastAsia="Calibri" w:cs="Calibri"/>
        </w:rPr>
        <w:t>s at the closing price, with the introduction of a “CLSE” flag similar to the one introduced in the UK</w:t>
      </w:r>
      <w:r w:rsidR="0034629C" w:rsidRPr="000744E3">
        <w:rPr>
          <w:rFonts w:eastAsia="Calibri" w:cs="Calibri"/>
        </w:rPr>
        <w:t>.</w:t>
      </w:r>
    </w:p>
    <w:p w14:paraId="713B1893" w14:textId="5BBF1A62" w:rsidR="002F4BBA" w:rsidRPr="000744E3" w:rsidRDefault="002F4BBA" w:rsidP="003A4DB5">
      <w:pPr>
        <w:pStyle w:val="ListParagraph"/>
        <w:numPr>
          <w:ilvl w:val="0"/>
          <w:numId w:val="7"/>
        </w:numPr>
        <w:rPr>
          <w:sz w:val="24"/>
          <w:szCs w:val="22"/>
        </w:rPr>
      </w:pPr>
      <w:r w:rsidRPr="000744E3">
        <w:rPr>
          <w:rFonts w:eastAsia="Calibri" w:cs="Calibri"/>
          <w:szCs w:val="22"/>
        </w:rPr>
        <w:t>Activity intraday</w:t>
      </w:r>
      <w:r w:rsidR="00B370B7" w:rsidRPr="000744E3">
        <w:rPr>
          <w:rFonts w:eastAsia="Calibri" w:cs="Calibri"/>
          <w:szCs w:val="22"/>
        </w:rPr>
        <w:t>:</w:t>
      </w:r>
    </w:p>
    <w:p w14:paraId="32A4D692" w14:textId="77777777" w:rsidR="008E27DA" w:rsidRPr="000744E3" w:rsidRDefault="00DA53AF" w:rsidP="003A4DB5">
      <w:pPr>
        <w:pStyle w:val="ListParagraph"/>
        <w:numPr>
          <w:ilvl w:val="1"/>
          <w:numId w:val="7"/>
        </w:numPr>
        <w:rPr>
          <w:sz w:val="24"/>
          <w:szCs w:val="22"/>
        </w:rPr>
      </w:pPr>
      <w:r w:rsidRPr="000744E3">
        <w:rPr>
          <w:rFonts w:eastAsia="Calibri" w:cs="Calibri"/>
          <w:szCs w:val="22"/>
        </w:rPr>
        <w:t xml:space="preserve">intraday scheduled auctions (open, lunch break, end-of-day pre-auction); </w:t>
      </w:r>
    </w:p>
    <w:p w14:paraId="42012823" w14:textId="77777777" w:rsidR="008E27DA" w:rsidRPr="000744E3" w:rsidRDefault="00DA53AF" w:rsidP="003A4DB5">
      <w:pPr>
        <w:pStyle w:val="ListParagraph"/>
        <w:numPr>
          <w:ilvl w:val="1"/>
          <w:numId w:val="7"/>
        </w:numPr>
        <w:rPr>
          <w:sz w:val="24"/>
          <w:szCs w:val="22"/>
        </w:rPr>
      </w:pPr>
      <w:r w:rsidRPr="000744E3">
        <w:rPr>
          <w:rFonts w:eastAsia="Calibri" w:cs="Calibri"/>
          <w:szCs w:val="22"/>
        </w:rPr>
        <w:t>volatility and interruption auctions; and</w:t>
      </w:r>
    </w:p>
    <w:p w14:paraId="187411D8" w14:textId="77777777" w:rsidR="008E27DA" w:rsidRPr="000744E3" w:rsidRDefault="00DA53AF" w:rsidP="003A4DB5">
      <w:pPr>
        <w:pStyle w:val="ListParagraph"/>
        <w:numPr>
          <w:ilvl w:val="1"/>
          <w:numId w:val="7"/>
        </w:numPr>
        <w:rPr>
          <w:sz w:val="24"/>
          <w:szCs w:val="22"/>
        </w:rPr>
      </w:pPr>
      <w:r w:rsidRPr="000744E3">
        <w:rPr>
          <w:rFonts w:eastAsia="Calibri" w:cs="Calibri"/>
          <w:szCs w:val="22"/>
        </w:rPr>
        <w:t xml:space="preserve">frequent batch auctions (continuous-by-design intraday auctions). </w:t>
      </w:r>
    </w:p>
    <w:p w14:paraId="41F340F7" w14:textId="5FBFF839" w:rsidR="005B22F0" w:rsidRPr="000744E3" w:rsidRDefault="005B22F0" w:rsidP="005B22F0">
      <w:pPr>
        <w:rPr>
          <w:rFonts w:eastAsia="Calibri" w:cs="Calibri"/>
        </w:rPr>
      </w:pPr>
      <w:r w:rsidRPr="000744E3" w:rsidDel="00FB21DA">
        <w:rPr>
          <w:rFonts w:eastAsia="Calibri" w:cs="Calibri"/>
        </w:rPr>
        <w:t>Although it does not seem like the proportion of the close has materially changed over the past three years, it may be due to the fact it is not possible to easily identify volumes executed at the closing price outside of trading venues.</w:t>
      </w:r>
    </w:p>
    <w:p w14:paraId="6C38D034" w14:textId="73A132EA" w:rsidR="00785AC1" w:rsidRPr="000744E3" w:rsidRDefault="00785AC1" w:rsidP="00785AC1">
      <w:r w:rsidRPr="000744E3">
        <w:t>&lt;ESMA_QUESTION_MSEM_11&gt;</w:t>
      </w:r>
    </w:p>
    <w:p w14:paraId="219AFD17" w14:textId="256765C5" w:rsidR="00785AC1" w:rsidRPr="000744E3" w:rsidRDefault="00785AC1" w:rsidP="00785AC1">
      <w:pPr>
        <w:spacing w:after="120" w:line="264" w:lineRule="auto"/>
        <w:jc w:val="left"/>
        <w:rPr>
          <w:b/>
        </w:rPr>
      </w:pPr>
    </w:p>
    <w:p w14:paraId="51EC15A6"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on the effects of alternative closing mechanisms offered by MTFs and SIs?</w:t>
      </w:r>
    </w:p>
    <w:p w14:paraId="69076748" w14:textId="77777777" w:rsidR="00785AC1" w:rsidRPr="000744E3" w:rsidRDefault="00785AC1" w:rsidP="00785AC1">
      <w:r w:rsidRPr="000744E3">
        <w:t>&lt;ESMA_QUESTION_MSEM_12&gt;</w:t>
      </w:r>
    </w:p>
    <w:p w14:paraId="21463C3D" w14:textId="77777777" w:rsidR="008A3292" w:rsidRPr="000744E3" w:rsidRDefault="00EF5109" w:rsidP="001E050E">
      <w:pPr>
        <w:rPr>
          <w:rFonts w:eastAsia="Calibri" w:cs="Calibri"/>
          <w:szCs w:val="22"/>
        </w:rPr>
      </w:pPr>
      <w:r w:rsidRPr="000744E3">
        <w:rPr>
          <w:rFonts w:eastAsia="Calibri" w:cs="Calibri"/>
          <w:szCs w:val="22"/>
        </w:rPr>
        <w:t>Aquis operates a Market at Close (MaC) facility on Aquis Exchange Europe. This is a multilateral transparent on-venue trading mechanism that allows execution at or in reference to the primary closing price. We approach this question with that operational perspective.</w:t>
      </w:r>
    </w:p>
    <w:p w14:paraId="05C0AC85" w14:textId="2EDEA0ED" w:rsidR="00B94AD7" w:rsidRPr="000744E3" w:rsidRDefault="00B94AD7" w:rsidP="001E050E">
      <w:pPr>
        <w:rPr>
          <w:rFonts w:eastAsia="Calibri" w:cs="Calibri"/>
          <w:szCs w:val="22"/>
        </w:rPr>
      </w:pPr>
      <w:r w:rsidRPr="000744E3">
        <w:rPr>
          <w:rFonts w:eastAsia="Calibri" w:cs="Calibri"/>
          <w:szCs w:val="22"/>
        </w:rPr>
        <w:t xml:space="preserve">First, </w:t>
      </w:r>
      <w:r w:rsidR="00394535" w:rsidRPr="000744E3">
        <w:rPr>
          <w:rFonts w:eastAsia="Calibri" w:cs="Calibri"/>
          <w:szCs w:val="22"/>
        </w:rPr>
        <w:t>i</w:t>
      </w:r>
      <w:r w:rsidRPr="000744E3">
        <w:rPr>
          <w:rFonts w:eastAsia="Calibri" w:cs="Calibri"/>
          <w:szCs w:val="22"/>
        </w:rPr>
        <w:t>t is important to distinguish two categories of alternative closing mechanisms:</w:t>
      </w:r>
    </w:p>
    <w:p w14:paraId="1E58E68D" w14:textId="3B51E20B" w:rsidR="00B94AD7" w:rsidRPr="000744E3" w:rsidRDefault="00BB7FF3" w:rsidP="001E050E">
      <w:pPr>
        <w:pStyle w:val="ListParagraph"/>
        <w:numPr>
          <w:ilvl w:val="0"/>
          <w:numId w:val="8"/>
        </w:numPr>
        <w:rPr>
          <w:rFonts w:eastAsia="Calibri" w:cs="Calibri"/>
        </w:rPr>
      </w:pPr>
      <w:r w:rsidRPr="000744E3">
        <w:rPr>
          <w:rFonts w:eastAsia="Calibri" w:cs="Calibri"/>
          <w:b/>
        </w:rPr>
        <w:t xml:space="preserve">Models designed to execute </w:t>
      </w:r>
      <w:r w:rsidR="00B94AD7" w:rsidRPr="000744E3">
        <w:rPr>
          <w:rFonts w:eastAsia="Calibri" w:cs="Calibri"/>
          <w:b/>
        </w:rPr>
        <w:t>at the closing price:</w:t>
      </w:r>
      <w:r w:rsidR="00B94AD7" w:rsidRPr="000744E3">
        <w:rPr>
          <w:rFonts w:eastAsia="Calibri" w:cs="Calibri"/>
        </w:rPr>
        <w:t xml:space="preserve"> </w:t>
      </w:r>
      <w:r w:rsidR="00341820" w:rsidRPr="000744E3">
        <w:rPr>
          <w:rFonts w:eastAsia="Calibri" w:cs="Calibri"/>
        </w:rPr>
        <w:t>m</w:t>
      </w:r>
      <w:r w:rsidR="00B94AD7" w:rsidRPr="000744E3">
        <w:rPr>
          <w:rFonts w:eastAsia="Calibri" w:cs="Calibri"/>
        </w:rPr>
        <w:t>echanisms that execute at or in reference to the official primary closing price (such as Aquis MaC, Trade-at-Last (TAL) facilities on major exchanges and MTFs, and SI-operated closing mechanisms). These provide alternative venues for executing volume that is going to be priced at the closing price regardless of where it is executed</w:t>
      </w:r>
      <w:r w:rsidR="00C72791" w:rsidRPr="000744E3">
        <w:rPr>
          <w:rFonts w:eastAsia="Calibri" w:cs="Calibri"/>
        </w:rPr>
        <w:t xml:space="preserve">. </w:t>
      </w:r>
      <w:r w:rsidR="00B94AD7" w:rsidRPr="000744E3">
        <w:rPr>
          <w:rFonts w:eastAsia="Calibri" w:cs="Calibri"/>
        </w:rPr>
        <w:t xml:space="preserve">They do not seek to form an independent closing price. </w:t>
      </w:r>
      <w:r w:rsidR="000B4CB4" w:rsidRPr="000744E3">
        <w:rPr>
          <w:rFonts w:eastAsia="Calibri" w:cs="Calibri"/>
        </w:rPr>
        <w:t>Such mechanisms deliver clear benefits to investors. Cost is the primary driver: primary closing auction fees are typically materially higher than the fees on alternative mechanisms, and for at-market orders that simply seek the closing price, the cost differential is a direct saving for the end investor.</w:t>
      </w:r>
    </w:p>
    <w:p w14:paraId="5EDBF129" w14:textId="6789543B" w:rsidR="00B94AD7" w:rsidRPr="000744E3" w:rsidRDefault="00BB7FF3" w:rsidP="001E050E">
      <w:pPr>
        <w:pStyle w:val="ListParagraph"/>
        <w:numPr>
          <w:ilvl w:val="0"/>
          <w:numId w:val="8"/>
        </w:numPr>
        <w:rPr>
          <w:rFonts w:eastAsia="Calibri" w:cs="Calibri"/>
        </w:rPr>
      </w:pPr>
      <w:r w:rsidRPr="000744E3">
        <w:rPr>
          <w:rFonts w:eastAsia="Calibri" w:cs="Calibri"/>
          <w:b/>
        </w:rPr>
        <w:t xml:space="preserve">Models that would form a </w:t>
      </w:r>
      <w:r w:rsidR="0004289B" w:rsidRPr="000744E3">
        <w:rPr>
          <w:rFonts w:eastAsia="Calibri" w:cs="Calibri"/>
          <w:b/>
        </w:rPr>
        <w:t>p</w:t>
      </w:r>
      <w:r w:rsidR="00B94AD7" w:rsidRPr="000744E3">
        <w:rPr>
          <w:rFonts w:eastAsia="Calibri" w:cs="Calibri"/>
          <w:b/>
        </w:rPr>
        <w:t xml:space="preserve">rice </w:t>
      </w:r>
      <w:r w:rsidR="00D02FF5" w:rsidRPr="000744E3">
        <w:rPr>
          <w:rFonts w:eastAsia="Calibri" w:cs="Calibri"/>
          <w:b/>
        </w:rPr>
        <w:t>to</w:t>
      </w:r>
      <w:r w:rsidRPr="000744E3">
        <w:rPr>
          <w:rFonts w:eastAsia="Calibri" w:cs="Calibri"/>
          <w:b/>
        </w:rPr>
        <w:t xml:space="preserve"> compete with </w:t>
      </w:r>
      <w:r w:rsidR="0004289B" w:rsidRPr="000744E3">
        <w:rPr>
          <w:rFonts w:eastAsia="Calibri" w:cs="Calibri"/>
          <w:b/>
        </w:rPr>
        <w:t xml:space="preserve">the </w:t>
      </w:r>
      <w:r w:rsidRPr="000744E3">
        <w:rPr>
          <w:rFonts w:eastAsia="Calibri" w:cs="Calibri"/>
          <w:b/>
        </w:rPr>
        <w:t xml:space="preserve">primary </w:t>
      </w:r>
      <w:r w:rsidR="00B94AD7" w:rsidRPr="000744E3">
        <w:rPr>
          <w:rFonts w:eastAsia="Calibri" w:cs="Calibri"/>
          <w:b/>
        </w:rPr>
        <w:t>closing auction</w:t>
      </w:r>
      <w:r w:rsidR="00B94AD7" w:rsidRPr="000744E3">
        <w:rPr>
          <w:rFonts w:eastAsia="Calibri" w:cs="Calibri"/>
        </w:rPr>
        <w:t xml:space="preserve">: </w:t>
      </w:r>
      <w:r w:rsidR="0004289B" w:rsidRPr="000744E3">
        <w:rPr>
          <w:rFonts w:eastAsia="Calibri" w:cs="Calibri"/>
        </w:rPr>
        <w:t>m</w:t>
      </w:r>
      <w:r w:rsidR="00B94AD7" w:rsidRPr="000744E3">
        <w:rPr>
          <w:rFonts w:eastAsia="Calibri" w:cs="Calibri"/>
        </w:rPr>
        <w:t>echanisms that determine their own closing price independently of the primary auction. These compete directly with primary closing auctions on</w:t>
      </w:r>
      <w:r w:rsidR="0004289B" w:rsidRPr="000744E3">
        <w:rPr>
          <w:rFonts w:eastAsia="Calibri" w:cs="Calibri"/>
        </w:rPr>
        <w:t xml:space="preserve"> both</w:t>
      </w:r>
      <w:r w:rsidR="00B94AD7" w:rsidRPr="000744E3">
        <w:rPr>
          <w:rFonts w:eastAsia="Calibri" w:cs="Calibri"/>
        </w:rPr>
        <w:t xml:space="preserve"> price formation and on fees. Although some venues propose such alternative price forming mechanisms, they do not seem to be used </w:t>
      </w:r>
      <w:r w:rsidR="00603C98" w:rsidRPr="000744E3">
        <w:rPr>
          <w:rFonts w:eastAsia="Calibri" w:cs="Calibri"/>
        </w:rPr>
        <w:t xml:space="preserve">extensively </w:t>
      </w:r>
      <w:r w:rsidR="00B94AD7" w:rsidRPr="000744E3">
        <w:rPr>
          <w:rFonts w:eastAsia="Calibri" w:cs="Calibri"/>
        </w:rPr>
        <w:t>by investors during the primary auction</w:t>
      </w:r>
      <w:r w:rsidR="00D02FF5" w:rsidRPr="000744E3">
        <w:rPr>
          <w:rFonts w:eastAsia="Calibri" w:cs="Calibri"/>
        </w:rPr>
        <w:t xml:space="preserve"> but rather after the closing price </w:t>
      </w:r>
      <w:r w:rsidR="003E7A70" w:rsidRPr="000744E3">
        <w:rPr>
          <w:rFonts w:eastAsia="Calibri" w:cs="Calibri"/>
        </w:rPr>
        <w:t xml:space="preserve">is </w:t>
      </w:r>
      <w:r w:rsidR="00D02FF5" w:rsidRPr="000744E3">
        <w:rPr>
          <w:rFonts w:eastAsia="Calibri" w:cs="Calibri"/>
        </w:rPr>
        <w:t>determined</w:t>
      </w:r>
      <w:r w:rsidR="00B94AD7" w:rsidRPr="000744E3">
        <w:rPr>
          <w:rFonts w:eastAsia="Calibri" w:cs="Calibri"/>
        </w:rPr>
        <w:t>, effectively currently behaving more like the mechanisms described in point (1). This is also evidence that investors do not support a fragmentation of the closing price determination.</w:t>
      </w:r>
    </w:p>
    <w:p w14:paraId="51D59F59" w14:textId="0EB0B1BA" w:rsidR="00730C51" w:rsidRPr="000744E3" w:rsidRDefault="00730C51" w:rsidP="001E050E">
      <w:pPr>
        <w:rPr>
          <w:rFonts w:eastAsia="Calibri" w:cs="Calibri"/>
        </w:rPr>
      </w:pPr>
      <w:r w:rsidRPr="000744E3">
        <w:rPr>
          <w:rFonts w:eastAsia="Calibri" w:cs="Calibri"/>
        </w:rPr>
        <w:t xml:space="preserve">We see no evidence of negative impact of price formation in the CLOB for both models as it stands. For models executing at the closing price, considering </w:t>
      </w:r>
      <w:r w:rsidR="006A613B" w:rsidRPr="000744E3">
        <w:rPr>
          <w:rFonts w:eastAsia="Calibri" w:cs="Calibri"/>
        </w:rPr>
        <w:t xml:space="preserve">they </w:t>
      </w:r>
      <w:r w:rsidR="00E511C3" w:rsidRPr="000744E3">
        <w:rPr>
          <w:rFonts w:eastAsia="Calibri" w:cs="Calibri"/>
        </w:rPr>
        <w:t xml:space="preserve">are only suitable for orders that seek the closing price without explicit intention to form the price, they have no impact on price formation. In the context of Aquis MaC, the matching process stops halfway through the primary auction, unmatched quantity </w:t>
      </w:r>
      <w:r w:rsidR="00CB4D04" w:rsidRPr="000744E3">
        <w:rPr>
          <w:rFonts w:eastAsia="Calibri" w:cs="Calibri"/>
        </w:rPr>
        <w:t xml:space="preserve">is </w:t>
      </w:r>
      <w:r w:rsidR="00E511C3" w:rsidRPr="000744E3">
        <w:rPr>
          <w:rFonts w:eastAsia="Calibri" w:cs="Calibri"/>
        </w:rPr>
        <w:t>sent back to members</w:t>
      </w:r>
      <w:r w:rsidR="00CB4D04" w:rsidRPr="000744E3">
        <w:rPr>
          <w:rFonts w:eastAsia="Calibri" w:cs="Calibri"/>
        </w:rPr>
        <w:t>, and members</w:t>
      </w:r>
      <w:r w:rsidR="00E511C3" w:rsidRPr="000744E3">
        <w:rPr>
          <w:rFonts w:eastAsia="Calibri" w:cs="Calibri"/>
        </w:rPr>
        <w:t xml:space="preserve"> can </w:t>
      </w:r>
      <w:r w:rsidR="00CB4D04" w:rsidRPr="000744E3">
        <w:rPr>
          <w:rFonts w:eastAsia="Calibri" w:cs="Calibri"/>
        </w:rPr>
        <w:t xml:space="preserve">then </w:t>
      </w:r>
      <w:r w:rsidR="00E511C3" w:rsidRPr="000744E3">
        <w:rPr>
          <w:rFonts w:eastAsia="Calibri" w:cs="Calibri"/>
        </w:rPr>
        <w:t>choose to send their imbalance back to the primary</w:t>
      </w:r>
      <w:r w:rsidR="00CB4D04" w:rsidRPr="000744E3">
        <w:rPr>
          <w:rFonts w:eastAsia="Calibri" w:cs="Calibri"/>
        </w:rPr>
        <w:t xml:space="preserve"> well</w:t>
      </w:r>
      <w:r w:rsidR="00E511C3" w:rsidRPr="000744E3">
        <w:rPr>
          <w:rFonts w:eastAsia="Calibri" w:cs="Calibri"/>
        </w:rPr>
        <w:t xml:space="preserve"> ahead of the uncross (2 min 30 seconds in most cases). </w:t>
      </w:r>
      <w:r w:rsidR="008532A4" w:rsidRPr="000744E3">
        <w:rPr>
          <w:rFonts w:eastAsia="Calibri" w:cs="Calibri"/>
        </w:rPr>
        <w:t>Our observation of price formation in the closing auction shows</w:t>
      </w:r>
      <w:r w:rsidR="00E511C3" w:rsidRPr="000744E3">
        <w:rPr>
          <w:rFonts w:eastAsia="Calibri" w:cs="Calibri"/>
        </w:rPr>
        <w:t xml:space="preserve"> no material difference between </w:t>
      </w:r>
      <w:r w:rsidR="00E15321" w:rsidRPr="000744E3">
        <w:rPr>
          <w:rFonts w:eastAsia="Calibri" w:cs="Calibri"/>
        </w:rPr>
        <w:t xml:space="preserve">the period where MaC was not in operation and since it went live in 2019. </w:t>
      </w:r>
      <w:r w:rsidR="00545874" w:rsidRPr="000744E3">
        <w:rPr>
          <w:rFonts w:eastAsia="Calibri" w:cs="Calibri"/>
        </w:rPr>
        <w:t>When we send back unmatched orders to our members, we ca</w:t>
      </w:r>
      <w:r w:rsidR="00AB40C8" w:rsidRPr="000744E3">
        <w:rPr>
          <w:rFonts w:eastAsia="Calibri" w:cs="Calibri"/>
        </w:rPr>
        <w:t>n</w:t>
      </w:r>
      <w:r w:rsidR="00545874" w:rsidRPr="000744E3">
        <w:rPr>
          <w:rFonts w:eastAsia="Calibri" w:cs="Calibri"/>
        </w:rPr>
        <w:t xml:space="preserve"> see that 99% of this flow is sent back to the Primary Closing session w</w:t>
      </w:r>
      <w:r w:rsidR="00036DE8" w:rsidRPr="000744E3">
        <w:rPr>
          <w:rFonts w:eastAsia="Calibri" w:cs="Calibri"/>
        </w:rPr>
        <w:t xml:space="preserve">ithin 5 seconds, </w:t>
      </w:r>
      <w:r w:rsidR="00306DEE" w:rsidRPr="000744E3">
        <w:rPr>
          <w:rFonts w:eastAsia="Calibri" w:cs="Calibri"/>
        </w:rPr>
        <w:t>far</w:t>
      </w:r>
      <w:r w:rsidR="00E62BB6" w:rsidRPr="000744E3">
        <w:rPr>
          <w:rFonts w:eastAsia="Calibri" w:cs="Calibri"/>
        </w:rPr>
        <w:t xml:space="preserve"> ahead of the actual uncross.</w:t>
      </w:r>
    </w:p>
    <w:p w14:paraId="3A572969" w14:textId="19C7AC3F" w:rsidR="005B1624" w:rsidRPr="000744E3" w:rsidRDefault="0038050A" w:rsidP="001E050E">
      <w:pPr>
        <w:rPr>
          <w:rFonts w:eastAsia="Calibri" w:cs="Calibri"/>
        </w:rPr>
      </w:pPr>
      <w:r w:rsidRPr="000744E3">
        <w:rPr>
          <w:rFonts w:eastAsia="Calibri" w:cs="Calibri"/>
        </w:rPr>
        <w:t>T</w:t>
      </w:r>
      <w:r w:rsidR="005B1624" w:rsidRPr="000744E3">
        <w:rPr>
          <w:rFonts w:eastAsia="Calibri" w:cs="Calibri"/>
        </w:rPr>
        <w:t>he difficulty of measuring the share of execution at</w:t>
      </w:r>
      <w:r w:rsidR="007C72C4" w:rsidRPr="000744E3">
        <w:rPr>
          <w:rFonts w:eastAsia="Calibri" w:cs="Calibri"/>
        </w:rPr>
        <w:t>,</w:t>
      </w:r>
      <w:r w:rsidR="005B1624" w:rsidRPr="000744E3">
        <w:rPr>
          <w:rFonts w:eastAsia="Calibri" w:cs="Calibri"/>
        </w:rPr>
        <w:t xml:space="preserve"> or referenced to</w:t>
      </w:r>
      <w:r w:rsidR="001669FC" w:rsidRPr="000744E3">
        <w:rPr>
          <w:rFonts w:eastAsia="Calibri" w:cs="Calibri"/>
        </w:rPr>
        <w:t>,</w:t>
      </w:r>
      <w:r w:rsidR="005B1624" w:rsidRPr="000744E3">
        <w:rPr>
          <w:rFonts w:eastAsia="Calibri" w:cs="Calibri"/>
        </w:rPr>
        <w:t xml:space="preserve"> the closing price reflects the absence of an EU-level closing flag (CLSE). The UK has introduced a CLSE flag covering off-venue activity at the close; this provides regulators and market participants with a clearer view of activity in this segment. We strongly support introducing equivalent flagging in EU RTS 1 and RTS 22, applied uniformly across trading venues, SIs</w:t>
      </w:r>
      <w:r w:rsidR="006804B5" w:rsidRPr="000744E3">
        <w:rPr>
          <w:rFonts w:eastAsia="Calibri" w:cs="Calibri"/>
        </w:rPr>
        <w:t xml:space="preserve">, </w:t>
      </w:r>
      <w:r w:rsidR="005B1624" w:rsidRPr="000744E3">
        <w:rPr>
          <w:rFonts w:eastAsia="Calibri" w:cs="Calibri"/>
        </w:rPr>
        <w:t xml:space="preserve">OBOE, </w:t>
      </w:r>
      <w:r w:rsidR="006804B5" w:rsidRPr="000744E3">
        <w:rPr>
          <w:rFonts w:eastAsia="Calibri" w:cs="Calibri"/>
        </w:rPr>
        <w:t xml:space="preserve">and OTC </w:t>
      </w:r>
      <w:r w:rsidR="005B1624" w:rsidRPr="000744E3">
        <w:rPr>
          <w:rFonts w:eastAsia="Calibri" w:cs="Calibri"/>
        </w:rPr>
        <w:t>so that the size and evolution of close-referenced trading can be measured properly. Without this, any discussion of 'alternative closing mechanisms' is operating with incomplete data.</w:t>
      </w:r>
    </w:p>
    <w:p w14:paraId="77D1D3EB" w14:textId="0621BD2C" w:rsidR="00FD6F58" w:rsidRPr="000744E3" w:rsidRDefault="00FD6F58" w:rsidP="001E050E">
      <w:pPr>
        <w:rPr>
          <w:rFonts w:eastAsia="Calibri" w:cs="Calibri"/>
        </w:rPr>
      </w:pPr>
      <w:r w:rsidRPr="000744E3">
        <w:rPr>
          <w:rFonts w:eastAsia="Calibri" w:cs="Calibri"/>
        </w:rPr>
        <w:t xml:space="preserve">This is important as currently investors can only easily identify volumes executed on the primary and </w:t>
      </w:r>
      <w:r w:rsidR="00F11111" w:rsidRPr="000744E3">
        <w:rPr>
          <w:rFonts w:eastAsia="Calibri" w:cs="Calibri"/>
        </w:rPr>
        <w:t xml:space="preserve">to an extent MTFs. </w:t>
      </w:r>
      <w:r w:rsidR="000348ED" w:rsidRPr="000744E3">
        <w:rPr>
          <w:rFonts w:eastAsia="Calibri" w:cs="Calibri"/>
        </w:rPr>
        <w:t>I</w:t>
      </w:r>
      <w:r w:rsidR="00F11111" w:rsidRPr="000744E3">
        <w:rPr>
          <w:rFonts w:eastAsia="Calibri" w:cs="Calibri"/>
        </w:rPr>
        <w:t xml:space="preserve">t is </w:t>
      </w:r>
      <w:r w:rsidR="000348ED" w:rsidRPr="000744E3">
        <w:rPr>
          <w:rFonts w:eastAsia="Calibri" w:cs="Calibri"/>
        </w:rPr>
        <w:t xml:space="preserve">therefore </w:t>
      </w:r>
      <w:r w:rsidR="00F11111" w:rsidRPr="000744E3">
        <w:rPr>
          <w:rFonts w:eastAsia="Calibri" w:cs="Calibri"/>
        </w:rPr>
        <w:t xml:space="preserve">likely investors </w:t>
      </w:r>
      <w:r w:rsidR="000348ED" w:rsidRPr="000744E3">
        <w:rPr>
          <w:rFonts w:eastAsia="Calibri" w:cs="Calibri"/>
        </w:rPr>
        <w:t xml:space="preserve">do </w:t>
      </w:r>
      <w:r w:rsidR="00F11111" w:rsidRPr="000744E3">
        <w:rPr>
          <w:rFonts w:eastAsia="Calibri" w:cs="Calibri"/>
        </w:rPr>
        <w:t xml:space="preserve">not participate as much as they could </w:t>
      </w:r>
      <w:r w:rsidR="000348ED" w:rsidRPr="000744E3">
        <w:rPr>
          <w:rFonts w:eastAsia="Calibri" w:cs="Calibri"/>
        </w:rPr>
        <w:t>in the closing auction, as the estimates for the total volume executed at the closing price is likely underestimated. This likely contribute</w:t>
      </w:r>
      <w:r w:rsidR="00AA579F" w:rsidRPr="000744E3">
        <w:rPr>
          <w:rFonts w:eastAsia="Calibri" w:cs="Calibri"/>
        </w:rPr>
        <w:t>s</w:t>
      </w:r>
      <w:r w:rsidR="000348ED" w:rsidRPr="000744E3">
        <w:rPr>
          <w:rFonts w:eastAsia="Calibri" w:cs="Calibri"/>
        </w:rPr>
        <w:t xml:space="preserve"> to less investment directed to </w:t>
      </w:r>
      <w:r w:rsidRPr="000744E3">
        <w:rPr>
          <w:rFonts w:eastAsia="Calibri" w:cs="Calibri"/>
        </w:rPr>
        <w:t xml:space="preserve">the region. </w:t>
      </w:r>
    </w:p>
    <w:p w14:paraId="3D0F7036" w14:textId="77777777" w:rsidR="00785AC1" w:rsidRPr="000744E3" w:rsidRDefault="00785AC1" w:rsidP="00785AC1">
      <w:r w:rsidRPr="000744E3">
        <w:t>&lt;ESMA_QUESTION_MSEM_12&gt;</w:t>
      </w:r>
    </w:p>
    <w:p w14:paraId="1450AC2D" w14:textId="77777777" w:rsidR="00785AC1" w:rsidRPr="000744E3" w:rsidRDefault="00785AC1" w:rsidP="00785AC1"/>
    <w:p w14:paraId="75E9E4AE"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will be in your view the effects of 24h/ extended trading ours on closing auctions?</w:t>
      </w:r>
    </w:p>
    <w:p w14:paraId="28F6D91B" w14:textId="77777777" w:rsidR="00785AC1" w:rsidRPr="000744E3" w:rsidRDefault="00785AC1" w:rsidP="00785AC1">
      <w:r w:rsidRPr="000744E3">
        <w:t>&lt;ESMA_QUESTION_MSEM_13&gt;</w:t>
      </w:r>
    </w:p>
    <w:p w14:paraId="5F05B4BD" w14:textId="52CFD7C5" w:rsidR="000114F5" w:rsidRPr="000744E3" w:rsidRDefault="002B1A97" w:rsidP="001E050E">
      <w:pPr>
        <w:rPr>
          <w:rFonts w:eastAsia="Calibri" w:cs="Calibri"/>
          <w:szCs w:val="22"/>
        </w:rPr>
      </w:pPr>
      <w:r w:rsidRPr="000744E3">
        <w:rPr>
          <w:rFonts w:eastAsia="Calibri" w:cs="Calibri"/>
          <w:szCs w:val="22"/>
        </w:rPr>
        <w:t>Whatever the length of the European continuous trading sessions, a daily reference price remains essential for portfolio valuation, index calculation, ETF NAV computation, benchmark execution, performance measurement, and regulatory reporting. We do not believe that the introduction of 24-hour or extended trading hours would remove the need for a closing auction</w:t>
      </w:r>
      <w:r w:rsidR="000114F5" w:rsidRPr="000744E3">
        <w:rPr>
          <w:rFonts w:eastAsia="Calibri" w:cs="Calibri"/>
          <w:szCs w:val="22"/>
        </w:rPr>
        <w:t>. O</w:t>
      </w:r>
      <w:r w:rsidRPr="000744E3">
        <w:rPr>
          <w:rFonts w:eastAsia="Calibri" w:cs="Calibri"/>
          <w:szCs w:val="22"/>
        </w:rPr>
        <w:t xml:space="preserve">bservable practice in markets that have moved to extended hours </w:t>
      </w:r>
      <w:r w:rsidR="000114F5" w:rsidRPr="000744E3">
        <w:rPr>
          <w:rFonts w:eastAsia="Calibri" w:cs="Calibri"/>
          <w:szCs w:val="22"/>
        </w:rPr>
        <w:t xml:space="preserve">such as the Borsa Italiana TAH (trading After Hours) </w:t>
      </w:r>
      <w:r w:rsidRPr="000744E3">
        <w:rPr>
          <w:rFonts w:eastAsia="Calibri" w:cs="Calibri"/>
          <w:szCs w:val="22"/>
        </w:rPr>
        <w:t>suggests that the daily closing auction is being retained as a price-formation focal point. We see no immediate reason for European markets to take a different path</w:t>
      </w:r>
      <w:r w:rsidR="000114F5" w:rsidRPr="000744E3">
        <w:rPr>
          <w:rFonts w:eastAsia="Calibri" w:cs="Calibri"/>
          <w:szCs w:val="22"/>
        </w:rPr>
        <w:t xml:space="preserve"> in the future</w:t>
      </w:r>
      <w:r w:rsidRPr="000744E3">
        <w:rPr>
          <w:rFonts w:eastAsia="Calibri" w:cs="Calibri"/>
          <w:szCs w:val="22"/>
        </w:rPr>
        <w:t>.</w:t>
      </w:r>
    </w:p>
    <w:p w14:paraId="26AD2CC1" w14:textId="30D416E9" w:rsidR="003F473C" w:rsidRPr="000744E3" w:rsidRDefault="003F473C" w:rsidP="001E050E">
      <w:pPr>
        <w:rPr>
          <w:rFonts w:eastAsia="Calibri" w:cs="Calibri"/>
        </w:rPr>
      </w:pPr>
      <w:r w:rsidRPr="000744E3">
        <w:rPr>
          <w:rFonts w:eastAsia="Calibri" w:cs="Calibri"/>
        </w:rPr>
        <w:t xml:space="preserve">Extending trading hours may provide more overlap with the US and could lead to more flow coming to European </w:t>
      </w:r>
      <w:r w:rsidR="00A90CB8" w:rsidRPr="000744E3">
        <w:rPr>
          <w:rFonts w:eastAsia="Calibri" w:cs="Calibri"/>
        </w:rPr>
        <w:t>m</w:t>
      </w:r>
      <w:r w:rsidRPr="000744E3">
        <w:rPr>
          <w:rFonts w:eastAsia="Calibri" w:cs="Calibri"/>
        </w:rPr>
        <w:t>arkets</w:t>
      </w:r>
      <w:r w:rsidR="00163975" w:rsidRPr="000744E3">
        <w:rPr>
          <w:rFonts w:eastAsia="Calibri" w:cs="Calibri"/>
        </w:rPr>
        <w:t xml:space="preserve">. Extended hours </w:t>
      </w:r>
      <w:r w:rsidRPr="000744E3">
        <w:rPr>
          <w:rFonts w:eastAsia="Calibri" w:cs="Calibri"/>
        </w:rPr>
        <w:t xml:space="preserve">would create some operational issues for market participants and market infrastructure, potentially shifting business hours to a </w:t>
      </w:r>
      <w:r w:rsidR="003E692C" w:rsidRPr="000744E3">
        <w:rPr>
          <w:rFonts w:eastAsia="Calibri" w:cs="Calibri"/>
        </w:rPr>
        <w:t>3*8 hours operation</w:t>
      </w:r>
      <w:r w:rsidR="00163975" w:rsidRPr="000744E3">
        <w:rPr>
          <w:rFonts w:eastAsia="Calibri" w:cs="Calibri"/>
        </w:rPr>
        <w:t xml:space="preserve"> </w:t>
      </w:r>
      <w:r w:rsidR="003E692C" w:rsidRPr="000744E3">
        <w:rPr>
          <w:rFonts w:eastAsia="Calibri" w:cs="Calibri"/>
        </w:rPr>
        <w:t xml:space="preserve">to manage order flow and ensure proper oversight as per existing regulatory requirements. </w:t>
      </w:r>
      <w:r w:rsidR="09E6D9BD" w:rsidRPr="000744E3">
        <w:rPr>
          <w:rFonts w:eastAsia="Calibri" w:cs="Calibri"/>
        </w:rPr>
        <w:t xml:space="preserve">Currently, the pool of </w:t>
      </w:r>
      <w:r w:rsidR="0040538D" w:rsidRPr="000744E3">
        <w:rPr>
          <w:rFonts w:eastAsia="Calibri" w:cs="Calibri"/>
        </w:rPr>
        <w:t xml:space="preserve">trading venues open outside of normal trading hours </w:t>
      </w:r>
      <w:r w:rsidR="36F5B863" w:rsidRPr="000744E3">
        <w:rPr>
          <w:rFonts w:eastAsia="Calibri" w:cs="Calibri"/>
        </w:rPr>
        <w:t>is not sufficient</w:t>
      </w:r>
      <w:r w:rsidR="0040538D" w:rsidRPr="000744E3">
        <w:rPr>
          <w:rFonts w:eastAsia="Calibri" w:cs="Calibri"/>
        </w:rPr>
        <w:t xml:space="preserve"> to assess whether or not a move to 24*7 or 23*5 would </w:t>
      </w:r>
      <w:r w:rsidR="004330C8" w:rsidRPr="000744E3">
        <w:rPr>
          <w:rFonts w:eastAsia="Calibri" w:cs="Calibri"/>
        </w:rPr>
        <w:t>generate</w:t>
      </w:r>
      <w:r w:rsidR="0040538D" w:rsidRPr="000744E3">
        <w:rPr>
          <w:rFonts w:eastAsia="Calibri" w:cs="Calibri"/>
        </w:rPr>
        <w:t xml:space="preserve"> enough additional volumes to warrant the same operational model </w:t>
      </w:r>
      <w:r w:rsidR="00BB5D98" w:rsidRPr="000744E3">
        <w:rPr>
          <w:rFonts w:eastAsia="Calibri" w:cs="Calibri"/>
        </w:rPr>
        <w:t>as</w:t>
      </w:r>
      <w:r w:rsidR="0040538D" w:rsidRPr="000744E3">
        <w:rPr>
          <w:rFonts w:eastAsia="Calibri" w:cs="Calibri"/>
        </w:rPr>
        <w:t xml:space="preserve"> during normal trading hours. </w:t>
      </w:r>
    </w:p>
    <w:p w14:paraId="299FB770" w14:textId="25F25F95" w:rsidR="003F473C" w:rsidRPr="000744E3" w:rsidRDefault="003F473C" w:rsidP="001E050E">
      <w:pPr>
        <w:rPr>
          <w:rFonts w:eastAsia="Calibri" w:cs="Calibri"/>
        </w:rPr>
      </w:pPr>
      <w:r w:rsidRPr="000744E3">
        <w:rPr>
          <w:rFonts w:eastAsia="Calibri" w:cs="Calibri"/>
        </w:rPr>
        <w:t xml:space="preserve">24h/extended trading </w:t>
      </w:r>
      <w:r w:rsidR="7E1588AF" w:rsidRPr="000744E3">
        <w:rPr>
          <w:rFonts w:eastAsia="Calibri" w:cs="Calibri"/>
        </w:rPr>
        <w:t>would</w:t>
      </w:r>
      <w:r w:rsidRPr="000744E3">
        <w:rPr>
          <w:rFonts w:eastAsia="Calibri" w:cs="Calibri"/>
        </w:rPr>
        <w:t xml:space="preserve"> require a clear regulatory framework for identifying which trading session a transaction belongs to. The current </w:t>
      </w:r>
      <w:proofErr w:type="spellStart"/>
      <w:r w:rsidRPr="000744E3">
        <w:rPr>
          <w:rFonts w:eastAsia="Calibri" w:cs="Calibri"/>
        </w:rPr>
        <w:t>MiFIR</w:t>
      </w:r>
      <w:proofErr w:type="spellEnd"/>
      <w:r w:rsidRPr="000744E3">
        <w:rPr>
          <w:rFonts w:eastAsia="Calibri" w:cs="Calibri"/>
        </w:rPr>
        <w:t xml:space="preserve"> framework references 'normal trading hours' without defining the data flagging that would allow ESMA or market participants to identify and analyse trading by session. This </w:t>
      </w:r>
      <w:r w:rsidR="0040538D" w:rsidRPr="000744E3">
        <w:rPr>
          <w:rFonts w:eastAsia="Calibri" w:cs="Calibri"/>
        </w:rPr>
        <w:t>could become</w:t>
      </w:r>
      <w:r w:rsidRPr="000744E3">
        <w:rPr>
          <w:rFonts w:eastAsia="Calibri" w:cs="Calibri"/>
        </w:rPr>
        <w:t xml:space="preserve"> increasingly problematic. We already have European venues operating extended-hours sessions (notably Euronext and Xetra) without clear flagging, making it </w:t>
      </w:r>
      <w:r w:rsidR="0040538D" w:rsidRPr="000744E3">
        <w:rPr>
          <w:rFonts w:eastAsia="Calibri" w:cs="Calibri"/>
        </w:rPr>
        <w:t>difficult</w:t>
      </w:r>
      <w:r w:rsidRPr="000744E3">
        <w:rPr>
          <w:rFonts w:eastAsia="Calibri" w:cs="Calibri"/>
        </w:rPr>
        <w:t xml:space="preserve"> to measure the share of activity in these sessions or to assess their impact on price formation. We strongly recommend that any move towards extended or 24-hour trading </w:t>
      </w:r>
      <w:r w:rsidR="0484D553" w:rsidRPr="000744E3">
        <w:rPr>
          <w:rFonts w:eastAsia="Calibri" w:cs="Calibri"/>
        </w:rPr>
        <w:t>must</w:t>
      </w:r>
      <w:r w:rsidRPr="000744E3">
        <w:rPr>
          <w:rFonts w:eastAsia="Calibri" w:cs="Calibri"/>
        </w:rPr>
        <w:t xml:space="preserve"> be accompanied by a flagging framework distinguishing (i) open auction, (ii) intraday continuous trading, (iii) closing auction, (iv) trade-at-close / extended-close-referenced trading, and (v) out-of-hours trading. This </w:t>
      </w:r>
      <w:r w:rsidR="0040538D" w:rsidRPr="000744E3">
        <w:rPr>
          <w:rFonts w:eastAsia="Calibri" w:cs="Calibri"/>
        </w:rPr>
        <w:t xml:space="preserve">should </w:t>
      </w:r>
      <w:r w:rsidRPr="000744E3">
        <w:rPr>
          <w:rFonts w:eastAsia="Calibri" w:cs="Calibri"/>
        </w:rPr>
        <w:t>appl</w:t>
      </w:r>
      <w:r w:rsidR="0040538D" w:rsidRPr="000744E3">
        <w:rPr>
          <w:rFonts w:eastAsia="Calibri" w:cs="Calibri"/>
        </w:rPr>
        <w:t xml:space="preserve">y to both </w:t>
      </w:r>
      <w:r w:rsidRPr="000744E3">
        <w:rPr>
          <w:rFonts w:eastAsia="Calibri" w:cs="Calibri"/>
        </w:rPr>
        <w:t>RTS 1 (post-trade transparency) and RTS 22 (transaction reporting) and should cover both on-venue and off-venue activity</w:t>
      </w:r>
      <w:r w:rsidR="0040538D" w:rsidRPr="000744E3">
        <w:rPr>
          <w:rFonts w:eastAsia="Calibri" w:cs="Calibri"/>
        </w:rPr>
        <w:t xml:space="preserve">. </w:t>
      </w:r>
    </w:p>
    <w:p w14:paraId="767905E0" w14:textId="77777777" w:rsidR="00C047CA" w:rsidRPr="000744E3" w:rsidRDefault="00C047CA" w:rsidP="00C047CA">
      <w:r w:rsidRPr="000744E3">
        <w:rPr>
          <w:rFonts w:ascii="Aptos" w:eastAsia="Aptos" w:hAnsi="Aptos" w:cs="Aptos"/>
          <w:szCs w:val="22"/>
        </w:rPr>
        <w:t>We would expect liquidity outside core trading hours to remain materially lower than during the main trading session, meaning that market quality metrics during extended hours should be assessed separately from those observed during regular trading hours.</w:t>
      </w:r>
    </w:p>
    <w:p w14:paraId="33D7884C" w14:textId="4CC00F1E" w:rsidR="006B5E3E" w:rsidRPr="000744E3" w:rsidRDefault="006B5E3E" w:rsidP="001E050E">
      <w:pPr>
        <w:rPr>
          <w:rFonts w:eastAsia="Calibri" w:cs="Calibri"/>
        </w:rPr>
      </w:pPr>
      <w:r w:rsidRPr="000744E3">
        <w:rPr>
          <w:rFonts w:eastAsia="Calibri" w:cs="Calibri"/>
        </w:rPr>
        <w:t xml:space="preserve">Beyond the price formation question, extended trading hours raise broader operational and retail-investor considerations. Extended hours typically attract retail participants and may produce more volatile pricing during overnight sessions due to thinner liquidity. </w:t>
      </w:r>
      <w:r w:rsidR="002764C8" w:rsidRPr="000744E3">
        <w:rPr>
          <w:rFonts w:eastAsia="Calibri" w:cs="Calibri"/>
        </w:rPr>
        <w:t>Particular attention should be given to trading in such thin liquidity conditions and model</w:t>
      </w:r>
      <w:r w:rsidR="003A5895" w:rsidRPr="000744E3">
        <w:rPr>
          <w:rFonts w:eastAsia="Calibri" w:cs="Calibri"/>
        </w:rPr>
        <w:t xml:space="preserve">s: a </w:t>
      </w:r>
      <w:r w:rsidR="002764C8" w:rsidRPr="000744E3" w:rsidDel="003A5895">
        <w:rPr>
          <w:rFonts w:eastAsia="Calibri" w:cs="Calibri"/>
        </w:rPr>
        <w:t>move</w:t>
      </w:r>
      <w:r w:rsidR="002764C8" w:rsidRPr="000744E3">
        <w:rPr>
          <w:rFonts w:eastAsia="Calibri" w:cs="Calibri"/>
        </w:rPr>
        <w:t xml:space="preserve"> to a 24*7 operation</w:t>
      </w:r>
      <w:r w:rsidR="001D15E2" w:rsidRPr="000744E3">
        <w:rPr>
          <w:rFonts w:eastAsia="Calibri" w:cs="Calibri"/>
        </w:rPr>
        <w:t>s</w:t>
      </w:r>
      <w:r w:rsidR="002764C8" w:rsidRPr="000744E3">
        <w:rPr>
          <w:rFonts w:eastAsia="Calibri" w:cs="Calibri"/>
        </w:rPr>
        <w:t xml:space="preserve"> should implement safeg</w:t>
      </w:r>
      <w:r w:rsidR="00C047CA" w:rsidRPr="000744E3">
        <w:rPr>
          <w:rFonts w:eastAsia="Calibri" w:cs="Calibri"/>
        </w:rPr>
        <w:t>uard</w:t>
      </w:r>
      <w:r w:rsidR="003A5895" w:rsidRPr="000744E3">
        <w:rPr>
          <w:rFonts w:eastAsia="Calibri" w:cs="Calibri"/>
        </w:rPr>
        <w:t>s</w:t>
      </w:r>
      <w:r w:rsidR="00C047CA" w:rsidRPr="000744E3">
        <w:rPr>
          <w:rFonts w:eastAsia="Calibri" w:cs="Calibri"/>
        </w:rPr>
        <w:t xml:space="preserve"> to avoid price distortion overnight. </w:t>
      </w:r>
      <w:r w:rsidRPr="000744E3">
        <w:rPr>
          <w:rFonts w:eastAsia="Calibri" w:cs="Calibri"/>
        </w:rPr>
        <w:t xml:space="preserve">The interaction between </w:t>
      </w:r>
      <w:r w:rsidR="00C047CA" w:rsidRPr="000744E3">
        <w:rPr>
          <w:rFonts w:eastAsia="Calibri" w:cs="Calibri"/>
        </w:rPr>
        <w:t xml:space="preserve">closing auction, </w:t>
      </w:r>
      <w:r w:rsidRPr="000744E3">
        <w:rPr>
          <w:rFonts w:eastAsia="Calibri" w:cs="Calibri"/>
        </w:rPr>
        <w:t xml:space="preserve">extended hours and the </w:t>
      </w:r>
      <w:r w:rsidR="00C047CA" w:rsidRPr="000744E3">
        <w:rPr>
          <w:rFonts w:eastAsia="Calibri" w:cs="Calibri"/>
        </w:rPr>
        <w:t xml:space="preserve">next day opening </w:t>
      </w:r>
      <w:r w:rsidRPr="000744E3">
        <w:rPr>
          <w:rFonts w:eastAsia="Calibri" w:cs="Calibri"/>
        </w:rPr>
        <w:t>auction is a design question that should be resolved through industry consultation before any regulatory change.</w:t>
      </w:r>
    </w:p>
    <w:p w14:paraId="3C167FFC" w14:textId="77777777" w:rsidR="00785AC1" w:rsidRPr="000744E3" w:rsidRDefault="00785AC1" w:rsidP="00785AC1">
      <w:r w:rsidRPr="000744E3">
        <w:t>&lt;ESMA_QUESTION_MSEM_13&gt;</w:t>
      </w:r>
    </w:p>
    <w:p w14:paraId="4638B9F1" w14:textId="77777777" w:rsidR="00785AC1" w:rsidRPr="000744E3" w:rsidRDefault="00785AC1" w:rsidP="00785AC1"/>
    <w:p w14:paraId="094232C3" w14:textId="77777777" w:rsidR="00785AC1" w:rsidRPr="000744E3" w:rsidRDefault="00785AC1" w:rsidP="00785AC1">
      <w:pPr>
        <w:pStyle w:val="Questionstyle"/>
        <w:numPr>
          <w:ilvl w:val="0"/>
          <w:numId w:val="1"/>
        </w:numPr>
        <w:tabs>
          <w:tab w:val="clear" w:pos="567"/>
        </w:tabs>
        <w:spacing w:before="120" w:after="120"/>
        <w:ind w:left="851" w:hanging="709"/>
      </w:pPr>
      <w:r w:rsidRPr="000744E3">
        <w:t>Are there any structural shifts that you noticed, which you believe the competent authorities should monitor? Would you like to highlight any concerns/issues at this stage? Do you see a need for specific regulatory interventions (please provide details relating them possibly to the data and observations available)?</w:t>
      </w:r>
    </w:p>
    <w:p w14:paraId="4BA21F02" w14:textId="77777777" w:rsidR="00785AC1" w:rsidRPr="000744E3" w:rsidRDefault="00785AC1" w:rsidP="00785AC1">
      <w:r w:rsidRPr="000744E3">
        <w:t>&lt;ESMA_QUESTION_MSEM_14&gt;</w:t>
      </w:r>
    </w:p>
    <w:p w14:paraId="62298CF6" w14:textId="5B3F0AD8" w:rsidR="001E050E" w:rsidRPr="000744E3" w:rsidRDefault="003048B3" w:rsidP="001E050E">
      <w:r w:rsidRPr="000744E3">
        <w:t xml:space="preserve">We do not think there are </w:t>
      </w:r>
      <w:r w:rsidR="00F60D69" w:rsidRPr="000744E3">
        <w:t>metrics to monitor</w:t>
      </w:r>
      <w:r w:rsidR="00311E21" w:rsidRPr="000744E3">
        <w:t xml:space="preserve"> </w:t>
      </w:r>
      <w:r w:rsidR="009965E6" w:rsidRPr="000744E3">
        <w:t xml:space="preserve">further </w:t>
      </w:r>
      <w:r w:rsidR="00311E21" w:rsidRPr="000744E3">
        <w:t>to those highlighted by ESMA i</w:t>
      </w:r>
      <w:r w:rsidR="00AE2B92" w:rsidRPr="000744E3">
        <w:t>n this consultation</w:t>
      </w:r>
      <w:r w:rsidR="00CB3FB9" w:rsidRPr="000744E3">
        <w:t>,</w:t>
      </w:r>
      <w:r w:rsidR="004D4F5F" w:rsidRPr="000744E3">
        <w:t xml:space="preserve"> or any other structural shifts worth </w:t>
      </w:r>
      <w:r w:rsidR="00DE5C28" w:rsidRPr="000744E3">
        <w:t>mentioning</w:t>
      </w:r>
      <w:r w:rsidR="00AE2B92" w:rsidRPr="000744E3">
        <w:t xml:space="preserve">. </w:t>
      </w:r>
    </w:p>
    <w:p w14:paraId="341499B4" w14:textId="41AE0972" w:rsidR="001E050E" w:rsidRPr="000744E3" w:rsidRDefault="00DF5AC3" w:rsidP="001E050E">
      <w:r w:rsidRPr="000744E3">
        <w:t>Having said that and considering the growing importance of closing auctions for EU</w:t>
      </w:r>
      <w:r w:rsidR="00AE2B92" w:rsidRPr="000744E3">
        <w:t xml:space="preserve">, </w:t>
      </w:r>
      <w:r w:rsidR="00CB3FB9" w:rsidRPr="000744E3">
        <w:t xml:space="preserve">we believe that </w:t>
      </w:r>
      <w:r w:rsidR="008028A4" w:rsidRPr="000744E3">
        <w:t>competent authorities and ESM</w:t>
      </w:r>
      <w:r w:rsidR="001A6F5A" w:rsidRPr="000744E3">
        <w:t>A</w:t>
      </w:r>
      <w:r w:rsidR="008028A4" w:rsidRPr="000744E3">
        <w:t xml:space="preserve"> </w:t>
      </w:r>
      <w:r w:rsidR="00AE2B92" w:rsidRPr="000744E3">
        <w:t xml:space="preserve">should </w:t>
      </w:r>
      <w:r w:rsidR="00511867" w:rsidRPr="000744E3">
        <w:t xml:space="preserve">look at </w:t>
      </w:r>
      <w:r w:rsidR="001A6F5A" w:rsidRPr="000744E3">
        <w:t xml:space="preserve">the level of resilience in financial markets, both for intraday trading and </w:t>
      </w:r>
      <w:r w:rsidR="00511867" w:rsidRPr="000744E3">
        <w:t xml:space="preserve">for </w:t>
      </w:r>
      <w:r w:rsidR="001A6F5A" w:rsidRPr="000744E3">
        <w:t xml:space="preserve">the close. </w:t>
      </w:r>
      <w:r w:rsidR="00ED5DF7" w:rsidRPr="000744E3">
        <w:t xml:space="preserve">We believe there are a number of actions the regulators </w:t>
      </w:r>
      <w:r w:rsidR="002B7A75" w:rsidRPr="000744E3">
        <w:t>should</w:t>
      </w:r>
      <w:r w:rsidR="00EB0A9D" w:rsidRPr="000744E3">
        <w:t xml:space="preserve"> </w:t>
      </w:r>
      <w:r w:rsidR="00ED5DF7" w:rsidRPr="000744E3">
        <w:t>take to shift current market behaviour towards stronger operational resiliency</w:t>
      </w:r>
      <w:r w:rsidR="00FB4964" w:rsidRPr="000744E3">
        <w:t xml:space="preserve"> both for the close and </w:t>
      </w:r>
      <w:r w:rsidR="00CB3FB9" w:rsidRPr="000744E3">
        <w:t xml:space="preserve">in </w:t>
      </w:r>
      <w:r w:rsidR="00FB4964" w:rsidRPr="000744E3">
        <w:t>continuous trading</w:t>
      </w:r>
      <w:r w:rsidR="00511867" w:rsidRPr="000744E3">
        <w:t>:</w:t>
      </w:r>
    </w:p>
    <w:p w14:paraId="0D09C913" w14:textId="7F5D2BDD" w:rsidR="001E050E" w:rsidRPr="000744E3" w:rsidRDefault="00FB4964" w:rsidP="001E050E">
      <w:pPr>
        <w:pStyle w:val="ListParagraph"/>
        <w:numPr>
          <w:ilvl w:val="0"/>
          <w:numId w:val="11"/>
        </w:numPr>
      </w:pPr>
      <w:r w:rsidRPr="000744E3">
        <w:rPr>
          <w:b/>
          <w:bCs/>
        </w:rPr>
        <w:t>Intraday resilience:</w:t>
      </w:r>
      <w:r w:rsidRPr="000744E3">
        <w:t xml:space="preserve"> </w:t>
      </w:r>
      <w:r w:rsidR="00ED5DF7" w:rsidRPr="000744E3">
        <w:t xml:space="preserve">Currently when a primary market </w:t>
      </w:r>
      <w:r w:rsidR="00511867" w:rsidRPr="000744E3">
        <w:t xml:space="preserve">has </w:t>
      </w:r>
      <w:r w:rsidR="00ED5DF7" w:rsidRPr="000744E3">
        <w:t>technical issues, all trading tends to stop within a few second</w:t>
      </w:r>
      <w:r w:rsidR="00B83D5B" w:rsidRPr="000744E3">
        <w:t>s</w:t>
      </w:r>
      <w:r w:rsidR="008C3E2A" w:rsidRPr="000744E3">
        <w:t xml:space="preserve">, despite </w:t>
      </w:r>
      <w:r w:rsidR="00D65678" w:rsidRPr="000744E3">
        <w:t xml:space="preserve">the possibility to </w:t>
      </w:r>
      <w:r w:rsidR="008C3E2A" w:rsidRPr="000744E3">
        <w:t>continue activity in MTFs’ CLOB (as evidenced by ESMA’s analysis)</w:t>
      </w:r>
      <w:r w:rsidR="00ED5DF7" w:rsidRPr="000744E3">
        <w:t xml:space="preserve">. </w:t>
      </w:r>
      <w:r w:rsidR="002C35B9" w:rsidRPr="000744E3">
        <w:t xml:space="preserve">If we look at </w:t>
      </w:r>
      <w:r w:rsidR="00B83D5B" w:rsidRPr="000744E3">
        <w:t xml:space="preserve">the </w:t>
      </w:r>
      <w:r w:rsidR="000072B2" w:rsidRPr="000744E3">
        <w:t>notional</w:t>
      </w:r>
      <w:r w:rsidR="0E1E1C35" w:rsidRPr="000744E3">
        <w:t xml:space="preserve"> value </w:t>
      </w:r>
      <w:r w:rsidR="000072B2" w:rsidRPr="000744E3">
        <w:t xml:space="preserve">traded on </w:t>
      </w:r>
      <w:r w:rsidR="002C35B9" w:rsidRPr="000744E3">
        <w:t xml:space="preserve">MTF </w:t>
      </w:r>
      <w:r w:rsidR="00B83D5B" w:rsidRPr="000744E3">
        <w:t>vs</w:t>
      </w:r>
      <w:r w:rsidR="002C35B9" w:rsidRPr="000744E3">
        <w:t xml:space="preserve"> Primary Venues </w:t>
      </w:r>
      <w:r w:rsidR="000072B2" w:rsidRPr="000744E3">
        <w:t xml:space="preserve">for </w:t>
      </w:r>
      <w:r w:rsidR="00F64DBD" w:rsidRPr="000744E3">
        <w:t xml:space="preserve">EEA </w:t>
      </w:r>
      <w:r w:rsidR="000072B2" w:rsidRPr="000744E3">
        <w:t xml:space="preserve">stocks </w:t>
      </w:r>
      <w:r w:rsidR="00F64DBD" w:rsidRPr="000744E3">
        <w:t xml:space="preserve">in 2026, </w:t>
      </w:r>
      <w:r w:rsidR="000072B2" w:rsidRPr="000744E3">
        <w:t xml:space="preserve">MTFs hold </w:t>
      </w:r>
      <w:r w:rsidR="00B13CA4" w:rsidRPr="000744E3">
        <w:t>~</w:t>
      </w:r>
      <w:r w:rsidR="000072B2" w:rsidRPr="000744E3">
        <w:t>34% market share o</w:t>
      </w:r>
      <w:r w:rsidR="00B83D5B" w:rsidRPr="000744E3">
        <w:t>f</w:t>
      </w:r>
      <w:r w:rsidR="000072B2" w:rsidRPr="000744E3">
        <w:t xml:space="preserve"> the activity executed within a central limit order book. Most members of primary exchanges are also members of </w:t>
      </w:r>
      <w:r w:rsidR="00B83D5B" w:rsidRPr="000744E3">
        <w:t xml:space="preserve">MTFs. </w:t>
      </w:r>
      <w:r w:rsidR="00536601" w:rsidRPr="000744E3">
        <w:t>A</w:t>
      </w:r>
      <w:r w:rsidR="00B83D5B" w:rsidRPr="000744E3">
        <w:t>ccess to competing liquidity on</w:t>
      </w:r>
      <w:r w:rsidR="005F78FC" w:rsidRPr="000744E3">
        <w:t>-</w:t>
      </w:r>
      <w:r w:rsidR="00B83D5B" w:rsidRPr="000744E3">
        <w:t>venue is not an issue in Europe and</w:t>
      </w:r>
      <w:r w:rsidR="005F78FC" w:rsidRPr="000744E3">
        <w:t>,</w:t>
      </w:r>
      <w:r w:rsidR="00B83D5B" w:rsidRPr="000744E3">
        <w:t xml:space="preserve"> as such</w:t>
      </w:r>
      <w:r w:rsidR="005F78FC" w:rsidRPr="000744E3">
        <w:t>,</w:t>
      </w:r>
      <w:r w:rsidR="00B83D5B" w:rsidRPr="000744E3">
        <w:t xml:space="preserve"> it is possible for MTFs to absorb volumes when the primary is down. We </w:t>
      </w:r>
      <w:r w:rsidR="000A486C" w:rsidRPr="000744E3">
        <w:t xml:space="preserve">call for </w:t>
      </w:r>
      <w:r w:rsidR="00B83D5B" w:rsidRPr="000744E3">
        <w:t xml:space="preserve">regulatory </w:t>
      </w:r>
      <w:r w:rsidR="00747BCB" w:rsidRPr="000744E3">
        <w:t xml:space="preserve">guidance </w:t>
      </w:r>
      <w:r w:rsidR="00B83D5B" w:rsidRPr="000744E3">
        <w:t xml:space="preserve">to </w:t>
      </w:r>
      <w:r w:rsidR="00747BCB" w:rsidRPr="000744E3">
        <w:t xml:space="preserve">encourage intermediaries to </w:t>
      </w:r>
      <w:r w:rsidR="00747BCB" w:rsidRPr="000744E3" w:rsidDel="000A486C">
        <w:t xml:space="preserve">have the </w:t>
      </w:r>
      <w:r w:rsidR="00C52644" w:rsidRPr="000744E3" w:rsidDel="000A486C">
        <w:t xml:space="preserve">technical ability to </w:t>
      </w:r>
      <w:r w:rsidR="00C52644" w:rsidRPr="000744E3">
        <w:t>continue trading on other venues</w:t>
      </w:r>
      <w:r w:rsidR="00D21C39" w:rsidRPr="000744E3">
        <w:t xml:space="preserve"> to the benefit of market resilience and</w:t>
      </w:r>
      <w:r w:rsidR="00C52644" w:rsidRPr="000744E3">
        <w:t xml:space="preserve"> as is the standard practice in the US</w:t>
      </w:r>
      <w:r w:rsidR="007428FB" w:rsidRPr="000744E3">
        <w:t>,</w:t>
      </w:r>
      <w:r w:rsidR="00C52644" w:rsidRPr="000744E3">
        <w:t xml:space="preserve"> for instance.</w:t>
      </w:r>
      <w:r w:rsidR="0059343F" w:rsidRPr="000744E3">
        <w:t xml:space="preserve"> </w:t>
      </w:r>
    </w:p>
    <w:p w14:paraId="609CB82B" w14:textId="7BBF5E01" w:rsidR="00B83D5B" w:rsidRPr="000744E3" w:rsidRDefault="00CD7BFB" w:rsidP="001E050E">
      <w:pPr>
        <w:pStyle w:val="ListParagraph"/>
      </w:pPr>
      <w:r w:rsidRPr="000744E3">
        <w:t>Current</w:t>
      </w:r>
      <w:r w:rsidR="00B83D5B" w:rsidRPr="000744E3">
        <w:t xml:space="preserve"> behaviour </w:t>
      </w:r>
      <w:r w:rsidR="00387F73" w:rsidRPr="000744E3">
        <w:t>is likely due partly</w:t>
      </w:r>
      <w:r w:rsidR="00B83D5B" w:rsidRPr="000744E3">
        <w:t xml:space="preserve"> to force of habit and </w:t>
      </w:r>
      <w:r w:rsidRPr="000744E3">
        <w:t xml:space="preserve">also </w:t>
      </w:r>
      <w:r w:rsidR="00B83D5B" w:rsidRPr="000744E3">
        <w:t xml:space="preserve">to </w:t>
      </w:r>
      <w:r w:rsidR="00387F73" w:rsidRPr="000744E3">
        <w:t xml:space="preserve">the way in which </w:t>
      </w:r>
      <w:r w:rsidR="0059343F" w:rsidRPr="000744E3">
        <w:t xml:space="preserve">trading venue competition </w:t>
      </w:r>
      <w:r w:rsidR="00B83D5B" w:rsidRPr="000744E3">
        <w:t>was technically and regulator</w:t>
      </w:r>
      <w:r w:rsidRPr="000744E3">
        <w:t>il</w:t>
      </w:r>
      <w:r w:rsidR="00B83D5B" w:rsidRPr="000744E3">
        <w:t>y introduced in the markets. When MiFID 1 allowed for competition at trading venue level, most trading system</w:t>
      </w:r>
      <w:r w:rsidR="00697EAE" w:rsidRPr="000744E3">
        <w:t>s</w:t>
      </w:r>
      <w:r w:rsidR="00B83D5B" w:rsidRPr="000744E3">
        <w:t xml:space="preserve"> were relying on market data from the incumbent exchanges</w:t>
      </w:r>
      <w:r w:rsidR="0059343F" w:rsidRPr="000744E3">
        <w:t xml:space="preserve"> and some of the market trading infrastructure may not have moved to an aggregated market data, partially due to the absence of </w:t>
      </w:r>
      <w:r w:rsidR="00F579D5" w:rsidRPr="000744E3">
        <w:t xml:space="preserve">a </w:t>
      </w:r>
      <w:r w:rsidR="0059343F" w:rsidRPr="000744E3">
        <w:t xml:space="preserve">consolidated tape. </w:t>
      </w:r>
    </w:p>
    <w:p w14:paraId="0348F6A7" w14:textId="1FD4265A" w:rsidR="00FB4964" w:rsidRPr="000744E3" w:rsidRDefault="00FB4964" w:rsidP="001E050E">
      <w:pPr>
        <w:pStyle w:val="ListParagraph"/>
        <w:numPr>
          <w:ilvl w:val="0"/>
          <w:numId w:val="14"/>
        </w:numPr>
      </w:pPr>
      <w:r w:rsidRPr="000744E3">
        <w:rPr>
          <w:b/>
          <w:bCs/>
        </w:rPr>
        <w:t>Close resilience:</w:t>
      </w:r>
      <w:r w:rsidRPr="000744E3">
        <w:t xml:space="preserve"> </w:t>
      </w:r>
      <w:r w:rsidR="0059343F" w:rsidRPr="000744E3">
        <w:t>Although the close price formation is driven by the primary exchange</w:t>
      </w:r>
      <w:r w:rsidR="00E54FD7" w:rsidRPr="000744E3">
        <w:t>,</w:t>
      </w:r>
      <w:r w:rsidR="0059343F" w:rsidRPr="000744E3">
        <w:t xml:space="preserve"> </w:t>
      </w:r>
      <w:r w:rsidRPr="000744E3">
        <w:t xml:space="preserve">most MTFs </w:t>
      </w:r>
      <w:r w:rsidR="0059343F" w:rsidRPr="000744E3">
        <w:t xml:space="preserve">are </w:t>
      </w:r>
      <w:r w:rsidRPr="000744E3">
        <w:t>run</w:t>
      </w:r>
      <w:r w:rsidR="0097175E" w:rsidRPr="000744E3">
        <w:t>ning</w:t>
      </w:r>
      <w:r w:rsidRPr="000744E3">
        <w:t xml:space="preserve"> a periodic auction book</w:t>
      </w:r>
      <w:r w:rsidR="004C1E4B" w:rsidRPr="000744E3">
        <w:t>,</w:t>
      </w:r>
      <w:r w:rsidRPr="000744E3">
        <w:t xml:space="preserve"> price forming and transparent</w:t>
      </w:r>
      <w:r w:rsidR="0059343F" w:rsidRPr="000744E3">
        <w:t xml:space="preserve">, that </w:t>
      </w:r>
      <w:r w:rsidRPr="000744E3">
        <w:t xml:space="preserve">could take over if the primary exchange was having technical issues. This is the current regulatory requirement in the US (although to our knowledge </w:t>
      </w:r>
      <w:r w:rsidR="00F762E9" w:rsidRPr="000744E3">
        <w:t xml:space="preserve">it </w:t>
      </w:r>
      <w:r w:rsidR="00043FA6" w:rsidRPr="000744E3">
        <w:t>has never been</w:t>
      </w:r>
      <w:r w:rsidRPr="000744E3">
        <w:t xml:space="preserve"> invoked). Issues in the close </w:t>
      </w:r>
      <w:r w:rsidR="00B67068" w:rsidRPr="000744E3">
        <w:t xml:space="preserve">can trigger a material risk event, especially if </w:t>
      </w:r>
      <w:r w:rsidR="00F762E9" w:rsidRPr="000744E3">
        <w:t xml:space="preserve">they </w:t>
      </w:r>
      <w:r w:rsidR="00A35A02" w:rsidRPr="000744E3">
        <w:t>occur</w:t>
      </w:r>
      <w:r w:rsidR="00B67068" w:rsidRPr="000744E3">
        <w:t xml:space="preserve"> on a special day such as rebalancing or expiry, with potential systemic risk for European financial services. We believe such a risk should be catered for, especially </w:t>
      </w:r>
      <w:r w:rsidR="00A35A02" w:rsidRPr="000744E3">
        <w:t xml:space="preserve">in the </w:t>
      </w:r>
      <w:r w:rsidR="00DD19E7" w:rsidRPr="000744E3">
        <w:t xml:space="preserve">current </w:t>
      </w:r>
      <w:r w:rsidR="00B67068" w:rsidRPr="000744E3">
        <w:t xml:space="preserve">geopolitical </w:t>
      </w:r>
      <w:r w:rsidR="00DD19E7" w:rsidRPr="000744E3">
        <w:t>climate and</w:t>
      </w:r>
      <w:r w:rsidR="00A35A02" w:rsidRPr="000744E3">
        <w:t xml:space="preserve"> with</w:t>
      </w:r>
      <w:r w:rsidR="00DD19E7" w:rsidRPr="000744E3">
        <w:t xml:space="preserve"> the development of hybrid warfare and cyber-attacks. A protocol for fa</w:t>
      </w:r>
      <w:r w:rsidR="00DC3E1C" w:rsidRPr="000744E3">
        <w:t>i</w:t>
      </w:r>
      <w:r w:rsidR="00DD19E7" w:rsidRPr="000744E3">
        <w:t>ling over</w:t>
      </w:r>
      <w:r w:rsidR="00DC3E1C" w:rsidRPr="000744E3">
        <w:t xml:space="preserve"> to</w:t>
      </w:r>
      <w:r w:rsidR="00DD19E7" w:rsidRPr="000744E3">
        <w:t xml:space="preserve"> an alternative venue </w:t>
      </w:r>
      <w:r w:rsidR="00DC3E1C" w:rsidRPr="000744E3">
        <w:t xml:space="preserve">should </w:t>
      </w:r>
      <w:r w:rsidR="00DD19E7" w:rsidRPr="000744E3">
        <w:t xml:space="preserve">be designed </w:t>
      </w:r>
      <w:r w:rsidR="009325A1" w:rsidRPr="000744E3">
        <w:t xml:space="preserve">between </w:t>
      </w:r>
      <w:r w:rsidR="00DD19E7" w:rsidRPr="000744E3">
        <w:t xml:space="preserve">regulators and market participants. </w:t>
      </w:r>
    </w:p>
    <w:p w14:paraId="580F6D67" w14:textId="77777777" w:rsidR="00B83D5B" w:rsidRPr="000744E3" w:rsidRDefault="00B83D5B" w:rsidP="00785AC1"/>
    <w:p w14:paraId="15E8DACB" w14:textId="77777777" w:rsidR="00785AC1" w:rsidRPr="000744E3" w:rsidRDefault="00785AC1" w:rsidP="00785AC1">
      <w:r w:rsidRPr="000744E3">
        <w:t>&lt;ESMA_QUESTION_MSEM_14&gt;</w:t>
      </w:r>
    </w:p>
    <w:p w14:paraId="2224B4A2" w14:textId="188E8E90" w:rsidR="00785AC1" w:rsidRPr="000744E3" w:rsidRDefault="00785AC1" w:rsidP="00785AC1">
      <w:pPr>
        <w:spacing w:after="120" w:line="264" w:lineRule="auto"/>
        <w:jc w:val="left"/>
        <w:rPr>
          <w:b/>
        </w:rPr>
      </w:pPr>
    </w:p>
    <w:p w14:paraId="75326B23"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on the evolution of trading in FBAs on EU markets? Why are those mechanisms gaining traction in your view? Which are the benefits and shortcomings they offer? (please elaborate)</w:t>
      </w:r>
    </w:p>
    <w:p w14:paraId="2A451813" w14:textId="77777777" w:rsidR="00785AC1" w:rsidRPr="000744E3" w:rsidRDefault="00785AC1" w:rsidP="00785AC1">
      <w:r w:rsidRPr="000744E3">
        <w:t>&lt;ESMA_QUESTION_MSEM_15&gt;</w:t>
      </w:r>
    </w:p>
    <w:p w14:paraId="7CBA5B34" w14:textId="5762F6B5" w:rsidR="00C44F1B" w:rsidRPr="000744E3" w:rsidRDefault="005C3561" w:rsidP="00D17F84">
      <w:pPr>
        <w:rPr>
          <w:rFonts w:eastAsia="Calibri" w:cs="Calibri"/>
          <w:szCs w:val="22"/>
        </w:rPr>
      </w:pPr>
      <w:r w:rsidRPr="000744E3">
        <w:rPr>
          <w:rFonts w:eastAsia="Calibri" w:cs="Calibri"/>
          <w:szCs w:val="22"/>
        </w:rPr>
        <w:t xml:space="preserve">FBAs have an extremely successful innovation post MiFID II, with a number of regulated markets and MTFs now operating intraday auctions on a frequent, recurring basis. </w:t>
      </w:r>
      <w:r w:rsidR="00052993" w:rsidRPr="000744E3">
        <w:rPr>
          <w:rFonts w:eastAsia="Calibri" w:cs="Calibri"/>
          <w:szCs w:val="22"/>
        </w:rPr>
        <w:t xml:space="preserve">FBAs </w:t>
      </w:r>
      <w:r w:rsidR="0048029E" w:rsidRPr="000744E3">
        <w:rPr>
          <w:rFonts w:eastAsia="Calibri" w:cs="Calibri"/>
          <w:szCs w:val="22"/>
        </w:rPr>
        <w:t>are</w:t>
      </w:r>
      <w:r w:rsidR="00052993" w:rsidRPr="000744E3">
        <w:rPr>
          <w:rFonts w:eastAsia="Calibri" w:cs="Calibri"/>
          <w:szCs w:val="22"/>
        </w:rPr>
        <w:t xml:space="preserve"> </w:t>
      </w:r>
      <w:r w:rsidR="001F7261" w:rsidRPr="000744E3">
        <w:rPr>
          <w:rFonts w:eastAsia="Calibri" w:cs="Calibri"/>
          <w:szCs w:val="22"/>
        </w:rPr>
        <w:t>an extremely</w:t>
      </w:r>
      <w:r w:rsidR="00052993" w:rsidRPr="000744E3">
        <w:rPr>
          <w:rFonts w:eastAsia="Calibri" w:cs="Calibri"/>
          <w:szCs w:val="22"/>
        </w:rPr>
        <w:t xml:space="preserve"> successful innovation post MiFID II, with a</w:t>
      </w:r>
      <w:r w:rsidR="00C44F1B" w:rsidRPr="000744E3">
        <w:rPr>
          <w:rFonts w:eastAsia="Calibri" w:cs="Calibri"/>
          <w:szCs w:val="22"/>
        </w:rPr>
        <w:t xml:space="preserve"> number of regulated </w:t>
      </w:r>
      <w:r w:rsidR="00052993" w:rsidRPr="000744E3">
        <w:rPr>
          <w:rFonts w:eastAsia="Calibri" w:cs="Calibri"/>
          <w:szCs w:val="22"/>
        </w:rPr>
        <w:t xml:space="preserve">markets and MTFs now </w:t>
      </w:r>
      <w:r w:rsidR="00C44F1B" w:rsidRPr="000744E3">
        <w:rPr>
          <w:rFonts w:eastAsia="Calibri" w:cs="Calibri"/>
          <w:szCs w:val="22"/>
        </w:rPr>
        <w:t>operat</w:t>
      </w:r>
      <w:r w:rsidR="00052993" w:rsidRPr="000744E3">
        <w:rPr>
          <w:rFonts w:eastAsia="Calibri" w:cs="Calibri"/>
          <w:szCs w:val="22"/>
        </w:rPr>
        <w:t>ing</w:t>
      </w:r>
      <w:r w:rsidR="00C44F1B" w:rsidRPr="000744E3">
        <w:rPr>
          <w:rFonts w:eastAsia="Calibri" w:cs="Calibri"/>
          <w:szCs w:val="22"/>
        </w:rPr>
        <w:t xml:space="preserve"> intraday auctions on a frequent, recurring basis</w:t>
      </w:r>
      <w:r w:rsidR="00052993" w:rsidRPr="000744E3">
        <w:rPr>
          <w:rFonts w:eastAsia="Calibri" w:cs="Calibri"/>
          <w:szCs w:val="22"/>
        </w:rPr>
        <w:t>.</w:t>
      </w:r>
      <w:r w:rsidR="00C44F1B" w:rsidRPr="000744E3">
        <w:rPr>
          <w:rFonts w:eastAsia="Calibri" w:cs="Calibri"/>
          <w:szCs w:val="22"/>
        </w:rPr>
        <w:t xml:space="preserve"> These mechanisms are governed by pre-determined, non-discretionary rules and are subject to both pre- and post-trade transparency obligations identical to the minimum required for other type of auctions (e.g. the close). Price discovery within each auction cycle occurs through a single clearing price, arrived at via a randomised uncrossing process that aggregates orders from multiple counterparties simultaneously.</w:t>
      </w:r>
      <w:r w:rsidR="00C16878" w:rsidRPr="000744E3">
        <w:rPr>
          <w:rFonts w:eastAsia="Calibri" w:cs="Calibri"/>
          <w:szCs w:val="22"/>
        </w:rPr>
        <w:t xml:space="preserve"> In </w:t>
      </w:r>
      <w:r w:rsidR="009C67B9" w:rsidRPr="000744E3">
        <w:rPr>
          <w:rFonts w:eastAsia="Calibri" w:cs="Calibri"/>
          <w:szCs w:val="22"/>
        </w:rPr>
        <w:t>addition</w:t>
      </w:r>
      <w:r w:rsidR="00C16878" w:rsidRPr="000744E3">
        <w:rPr>
          <w:rFonts w:eastAsia="Calibri" w:cs="Calibri"/>
          <w:szCs w:val="22"/>
        </w:rPr>
        <w:t xml:space="preserve">, FBAs have been the </w:t>
      </w:r>
      <w:r w:rsidR="008E56C6" w:rsidRPr="000744E3">
        <w:rPr>
          <w:rFonts w:eastAsia="Calibri" w:cs="Calibri"/>
          <w:szCs w:val="22"/>
        </w:rPr>
        <w:t>main</w:t>
      </w:r>
      <w:r w:rsidR="00C16878" w:rsidRPr="000744E3">
        <w:rPr>
          <w:rFonts w:eastAsia="Calibri" w:cs="Calibri"/>
          <w:szCs w:val="22"/>
        </w:rPr>
        <w:t xml:space="preserve"> transparen</w:t>
      </w:r>
      <w:r w:rsidR="009C67B9" w:rsidRPr="000744E3">
        <w:rPr>
          <w:rFonts w:eastAsia="Calibri" w:cs="Calibri"/>
          <w:szCs w:val="22"/>
        </w:rPr>
        <w:t>t</w:t>
      </w:r>
      <w:r w:rsidR="00C16878" w:rsidRPr="000744E3">
        <w:rPr>
          <w:rFonts w:eastAsia="Calibri" w:cs="Calibri"/>
          <w:szCs w:val="22"/>
        </w:rPr>
        <w:t xml:space="preserve">, multilateral trading </w:t>
      </w:r>
      <w:r w:rsidR="009C67B9" w:rsidRPr="000744E3">
        <w:rPr>
          <w:rFonts w:eastAsia="Calibri" w:cs="Calibri"/>
          <w:szCs w:val="22"/>
        </w:rPr>
        <w:t xml:space="preserve">model </w:t>
      </w:r>
      <w:r w:rsidR="00C16878" w:rsidRPr="000744E3">
        <w:rPr>
          <w:rFonts w:eastAsia="Calibri" w:cs="Calibri"/>
          <w:szCs w:val="22"/>
        </w:rPr>
        <w:t xml:space="preserve">that has attracted flow </w:t>
      </w:r>
      <w:r w:rsidR="009C67B9" w:rsidRPr="000744E3">
        <w:rPr>
          <w:rFonts w:eastAsia="Calibri" w:cs="Calibri"/>
          <w:szCs w:val="22"/>
        </w:rPr>
        <w:t xml:space="preserve">consistently since their introduction, including in jurisdictions such as the UK and Switzerland, which exhibit higher level of off-venue volumes and have no limitation on dark trading. </w:t>
      </w:r>
    </w:p>
    <w:p w14:paraId="50936630" w14:textId="3A5CDF4A" w:rsidR="00FC3986" w:rsidRPr="000744E3" w:rsidRDefault="00FC3986" w:rsidP="00FC3986">
      <w:pPr>
        <w:rPr>
          <w:rFonts w:eastAsia="Calibri" w:cs="Calibri"/>
        </w:rPr>
      </w:pPr>
      <w:r w:rsidRPr="000744E3">
        <w:rPr>
          <w:rFonts w:eastAsia="Calibri" w:cs="Calibri"/>
        </w:rPr>
        <w:t xml:space="preserve">Structurally, FBAs </w:t>
      </w:r>
      <w:r w:rsidR="008231C3" w:rsidRPr="000744E3">
        <w:rPr>
          <w:rFonts w:eastAsia="Calibri" w:cs="Calibri"/>
        </w:rPr>
        <w:t>are similar</w:t>
      </w:r>
      <w:r w:rsidRPr="000744E3" w:rsidDel="008231C3">
        <w:rPr>
          <w:rFonts w:eastAsia="Calibri" w:cs="Calibri"/>
        </w:rPr>
        <w:t xml:space="preserve"> </w:t>
      </w:r>
      <w:r w:rsidRPr="000744E3">
        <w:rPr>
          <w:rFonts w:eastAsia="Calibri" w:cs="Calibri"/>
        </w:rPr>
        <w:t xml:space="preserve">to end-of-day scheduled auctions such as the closing auction, </w:t>
      </w:r>
      <w:r w:rsidR="008231C3" w:rsidRPr="000744E3">
        <w:rPr>
          <w:rFonts w:eastAsia="Calibri" w:cs="Calibri"/>
        </w:rPr>
        <w:t>but</w:t>
      </w:r>
      <w:r w:rsidRPr="000744E3">
        <w:rPr>
          <w:rFonts w:eastAsia="Calibri" w:cs="Calibri"/>
        </w:rPr>
        <w:t xml:space="preserve"> differ in one important respect: because they run alongside the continuous order book rather than replacing it, the depth of liquidity shown for any given auction </w:t>
      </w:r>
      <w:r w:rsidR="00C424C1" w:rsidRPr="000744E3">
        <w:rPr>
          <w:rFonts w:eastAsia="Calibri" w:cs="Calibri"/>
        </w:rPr>
        <w:t>is</w:t>
      </w:r>
      <w:r w:rsidRPr="000744E3">
        <w:rPr>
          <w:rFonts w:eastAsia="Calibri" w:cs="Calibri"/>
        </w:rPr>
        <w:t xml:space="preserve"> more limited than for the closing or opening auctions. Controlling the flow of information between concurrent lit books is essential to maintaining robust price formation and limit</w:t>
      </w:r>
      <w:r w:rsidR="004E1251" w:rsidRPr="000744E3">
        <w:rPr>
          <w:rFonts w:eastAsia="Calibri" w:cs="Calibri"/>
        </w:rPr>
        <w:t>ing</w:t>
      </w:r>
      <w:r w:rsidRPr="000744E3">
        <w:rPr>
          <w:rFonts w:eastAsia="Calibri" w:cs="Calibri"/>
        </w:rPr>
        <w:t xml:space="preserve"> market impact.</w:t>
      </w:r>
      <w:r w:rsidR="003C125C" w:rsidRPr="000744E3">
        <w:rPr>
          <w:rFonts w:eastAsia="Calibri" w:cs="Calibri"/>
        </w:rPr>
        <w:t xml:space="preserve"> From a market quality perspective, FBAs are associated with reduced adverse selection. The combination of randomised uncrossing and multilateral price determination removes the sequential, time-sensitive dynamics that can be </w:t>
      </w:r>
      <w:r w:rsidR="009C67B9" w:rsidRPr="000744E3">
        <w:rPr>
          <w:rFonts w:eastAsia="Calibri" w:cs="Calibri"/>
        </w:rPr>
        <w:t xml:space="preserve">more </w:t>
      </w:r>
      <w:r w:rsidR="00D4085E" w:rsidRPr="000744E3">
        <w:rPr>
          <w:rFonts w:eastAsia="Calibri" w:cs="Calibri"/>
        </w:rPr>
        <w:t>easily leveraged</w:t>
      </w:r>
      <w:r w:rsidR="003C125C" w:rsidRPr="000744E3">
        <w:rPr>
          <w:rFonts w:eastAsia="Calibri" w:cs="Calibri"/>
        </w:rPr>
        <w:t xml:space="preserve"> in continuous trading environments.</w:t>
      </w:r>
    </w:p>
    <w:p w14:paraId="1A0A3F85" w14:textId="11FAF799" w:rsidR="007F1ECA" w:rsidRPr="000744E3" w:rsidRDefault="007F1ECA" w:rsidP="007F1ECA">
      <w:pPr>
        <w:rPr>
          <w:rFonts w:eastAsia="Calibri" w:cs="Calibri"/>
        </w:rPr>
      </w:pPr>
      <w:r w:rsidRPr="000744E3">
        <w:rPr>
          <w:rFonts w:eastAsia="Calibri" w:cs="Calibri"/>
        </w:rPr>
        <w:t xml:space="preserve">Three considerations underpin the increasing use of FBAs by market participants: </w:t>
      </w:r>
    </w:p>
    <w:p w14:paraId="1633A2D7" w14:textId="619A34F8" w:rsidR="007F1ECA" w:rsidRPr="000744E3" w:rsidRDefault="007F1ECA" w:rsidP="00EC54C6">
      <w:pPr>
        <w:numPr>
          <w:ilvl w:val="0"/>
          <w:numId w:val="22"/>
        </w:numPr>
        <w:spacing w:after="120"/>
        <w:ind w:left="714" w:hanging="357"/>
        <w:rPr>
          <w:rFonts w:eastAsia="Calibri" w:cs="Calibri"/>
        </w:rPr>
      </w:pPr>
      <w:r w:rsidRPr="000744E3">
        <w:rPr>
          <w:rFonts w:eastAsia="Calibri" w:cs="Calibri"/>
          <w:b/>
          <w:bCs/>
        </w:rPr>
        <w:t>Cost efficiency</w:t>
      </w:r>
      <w:r w:rsidR="001033CE" w:rsidRPr="000744E3">
        <w:rPr>
          <w:rFonts w:eastAsia="Calibri" w:cs="Calibri"/>
          <w:b/>
          <w:bCs/>
        </w:rPr>
        <w:t>:</w:t>
      </w:r>
      <w:r w:rsidR="001033CE" w:rsidRPr="000744E3">
        <w:rPr>
          <w:rFonts w:eastAsia="Calibri" w:cs="Calibri"/>
        </w:rPr>
        <w:t xml:space="preserve"> </w:t>
      </w:r>
      <w:r w:rsidR="001E2099" w:rsidRPr="000744E3">
        <w:rPr>
          <w:rFonts w:eastAsia="Calibri" w:cs="Calibri"/>
        </w:rPr>
        <w:t>When</w:t>
      </w:r>
      <w:r w:rsidR="001033CE" w:rsidRPr="000744E3">
        <w:rPr>
          <w:rFonts w:eastAsia="Calibri" w:cs="Calibri"/>
        </w:rPr>
        <w:t xml:space="preserve"> </w:t>
      </w:r>
      <w:r w:rsidRPr="000744E3">
        <w:rPr>
          <w:rFonts w:eastAsia="Calibri" w:cs="Calibri"/>
        </w:rPr>
        <w:t>clearing within the spread, typically at midpoint, lowers implicit transaction costs relative to continuous lit execution, benefiting both liquidity providers and liquidity takers.</w:t>
      </w:r>
    </w:p>
    <w:p w14:paraId="55FADD8F" w14:textId="230B202B" w:rsidR="007F1ECA" w:rsidRPr="000744E3" w:rsidRDefault="007F1ECA" w:rsidP="00EC54C6">
      <w:pPr>
        <w:numPr>
          <w:ilvl w:val="0"/>
          <w:numId w:val="22"/>
        </w:numPr>
        <w:spacing w:after="120"/>
        <w:ind w:left="714" w:hanging="357"/>
        <w:rPr>
          <w:rFonts w:eastAsia="Calibri" w:cs="Calibri"/>
        </w:rPr>
      </w:pPr>
      <w:r w:rsidRPr="000744E3">
        <w:rPr>
          <w:rFonts w:eastAsia="Calibri" w:cs="Calibri"/>
          <w:b/>
          <w:bCs/>
        </w:rPr>
        <w:t>Structural fairness</w:t>
      </w:r>
      <w:r w:rsidR="001033CE" w:rsidRPr="000744E3">
        <w:rPr>
          <w:rFonts w:eastAsia="Calibri" w:cs="Calibri"/>
          <w:b/>
          <w:bCs/>
        </w:rPr>
        <w:t>:</w:t>
      </w:r>
      <w:r w:rsidRPr="000744E3">
        <w:rPr>
          <w:rFonts w:eastAsia="Calibri" w:cs="Calibri"/>
        </w:rPr>
        <w:t xml:space="preserve"> the absence of a time priority dimension reduces the capacity for latency-sensitive strategies to extract value at the expense of other participants, thereby supporting a more level competitive environment.</w:t>
      </w:r>
    </w:p>
    <w:p w14:paraId="14128D6B" w14:textId="393D1DAB" w:rsidR="007F1ECA" w:rsidRPr="000744E3" w:rsidRDefault="007F1ECA" w:rsidP="00EC54C6">
      <w:pPr>
        <w:numPr>
          <w:ilvl w:val="0"/>
          <w:numId w:val="22"/>
        </w:numPr>
        <w:spacing w:after="120"/>
        <w:ind w:left="714" w:hanging="357"/>
        <w:rPr>
          <w:rFonts w:eastAsia="Calibri" w:cs="Calibri"/>
        </w:rPr>
      </w:pPr>
      <w:r w:rsidRPr="000744E3">
        <w:rPr>
          <w:rFonts w:eastAsia="Calibri" w:cs="Calibri"/>
          <w:b/>
          <w:bCs/>
        </w:rPr>
        <w:t>Execution choice and venue competition</w:t>
      </w:r>
      <w:r w:rsidR="001033CE" w:rsidRPr="000744E3">
        <w:rPr>
          <w:rFonts w:eastAsia="Calibri" w:cs="Calibri"/>
          <w:b/>
          <w:bCs/>
        </w:rPr>
        <w:t xml:space="preserve">: </w:t>
      </w:r>
      <w:r w:rsidRPr="000744E3">
        <w:rPr>
          <w:rFonts w:eastAsia="Calibri" w:cs="Calibri"/>
        </w:rPr>
        <w:t>FBAs form part of a broader toolkit available to institutional participants managing execution risk, sitting alongside continuous lit trading, dark mechanisms, and bilateral channels. Their availability promotes competition among trading venues and offers a transparent, regulated alternative to off-venue bilateral execution</w:t>
      </w:r>
    </w:p>
    <w:p w14:paraId="7851EFEB" w14:textId="0352D298" w:rsidR="0071199D" w:rsidRPr="000744E3" w:rsidRDefault="00F531A2" w:rsidP="00D17F84">
      <w:pPr>
        <w:rPr>
          <w:rFonts w:eastAsia="Calibri" w:cs="Calibri"/>
        </w:rPr>
      </w:pPr>
      <w:r w:rsidRPr="000744E3">
        <w:rPr>
          <w:rFonts w:eastAsia="Calibri" w:cs="Calibri"/>
        </w:rPr>
        <w:t xml:space="preserve">We </w:t>
      </w:r>
      <w:r w:rsidR="00534990" w:rsidRPr="000744E3">
        <w:rPr>
          <w:rFonts w:eastAsia="Calibri" w:cs="Calibri"/>
        </w:rPr>
        <w:t xml:space="preserve">would </w:t>
      </w:r>
      <w:r w:rsidRPr="000744E3">
        <w:rPr>
          <w:rFonts w:eastAsia="Calibri" w:cs="Calibri"/>
        </w:rPr>
        <w:t xml:space="preserve">strongly oppose </w:t>
      </w:r>
      <w:r w:rsidR="00E9538B" w:rsidRPr="000744E3">
        <w:rPr>
          <w:rFonts w:eastAsia="Calibri" w:cs="Calibri"/>
        </w:rPr>
        <w:t xml:space="preserve">any </w:t>
      </w:r>
      <w:r w:rsidR="00AE51BF" w:rsidRPr="000744E3">
        <w:rPr>
          <w:rFonts w:eastAsia="Calibri" w:cs="Calibri"/>
        </w:rPr>
        <w:t>attempts</w:t>
      </w:r>
      <w:r w:rsidR="00534990" w:rsidRPr="000744E3">
        <w:rPr>
          <w:rFonts w:eastAsia="Calibri" w:cs="Calibri"/>
        </w:rPr>
        <w:t xml:space="preserve"> </w:t>
      </w:r>
      <w:r w:rsidR="00AE51BF" w:rsidRPr="000744E3">
        <w:rPr>
          <w:rFonts w:eastAsia="Calibri" w:cs="Calibri"/>
        </w:rPr>
        <w:t>to position</w:t>
      </w:r>
      <w:r w:rsidRPr="000744E3">
        <w:rPr>
          <w:rFonts w:eastAsia="Calibri" w:cs="Calibri"/>
        </w:rPr>
        <w:t xml:space="preserve"> FBAs as </w:t>
      </w:r>
      <w:r w:rsidR="00AE51BF" w:rsidRPr="000744E3">
        <w:rPr>
          <w:rFonts w:eastAsia="Calibri" w:cs="Calibri"/>
        </w:rPr>
        <w:t>‘</w:t>
      </w:r>
      <w:r w:rsidRPr="000744E3">
        <w:rPr>
          <w:rFonts w:eastAsia="Calibri" w:cs="Calibri"/>
        </w:rPr>
        <w:t>semi dark</w:t>
      </w:r>
      <w:r w:rsidR="00AE51BF" w:rsidRPr="000744E3">
        <w:rPr>
          <w:rFonts w:eastAsia="Calibri" w:cs="Calibri"/>
        </w:rPr>
        <w:t>’</w:t>
      </w:r>
      <w:r w:rsidRPr="000744E3">
        <w:rPr>
          <w:rFonts w:eastAsia="Calibri" w:cs="Calibri"/>
        </w:rPr>
        <w:t xml:space="preserve">, </w:t>
      </w:r>
      <w:r w:rsidR="00AE51BF" w:rsidRPr="000744E3">
        <w:rPr>
          <w:rFonts w:eastAsia="Calibri" w:cs="Calibri"/>
        </w:rPr>
        <w:t>‘</w:t>
      </w:r>
      <w:r w:rsidRPr="000744E3">
        <w:rPr>
          <w:rFonts w:eastAsia="Calibri" w:cs="Calibri"/>
        </w:rPr>
        <w:t>opaque</w:t>
      </w:r>
      <w:r w:rsidR="00AE51BF" w:rsidRPr="000744E3">
        <w:rPr>
          <w:rFonts w:eastAsia="Calibri" w:cs="Calibri"/>
        </w:rPr>
        <w:t>’ or</w:t>
      </w:r>
      <w:r w:rsidR="00102CBD" w:rsidRPr="000744E3">
        <w:rPr>
          <w:rFonts w:eastAsia="Calibri" w:cs="Calibri"/>
        </w:rPr>
        <w:t xml:space="preserve"> ‘</w:t>
      </w:r>
      <w:r w:rsidRPr="000744E3">
        <w:rPr>
          <w:rFonts w:eastAsia="Calibri" w:cs="Calibri"/>
        </w:rPr>
        <w:t>reference price based</w:t>
      </w:r>
      <w:r w:rsidR="00102CBD" w:rsidRPr="000744E3">
        <w:rPr>
          <w:rFonts w:eastAsia="Calibri" w:cs="Calibri"/>
        </w:rPr>
        <w:t>’</w:t>
      </w:r>
      <w:r w:rsidRPr="000744E3">
        <w:rPr>
          <w:rFonts w:eastAsia="Calibri" w:cs="Calibri"/>
        </w:rPr>
        <w:t>.</w:t>
      </w:r>
      <w:r w:rsidRPr="000744E3" w:rsidDel="001033CE">
        <w:rPr>
          <w:rFonts w:eastAsia="Calibri" w:cs="Calibri"/>
        </w:rPr>
        <w:t xml:space="preserve"> </w:t>
      </w:r>
      <w:r w:rsidRPr="000744E3">
        <w:rPr>
          <w:rFonts w:eastAsia="Calibri" w:cs="Calibri"/>
        </w:rPr>
        <w:t>FBA</w:t>
      </w:r>
      <w:r w:rsidR="00A33273" w:rsidRPr="000744E3">
        <w:rPr>
          <w:rFonts w:eastAsia="Calibri" w:cs="Calibri"/>
        </w:rPr>
        <w:t>s</w:t>
      </w:r>
      <w:r w:rsidRPr="000744E3">
        <w:rPr>
          <w:rFonts w:eastAsia="Calibri" w:cs="Calibri"/>
        </w:rPr>
        <w:t xml:space="preserve"> accept pegged orders as do many other books, including central limit order books</w:t>
      </w:r>
      <w:r w:rsidR="00D4085E" w:rsidRPr="000744E3">
        <w:rPr>
          <w:rFonts w:eastAsia="Calibri" w:cs="Calibri"/>
        </w:rPr>
        <w:t xml:space="preserve"> and their</w:t>
      </w:r>
      <w:r w:rsidR="00A33273" w:rsidRPr="000744E3">
        <w:rPr>
          <w:rFonts w:eastAsia="Calibri" w:cs="Calibri"/>
        </w:rPr>
        <w:t xml:space="preserve"> us</w:t>
      </w:r>
      <w:r w:rsidRPr="000744E3">
        <w:rPr>
          <w:rFonts w:eastAsia="Calibri" w:cs="Calibri"/>
        </w:rPr>
        <w:t xml:space="preserve">age does not </w:t>
      </w:r>
      <w:r w:rsidR="00D4085E" w:rsidRPr="000744E3">
        <w:rPr>
          <w:rFonts w:eastAsia="Calibri" w:cs="Calibri"/>
        </w:rPr>
        <w:t xml:space="preserve">necessarily </w:t>
      </w:r>
      <w:r w:rsidRPr="000744E3">
        <w:rPr>
          <w:rFonts w:eastAsia="Calibri" w:cs="Calibri"/>
        </w:rPr>
        <w:t>equate midpoint trading</w:t>
      </w:r>
      <w:r w:rsidR="006F6E39" w:rsidRPr="000744E3">
        <w:rPr>
          <w:rFonts w:eastAsia="Calibri" w:cs="Calibri"/>
        </w:rPr>
        <w:t>.</w:t>
      </w:r>
      <w:r w:rsidRPr="000744E3">
        <w:rPr>
          <w:rFonts w:eastAsia="Calibri" w:cs="Calibri"/>
        </w:rPr>
        <w:t xml:space="preserve"> Periodic</w:t>
      </w:r>
      <w:r w:rsidR="00A33273" w:rsidRPr="000744E3">
        <w:rPr>
          <w:rFonts w:eastAsia="Calibri" w:cs="Calibri"/>
        </w:rPr>
        <w:t xml:space="preserve"> auctions</w:t>
      </w:r>
      <w:r w:rsidRPr="000744E3">
        <w:rPr>
          <w:rFonts w:eastAsia="Calibri" w:cs="Calibri"/>
        </w:rPr>
        <w:t xml:space="preserve"> also accept pure limit order</w:t>
      </w:r>
      <w:r w:rsidR="009A6C89" w:rsidRPr="000744E3">
        <w:rPr>
          <w:rFonts w:eastAsia="Calibri" w:cs="Calibri"/>
        </w:rPr>
        <w:t>s</w:t>
      </w:r>
      <w:r w:rsidRPr="000744E3">
        <w:rPr>
          <w:rFonts w:eastAsia="Calibri" w:cs="Calibri"/>
        </w:rPr>
        <w:t xml:space="preserve"> and at the touch pegged orders</w:t>
      </w:r>
      <w:r w:rsidR="00C16878" w:rsidRPr="000744E3">
        <w:rPr>
          <w:rFonts w:eastAsia="Calibri" w:cs="Calibri"/>
        </w:rPr>
        <w:t xml:space="preserve">, which have gained significant traction over the past </w:t>
      </w:r>
      <w:r w:rsidR="0037348C" w:rsidRPr="000744E3">
        <w:rPr>
          <w:rFonts w:eastAsia="Calibri" w:cs="Calibri"/>
        </w:rPr>
        <w:t>two</w:t>
      </w:r>
      <w:r w:rsidR="00C16878" w:rsidRPr="000744E3">
        <w:rPr>
          <w:rFonts w:eastAsia="Calibri" w:cs="Calibri"/>
        </w:rPr>
        <w:t xml:space="preserve"> years</w:t>
      </w:r>
      <w:r w:rsidRPr="000744E3">
        <w:rPr>
          <w:rFonts w:eastAsia="Calibri" w:cs="Calibri"/>
        </w:rPr>
        <w:t xml:space="preserve">. Publicly disclosed data in conferences cites their level at </w:t>
      </w:r>
      <w:r w:rsidR="006F6E39" w:rsidRPr="000744E3">
        <w:rPr>
          <w:rFonts w:eastAsia="Calibri" w:cs="Calibri"/>
        </w:rPr>
        <w:t xml:space="preserve">around </w:t>
      </w:r>
      <w:r w:rsidRPr="000744E3">
        <w:rPr>
          <w:rFonts w:eastAsia="Calibri" w:cs="Calibri"/>
        </w:rPr>
        <w:t>20</w:t>
      </w:r>
      <w:r w:rsidR="001033CE" w:rsidRPr="000744E3">
        <w:rPr>
          <w:rFonts w:eastAsia="Calibri" w:cs="Calibri"/>
        </w:rPr>
        <w:t>%</w:t>
      </w:r>
      <w:r w:rsidRPr="000744E3">
        <w:rPr>
          <w:rFonts w:eastAsia="Calibri" w:cs="Calibri"/>
        </w:rPr>
        <w:t xml:space="preserve"> of the executed orders in </w:t>
      </w:r>
      <w:r w:rsidR="00F00B49" w:rsidRPr="000744E3">
        <w:rPr>
          <w:rFonts w:eastAsia="Calibri" w:cs="Calibri"/>
        </w:rPr>
        <w:t xml:space="preserve">most </w:t>
      </w:r>
      <w:r w:rsidR="008E3B11" w:rsidRPr="000744E3">
        <w:rPr>
          <w:rFonts w:eastAsia="Calibri" w:cs="Calibri"/>
        </w:rPr>
        <w:t>FBAs</w:t>
      </w:r>
      <w:r w:rsidR="0071199D" w:rsidRPr="000744E3">
        <w:rPr>
          <w:rFonts w:eastAsia="Calibri" w:cs="Calibri"/>
        </w:rPr>
        <w:t>.</w:t>
      </w:r>
      <w:r w:rsidRPr="000744E3">
        <w:rPr>
          <w:rFonts w:eastAsia="Calibri" w:cs="Calibri"/>
        </w:rPr>
        <w:t xml:space="preserve"> Labelling </w:t>
      </w:r>
      <w:r w:rsidR="008E3B11" w:rsidRPr="000744E3">
        <w:rPr>
          <w:rFonts w:eastAsia="Calibri" w:cs="Calibri"/>
        </w:rPr>
        <w:t xml:space="preserve">FBAs </w:t>
      </w:r>
      <w:r w:rsidRPr="000744E3">
        <w:rPr>
          <w:rFonts w:eastAsia="Calibri" w:cs="Calibri"/>
        </w:rPr>
        <w:t>as non-price forming is therefore misleading.</w:t>
      </w:r>
    </w:p>
    <w:p w14:paraId="5D1325C8" w14:textId="77777777" w:rsidR="00785AC1" w:rsidRPr="000744E3" w:rsidRDefault="00785AC1" w:rsidP="001E050E">
      <w:pPr>
        <w:rPr>
          <w:szCs w:val="22"/>
        </w:rPr>
      </w:pPr>
      <w:r w:rsidRPr="000744E3">
        <w:rPr>
          <w:szCs w:val="22"/>
        </w:rPr>
        <w:t>&lt;ESMA_QUESTION_MSEM_15&gt;</w:t>
      </w:r>
    </w:p>
    <w:p w14:paraId="429D6344" w14:textId="77777777" w:rsidR="00785AC1" w:rsidRPr="000744E3" w:rsidRDefault="00785AC1" w:rsidP="00785AC1"/>
    <w:p w14:paraId="2AF5F9FA"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have any particular observations as regards the impact of SVC on FBAs?</w:t>
      </w:r>
    </w:p>
    <w:p w14:paraId="3983B03B" w14:textId="77777777" w:rsidR="00785AC1" w:rsidRPr="000744E3" w:rsidRDefault="00785AC1" w:rsidP="00785AC1">
      <w:r w:rsidRPr="000744E3">
        <w:t>&lt;ESMA_QUESTION_MSEM_16&gt;</w:t>
      </w:r>
    </w:p>
    <w:p w14:paraId="047A318C" w14:textId="212B8C52" w:rsidR="00016EC1" w:rsidRPr="000744E3" w:rsidRDefault="00016EC1" w:rsidP="00C65869">
      <w:pPr>
        <w:spacing w:after="100"/>
        <w:rPr>
          <w:rFonts w:eastAsia="Calibri" w:cs="Calibri"/>
          <w:szCs w:val="22"/>
        </w:rPr>
      </w:pPr>
      <w:r w:rsidRPr="000744E3">
        <w:rPr>
          <w:rFonts w:eastAsia="Calibri" w:cs="Calibri"/>
          <w:szCs w:val="22"/>
        </w:rPr>
        <w:t xml:space="preserve">ESMA's data shows an increase in FBA activity in instruments suspended under the SVC in October 2025. The observation period is short, but the direction is </w:t>
      </w:r>
      <w:r w:rsidR="002B667E" w:rsidRPr="000744E3">
        <w:rPr>
          <w:rFonts w:eastAsia="Calibri" w:cs="Calibri"/>
          <w:szCs w:val="22"/>
        </w:rPr>
        <w:t>as</w:t>
      </w:r>
      <w:r w:rsidRPr="000744E3">
        <w:rPr>
          <w:rFonts w:eastAsia="Calibri" w:cs="Calibri"/>
          <w:szCs w:val="22"/>
        </w:rPr>
        <w:t xml:space="preserve"> expected: when one execution mechanism within the spread is constrained, demand for substitute mechanisms increases. The same effect was observed when the Double Volume Cap</w:t>
      </w:r>
      <w:r w:rsidR="00183433" w:rsidRPr="000744E3">
        <w:rPr>
          <w:rFonts w:eastAsia="Calibri" w:cs="Calibri"/>
          <w:szCs w:val="22"/>
        </w:rPr>
        <w:t xml:space="preserve"> (DVC)</w:t>
      </w:r>
      <w:r w:rsidRPr="000744E3">
        <w:rPr>
          <w:rFonts w:eastAsia="Calibri" w:cs="Calibri"/>
          <w:szCs w:val="22"/>
        </w:rPr>
        <w:t xml:space="preserve"> was applied historically.</w:t>
      </w:r>
      <w:r w:rsidR="00823628" w:rsidRPr="000744E3">
        <w:rPr>
          <w:rFonts w:eastAsia="Calibri" w:cs="Calibri"/>
          <w:szCs w:val="22"/>
        </w:rPr>
        <w:t xml:space="preserve"> From a market-structure perspective, this migration is a positive outcome. </w:t>
      </w:r>
    </w:p>
    <w:p w14:paraId="101513C7" w14:textId="52E6F734" w:rsidR="00FE0A3C" w:rsidRPr="000744E3" w:rsidRDefault="00B95290" w:rsidP="00C65869">
      <w:pPr>
        <w:spacing w:after="100"/>
        <w:rPr>
          <w:rFonts w:eastAsia="Calibri" w:cs="Calibri"/>
        </w:rPr>
      </w:pPr>
      <w:r w:rsidRPr="000744E3">
        <w:rPr>
          <w:rFonts w:eastAsia="Calibri" w:cs="Calibri"/>
        </w:rPr>
        <w:t>It is worth notin</w:t>
      </w:r>
      <w:r w:rsidR="00FE102A" w:rsidRPr="000744E3">
        <w:rPr>
          <w:rFonts w:eastAsia="Calibri" w:cs="Calibri"/>
        </w:rPr>
        <w:t>g</w:t>
      </w:r>
      <w:r w:rsidRPr="000744E3">
        <w:rPr>
          <w:rFonts w:eastAsia="Calibri" w:cs="Calibri"/>
        </w:rPr>
        <w:t xml:space="preserve"> that </w:t>
      </w:r>
      <w:r w:rsidR="00FE0A3C" w:rsidRPr="000744E3">
        <w:rPr>
          <w:rFonts w:eastAsia="Calibri" w:cs="Calibri"/>
        </w:rPr>
        <w:t>ESMA</w:t>
      </w:r>
      <w:r w:rsidRPr="000744E3">
        <w:rPr>
          <w:rFonts w:eastAsia="Calibri" w:cs="Calibri"/>
        </w:rPr>
        <w:t xml:space="preserve">’s </w:t>
      </w:r>
      <w:r w:rsidR="00F3326D" w:rsidRPr="000744E3">
        <w:rPr>
          <w:rFonts w:eastAsia="Calibri" w:cs="Calibri"/>
        </w:rPr>
        <w:t>data analysis</w:t>
      </w:r>
      <w:r w:rsidRPr="000744E3">
        <w:rPr>
          <w:rFonts w:eastAsia="Calibri" w:cs="Calibri"/>
        </w:rPr>
        <w:t xml:space="preserve"> </w:t>
      </w:r>
      <w:r w:rsidR="00FE0A3C" w:rsidRPr="000744E3">
        <w:rPr>
          <w:rFonts w:eastAsia="Calibri" w:cs="Calibri"/>
        </w:rPr>
        <w:t xml:space="preserve">does not </w:t>
      </w:r>
      <w:r w:rsidR="00F3326D" w:rsidRPr="000744E3">
        <w:rPr>
          <w:rFonts w:eastAsia="Calibri" w:cs="Calibri"/>
        </w:rPr>
        <w:t xml:space="preserve">examine </w:t>
      </w:r>
      <w:r w:rsidR="00FE0A3C" w:rsidRPr="000744E3">
        <w:rPr>
          <w:rFonts w:eastAsia="Calibri" w:cs="Calibri"/>
        </w:rPr>
        <w:t xml:space="preserve">the proportion of </w:t>
      </w:r>
      <w:r w:rsidR="00012F30" w:rsidRPr="000744E3">
        <w:rPr>
          <w:rFonts w:eastAsia="Calibri" w:cs="Calibri"/>
        </w:rPr>
        <w:t>off venue</w:t>
      </w:r>
      <w:r w:rsidR="00FE0A3C" w:rsidRPr="000744E3">
        <w:rPr>
          <w:rFonts w:eastAsia="Calibri" w:cs="Calibri"/>
        </w:rPr>
        <w:t xml:space="preserve"> activity for the newly capped stocks, which we believe is an important metric to monitor in the context of the SVC. ESMA's data shows a meaningful increase in FBA trading following the first SVC suspension. We </w:t>
      </w:r>
      <w:r w:rsidR="00F3326D" w:rsidRPr="000744E3">
        <w:rPr>
          <w:rFonts w:eastAsia="Calibri" w:cs="Calibri"/>
        </w:rPr>
        <w:t xml:space="preserve">also </w:t>
      </w:r>
      <w:r w:rsidR="00FE0A3C" w:rsidRPr="000744E3">
        <w:rPr>
          <w:rFonts w:eastAsia="Calibri" w:cs="Calibri"/>
        </w:rPr>
        <w:t xml:space="preserve">noticed a 6% increase in market share for SI “vanilla” activity following the first SVC. By “vanilla” activity, we mean SI trades which do not </w:t>
      </w:r>
      <w:r w:rsidR="00BA1294" w:rsidRPr="000744E3">
        <w:rPr>
          <w:rFonts w:eastAsia="Calibri" w:cs="Calibri"/>
        </w:rPr>
        <w:t xml:space="preserve">exhibit the post trade transparency flags </w:t>
      </w:r>
      <w:r w:rsidR="00FE0A3C" w:rsidRPr="000744E3">
        <w:rPr>
          <w:rFonts w:eastAsia="Calibri" w:cs="Calibri"/>
        </w:rPr>
        <w:t xml:space="preserve">benchmark, portfolio or contingent trades. While the observation period is short, this is consistent with the view that the SVC, like the prior </w:t>
      </w:r>
      <w:r w:rsidR="3B52D849" w:rsidRPr="000744E3">
        <w:rPr>
          <w:rFonts w:eastAsia="Calibri" w:cs="Calibri"/>
        </w:rPr>
        <w:t>DVC</w:t>
      </w:r>
      <w:r w:rsidR="00FE0A3C" w:rsidRPr="000744E3">
        <w:rPr>
          <w:rFonts w:eastAsia="Calibri" w:cs="Calibri"/>
        </w:rPr>
        <w:t>, does not eliminate the demand for execution mechanisms that minimise market impact and information leakage. It rather redirects that demand to other mechanisms.</w:t>
      </w:r>
    </w:p>
    <w:p w14:paraId="49188D6C" w14:textId="2EB9AE2A" w:rsidR="008E20A6" w:rsidRPr="000744E3" w:rsidRDefault="008E20A6" w:rsidP="00C65869">
      <w:pPr>
        <w:spacing w:after="100"/>
        <w:rPr>
          <w:rFonts w:eastAsia="Calibri" w:cs="Calibri"/>
          <w:szCs w:val="22"/>
        </w:rPr>
      </w:pPr>
      <w:r w:rsidRPr="000744E3">
        <w:rPr>
          <w:rFonts w:eastAsia="Calibri" w:cs="Calibri"/>
          <w:szCs w:val="22"/>
        </w:rPr>
        <w:t xml:space="preserve">If we look at </w:t>
      </w:r>
      <w:r w:rsidR="00E76785" w:rsidRPr="000744E3">
        <w:rPr>
          <w:rFonts w:eastAsia="Calibri" w:cs="Calibri"/>
          <w:szCs w:val="22"/>
        </w:rPr>
        <w:t xml:space="preserve">stocks which were not capped under the DVC and became capped under the SVC, we see the </w:t>
      </w:r>
      <w:r w:rsidR="00A04B54" w:rsidRPr="000744E3">
        <w:rPr>
          <w:rFonts w:eastAsia="Calibri" w:cs="Calibri"/>
          <w:szCs w:val="22"/>
        </w:rPr>
        <w:t>following market share and evolution:</w:t>
      </w:r>
    </w:p>
    <w:p w14:paraId="0A5103A2" w14:textId="6E72CA7A" w:rsidR="002735BC" w:rsidRPr="000744E3" w:rsidRDefault="00A04B54" w:rsidP="00C65869">
      <w:pPr>
        <w:spacing w:after="100"/>
        <w:rPr>
          <w:rFonts w:eastAsia="Calibri" w:cs="Calibri"/>
          <w:szCs w:val="22"/>
        </w:rPr>
      </w:pPr>
      <w:r w:rsidRPr="000744E3">
        <w:rPr>
          <w:rFonts w:eastAsia="Calibri" w:cs="Calibri"/>
          <w:noProof/>
          <w:szCs w:val="22"/>
        </w:rPr>
        <w:drawing>
          <wp:inline distT="0" distB="0" distL="0" distR="0" wp14:anchorId="31209A2C" wp14:editId="56E75B75">
            <wp:extent cx="2758440" cy="2656672"/>
            <wp:effectExtent l="0" t="0" r="3810" b="0"/>
            <wp:docPr id="38556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63749" name=""/>
                    <pic:cNvPicPr/>
                  </pic:nvPicPr>
                  <pic:blipFill>
                    <a:blip r:embed="rId20"/>
                    <a:stretch>
                      <a:fillRect/>
                    </a:stretch>
                  </pic:blipFill>
                  <pic:spPr>
                    <a:xfrm>
                      <a:off x="0" y="0"/>
                      <a:ext cx="2763480" cy="2661526"/>
                    </a:xfrm>
                    <a:prstGeom prst="rect">
                      <a:avLst/>
                    </a:prstGeom>
                  </pic:spPr>
                </pic:pic>
              </a:graphicData>
            </a:graphic>
          </wp:inline>
        </w:drawing>
      </w:r>
      <w:r w:rsidR="00FB502B" w:rsidRPr="000744E3">
        <w:rPr>
          <w:rFonts w:eastAsia="Calibri" w:cs="Calibri"/>
          <w:szCs w:val="22"/>
        </w:rPr>
        <w:t xml:space="preserve">    </w:t>
      </w:r>
      <w:r w:rsidR="00FB502B" w:rsidRPr="000744E3">
        <w:rPr>
          <w:rFonts w:eastAsia="Calibri" w:cs="Calibri"/>
          <w:noProof/>
          <w:szCs w:val="22"/>
        </w:rPr>
        <w:drawing>
          <wp:inline distT="0" distB="0" distL="0" distR="0" wp14:anchorId="6747EBC0" wp14:editId="50FEE0F8">
            <wp:extent cx="2611120" cy="1780289"/>
            <wp:effectExtent l="0" t="0" r="0" b="0"/>
            <wp:docPr id="183228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7735" cy="1784799"/>
                    </a:xfrm>
                    <a:prstGeom prst="rect">
                      <a:avLst/>
                    </a:prstGeom>
                    <a:noFill/>
                  </pic:spPr>
                </pic:pic>
              </a:graphicData>
            </a:graphic>
          </wp:inline>
        </w:drawing>
      </w:r>
    </w:p>
    <w:p w14:paraId="12B59E60" w14:textId="147E3005" w:rsidR="002735BC" w:rsidRPr="000744E3" w:rsidRDefault="00E32BA3" w:rsidP="00C65869">
      <w:pPr>
        <w:pStyle w:val="Caption"/>
        <w:rPr>
          <w:rFonts w:eastAsia="Calibri" w:cs="Calibri"/>
        </w:rPr>
      </w:pPr>
      <w:r w:rsidRPr="000744E3">
        <w:t xml:space="preserve">Figure </w:t>
      </w:r>
      <w:r w:rsidR="000F51F0">
        <w:fldChar w:fldCharType="begin"/>
      </w:r>
      <w:r w:rsidR="000F51F0">
        <w:instrText xml:space="preserve"> SEQ Figure \* ARABIC </w:instrText>
      </w:r>
      <w:r w:rsidR="000F51F0">
        <w:fldChar w:fldCharType="separate"/>
      </w:r>
      <w:r w:rsidR="000F51F0" w:rsidRPr="000744E3">
        <w:rPr>
          <w:noProof/>
        </w:rPr>
        <w:t>4</w:t>
      </w:r>
      <w:r w:rsidR="000F51F0">
        <w:rPr>
          <w:noProof/>
        </w:rPr>
        <w:fldChar w:fldCharType="end"/>
      </w:r>
      <w:r w:rsidRPr="000744E3">
        <w:t xml:space="preserve">: Data comparing market share for newly capped stocks between September, early October 2025 vs late October, November and December 2025). Volumes are looked at across jurisdictions (UK, EU and Switzerland). Note that only 10% of the newly SVC stocks </w:t>
      </w:r>
      <w:r w:rsidR="00C60B83">
        <w:t>had</w:t>
      </w:r>
      <w:r w:rsidRPr="000744E3">
        <w:t xml:space="preserve"> an LIS at EUR 650k</w:t>
      </w:r>
      <w:r w:rsidR="00F6693F" w:rsidRPr="000744E3">
        <w:t xml:space="preserve"> which explains the </w:t>
      </w:r>
      <w:r w:rsidR="00C60B83">
        <w:t>“</w:t>
      </w:r>
      <w:r w:rsidR="00F6693F" w:rsidRPr="000744E3">
        <w:t>residual</w:t>
      </w:r>
      <w:r w:rsidR="00C60B83">
        <w:t>”</w:t>
      </w:r>
      <w:r w:rsidR="00F6693F" w:rsidRPr="000744E3">
        <w:t xml:space="preserve"> flow for execution below </w:t>
      </w:r>
      <w:r w:rsidR="00C60B83">
        <w:t>EUR 650k</w:t>
      </w:r>
      <w:r w:rsidRPr="000744E3">
        <w:t>. BMLL Data, Aquis Analysis</w:t>
      </w:r>
    </w:p>
    <w:p w14:paraId="6F54D268" w14:textId="0A6FB630" w:rsidR="00F3326D" w:rsidRPr="000744E3" w:rsidRDefault="00F422A3" w:rsidP="00C65869">
      <w:pPr>
        <w:spacing w:after="100"/>
        <w:rPr>
          <w:rFonts w:eastAsia="Calibri" w:cs="Calibri"/>
        </w:rPr>
      </w:pPr>
      <w:r w:rsidRPr="000744E3">
        <w:t xml:space="preserve">The SVC is intended to safeguard price formation by limiting dark trading. However, if the practical effect is to redirect </w:t>
      </w:r>
      <w:r w:rsidR="00147EA6" w:rsidRPr="000744E3">
        <w:t xml:space="preserve">part of the </w:t>
      </w:r>
      <w:r w:rsidRPr="000744E3">
        <w:t xml:space="preserve">flow towards bilateral execution (which has similar to less pre-trade transparency than dark trading on multilateral venues), then the SVC may be working against its own objectives. </w:t>
      </w:r>
      <w:r w:rsidR="00672399" w:rsidRPr="000744E3">
        <w:t xml:space="preserve">It is worth noting that the total notional traded on venue for those newly capped stocks </w:t>
      </w:r>
      <w:r w:rsidR="0020304D" w:rsidRPr="000744E3">
        <w:t xml:space="preserve">has </w:t>
      </w:r>
      <w:r w:rsidR="003677D9" w:rsidRPr="000744E3">
        <w:t xml:space="preserve">decreased by 8%. </w:t>
      </w:r>
      <w:r w:rsidRPr="000744E3">
        <w:t>We encourage ESMA to monitor where SVC-redirected flow goes</w:t>
      </w:r>
      <w:r w:rsidR="2C77A0DC" w:rsidRPr="000744E3">
        <w:t>,</w:t>
      </w:r>
      <w:r w:rsidRPr="000744E3">
        <w:t xml:space="preserve"> across FBAs, SIs, OTC, and overseas venues</w:t>
      </w:r>
      <w:r w:rsidR="13F9A693" w:rsidRPr="000744E3">
        <w:t>,</w:t>
      </w:r>
      <w:r w:rsidRPr="000744E3">
        <w:t xml:space="preserve"> before drawing any conclusions about the SVC's effectiveness as a price formation safeguard</w:t>
      </w:r>
      <w:r w:rsidR="00F3326D" w:rsidRPr="000744E3">
        <w:rPr>
          <w:rFonts w:eastAsia="Calibri" w:cs="Calibri"/>
        </w:rPr>
        <w:t>.</w:t>
      </w:r>
    </w:p>
    <w:p w14:paraId="471A3187" w14:textId="1D4C2E4B" w:rsidR="00903FF6" w:rsidRPr="000744E3" w:rsidRDefault="00E71466" w:rsidP="00C65869">
      <w:pPr>
        <w:spacing w:after="100"/>
        <w:rPr>
          <w:rFonts w:eastAsia="Calibri" w:cs="Calibri"/>
          <w:sz w:val="20"/>
        </w:rPr>
      </w:pPr>
      <w:r w:rsidRPr="000744E3">
        <w:rPr>
          <w:rFonts w:eastAsia="Calibri" w:cs="Calibri"/>
        </w:rPr>
        <w:t xml:space="preserve">We note than in the absence of FBAs, it is likely that the effect of the dark cap would have been a transfer of volumes to bilateral mechanisms. </w:t>
      </w:r>
      <w:r w:rsidR="00147EA6" w:rsidRPr="000744E3">
        <w:rPr>
          <w:rFonts w:eastAsia="Calibri" w:cs="Calibri"/>
        </w:rPr>
        <w:t>As per our answer</w:t>
      </w:r>
      <w:r w:rsidR="00DA25CE" w:rsidRPr="000744E3">
        <w:rPr>
          <w:rFonts w:eastAsia="Calibri" w:cs="Calibri"/>
        </w:rPr>
        <w:t>s</w:t>
      </w:r>
      <w:r w:rsidR="00147EA6" w:rsidRPr="000744E3">
        <w:rPr>
          <w:rFonts w:eastAsia="Calibri" w:cs="Calibri"/>
        </w:rPr>
        <w:t xml:space="preserve"> to question</w:t>
      </w:r>
      <w:r w:rsidR="00DA25CE" w:rsidRPr="000744E3">
        <w:rPr>
          <w:rFonts w:eastAsia="Calibri" w:cs="Calibri"/>
        </w:rPr>
        <w:t>s</w:t>
      </w:r>
      <w:r w:rsidR="00147EA6" w:rsidRPr="000744E3">
        <w:rPr>
          <w:rFonts w:eastAsia="Calibri" w:cs="Calibri"/>
        </w:rPr>
        <w:t xml:space="preserve"> 9 and 10, we believe </w:t>
      </w:r>
      <w:r w:rsidR="00DA25CE" w:rsidRPr="000744E3">
        <w:rPr>
          <w:rFonts w:eastAsia="Calibri" w:cs="Calibri"/>
        </w:rPr>
        <w:t xml:space="preserve">the </w:t>
      </w:r>
      <w:r w:rsidR="00147EA6" w:rsidRPr="000744E3">
        <w:rPr>
          <w:rFonts w:eastAsia="Calibri" w:cs="Calibri"/>
        </w:rPr>
        <w:t>dark cap artificially redirect</w:t>
      </w:r>
      <w:r w:rsidR="00DA25CE" w:rsidRPr="000744E3">
        <w:rPr>
          <w:rFonts w:eastAsia="Calibri" w:cs="Calibri"/>
        </w:rPr>
        <w:t>s</w:t>
      </w:r>
      <w:r w:rsidR="00147EA6" w:rsidRPr="000744E3">
        <w:rPr>
          <w:rFonts w:eastAsia="Calibri" w:cs="Calibri"/>
        </w:rPr>
        <w:t xml:space="preserve"> flows and should be removed from the regulatory framework in favour of </w:t>
      </w:r>
      <w:r w:rsidR="00DA25CE" w:rsidRPr="000744E3">
        <w:rPr>
          <w:rFonts w:eastAsia="Calibri" w:cs="Calibri"/>
        </w:rPr>
        <w:t xml:space="preserve">an </w:t>
      </w:r>
      <w:r w:rsidR="00926EDC" w:rsidRPr="000744E3">
        <w:rPr>
          <w:rFonts w:eastAsia="Calibri" w:cs="Calibri"/>
        </w:rPr>
        <w:t xml:space="preserve">ad hoc </w:t>
      </w:r>
      <w:r w:rsidR="00147EA6" w:rsidRPr="000744E3">
        <w:rPr>
          <w:rFonts w:eastAsia="Calibri" w:cs="Calibri"/>
        </w:rPr>
        <w:t xml:space="preserve">ban </w:t>
      </w:r>
      <w:r w:rsidR="005A2E5D" w:rsidRPr="000744E3">
        <w:rPr>
          <w:rFonts w:eastAsia="Calibri" w:cs="Calibri"/>
        </w:rPr>
        <w:t>with the right calibration for impacted trading mechanism</w:t>
      </w:r>
      <w:r w:rsidR="00903FF6" w:rsidRPr="000744E3">
        <w:rPr>
          <w:rFonts w:eastAsia="Calibri" w:cs="Calibri"/>
        </w:rPr>
        <w:t>s</w:t>
      </w:r>
      <w:r w:rsidR="005A2E5D" w:rsidRPr="000744E3">
        <w:rPr>
          <w:rFonts w:eastAsia="Calibri" w:cs="Calibri"/>
        </w:rPr>
        <w:t>.</w:t>
      </w:r>
    </w:p>
    <w:p w14:paraId="5AA536D6" w14:textId="77777777" w:rsidR="00785AC1" w:rsidRPr="000744E3" w:rsidRDefault="00785AC1" w:rsidP="00785AC1">
      <w:r w:rsidRPr="000744E3">
        <w:t>&lt;ESMA_QUESTION_MSEM_16&gt;</w:t>
      </w:r>
    </w:p>
    <w:p w14:paraId="0F3585EA" w14:textId="77777777" w:rsidR="00785AC1" w:rsidRPr="000744E3" w:rsidRDefault="00785AC1" w:rsidP="00785AC1"/>
    <w:p w14:paraId="135F1124" w14:textId="77777777" w:rsidR="00785AC1" w:rsidRPr="000744E3" w:rsidRDefault="00785AC1" w:rsidP="00785AC1">
      <w:pPr>
        <w:pStyle w:val="Questionstyle"/>
        <w:numPr>
          <w:ilvl w:val="0"/>
          <w:numId w:val="1"/>
        </w:numPr>
        <w:tabs>
          <w:tab w:val="clear" w:pos="567"/>
        </w:tabs>
        <w:spacing w:before="120" w:after="120"/>
        <w:ind w:left="851" w:hanging="709"/>
      </w:pPr>
      <w:r w:rsidRPr="000744E3">
        <w:t>Are there any emerging structural shifts which you believe would warrant closer monitoring? (please elaborate)</w:t>
      </w:r>
    </w:p>
    <w:p w14:paraId="41214F38" w14:textId="77777777" w:rsidR="00785AC1" w:rsidRPr="000744E3" w:rsidRDefault="00785AC1" w:rsidP="00785AC1">
      <w:r w:rsidRPr="000744E3">
        <w:t>&lt;ESMA_QUESTION_MSEM_17&gt;</w:t>
      </w:r>
    </w:p>
    <w:p w14:paraId="738B3C7C" w14:textId="39F0D36E" w:rsidR="002C030D" w:rsidRPr="000744E3" w:rsidRDefault="008E7515" w:rsidP="005849C3">
      <w:pPr>
        <w:spacing w:after="100"/>
        <w:rPr>
          <w:rFonts w:eastAsia="Calibri" w:cs="Calibri"/>
          <w:szCs w:val="22"/>
        </w:rPr>
      </w:pPr>
      <w:r w:rsidRPr="000744E3">
        <w:rPr>
          <w:rFonts w:eastAsia="Calibri" w:cs="Calibri"/>
          <w:szCs w:val="22"/>
        </w:rPr>
        <w:t xml:space="preserve">At this stage, we do not see evidence </w:t>
      </w:r>
      <w:r w:rsidR="00AA0592" w:rsidRPr="000744E3">
        <w:rPr>
          <w:rFonts w:eastAsia="Calibri" w:cs="Calibri"/>
          <w:szCs w:val="22"/>
        </w:rPr>
        <w:t>or believe that th</w:t>
      </w:r>
      <w:r w:rsidR="003C45C8" w:rsidRPr="000744E3">
        <w:rPr>
          <w:rFonts w:eastAsia="Calibri" w:cs="Calibri"/>
          <w:szCs w:val="22"/>
        </w:rPr>
        <w:t xml:space="preserve">e growth in </w:t>
      </w:r>
      <w:r w:rsidR="000803C9" w:rsidRPr="000744E3">
        <w:rPr>
          <w:rFonts w:eastAsia="Calibri" w:cs="Calibri"/>
          <w:szCs w:val="22"/>
        </w:rPr>
        <w:t>FBAs requires</w:t>
      </w:r>
      <w:r w:rsidRPr="000744E3">
        <w:rPr>
          <w:rFonts w:eastAsia="Calibri" w:cs="Calibri"/>
          <w:szCs w:val="22"/>
        </w:rPr>
        <w:t xml:space="preserve"> immediate regulatory intervention. FBAs are operating within the multilateral trading-venue regime, with appropriate transparency obligations. The volume growth reflects investor demand combined with regulatory drivers</w:t>
      </w:r>
      <w:r w:rsidR="003D4F3D" w:rsidRPr="000744E3">
        <w:rPr>
          <w:rFonts w:eastAsia="Calibri" w:cs="Calibri"/>
          <w:szCs w:val="22"/>
        </w:rPr>
        <w:t xml:space="preserve">. </w:t>
      </w:r>
    </w:p>
    <w:p w14:paraId="4F46C03A" w14:textId="04A6F210" w:rsidR="00785AC1" w:rsidRPr="000744E3" w:rsidRDefault="00785AC1" w:rsidP="00A023F9">
      <w:pPr>
        <w:rPr>
          <w:b/>
        </w:rPr>
      </w:pPr>
      <w:r w:rsidRPr="000744E3">
        <w:t>&lt;ESMA_QUESTION_MSEM_17&gt;</w:t>
      </w:r>
    </w:p>
    <w:p w14:paraId="68495865"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regarding the contribution of FBAs to price formation and transparency? Should those mechanisms be generally considered as price forming/ non price forming or this assessment should be done on a case-by-case basis depending on the specific design of the auction? (please elaborate, supplementing your views with data evidence when available)</w:t>
      </w:r>
    </w:p>
    <w:p w14:paraId="60D10709" w14:textId="77777777" w:rsidR="00785AC1" w:rsidRPr="000744E3" w:rsidRDefault="00785AC1" w:rsidP="009A58BD">
      <w:r w:rsidRPr="000744E3">
        <w:t>&lt;ESMA_QUESTION_MSEM_18&gt;</w:t>
      </w:r>
    </w:p>
    <w:p w14:paraId="7F4A0FA9" w14:textId="1BDE2BC6" w:rsidR="00C40D4B" w:rsidRPr="000744E3" w:rsidRDefault="00A15830" w:rsidP="009A58BD">
      <w:pPr>
        <w:spacing w:after="100"/>
        <w:rPr>
          <w:rFonts w:eastAsia="Calibri" w:cs="Calibri"/>
          <w:szCs w:val="22"/>
        </w:rPr>
      </w:pPr>
      <w:r w:rsidRPr="000744E3">
        <w:rPr>
          <w:rFonts w:eastAsia="Calibri" w:cs="Calibri"/>
          <w:szCs w:val="22"/>
        </w:rPr>
        <w:t xml:space="preserve">FBAs contribute to price formation. The auction equilibrium price is determined by the interaction of buying and selling orders within each auction window, under transparent and non-discretionary rules. This is, in substance, the same mechanism that determines prices in opening and closing auctions, which are universally recognised as price-forming. </w:t>
      </w:r>
      <w:r w:rsidR="000E004F" w:rsidRPr="000744E3">
        <w:rPr>
          <w:rFonts w:eastAsia="Calibri" w:cs="Calibri"/>
          <w:szCs w:val="22"/>
        </w:rPr>
        <w:t>The FBA publishes indicative equilibrium prices</w:t>
      </w:r>
      <w:r w:rsidR="0091693D" w:rsidRPr="000744E3">
        <w:rPr>
          <w:rFonts w:eastAsia="Calibri" w:cs="Calibri"/>
          <w:szCs w:val="22"/>
        </w:rPr>
        <w:t xml:space="preserve"> and</w:t>
      </w:r>
      <w:r w:rsidR="000E004F" w:rsidRPr="000744E3">
        <w:rPr>
          <w:rFonts w:eastAsia="Calibri" w:cs="Calibri"/>
          <w:szCs w:val="22"/>
        </w:rPr>
        <w:t xml:space="preserve"> executable volumes, allowing any market participant to respond, </w:t>
      </w:r>
      <w:r w:rsidR="000766A9" w:rsidRPr="000744E3">
        <w:rPr>
          <w:rFonts w:eastAsia="Calibri" w:cs="Calibri"/>
          <w:szCs w:val="22"/>
        </w:rPr>
        <w:t xml:space="preserve">influence both </w:t>
      </w:r>
      <w:r w:rsidR="000E004F" w:rsidRPr="000744E3">
        <w:rPr>
          <w:rFonts w:eastAsia="Calibri" w:cs="Calibri"/>
          <w:szCs w:val="22"/>
        </w:rPr>
        <w:t xml:space="preserve">price </w:t>
      </w:r>
      <w:r w:rsidR="000766A9" w:rsidRPr="000744E3">
        <w:rPr>
          <w:rFonts w:eastAsia="Calibri" w:cs="Calibri"/>
          <w:szCs w:val="22"/>
        </w:rPr>
        <w:t xml:space="preserve">and executable volumes </w:t>
      </w:r>
      <w:r w:rsidR="000E004F" w:rsidRPr="000744E3">
        <w:rPr>
          <w:rFonts w:eastAsia="Calibri" w:cs="Calibri"/>
          <w:szCs w:val="22"/>
        </w:rPr>
        <w:t xml:space="preserve">or withdraw. </w:t>
      </w:r>
    </w:p>
    <w:p w14:paraId="573C1EB1" w14:textId="3C399486" w:rsidR="005702EA" w:rsidRPr="000744E3" w:rsidRDefault="000B00BF" w:rsidP="009A58BD">
      <w:pPr>
        <w:spacing w:after="100"/>
        <w:rPr>
          <w:rFonts w:eastAsia="Calibri" w:cs="Calibri"/>
        </w:rPr>
      </w:pPr>
      <w:r w:rsidRPr="000744E3">
        <w:rPr>
          <w:rFonts w:eastAsia="Calibri" w:cs="Calibri"/>
        </w:rPr>
        <w:t>The process contains every element</w:t>
      </w:r>
      <w:r w:rsidR="00885086" w:rsidRPr="000744E3">
        <w:rPr>
          <w:rFonts w:eastAsia="Calibri" w:cs="Calibri"/>
        </w:rPr>
        <w:t xml:space="preserve"> required for price formation: pre-trade transparency, competitive order submission</w:t>
      </w:r>
      <w:r w:rsidRPr="000744E3">
        <w:rPr>
          <w:rFonts w:eastAsia="Calibri" w:cs="Calibri"/>
        </w:rPr>
        <w:t xml:space="preserve"> and</w:t>
      </w:r>
      <w:r w:rsidR="00885086" w:rsidRPr="000744E3">
        <w:rPr>
          <w:rFonts w:eastAsia="Calibri" w:cs="Calibri"/>
        </w:rPr>
        <w:t xml:space="preserve"> multilateral aggregation. By comparison, a midpoint execution in a dark venue will be exclusively driven </w:t>
      </w:r>
      <w:r w:rsidR="00176A42" w:rsidRPr="000744E3">
        <w:rPr>
          <w:rFonts w:eastAsia="Calibri" w:cs="Calibri"/>
        </w:rPr>
        <w:t xml:space="preserve">by the execution venue and the prevailing </w:t>
      </w:r>
      <w:r w:rsidR="00885086" w:rsidRPr="000744E3">
        <w:rPr>
          <w:rFonts w:eastAsia="Calibri" w:cs="Calibri"/>
        </w:rPr>
        <w:t xml:space="preserve">midpoint from the </w:t>
      </w:r>
      <w:r w:rsidR="00176A42" w:rsidRPr="000744E3">
        <w:rPr>
          <w:rFonts w:eastAsia="Calibri" w:cs="Calibri"/>
        </w:rPr>
        <w:t xml:space="preserve">most relevant </w:t>
      </w:r>
      <w:r w:rsidR="00885086" w:rsidRPr="000744E3">
        <w:rPr>
          <w:rFonts w:eastAsia="Calibri" w:cs="Calibri"/>
        </w:rPr>
        <w:t xml:space="preserve">continuous lit market </w:t>
      </w:r>
      <w:r w:rsidR="004F2D61" w:rsidRPr="000744E3">
        <w:rPr>
          <w:rFonts w:eastAsia="Calibri" w:cs="Calibri"/>
        </w:rPr>
        <w:t xml:space="preserve">(i.e. the Primary) </w:t>
      </w:r>
      <w:r w:rsidR="00885086" w:rsidRPr="000744E3">
        <w:rPr>
          <w:rFonts w:eastAsia="Calibri" w:cs="Calibri"/>
        </w:rPr>
        <w:t>is simply consumed.</w:t>
      </w:r>
    </w:p>
    <w:p w14:paraId="1DD51EA7" w14:textId="26D6EA7A" w:rsidR="00785AC1" w:rsidRPr="000744E3" w:rsidRDefault="00785AC1" w:rsidP="00785AC1">
      <w:r w:rsidRPr="000744E3">
        <w:t>&lt;ESMA_QUESTION_MSEM_18&gt;</w:t>
      </w:r>
    </w:p>
    <w:p w14:paraId="1405A458" w14:textId="77777777" w:rsidR="00785AC1" w:rsidRPr="000744E3" w:rsidRDefault="00785AC1" w:rsidP="00785AC1"/>
    <w:p w14:paraId="377E75DF" w14:textId="77777777" w:rsidR="00785AC1" w:rsidRPr="000744E3" w:rsidRDefault="00785AC1" w:rsidP="00785AC1">
      <w:pPr>
        <w:pStyle w:val="Questionstyle"/>
        <w:numPr>
          <w:ilvl w:val="0"/>
          <w:numId w:val="1"/>
        </w:numPr>
        <w:tabs>
          <w:tab w:val="clear" w:pos="567"/>
        </w:tabs>
        <w:spacing w:before="120" w:after="120"/>
        <w:ind w:left="851" w:hanging="709"/>
      </w:pPr>
      <w:r w:rsidRPr="000744E3">
        <w:t>Please highlight any concerns/issues you may have at this stage. Do you see a need for specific regulatory interventions, particularly regarding the tick size regime and its application to transactions and periodic auctions (please provide details)?</w:t>
      </w:r>
    </w:p>
    <w:p w14:paraId="097CC4CE" w14:textId="77777777" w:rsidR="00785AC1" w:rsidRPr="000744E3" w:rsidRDefault="00785AC1" w:rsidP="00785AC1">
      <w:r w:rsidRPr="000744E3">
        <w:t>&lt;ESMA_QUESTION_MSEM_19&gt;</w:t>
      </w:r>
    </w:p>
    <w:p w14:paraId="35E669E0" w14:textId="380E2B5E" w:rsidR="00913CA4" w:rsidRPr="000744E3" w:rsidRDefault="00226ECB" w:rsidP="004E7EF2">
      <w:pPr>
        <w:rPr>
          <w:rFonts w:eastAsia="Calibri" w:cs="Calibri"/>
        </w:rPr>
      </w:pPr>
      <w:r w:rsidRPr="000744E3">
        <w:rPr>
          <w:rFonts w:eastAsia="Calibri" w:cs="Calibri"/>
        </w:rPr>
        <w:t>The tick-size regime under</w:t>
      </w:r>
      <w:r w:rsidR="00913CA4" w:rsidRPr="000744E3">
        <w:rPr>
          <w:rFonts w:eastAsia="Calibri" w:cs="Calibri"/>
        </w:rPr>
        <w:t xml:space="preserve"> MiFID article 49, </w:t>
      </w:r>
      <w:proofErr w:type="spellStart"/>
      <w:r w:rsidR="00913CA4" w:rsidRPr="000744E3">
        <w:rPr>
          <w:rFonts w:eastAsia="Calibri" w:cs="Calibri"/>
        </w:rPr>
        <w:t>MiFIR</w:t>
      </w:r>
      <w:proofErr w:type="spellEnd"/>
      <w:r w:rsidR="00913CA4" w:rsidRPr="000744E3">
        <w:rPr>
          <w:rFonts w:eastAsia="Calibri" w:cs="Calibri"/>
        </w:rPr>
        <w:t xml:space="preserve"> </w:t>
      </w:r>
      <w:r w:rsidR="0000455D" w:rsidRPr="000744E3">
        <w:rPr>
          <w:rFonts w:eastAsia="Calibri" w:cs="Calibri"/>
        </w:rPr>
        <w:t xml:space="preserve">article </w:t>
      </w:r>
      <w:r w:rsidR="00913CA4" w:rsidRPr="000744E3">
        <w:rPr>
          <w:rFonts w:eastAsia="Calibri" w:cs="Calibri"/>
        </w:rPr>
        <w:t>17a and</w:t>
      </w:r>
      <w:r w:rsidRPr="000744E3">
        <w:rPr>
          <w:rFonts w:eastAsia="Calibri" w:cs="Calibri"/>
        </w:rPr>
        <w:t xml:space="preserve"> RTS 11 </w:t>
      </w:r>
      <w:r w:rsidR="07554D75" w:rsidRPr="000744E3">
        <w:rPr>
          <w:rFonts w:eastAsia="Calibri" w:cs="Calibri"/>
        </w:rPr>
        <w:t>refers</w:t>
      </w:r>
      <w:r w:rsidR="00913CA4" w:rsidRPr="000744E3">
        <w:rPr>
          <w:rFonts w:eastAsia="Calibri" w:cs="Calibri"/>
        </w:rPr>
        <w:t xml:space="preserve"> to </w:t>
      </w:r>
      <w:r w:rsidRPr="000744E3">
        <w:rPr>
          <w:rFonts w:eastAsia="Calibri" w:cs="Calibri"/>
        </w:rPr>
        <w:t xml:space="preserve">orders </w:t>
      </w:r>
      <w:r w:rsidR="00913CA4" w:rsidRPr="000744E3">
        <w:rPr>
          <w:rFonts w:eastAsia="Calibri" w:cs="Calibri"/>
        </w:rPr>
        <w:t xml:space="preserve">and quotes. Under </w:t>
      </w:r>
      <w:proofErr w:type="spellStart"/>
      <w:r w:rsidR="00913CA4" w:rsidRPr="000744E3">
        <w:rPr>
          <w:rFonts w:eastAsia="Calibri" w:cs="Calibri"/>
        </w:rPr>
        <w:t>MiFIR</w:t>
      </w:r>
      <w:proofErr w:type="spellEnd"/>
      <w:r w:rsidR="00913CA4" w:rsidRPr="000744E3">
        <w:rPr>
          <w:rFonts w:eastAsia="Calibri" w:cs="Calibri"/>
        </w:rPr>
        <w:t xml:space="preserve"> Article 17a, SI</w:t>
      </w:r>
      <w:r w:rsidR="00544F47" w:rsidRPr="000744E3">
        <w:rPr>
          <w:rFonts w:eastAsia="Calibri" w:cs="Calibri"/>
        </w:rPr>
        <w:t>s</w:t>
      </w:r>
      <w:r w:rsidR="00913CA4" w:rsidRPr="000744E3">
        <w:rPr>
          <w:rFonts w:eastAsia="Calibri" w:cs="Calibri"/>
        </w:rPr>
        <w:t xml:space="preserve"> are explicitly allowed to execute off tick at mid in any size, while M</w:t>
      </w:r>
      <w:r w:rsidR="008B7EC3" w:rsidRPr="000744E3">
        <w:rPr>
          <w:rFonts w:eastAsia="Calibri" w:cs="Calibri"/>
        </w:rPr>
        <w:t>i</w:t>
      </w:r>
      <w:r w:rsidR="00913CA4" w:rsidRPr="000744E3">
        <w:rPr>
          <w:rFonts w:eastAsia="Calibri" w:cs="Calibri"/>
        </w:rPr>
        <w:t>FID article 49 makes reference to</w:t>
      </w:r>
      <w:r w:rsidR="00951F3A" w:rsidRPr="000744E3">
        <w:rPr>
          <w:rFonts w:eastAsia="Calibri" w:cs="Calibri"/>
        </w:rPr>
        <w:t xml:space="preserve"> allowing trading venue</w:t>
      </w:r>
      <w:r w:rsidR="00982799" w:rsidRPr="000744E3">
        <w:rPr>
          <w:rFonts w:eastAsia="Calibri" w:cs="Calibri"/>
        </w:rPr>
        <w:t>s to match</w:t>
      </w:r>
      <w:r w:rsidR="00913CA4" w:rsidRPr="000744E3">
        <w:rPr>
          <w:rFonts w:eastAsia="Calibri" w:cs="Calibri"/>
        </w:rPr>
        <w:t xml:space="preserve"> </w:t>
      </w:r>
      <w:r w:rsidR="0000455D" w:rsidRPr="000744E3">
        <w:rPr>
          <w:rFonts w:eastAsia="Calibri" w:cs="Calibri"/>
        </w:rPr>
        <w:t xml:space="preserve">above </w:t>
      </w:r>
      <w:r w:rsidR="00566B77" w:rsidRPr="000744E3">
        <w:rPr>
          <w:rFonts w:eastAsia="Calibri" w:cs="Calibri"/>
        </w:rPr>
        <w:t xml:space="preserve">LIS </w:t>
      </w:r>
      <w:r w:rsidR="00982799" w:rsidRPr="000744E3">
        <w:rPr>
          <w:rFonts w:eastAsia="Calibri" w:cs="Calibri"/>
        </w:rPr>
        <w:t>orders at mid.</w:t>
      </w:r>
      <w:r w:rsidR="00566B77" w:rsidRPr="000744E3">
        <w:rPr>
          <w:rFonts w:eastAsia="Calibri" w:cs="Calibri"/>
        </w:rPr>
        <w:t xml:space="preserve"> </w:t>
      </w:r>
      <w:r w:rsidR="00913CA4" w:rsidRPr="000744E3">
        <w:rPr>
          <w:rFonts w:eastAsia="Calibri" w:cs="Calibri"/>
        </w:rPr>
        <w:t xml:space="preserve">Reference to execution appears in </w:t>
      </w:r>
      <w:r w:rsidR="00667E62" w:rsidRPr="000744E3">
        <w:rPr>
          <w:rFonts w:eastAsia="Calibri" w:cs="Calibri"/>
        </w:rPr>
        <w:t xml:space="preserve">the </w:t>
      </w:r>
      <w:r w:rsidR="00913CA4" w:rsidRPr="000744E3">
        <w:rPr>
          <w:rFonts w:eastAsia="Calibri" w:cs="Calibri"/>
        </w:rPr>
        <w:t xml:space="preserve">ESMA Q&amp;A, in particular </w:t>
      </w:r>
      <w:r w:rsidR="000575F2" w:rsidRPr="000744E3">
        <w:rPr>
          <w:rFonts w:eastAsia="Calibri" w:cs="Calibri"/>
        </w:rPr>
        <w:t>Q</w:t>
      </w:r>
      <w:r w:rsidR="00913CA4" w:rsidRPr="000744E3">
        <w:rPr>
          <w:rFonts w:eastAsia="Calibri" w:cs="Calibri"/>
        </w:rPr>
        <w:t xml:space="preserve">11 and </w:t>
      </w:r>
      <w:r w:rsidR="000575F2" w:rsidRPr="000744E3">
        <w:rPr>
          <w:rFonts w:eastAsia="Calibri" w:cs="Calibri"/>
        </w:rPr>
        <w:t>Q</w:t>
      </w:r>
      <w:r w:rsidR="00913CA4" w:rsidRPr="000744E3">
        <w:rPr>
          <w:rFonts w:eastAsia="Calibri" w:cs="Calibri"/>
        </w:rPr>
        <w:t xml:space="preserve">6. </w:t>
      </w:r>
      <w:r w:rsidR="00667E62" w:rsidRPr="000744E3">
        <w:rPr>
          <w:rFonts w:eastAsia="Calibri" w:cs="Calibri"/>
        </w:rPr>
        <w:t>We are concerned that</w:t>
      </w:r>
      <w:r w:rsidR="00566B77" w:rsidRPr="000744E3">
        <w:rPr>
          <w:rFonts w:eastAsia="Calibri" w:cs="Calibri"/>
        </w:rPr>
        <w:t xml:space="preserve"> the tick-size regime as currently applied is</w:t>
      </w:r>
      <w:r w:rsidR="00667E62" w:rsidRPr="000744E3">
        <w:rPr>
          <w:rFonts w:eastAsia="Calibri" w:cs="Calibri"/>
        </w:rPr>
        <w:t xml:space="preserve"> resulting in</w:t>
      </w:r>
      <w:r w:rsidR="00566B77" w:rsidRPr="000744E3">
        <w:rPr>
          <w:rFonts w:eastAsia="Calibri" w:cs="Calibri"/>
        </w:rPr>
        <w:t xml:space="preserve"> asymmetric treatment between trading venues and bilateral execution. </w:t>
      </w:r>
      <w:r w:rsidR="00913CA4" w:rsidRPr="000744E3">
        <w:rPr>
          <w:rFonts w:eastAsia="Calibri" w:cs="Calibri"/>
        </w:rPr>
        <w:t xml:space="preserve">We </w:t>
      </w:r>
      <w:r w:rsidR="00566B77" w:rsidRPr="000744E3">
        <w:rPr>
          <w:rFonts w:eastAsia="Calibri" w:cs="Calibri"/>
        </w:rPr>
        <w:t xml:space="preserve">therefore </w:t>
      </w:r>
      <w:r w:rsidR="00913CA4" w:rsidRPr="000744E3">
        <w:rPr>
          <w:rFonts w:eastAsia="Calibri" w:cs="Calibri"/>
        </w:rPr>
        <w:t xml:space="preserve">welcome ESMA’s decision to repeal the Q&amp;A </w:t>
      </w:r>
      <w:r w:rsidR="000575F2" w:rsidRPr="000744E3">
        <w:rPr>
          <w:rFonts w:eastAsia="Calibri" w:cs="Calibri"/>
        </w:rPr>
        <w:t>Q</w:t>
      </w:r>
      <w:r w:rsidR="00913CA4" w:rsidRPr="000744E3">
        <w:rPr>
          <w:rFonts w:eastAsia="Calibri" w:cs="Calibri"/>
        </w:rPr>
        <w:t xml:space="preserve">6 and </w:t>
      </w:r>
      <w:r w:rsidR="00115E30" w:rsidRPr="000744E3">
        <w:rPr>
          <w:rFonts w:eastAsia="Calibri" w:cs="Calibri"/>
        </w:rPr>
        <w:t>to consult with</w:t>
      </w:r>
      <w:r w:rsidR="00913CA4" w:rsidRPr="000744E3">
        <w:rPr>
          <w:rFonts w:eastAsia="Calibri" w:cs="Calibri"/>
        </w:rPr>
        <w:t xml:space="preserve"> the industry on this important matter</w:t>
      </w:r>
      <w:r w:rsidR="00566B77" w:rsidRPr="000744E3">
        <w:rPr>
          <w:rFonts w:eastAsia="Calibri" w:cs="Calibri"/>
        </w:rPr>
        <w:t xml:space="preserve">, which we believe is the right outcome to remove the discrepancy between SI and </w:t>
      </w:r>
      <w:r w:rsidR="00FB76AA" w:rsidRPr="000744E3">
        <w:rPr>
          <w:rFonts w:eastAsia="Calibri" w:cs="Calibri"/>
        </w:rPr>
        <w:t>t</w:t>
      </w:r>
      <w:r w:rsidR="00566B77" w:rsidRPr="000744E3">
        <w:rPr>
          <w:rFonts w:eastAsia="Calibri" w:cs="Calibri"/>
        </w:rPr>
        <w:t xml:space="preserve">rading </w:t>
      </w:r>
      <w:r w:rsidR="00FB76AA" w:rsidRPr="000744E3">
        <w:rPr>
          <w:rFonts w:eastAsia="Calibri" w:cs="Calibri"/>
        </w:rPr>
        <w:t>v</w:t>
      </w:r>
      <w:r w:rsidR="00566B77" w:rsidRPr="000744E3">
        <w:rPr>
          <w:rFonts w:eastAsia="Calibri" w:cs="Calibri"/>
        </w:rPr>
        <w:t>enues</w:t>
      </w:r>
      <w:r w:rsidR="00913CA4" w:rsidRPr="000744E3">
        <w:rPr>
          <w:rFonts w:eastAsia="Calibri" w:cs="Calibri"/>
        </w:rPr>
        <w:t xml:space="preserve">. </w:t>
      </w:r>
      <w:r w:rsidR="003C19E7" w:rsidRPr="000744E3">
        <w:rPr>
          <w:rFonts w:eastAsia="Calibri" w:cs="Calibri"/>
        </w:rPr>
        <w:t xml:space="preserve">We </w:t>
      </w:r>
      <w:r w:rsidR="00A46DA1" w:rsidRPr="000744E3">
        <w:rPr>
          <w:rFonts w:eastAsia="Calibri" w:cs="Calibri"/>
        </w:rPr>
        <w:t xml:space="preserve">hope that this consultation results in a more consistent application of the tick size regime </w:t>
      </w:r>
      <w:r w:rsidR="00BD4218" w:rsidRPr="000744E3">
        <w:rPr>
          <w:rFonts w:eastAsia="Calibri" w:cs="Calibri"/>
        </w:rPr>
        <w:t xml:space="preserve">exclusively </w:t>
      </w:r>
      <w:r w:rsidR="00A46DA1" w:rsidRPr="000744E3">
        <w:rPr>
          <w:rFonts w:eastAsia="Calibri" w:cs="Calibri"/>
        </w:rPr>
        <w:t xml:space="preserve">to orders and quotes, in line with the original </w:t>
      </w:r>
      <w:r w:rsidR="004B3DB0" w:rsidRPr="000744E3">
        <w:rPr>
          <w:rFonts w:eastAsia="Calibri" w:cs="Calibri"/>
        </w:rPr>
        <w:t>intent of RTS 11.</w:t>
      </w:r>
    </w:p>
    <w:p w14:paraId="6F0D655A" w14:textId="02229AC3" w:rsidR="00251333" w:rsidRPr="000744E3" w:rsidRDefault="00251333" w:rsidP="004E7EF2">
      <w:pPr>
        <w:spacing w:after="100"/>
        <w:rPr>
          <w:rFonts w:eastAsia="Calibri" w:cs="Calibri"/>
        </w:rPr>
      </w:pPr>
      <w:r w:rsidRPr="000744E3">
        <w:rPr>
          <w:rFonts w:eastAsia="Calibri" w:cs="Calibri"/>
        </w:rPr>
        <w:t xml:space="preserve">The prime objective of a tick size regime is to ensure </w:t>
      </w:r>
      <w:r w:rsidR="00A67640" w:rsidRPr="000744E3">
        <w:rPr>
          <w:rFonts w:eastAsia="Calibri" w:cs="Calibri"/>
        </w:rPr>
        <w:t xml:space="preserve">orderly markets by requiring </w:t>
      </w:r>
      <w:r w:rsidRPr="000744E3">
        <w:rPr>
          <w:rFonts w:eastAsia="Calibri" w:cs="Calibri"/>
        </w:rPr>
        <w:t xml:space="preserve">ALL orders and ALL quotes </w:t>
      </w:r>
      <w:r w:rsidR="00A67640" w:rsidRPr="000744E3">
        <w:rPr>
          <w:rFonts w:eastAsia="Calibri" w:cs="Calibri"/>
        </w:rPr>
        <w:t>to follow</w:t>
      </w:r>
      <w:r w:rsidRPr="000744E3">
        <w:rPr>
          <w:rFonts w:eastAsia="Calibri" w:cs="Calibri"/>
        </w:rPr>
        <w:t xml:space="preserve"> the same price granularity. Execution</w:t>
      </w:r>
      <w:r w:rsidR="001053FD" w:rsidRPr="000744E3">
        <w:rPr>
          <w:rFonts w:eastAsia="Calibri" w:cs="Calibri"/>
        </w:rPr>
        <w:t>s</w:t>
      </w:r>
      <w:r w:rsidRPr="000744E3">
        <w:rPr>
          <w:rFonts w:eastAsia="Calibri" w:cs="Calibri"/>
        </w:rPr>
        <w:t xml:space="preserve"> off tick, as long as they are clearly identifiable and allocated to a clear trading mechanism, are not problematic for the good functioning of the market and </w:t>
      </w:r>
      <w:r w:rsidR="789AE778" w:rsidRPr="000744E3">
        <w:rPr>
          <w:rFonts w:eastAsia="Calibri" w:cs="Calibri"/>
        </w:rPr>
        <w:t>do</w:t>
      </w:r>
      <w:r w:rsidRPr="000744E3">
        <w:rPr>
          <w:rFonts w:eastAsia="Calibri" w:cs="Calibri"/>
        </w:rPr>
        <w:t xml:space="preserve"> not negatively impact price formation, especially when they are issued from a transparent trading mechanism such as FBA</w:t>
      </w:r>
      <w:r w:rsidRPr="000744E3" w:rsidDel="00251333">
        <w:rPr>
          <w:rFonts w:eastAsia="Calibri" w:cs="Calibri"/>
        </w:rPr>
        <w:t>s</w:t>
      </w:r>
      <w:r w:rsidRPr="000744E3">
        <w:rPr>
          <w:rFonts w:eastAsia="Calibri" w:cs="Calibri"/>
        </w:rPr>
        <w:t xml:space="preserve">. </w:t>
      </w:r>
    </w:p>
    <w:p w14:paraId="2D8334E2" w14:textId="77777777" w:rsidR="005465C1" w:rsidRPr="000744E3" w:rsidRDefault="005465C1" w:rsidP="005465C1">
      <w:pPr>
        <w:spacing w:after="100"/>
        <w:rPr>
          <w:rFonts w:eastAsia="Calibri" w:cs="Calibri"/>
        </w:rPr>
      </w:pPr>
      <w:r w:rsidRPr="000744E3">
        <w:rPr>
          <w:rFonts w:eastAsia="Calibri" w:cs="Calibri"/>
        </w:rPr>
        <w:t xml:space="preserve">When an FBA’s equilibrium price is determined to be at the midpoint of the observed spread in CLOBs, the uncrossing mechanisms may end up executing at mid tick. This is a consequence of a spread with an uneven number of ticks and is not a trigger of disorderly market conditions. </w:t>
      </w:r>
    </w:p>
    <w:p w14:paraId="1D9099D8" w14:textId="77777777" w:rsidR="005465C1" w:rsidRPr="000744E3" w:rsidRDefault="005465C1" w:rsidP="005465C1">
      <w:pPr>
        <w:spacing w:after="100"/>
        <w:rPr>
          <w:rFonts w:eastAsia="Calibri" w:cs="Calibri"/>
        </w:rPr>
      </w:pPr>
      <w:r w:rsidRPr="000744E3">
        <w:rPr>
          <w:rFonts w:eastAsia="Calibri" w:cs="Calibri"/>
        </w:rPr>
        <w:t xml:space="preserve">The distinction that matters is therefore not whether an FBA operates on-tick or off-tick, or whether some participants choose to submit midpoint-pegged orders: it is whether the mechanism requires participants to submit competitive orders, is pre-trade transparent, and determines an equilibrium through open and non-discriminatory multilateral competition. FBAs satisfy all three. </w:t>
      </w:r>
    </w:p>
    <w:p w14:paraId="6E1950BB" w14:textId="3F0A8F44" w:rsidR="00226ECB" w:rsidRPr="000744E3" w:rsidRDefault="00566B77" w:rsidP="004E7EF2">
      <w:pPr>
        <w:rPr>
          <w:rFonts w:eastAsia="Calibri" w:cs="Calibri"/>
          <w:szCs w:val="22"/>
        </w:rPr>
      </w:pPr>
      <w:r w:rsidRPr="000744E3">
        <w:rPr>
          <w:rFonts w:eastAsia="Calibri" w:cs="Calibri"/>
          <w:szCs w:val="22"/>
        </w:rPr>
        <w:t xml:space="preserve">We </w:t>
      </w:r>
      <w:r w:rsidR="00F21CE2" w:rsidRPr="000744E3">
        <w:rPr>
          <w:rFonts w:eastAsia="Calibri" w:cs="Calibri"/>
          <w:szCs w:val="22"/>
        </w:rPr>
        <w:t xml:space="preserve">are strongly supportive of allowing venues to execute off tick </w:t>
      </w:r>
      <w:r w:rsidR="00022F1E" w:rsidRPr="000744E3">
        <w:rPr>
          <w:rFonts w:eastAsia="Calibri" w:cs="Calibri"/>
          <w:szCs w:val="22"/>
        </w:rPr>
        <w:t xml:space="preserve">and </w:t>
      </w:r>
      <w:r w:rsidRPr="000744E3">
        <w:rPr>
          <w:rFonts w:eastAsia="Calibri" w:cs="Calibri"/>
          <w:szCs w:val="22"/>
        </w:rPr>
        <w:t xml:space="preserve">would advise against </w:t>
      </w:r>
      <w:r w:rsidR="00022F1E" w:rsidRPr="000744E3">
        <w:rPr>
          <w:rFonts w:eastAsia="Calibri" w:cs="Calibri"/>
          <w:szCs w:val="22"/>
        </w:rPr>
        <w:t xml:space="preserve">any attempts to </w:t>
      </w:r>
      <w:r w:rsidR="00861F70" w:rsidRPr="000744E3">
        <w:rPr>
          <w:rFonts w:eastAsia="Calibri" w:cs="Calibri"/>
          <w:szCs w:val="22"/>
        </w:rPr>
        <w:t>re-introduce</w:t>
      </w:r>
      <w:r w:rsidR="00022F1E" w:rsidRPr="000744E3">
        <w:rPr>
          <w:rFonts w:eastAsia="Calibri" w:cs="Calibri"/>
          <w:szCs w:val="22"/>
        </w:rPr>
        <w:t xml:space="preserve"> size limitation for mid-point execution. </w:t>
      </w:r>
    </w:p>
    <w:p w14:paraId="23293377" w14:textId="162FA085" w:rsidR="00B16D19" w:rsidRPr="000744E3" w:rsidRDefault="00B16D19" w:rsidP="004E7EF2">
      <w:pPr>
        <w:rPr>
          <w:rFonts w:eastAsia="Calibri" w:cs="Calibri"/>
          <w:szCs w:val="22"/>
        </w:rPr>
      </w:pPr>
      <w:r w:rsidRPr="000744E3">
        <w:rPr>
          <w:rFonts w:eastAsia="Calibri" w:cs="Calibri"/>
          <w:szCs w:val="22"/>
        </w:rPr>
        <w:t xml:space="preserve">On FBAs specifically: a prohibition on FBA off-tick execution would (i) reduce price-improvement opportunities </w:t>
      </w:r>
      <w:r w:rsidR="00E24CE2" w:rsidRPr="000744E3">
        <w:rPr>
          <w:rFonts w:eastAsia="Calibri" w:cs="Calibri"/>
          <w:szCs w:val="22"/>
        </w:rPr>
        <w:t xml:space="preserve">on trading venues </w:t>
      </w:r>
      <w:r w:rsidRPr="000744E3">
        <w:rPr>
          <w:rFonts w:eastAsia="Calibri" w:cs="Calibri"/>
          <w:szCs w:val="22"/>
        </w:rPr>
        <w:t>for investors, (ii) encourage workarounds and circumvention strategies, and (i</w:t>
      </w:r>
      <w:r w:rsidR="00E24CE2" w:rsidRPr="000744E3">
        <w:rPr>
          <w:rFonts w:eastAsia="Calibri" w:cs="Calibri"/>
          <w:szCs w:val="22"/>
        </w:rPr>
        <w:t>ii</w:t>
      </w:r>
      <w:r w:rsidRPr="000744E3">
        <w:rPr>
          <w:rFonts w:eastAsia="Calibri" w:cs="Calibri"/>
          <w:szCs w:val="22"/>
        </w:rPr>
        <w:t>) undermine the competitiveness of EU trading venues. The right policy response is consistent application of the tick-size regime across all execution-within-the-spread mechanisms, not selective restriction of one mechanism</w:t>
      </w:r>
      <w:r w:rsidR="002560E8" w:rsidRPr="000744E3">
        <w:rPr>
          <w:rFonts w:eastAsia="Calibri" w:cs="Calibri"/>
          <w:szCs w:val="22"/>
        </w:rPr>
        <w:t>, and it should apply to all orders and quotes, regardless of whether they are executed on</w:t>
      </w:r>
      <w:r w:rsidR="0069221E" w:rsidRPr="000744E3">
        <w:rPr>
          <w:rFonts w:eastAsia="Calibri" w:cs="Calibri"/>
          <w:szCs w:val="22"/>
        </w:rPr>
        <w:t>-</w:t>
      </w:r>
      <w:r w:rsidR="002560E8" w:rsidRPr="000744E3">
        <w:rPr>
          <w:rFonts w:eastAsia="Calibri" w:cs="Calibri"/>
          <w:szCs w:val="22"/>
        </w:rPr>
        <w:t xml:space="preserve"> or off</w:t>
      </w:r>
      <w:r w:rsidR="0069221E" w:rsidRPr="000744E3">
        <w:rPr>
          <w:rFonts w:eastAsia="Calibri" w:cs="Calibri"/>
          <w:szCs w:val="22"/>
        </w:rPr>
        <w:t>-</w:t>
      </w:r>
      <w:r w:rsidR="002560E8" w:rsidRPr="000744E3">
        <w:rPr>
          <w:rFonts w:eastAsia="Calibri" w:cs="Calibri"/>
          <w:szCs w:val="22"/>
        </w:rPr>
        <w:t>exchange.</w:t>
      </w:r>
    </w:p>
    <w:p w14:paraId="3EAA0C92" w14:textId="66AF4C91" w:rsidR="00785AC1" w:rsidRPr="000744E3" w:rsidRDefault="00785AC1" w:rsidP="00785AC1">
      <w:r w:rsidRPr="000744E3">
        <w:t>&lt;ESMA_QUESTION_MSEM_19&gt;</w:t>
      </w:r>
    </w:p>
    <w:p w14:paraId="1CB10606" w14:textId="77777777" w:rsidR="00785AC1" w:rsidRPr="000744E3" w:rsidRDefault="00785AC1" w:rsidP="00785AC1"/>
    <w:p w14:paraId="4E40C482"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view on the evolution of trading of SIs on the EEA markets? What are the main drivers of their growth?</w:t>
      </w:r>
    </w:p>
    <w:p w14:paraId="25BF8F23" w14:textId="77777777" w:rsidR="00785AC1" w:rsidRPr="000744E3" w:rsidRDefault="00785AC1" w:rsidP="00785AC1">
      <w:r w:rsidRPr="000744E3">
        <w:t>&lt;ESMA_QUESTION_MSEM_20&gt;</w:t>
      </w:r>
    </w:p>
    <w:p w14:paraId="7FFB1765" w14:textId="7951140A" w:rsidR="007164F9" w:rsidRPr="000744E3" w:rsidRDefault="00E73349" w:rsidP="00686E93">
      <w:r w:rsidRPr="000744E3">
        <w:t xml:space="preserve">We believe the </w:t>
      </w:r>
      <w:r w:rsidR="00385A78" w:rsidRPr="000744E3">
        <w:t xml:space="preserve">growth of SI activity over the period reflects a </w:t>
      </w:r>
      <w:r w:rsidR="008E7084" w:rsidRPr="000744E3">
        <w:rPr>
          <w:bCs/>
        </w:rPr>
        <w:t>slow</w:t>
      </w:r>
      <w:r w:rsidR="00385A78" w:rsidRPr="000744E3">
        <w:rPr>
          <w:bCs/>
        </w:rPr>
        <w:t xml:space="preserve"> shift in market design partially driven by regulatory </w:t>
      </w:r>
      <w:r w:rsidR="007212EE" w:rsidRPr="000744E3">
        <w:rPr>
          <w:bCs/>
        </w:rPr>
        <w:t xml:space="preserve">requirements for </w:t>
      </w:r>
      <w:r w:rsidR="6CA2A69B" w:rsidRPr="000744E3">
        <w:t xml:space="preserve">the </w:t>
      </w:r>
      <w:r w:rsidR="007212EE" w:rsidRPr="000744E3">
        <w:t>buyside</w:t>
      </w:r>
      <w:r w:rsidR="007212EE" w:rsidRPr="000744E3">
        <w:rPr>
          <w:bCs/>
        </w:rPr>
        <w:t xml:space="preserve">, by regulatory </w:t>
      </w:r>
      <w:r w:rsidR="008E7084" w:rsidRPr="000744E3">
        <w:rPr>
          <w:bCs/>
        </w:rPr>
        <w:t>differences</w:t>
      </w:r>
      <w:r w:rsidR="00385A78" w:rsidRPr="000744E3">
        <w:t xml:space="preserve"> between SIs and trading venues, </w:t>
      </w:r>
      <w:r w:rsidR="00B93ECA" w:rsidRPr="000744E3">
        <w:t xml:space="preserve">and </w:t>
      </w:r>
      <w:r w:rsidR="00385A78" w:rsidRPr="000744E3">
        <w:t>by technological changes for bilateral liquidity provision</w:t>
      </w:r>
      <w:r w:rsidR="007155F1" w:rsidRPr="000744E3">
        <w:t xml:space="preserve">. </w:t>
      </w:r>
    </w:p>
    <w:p w14:paraId="67605640" w14:textId="3156FA93" w:rsidR="005C3973" w:rsidRPr="000744E3" w:rsidRDefault="00E73349" w:rsidP="00686E93">
      <w:pPr>
        <w:rPr>
          <w:b/>
          <w:bCs/>
        </w:rPr>
      </w:pPr>
      <w:r w:rsidRPr="000744E3">
        <w:t xml:space="preserve">We broadly agree with ESMA’s </w:t>
      </w:r>
      <w:r w:rsidR="007155F1" w:rsidRPr="000744E3">
        <w:t xml:space="preserve">observations </w:t>
      </w:r>
      <w:r w:rsidRPr="000744E3">
        <w:t xml:space="preserve">on </w:t>
      </w:r>
      <w:r w:rsidR="00BC036D" w:rsidRPr="000744E3">
        <w:t xml:space="preserve">how </w:t>
      </w:r>
      <w:r w:rsidR="007164F9" w:rsidRPr="000744E3">
        <w:t xml:space="preserve">the </w:t>
      </w:r>
      <w:r w:rsidR="007212EE" w:rsidRPr="000744E3">
        <w:t xml:space="preserve">SI </w:t>
      </w:r>
      <w:r w:rsidR="007164F9" w:rsidRPr="000744E3">
        <w:t>regime has evolved over the past few years</w:t>
      </w:r>
      <w:r w:rsidRPr="000744E3">
        <w:t xml:space="preserve"> although</w:t>
      </w:r>
      <w:r w:rsidR="008F1879" w:rsidRPr="000744E3">
        <w:t>,</w:t>
      </w:r>
      <w:r w:rsidRPr="000744E3">
        <w:t xml:space="preserve"> as discussed in our response to Q1, any bilateral trend should be looked at irrespective of where the execution takes place. We note in particular</w:t>
      </w:r>
      <w:r w:rsidR="00AA051C" w:rsidRPr="000744E3">
        <w:t xml:space="preserve">: </w:t>
      </w:r>
    </w:p>
    <w:p w14:paraId="0EE3190D" w14:textId="029C4048" w:rsidR="00E73349" w:rsidRPr="000744E3" w:rsidRDefault="00920BD3" w:rsidP="00686E93">
      <w:pPr>
        <w:pStyle w:val="ListParagraph"/>
        <w:numPr>
          <w:ilvl w:val="0"/>
          <w:numId w:val="10"/>
        </w:numPr>
      </w:pPr>
      <w:r w:rsidRPr="000744E3">
        <w:rPr>
          <w:b/>
          <w:bCs/>
        </w:rPr>
        <w:t>UK based activity</w:t>
      </w:r>
      <w:r w:rsidR="00AA051C" w:rsidRPr="000744E3">
        <w:rPr>
          <w:b/>
          <w:bCs/>
        </w:rPr>
        <w:t xml:space="preserve"> should be included in any trends monitoring for off</w:t>
      </w:r>
      <w:r w:rsidR="001922B5" w:rsidRPr="000744E3">
        <w:rPr>
          <w:b/>
          <w:bCs/>
        </w:rPr>
        <w:t>-</w:t>
      </w:r>
      <w:r w:rsidR="00AA051C" w:rsidRPr="000744E3">
        <w:rPr>
          <w:b/>
          <w:bCs/>
        </w:rPr>
        <w:t>venue liquidity</w:t>
      </w:r>
      <w:r w:rsidRPr="000744E3">
        <w:rPr>
          <w:b/>
          <w:bCs/>
        </w:rPr>
        <w:t>:</w:t>
      </w:r>
      <w:r w:rsidRPr="000744E3">
        <w:t xml:space="preserve"> </w:t>
      </w:r>
      <w:r w:rsidR="00E73349" w:rsidRPr="000744E3">
        <w:t xml:space="preserve">Approximately 55% of </w:t>
      </w:r>
      <w:r w:rsidR="00AA051C" w:rsidRPr="000744E3">
        <w:t>SI</w:t>
      </w:r>
      <w:r w:rsidR="00E73349" w:rsidRPr="000744E3">
        <w:t xml:space="preserve"> volumes published for EEA shares between January and April 2026 were </w:t>
      </w:r>
      <w:r w:rsidR="00AA051C" w:rsidRPr="000744E3">
        <w:t xml:space="preserve">executed </w:t>
      </w:r>
      <w:r w:rsidR="00E73349" w:rsidRPr="000744E3">
        <w:t>in the UK. Any assessment of the EEA SI</w:t>
      </w:r>
      <w:r w:rsidR="00AA051C" w:rsidRPr="000744E3">
        <w:t xml:space="preserve">’s </w:t>
      </w:r>
      <w:r w:rsidR="00E73349" w:rsidRPr="000744E3">
        <w:t xml:space="preserve">volumes that excludes this activity could </w:t>
      </w:r>
      <w:r w:rsidR="00A36BE5" w:rsidRPr="000744E3">
        <w:t>be misleading on</w:t>
      </w:r>
      <w:r w:rsidR="00E73349" w:rsidRPr="000744E3">
        <w:t xml:space="preserve"> both the magnitude and the substitution dynamics at work. If we look at 2025, </w:t>
      </w:r>
      <w:r w:rsidRPr="000744E3">
        <w:t xml:space="preserve">total </w:t>
      </w:r>
      <w:r w:rsidR="00E73349" w:rsidRPr="000744E3">
        <w:t>SI volumes on most liquid EEA listings represented around 15% of the overall notional traded on and off exchange, across the EU, Switzerland and the UK</w:t>
      </w:r>
      <w:r w:rsidR="00AA051C" w:rsidRPr="000744E3">
        <w:t>. SI</w:t>
      </w:r>
      <w:r w:rsidR="00E73349" w:rsidRPr="000744E3">
        <w:t xml:space="preserve"> liquidity </w:t>
      </w:r>
      <w:r w:rsidR="00AA051C" w:rsidRPr="000744E3">
        <w:t>is now</w:t>
      </w:r>
      <w:r w:rsidR="00E73349" w:rsidRPr="000744E3">
        <w:t xml:space="preserve"> the second source of liquidity after the CLOB (37%) and the Primary Close (14%).</w:t>
      </w:r>
      <w:r w:rsidRPr="000744E3">
        <w:t xml:space="preserve"> SI market share increased by 13% between Jan</w:t>
      </w:r>
      <w:r w:rsidR="00A822ED" w:rsidRPr="000744E3">
        <w:t>uary</w:t>
      </w:r>
      <w:r w:rsidRPr="000744E3">
        <w:t xml:space="preserve"> 2025 </w:t>
      </w:r>
      <w:r w:rsidR="00A822ED" w:rsidRPr="000744E3">
        <w:t>and</w:t>
      </w:r>
      <w:r w:rsidRPr="000744E3">
        <w:t xml:space="preserve"> December 2025</w:t>
      </w:r>
      <w:r w:rsidR="00AA051C" w:rsidRPr="000744E3">
        <w:t xml:space="preserve">. </w:t>
      </w:r>
    </w:p>
    <w:p w14:paraId="3E3A6E0F" w14:textId="444679DF" w:rsidR="00ED168E" w:rsidRPr="000744E3" w:rsidRDefault="2F5EDB0A" w:rsidP="00686E93">
      <w:pPr>
        <w:pStyle w:val="ListParagraph"/>
        <w:numPr>
          <w:ilvl w:val="0"/>
          <w:numId w:val="10"/>
        </w:numPr>
      </w:pPr>
      <w:r w:rsidRPr="000744E3">
        <w:rPr>
          <w:b/>
          <w:bCs/>
        </w:rPr>
        <w:t>D</w:t>
      </w:r>
      <w:r w:rsidR="00B153F4" w:rsidRPr="000744E3">
        <w:rPr>
          <w:b/>
        </w:rPr>
        <w:t>ecline in average SI trade size</w:t>
      </w:r>
      <w:r w:rsidR="00B153F4" w:rsidRPr="000744E3">
        <w:t xml:space="preserve">. Based on </w:t>
      </w:r>
      <w:r w:rsidR="005C3973" w:rsidRPr="000744E3">
        <w:t>BMLL data</w:t>
      </w:r>
      <w:r w:rsidR="00B153F4" w:rsidRPr="000744E3">
        <w:t>, the average size of SI trades in EEA shares has declined from approximately EUR 78,000 in 2018 to approximately EUR 11,000 today, with a median of approximately EUR 1,400 in blue-chip EU shares. In 2025, around 85% of SI trades are now executed below EUR 10,000, although these collectively account for less than 10% of total SI notional traded.</w:t>
      </w:r>
      <w:r w:rsidR="005C3973" w:rsidRPr="000744E3">
        <w:t xml:space="preserve"> </w:t>
      </w:r>
    </w:p>
    <w:p w14:paraId="52923143" w14:textId="11224DF6" w:rsidR="005C3973" w:rsidRPr="000744E3" w:rsidRDefault="0099147F" w:rsidP="00686E93">
      <w:pPr>
        <w:pStyle w:val="ListParagraph"/>
        <w:numPr>
          <w:ilvl w:val="0"/>
          <w:numId w:val="10"/>
        </w:numPr>
      </w:pPr>
      <w:r w:rsidRPr="000744E3">
        <w:rPr>
          <w:b/>
        </w:rPr>
        <w:t xml:space="preserve">Level of price improvement </w:t>
      </w:r>
      <w:r w:rsidR="000D2571" w:rsidRPr="000744E3">
        <w:rPr>
          <w:b/>
        </w:rPr>
        <w:t xml:space="preserve">for small trades </w:t>
      </w:r>
      <w:r w:rsidRPr="000744E3">
        <w:rPr>
          <w:b/>
        </w:rPr>
        <w:t>seems to have increased</w:t>
      </w:r>
      <w:r w:rsidR="005C3973" w:rsidRPr="000744E3">
        <w:rPr>
          <w:b/>
        </w:rPr>
        <w:t xml:space="preserve"> since 2024, </w:t>
      </w:r>
      <w:r w:rsidR="005C3973" w:rsidRPr="000744E3">
        <w:rPr>
          <w:bCs/>
        </w:rPr>
        <w:t xml:space="preserve">when SI were given the </w:t>
      </w:r>
      <w:r w:rsidR="00E73349" w:rsidRPr="000744E3">
        <w:rPr>
          <w:bCs/>
        </w:rPr>
        <w:t>ability to execute at mid-point for orders below LIS</w:t>
      </w:r>
      <w:r w:rsidRPr="000744E3">
        <w:t xml:space="preserve">. Although it is difficult to assess </w:t>
      </w:r>
      <w:r w:rsidR="00510FBB" w:rsidRPr="000744E3">
        <w:t xml:space="preserve">the level </w:t>
      </w:r>
      <w:r w:rsidR="00E73349" w:rsidRPr="000744E3">
        <w:t xml:space="preserve">accurately </w:t>
      </w:r>
      <w:r w:rsidRPr="000744E3">
        <w:t xml:space="preserve">with publicly available data, it seems that </w:t>
      </w:r>
      <w:r w:rsidR="00D427EB" w:rsidRPr="000744E3">
        <w:t>execution</w:t>
      </w:r>
      <w:r w:rsidR="008F713C" w:rsidRPr="000744E3">
        <w:t xml:space="preserve">s </w:t>
      </w:r>
      <w:r w:rsidR="00D427EB" w:rsidRPr="000744E3">
        <w:t xml:space="preserve">for orders below EUR 10,000 do receive a certain level of price improvement or at least deviate from </w:t>
      </w:r>
      <w:r w:rsidR="008F713C" w:rsidRPr="000744E3">
        <w:t>observed SI public quotes (</w:t>
      </w:r>
      <w:r w:rsidR="00F00677" w:rsidRPr="000744E3">
        <w:t>o</w:t>
      </w:r>
      <w:r w:rsidR="008F713C" w:rsidRPr="000744E3">
        <w:t xml:space="preserve">ften set at </w:t>
      </w:r>
      <w:r w:rsidR="00D427EB" w:rsidRPr="000744E3">
        <w:t>EBBO</w:t>
      </w:r>
      <w:r w:rsidR="008F713C" w:rsidRPr="000744E3">
        <w:t>)</w:t>
      </w:r>
      <w:r w:rsidR="00D427EB" w:rsidRPr="000744E3">
        <w:t xml:space="preserve">. </w:t>
      </w:r>
    </w:p>
    <w:p w14:paraId="65FF4132" w14:textId="66A426B4" w:rsidR="0099147F" w:rsidRPr="000744E3" w:rsidRDefault="005C3973" w:rsidP="00686E93">
      <w:pPr>
        <w:pStyle w:val="ListParagraph"/>
        <w:numPr>
          <w:ilvl w:val="0"/>
          <w:numId w:val="10"/>
        </w:numPr>
      </w:pPr>
      <w:r w:rsidRPr="000744E3">
        <w:rPr>
          <w:b/>
          <w:bCs/>
        </w:rPr>
        <w:t xml:space="preserve">The level of SI liquidity also varies depending on market conditions, </w:t>
      </w:r>
      <w:r w:rsidRPr="000744E3">
        <w:t xml:space="preserve">where </w:t>
      </w:r>
      <w:r w:rsidR="000F2D96" w:rsidRPr="000744E3">
        <w:t xml:space="preserve">SI </w:t>
      </w:r>
      <w:r w:rsidR="00253281" w:rsidRPr="000744E3">
        <w:t xml:space="preserve">market share </w:t>
      </w:r>
      <w:r w:rsidRPr="000744E3">
        <w:t xml:space="preserve">seems to be higher in low volatility conditions and/or at expiry/rebalancing times. This is expected as market conditions </w:t>
      </w:r>
      <w:r w:rsidR="00FA32FF" w:rsidRPr="000744E3">
        <w:t xml:space="preserve">are </w:t>
      </w:r>
      <w:r w:rsidRPr="000744E3">
        <w:t>likely to impact the level of risk liquidity providers may be willing to take.</w:t>
      </w:r>
      <w:r w:rsidR="00920BD3" w:rsidRPr="000744E3">
        <w:t xml:space="preserve"> Any trend analysis should normalise </w:t>
      </w:r>
      <w:r w:rsidR="00955BBA" w:rsidRPr="000744E3">
        <w:t xml:space="preserve">market share based on </w:t>
      </w:r>
      <w:r w:rsidR="005F5C81" w:rsidRPr="000744E3">
        <w:t>volatility level</w:t>
      </w:r>
      <w:r w:rsidR="00221BFD" w:rsidRPr="000744E3">
        <w:t xml:space="preserve">. </w:t>
      </w:r>
    </w:p>
    <w:p w14:paraId="5CE26FF0" w14:textId="6C9E519F" w:rsidR="005C3973" w:rsidRPr="000744E3" w:rsidRDefault="00221BFD" w:rsidP="00686E93">
      <w:r w:rsidRPr="000744E3">
        <w:t>The</w:t>
      </w:r>
      <w:r w:rsidR="005C3973" w:rsidRPr="000744E3">
        <w:t xml:space="preserve"> main drivers behind the growth of bilateral liquidity are likely linked to the following:</w:t>
      </w:r>
    </w:p>
    <w:p w14:paraId="4AE07DB2" w14:textId="77777777" w:rsidR="005C3973" w:rsidRPr="000744E3" w:rsidRDefault="005C3973" w:rsidP="00686E93">
      <w:pPr>
        <w:pStyle w:val="ListParagraph"/>
        <w:numPr>
          <w:ilvl w:val="0"/>
          <w:numId w:val="15"/>
        </w:numPr>
      </w:pPr>
      <w:r w:rsidRPr="000744E3">
        <w:rPr>
          <w:b/>
        </w:rPr>
        <w:t>Electronification of bilateral liquidity provision</w:t>
      </w:r>
      <w:r w:rsidRPr="000744E3">
        <w:t>. The SI regime in 2018 was designed to be the main regulatory home for traditional voice and high-touch portfolio workflows. It now covers highly automated, systematic and algorithmic liquidity provision, accessible through brokers' smart order routers, quote aggregators and buy-side EMS. This electronification has materially expanded the accessibility of bilateral execution, which could be one driver for its growth.</w:t>
      </w:r>
    </w:p>
    <w:p w14:paraId="28B4746E" w14:textId="442ABB90" w:rsidR="00221BFD" w:rsidRPr="000744E3" w:rsidRDefault="00221BFD" w:rsidP="00686E93">
      <w:pPr>
        <w:pStyle w:val="ListParagraph"/>
        <w:numPr>
          <w:ilvl w:val="0"/>
          <w:numId w:val="15"/>
        </w:numPr>
      </w:pPr>
      <w:r w:rsidRPr="000744E3">
        <w:rPr>
          <w:b/>
        </w:rPr>
        <w:t>Investor</w:t>
      </w:r>
      <w:r w:rsidRPr="000744E3">
        <w:rPr>
          <w:b/>
          <w:bCs/>
        </w:rPr>
        <w:t xml:space="preserve"> focus on price improvement</w:t>
      </w:r>
      <w:r w:rsidR="00AA051C" w:rsidRPr="000744E3">
        <w:rPr>
          <w:b/>
          <w:bCs/>
        </w:rPr>
        <w:t xml:space="preserve"> and cost reduction: </w:t>
      </w:r>
      <w:r w:rsidR="00AA051C" w:rsidRPr="000744E3">
        <w:t xml:space="preserve"> by cost reduction, we refer both to </w:t>
      </w:r>
      <w:r w:rsidRPr="000744E3">
        <w:t xml:space="preserve">direct </w:t>
      </w:r>
      <w:r w:rsidR="00AA051C" w:rsidRPr="000744E3">
        <w:t xml:space="preserve">costs </w:t>
      </w:r>
      <w:r w:rsidRPr="000744E3">
        <w:t>(</w:t>
      </w:r>
      <w:r w:rsidR="00AA051C" w:rsidRPr="000744E3">
        <w:t xml:space="preserve">exchange </w:t>
      </w:r>
      <w:r w:rsidRPr="000744E3">
        <w:t>fees</w:t>
      </w:r>
      <w:r w:rsidR="00AA051C" w:rsidRPr="000744E3">
        <w:t xml:space="preserve"> for instance</w:t>
      </w:r>
      <w:r w:rsidRPr="000744E3">
        <w:t xml:space="preserve">) and indirect </w:t>
      </w:r>
      <w:r w:rsidR="00AA051C" w:rsidRPr="000744E3">
        <w:t xml:space="preserve">costs </w:t>
      </w:r>
      <w:r w:rsidRPr="000744E3">
        <w:t>(market impact</w:t>
      </w:r>
      <w:r w:rsidR="00AA051C" w:rsidRPr="000744E3">
        <w:t>, reversion, information leakage</w:t>
      </w:r>
      <w:r w:rsidRPr="000744E3">
        <w:t>)</w:t>
      </w:r>
      <w:r w:rsidR="001453DB" w:rsidRPr="000744E3">
        <w:t>. Off</w:t>
      </w:r>
      <w:r w:rsidR="00AF632C" w:rsidRPr="000744E3">
        <w:t>-</w:t>
      </w:r>
      <w:r w:rsidR="001453DB" w:rsidRPr="000744E3">
        <w:t>venue liquidity often present</w:t>
      </w:r>
      <w:r w:rsidR="00741211" w:rsidRPr="000744E3">
        <w:t>s</w:t>
      </w:r>
      <w:r w:rsidR="001453DB" w:rsidRPr="000744E3">
        <w:t xml:space="preserve"> better mark</w:t>
      </w:r>
      <w:r w:rsidR="008003B5" w:rsidRPr="000744E3">
        <w:t>e</w:t>
      </w:r>
      <w:r w:rsidR="001453DB" w:rsidRPr="000744E3">
        <w:t>t impact profile</w:t>
      </w:r>
      <w:r w:rsidR="00AA051C" w:rsidRPr="000744E3">
        <w:t>s</w:t>
      </w:r>
      <w:r w:rsidR="008003B5" w:rsidRPr="000744E3">
        <w:t xml:space="preserve">. This may be linked to </w:t>
      </w:r>
      <w:r w:rsidR="00AA051C" w:rsidRPr="000744E3">
        <w:t xml:space="preserve">how </w:t>
      </w:r>
      <w:r w:rsidR="008003B5" w:rsidRPr="000744E3">
        <w:t xml:space="preserve">difficult </w:t>
      </w:r>
      <w:r w:rsidR="00AA051C" w:rsidRPr="000744E3">
        <w:t xml:space="preserve">it is </w:t>
      </w:r>
      <w:r w:rsidR="008003B5" w:rsidRPr="000744E3">
        <w:t>for investor</w:t>
      </w:r>
      <w:r w:rsidR="00AA051C" w:rsidRPr="000744E3">
        <w:t>s</w:t>
      </w:r>
      <w:r w:rsidR="008003B5" w:rsidRPr="000744E3">
        <w:t xml:space="preserve"> to understand off</w:t>
      </w:r>
      <w:r w:rsidR="00791C9C" w:rsidRPr="000744E3">
        <w:t>-</w:t>
      </w:r>
      <w:r w:rsidR="008003B5" w:rsidRPr="000744E3">
        <w:t>venue liquidity</w:t>
      </w:r>
      <w:r w:rsidR="00AA051C" w:rsidRPr="000744E3">
        <w:t xml:space="preserve"> and integrate those volumes in their trading decision algorithms. </w:t>
      </w:r>
    </w:p>
    <w:p w14:paraId="02541AF7" w14:textId="63D7C3E2" w:rsidR="003C130D" w:rsidRPr="000744E3" w:rsidRDefault="00D979BF" w:rsidP="00686E93">
      <w:pPr>
        <w:pStyle w:val="ListParagraph"/>
        <w:numPr>
          <w:ilvl w:val="0"/>
          <w:numId w:val="15"/>
        </w:numPr>
      </w:pPr>
      <w:r w:rsidRPr="000744E3">
        <w:rPr>
          <w:b/>
          <w:bCs/>
        </w:rPr>
        <w:t>Extension of clearing mechanisms to off</w:t>
      </w:r>
      <w:r w:rsidR="002E63B7" w:rsidRPr="000744E3">
        <w:rPr>
          <w:b/>
          <w:bCs/>
        </w:rPr>
        <w:t>-</w:t>
      </w:r>
      <w:r w:rsidRPr="000744E3">
        <w:rPr>
          <w:b/>
          <w:bCs/>
        </w:rPr>
        <w:t xml:space="preserve">venue transactions: </w:t>
      </w:r>
      <w:r w:rsidRPr="000744E3">
        <w:t xml:space="preserve">thanks to the ability </w:t>
      </w:r>
      <w:r w:rsidR="00983770" w:rsidRPr="000744E3">
        <w:t xml:space="preserve">of </w:t>
      </w:r>
      <w:r w:rsidRPr="000744E3">
        <w:t>investment firms to clear their off</w:t>
      </w:r>
      <w:r w:rsidR="002E63B7" w:rsidRPr="000744E3">
        <w:t>-</w:t>
      </w:r>
      <w:r w:rsidRPr="000744E3">
        <w:t>venue activity together with on</w:t>
      </w:r>
      <w:r w:rsidR="002E63B7" w:rsidRPr="000744E3">
        <w:t>-</w:t>
      </w:r>
      <w:r w:rsidRPr="000744E3">
        <w:t>venue activity, the costs to settle bilateral transaction</w:t>
      </w:r>
      <w:r w:rsidR="001552BA" w:rsidRPr="000744E3">
        <w:t>s</w:t>
      </w:r>
      <w:r w:rsidRPr="000744E3">
        <w:t xml:space="preserve"> ha</w:t>
      </w:r>
      <w:r w:rsidR="001552BA" w:rsidRPr="000744E3">
        <w:t>ve</w:t>
      </w:r>
      <w:r w:rsidRPr="000744E3">
        <w:t xml:space="preserve"> materially improved and operational / counterparty risk </w:t>
      </w:r>
      <w:r w:rsidR="006B1FEE" w:rsidRPr="000744E3">
        <w:t xml:space="preserve">has </w:t>
      </w:r>
      <w:r w:rsidRPr="000744E3">
        <w:t xml:space="preserve">reduced. This </w:t>
      </w:r>
      <w:r w:rsidR="006B1FEE" w:rsidRPr="000744E3">
        <w:t xml:space="preserve">would be </w:t>
      </w:r>
      <w:r w:rsidRPr="000744E3">
        <w:t>further optimised by clearing interoperability</w:t>
      </w:r>
      <w:r w:rsidR="006B1FEE" w:rsidRPr="000744E3">
        <w:t>,</w:t>
      </w:r>
      <w:r w:rsidRPr="000744E3">
        <w:t xml:space="preserve"> which we </w:t>
      </w:r>
      <w:r w:rsidR="006B1FEE" w:rsidRPr="000744E3">
        <w:t>strongly support.</w:t>
      </w:r>
    </w:p>
    <w:p w14:paraId="304A5498" w14:textId="07734F14" w:rsidR="00027D95" w:rsidRPr="000744E3" w:rsidRDefault="00027D95" w:rsidP="00686E93">
      <w:r w:rsidRPr="000744E3">
        <w:t>Taken together, these factors explain the relative growth of off</w:t>
      </w:r>
      <w:r w:rsidR="00474C4A" w:rsidRPr="000744E3">
        <w:t>-</w:t>
      </w:r>
      <w:r w:rsidRPr="000744E3">
        <w:t xml:space="preserve">venue execution over time. </w:t>
      </w:r>
      <w:r w:rsidR="002B34EB" w:rsidRPr="000744E3">
        <w:t>However, the policy response should</w:t>
      </w:r>
      <w:r w:rsidRPr="000744E3">
        <w:t xml:space="preserve"> not constrain the SI regime indiscriminately. We would prefer to see policy discussion focusing on addressing the specific regulatory drivers that may distort competition in addition to fixing the data quality issues that prevent supervisors and investors from monitoring the regime effectively. We elaborate on the relevant interventions in our responses to Questions 22, 23 and 25.</w:t>
      </w:r>
    </w:p>
    <w:p w14:paraId="5E5F395D" w14:textId="77777777" w:rsidR="00785AC1" w:rsidRPr="000744E3" w:rsidRDefault="00785AC1" w:rsidP="00785AC1">
      <w:r w:rsidRPr="000744E3">
        <w:t>&lt;ESMA_QUESTION_MSEM_20&gt;</w:t>
      </w:r>
    </w:p>
    <w:p w14:paraId="5D5D3177" w14:textId="02F0CD3F" w:rsidR="00785AC1" w:rsidRPr="000744E3" w:rsidRDefault="00785AC1" w:rsidP="00785AC1">
      <w:pPr>
        <w:spacing w:after="120" w:line="264" w:lineRule="auto"/>
        <w:jc w:val="left"/>
        <w:rPr>
          <w:b/>
        </w:rPr>
      </w:pPr>
    </w:p>
    <w:p w14:paraId="5B3F812A" w14:textId="77777777" w:rsidR="00785AC1" w:rsidRPr="000744E3" w:rsidRDefault="00785AC1" w:rsidP="00785AC1">
      <w:pPr>
        <w:pStyle w:val="Questionstyle"/>
        <w:numPr>
          <w:ilvl w:val="0"/>
          <w:numId w:val="1"/>
        </w:numPr>
        <w:tabs>
          <w:tab w:val="clear" w:pos="567"/>
        </w:tabs>
        <w:spacing w:before="120" w:after="120"/>
        <w:ind w:left="851" w:hanging="709"/>
      </w:pPr>
      <w:r w:rsidRPr="000744E3">
        <w:t>Does this picture reflect the trends you observe in SI trading? Do SI offer trading for both large and small sizes? Do these different trade size reflect different types of clients / SI businesses?</w:t>
      </w:r>
    </w:p>
    <w:p w14:paraId="2E4B076B" w14:textId="77777777" w:rsidR="00785AC1" w:rsidRPr="000744E3" w:rsidRDefault="00785AC1" w:rsidP="00785AC1">
      <w:r w:rsidRPr="000744E3">
        <w:t>&lt;ESMA_QUESTION_MSEM_21&gt;</w:t>
      </w:r>
    </w:p>
    <w:p w14:paraId="233EE0A4" w14:textId="77777777" w:rsidR="001B302C" w:rsidRPr="000744E3" w:rsidRDefault="004122E6" w:rsidP="00686E93">
      <w:r w:rsidRPr="000744E3">
        <w:t xml:space="preserve">The picture broadly aligns with our observations from post-trade transparency data. </w:t>
      </w:r>
    </w:p>
    <w:p w14:paraId="113B613C" w14:textId="682AA8EA" w:rsidR="001B302C" w:rsidRPr="000744E3" w:rsidRDefault="001B302C" w:rsidP="00686E93">
      <w:r w:rsidRPr="000744E3">
        <w:t>We also strongly support ESMA</w:t>
      </w:r>
      <w:r w:rsidR="00613187" w:rsidRPr="000744E3">
        <w:t>’s</w:t>
      </w:r>
      <w:r w:rsidRPr="000744E3">
        <w:t xml:space="preserve"> attempt to estimate the level of intra-group activity and reiterate our support for such technical trades to be removed from the post trade transparency regime and for such transactions to be clearly identified in the transaction reports sent to NCAs. </w:t>
      </w:r>
    </w:p>
    <w:p w14:paraId="0DEFD969" w14:textId="497E0817" w:rsidR="00BA6141" w:rsidRPr="000744E3" w:rsidRDefault="002B3F64" w:rsidP="00686E93">
      <w:r w:rsidRPr="000744E3">
        <w:t>On trade size</w:t>
      </w:r>
      <w:r w:rsidRPr="000744E3">
        <w:rPr>
          <w:b/>
          <w:bCs/>
        </w:rPr>
        <w:t xml:space="preserve"> </w:t>
      </w:r>
      <w:r w:rsidRPr="000744E3">
        <w:t>and a</w:t>
      </w:r>
      <w:r w:rsidR="004122E6" w:rsidRPr="000744E3">
        <w:t xml:space="preserve">s noted in our response to Q20, approximately 85% of SI trades in EEA shares are executed below EUR 10,000, with a median trade size of approximately EUR 1,400 in blue-chip EU shares. These relatively small-size trades collectively account for less than 10% of total SI notional. The remaining 90% of SI </w:t>
      </w:r>
      <w:r w:rsidR="00B35D6C" w:rsidRPr="000744E3">
        <w:t xml:space="preserve">traded </w:t>
      </w:r>
      <w:r w:rsidR="004122E6" w:rsidRPr="000744E3">
        <w:t>notional is concentrated in trades above EUR 10,000, with a meaningful tail above LIS.</w:t>
      </w:r>
      <w:r w:rsidR="009304E3" w:rsidRPr="000744E3">
        <w:t xml:space="preserve"> </w:t>
      </w:r>
    </w:p>
    <w:p w14:paraId="21D6E467" w14:textId="79F29580" w:rsidR="00EE17D5" w:rsidRPr="000744E3" w:rsidRDefault="00EE17D5" w:rsidP="00686E93">
      <w:pPr>
        <w:jc w:val="center"/>
      </w:pPr>
      <w:r w:rsidRPr="000744E3">
        <w:rPr>
          <w:noProof/>
        </w:rPr>
        <w:drawing>
          <wp:inline distT="0" distB="0" distL="0" distR="0" wp14:anchorId="20CE1842" wp14:editId="67EB5790">
            <wp:extent cx="4996543" cy="2276393"/>
            <wp:effectExtent l="0" t="0" r="0" b="0"/>
            <wp:docPr id="54719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6587" cy="2280969"/>
                    </a:xfrm>
                    <a:prstGeom prst="rect">
                      <a:avLst/>
                    </a:prstGeom>
                    <a:noFill/>
                  </pic:spPr>
                </pic:pic>
              </a:graphicData>
            </a:graphic>
          </wp:inline>
        </w:drawing>
      </w:r>
    </w:p>
    <w:p w14:paraId="1BE3F023" w14:textId="3278E0EE" w:rsidR="00BA6141" w:rsidRPr="000744E3" w:rsidRDefault="00BA6141" w:rsidP="00686E93">
      <w:pPr>
        <w:rPr>
          <w:rFonts w:hAnsi="Aptos"/>
          <w:i/>
          <w:color w:val="000000" w:themeColor="text1"/>
          <w:kern w:val="24"/>
          <w:sz w:val="20"/>
        </w:rPr>
      </w:pPr>
      <w:r w:rsidRPr="000744E3">
        <w:rPr>
          <w:rFonts w:hAnsi="Aptos"/>
          <w:i/>
          <w:color w:val="000000" w:themeColor="text1"/>
          <w:kern w:val="24"/>
          <w:sz w:val="20"/>
        </w:rPr>
        <w:t xml:space="preserve">Figure </w:t>
      </w:r>
      <w:r w:rsidRPr="000744E3">
        <w:rPr>
          <w:rFonts w:hAnsi="Aptos"/>
          <w:i/>
          <w:color w:val="000000" w:themeColor="text1"/>
          <w:kern w:val="24"/>
          <w:sz w:val="20"/>
        </w:rPr>
        <w:fldChar w:fldCharType="begin"/>
      </w:r>
      <w:r w:rsidRPr="000744E3">
        <w:rPr>
          <w:rFonts w:hAnsi="Aptos"/>
          <w:i/>
          <w:color w:val="000000" w:themeColor="text1"/>
          <w:kern w:val="24"/>
          <w:sz w:val="20"/>
        </w:rPr>
        <w:instrText xml:space="preserve"> SEQ Figure \* ARABIC </w:instrText>
      </w:r>
      <w:r w:rsidRPr="000744E3">
        <w:rPr>
          <w:rFonts w:hAnsi="Aptos"/>
          <w:i/>
          <w:color w:val="000000" w:themeColor="text1"/>
          <w:kern w:val="24"/>
          <w:sz w:val="20"/>
        </w:rPr>
        <w:fldChar w:fldCharType="separate"/>
      </w:r>
      <w:r w:rsidR="000F51F0" w:rsidRPr="000744E3">
        <w:rPr>
          <w:rFonts w:hAnsi="Aptos"/>
          <w:i/>
          <w:noProof/>
          <w:color w:val="000000" w:themeColor="text1"/>
          <w:kern w:val="24"/>
          <w:sz w:val="20"/>
        </w:rPr>
        <w:t>5</w:t>
      </w:r>
      <w:r w:rsidRPr="000744E3">
        <w:rPr>
          <w:rFonts w:hAnsi="Aptos"/>
          <w:i/>
          <w:color w:val="000000" w:themeColor="text1"/>
          <w:kern w:val="24"/>
          <w:sz w:val="20"/>
        </w:rPr>
        <w:fldChar w:fldCharType="end"/>
      </w:r>
      <w:r w:rsidRPr="000744E3">
        <w:rPr>
          <w:rFonts w:hAnsi="Aptos"/>
          <w:i/>
          <w:color w:val="000000" w:themeColor="text1"/>
          <w:kern w:val="24"/>
          <w:sz w:val="20"/>
        </w:rPr>
        <w:t>: SI trade by trade count and cumulated notional on EU blue chips in November 2025. BMLL Data, Aquis Analysis</w:t>
      </w:r>
    </w:p>
    <w:p w14:paraId="0D6E308C" w14:textId="12A28181" w:rsidR="00B843B5" w:rsidRPr="000744E3" w:rsidRDefault="009304E3" w:rsidP="00686E93">
      <w:r w:rsidRPr="000744E3">
        <w:t xml:space="preserve">The SI regime was originally created </w:t>
      </w:r>
      <w:r w:rsidR="00E775B2" w:rsidRPr="000744E3">
        <w:t>as</w:t>
      </w:r>
      <w:r w:rsidR="00E775B2" w:rsidRPr="000744E3" w:rsidDel="00200753">
        <w:t xml:space="preserve"> </w:t>
      </w:r>
      <w:r w:rsidRPr="000744E3">
        <w:t xml:space="preserve">a regulatory home for large block size wholesale market executions. </w:t>
      </w:r>
      <w:r w:rsidR="00F2363E" w:rsidRPr="000744E3">
        <w:t>We also agree with ESMA</w:t>
      </w:r>
      <w:r w:rsidR="00CD6946" w:rsidRPr="000744E3">
        <w:t>’s</w:t>
      </w:r>
      <w:r w:rsidR="00F2363E" w:rsidRPr="000744E3">
        <w:t xml:space="preserve"> assessment </w:t>
      </w:r>
      <w:r w:rsidR="001B302C" w:rsidRPr="000744E3">
        <w:t xml:space="preserve">of material </w:t>
      </w:r>
      <w:r w:rsidR="00CD6946" w:rsidRPr="000744E3">
        <w:t xml:space="preserve">growth </w:t>
      </w:r>
      <w:r w:rsidR="00051149" w:rsidRPr="000744E3">
        <w:t>in</w:t>
      </w:r>
      <w:r w:rsidR="00CD6946" w:rsidRPr="000744E3">
        <w:t xml:space="preserve"> SI liquidity over the past few years, although we would point to some data issues in </w:t>
      </w:r>
      <w:r w:rsidR="00B21177" w:rsidRPr="000744E3">
        <w:t>Q</w:t>
      </w:r>
      <w:r w:rsidR="00CD6946" w:rsidRPr="000744E3">
        <w:t>22</w:t>
      </w:r>
      <w:r w:rsidR="000E5FE2" w:rsidRPr="000744E3">
        <w:t xml:space="preserve"> and </w:t>
      </w:r>
      <w:r w:rsidR="00B21177" w:rsidRPr="000744E3">
        <w:t>Q</w:t>
      </w:r>
      <w:r w:rsidR="000E5FE2" w:rsidRPr="000744E3">
        <w:t xml:space="preserve">23 which may alter the </w:t>
      </w:r>
      <w:r w:rsidR="001B302C" w:rsidRPr="000744E3">
        <w:t xml:space="preserve">perception of the </w:t>
      </w:r>
      <w:r w:rsidR="000E5FE2" w:rsidRPr="000744E3">
        <w:t xml:space="preserve">magnitude and significance of this growth. </w:t>
      </w:r>
    </w:p>
    <w:p w14:paraId="65C61EAE" w14:textId="75B4541E" w:rsidR="004122E6" w:rsidRPr="000744E3" w:rsidRDefault="00B843B5" w:rsidP="00686E93">
      <w:r w:rsidRPr="000744E3">
        <w:t xml:space="preserve">We do not believe that size is </w:t>
      </w:r>
      <w:r w:rsidR="00F12216" w:rsidRPr="000744E3">
        <w:t>necessarily</w:t>
      </w:r>
      <w:r w:rsidRPr="000744E3">
        <w:t xml:space="preserve"> a </w:t>
      </w:r>
      <w:r w:rsidR="00F12216" w:rsidRPr="000744E3">
        <w:t>good</w:t>
      </w:r>
      <w:r w:rsidRPr="000744E3">
        <w:t xml:space="preserve"> </w:t>
      </w:r>
      <w:r w:rsidR="00F12216" w:rsidRPr="000744E3">
        <w:t>proxy</w:t>
      </w:r>
      <w:r w:rsidRPr="000744E3">
        <w:t xml:space="preserve"> </w:t>
      </w:r>
      <w:r w:rsidR="007D1686" w:rsidRPr="000744E3">
        <w:t>for</w:t>
      </w:r>
      <w:r w:rsidRPr="000744E3">
        <w:t xml:space="preserve"> differentiat</w:t>
      </w:r>
      <w:r w:rsidR="007D1686" w:rsidRPr="000744E3">
        <w:t>ing</w:t>
      </w:r>
      <w:r w:rsidRPr="000744E3">
        <w:t xml:space="preserve"> retail from wholesale activity. </w:t>
      </w:r>
      <w:r w:rsidR="009304E3" w:rsidRPr="000744E3">
        <w:t xml:space="preserve">As </w:t>
      </w:r>
      <w:r w:rsidR="008E0A0B" w:rsidRPr="000744E3">
        <w:t>transparency</w:t>
      </w:r>
      <w:r w:rsidR="00F36861" w:rsidRPr="000744E3">
        <w:t xml:space="preserve"> and access to lit venues </w:t>
      </w:r>
      <w:r w:rsidR="00B35D6C" w:rsidRPr="000744E3">
        <w:t xml:space="preserve">has </w:t>
      </w:r>
      <w:r w:rsidR="00F36861" w:rsidRPr="000744E3">
        <w:t xml:space="preserve">increased, so </w:t>
      </w:r>
      <w:r w:rsidR="00B35D6C" w:rsidRPr="000744E3">
        <w:t xml:space="preserve">too has </w:t>
      </w:r>
      <w:r w:rsidR="00F36861" w:rsidRPr="000744E3">
        <w:t xml:space="preserve">the proportion of algorithmic </w:t>
      </w:r>
      <w:r w:rsidR="009A7939" w:rsidRPr="000744E3">
        <w:t>driven flow</w:t>
      </w:r>
      <w:r w:rsidR="003B5354" w:rsidRPr="000744E3">
        <w:t xml:space="preserve">, </w:t>
      </w:r>
      <w:r w:rsidR="009A7939" w:rsidRPr="000744E3">
        <w:t xml:space="preserve">first </w:t>
      </w:r>
      <w:r w:rsidR="003B5354" w:rsidRPr="000744E3">
        <w:t>automating on</w:t>
      </w:r>
      <w:r w:rsidR="000E64A5" w:rsidRPr="000744E3">
        <w:t>-</w:t>
      </w:r>
      <w:r w:rsidR="003B5354" w:rsidRPr="000744E3">
        <w:t xml:space="preserve">venue trading </w:t>
      </w:r>
      <w:r w:rsidR="008E0A0B" w:rsidRPr="000744E3">
        <w:t>via the use of algorithms and smart order routers</w:t>
      </w:r>
      <w:r w:rsidR="009A7939" w:rsidRPr="000744E3">
        <w:t>,</w:t>
      </w:r>
      <w:r w:rsidR="00A70D98" w:rsidRPr="000744E3">
        <w:t xml:space="preserve"> </w:t>
      </w:r>
      <w:r w:rsidR="00D24ABE" w:rsidRPr="000744E3">
        <w:t xml:space="preserve">and </w:t>
      </w:r>
      <w:r w:rsidR="00B35D6C" w:rsidRPr="000744E3">
        <w:t xml:space="preserve">then </w:t>
      </w:r>
      <w:r w:rsidR="00DE0A63" w:rsidRPr="000744E3">
        <w:t>optimising buyside execution management and bilateral liquidity provision.</w:t>
      </w:r>
      <w:r w:rsidR="008E0A0B" w:rsidRPr="000744E3">
        <w:t xml:space="preserve"> </w:t>
      </w:r>
      <w:r w:rsidR="00DE0A63" w:rsidRPr="000744E3">
        <w:t xml:space="preserve">In addition, </w:t>
      </w:r>
      <w:r w:rsidR="00BB1500" w:rsidRPr="000744E3">
        <w:t xml:space="preserve">MiFID II </w:t>
      </w:r>
      <w:r w:rsidR="00E019D0" w:rsidRPr="000744E3">
        <w:t xml:space="preserve">prohibited the operation of broker crossing networks, which </w:t>
      </w:r>
      <w:r w:rsidR="002B5911" w:rsidRPr="000744E3">
        <w:t xml:space="preserve">provided the regulatory catalyst for </w:t>
      </w:r>
      <w:r w:rsidR="00F12216" w:rsidRPr="000744E3">
        <w:t xml:space="preserve">more advanced </w:t>
      </w:r>
      <w:r w:rsidR="002B5911" w:rsidRPr="000744E3">
        <w:t xml:space="preserve">bilateral </w:t>
      </w:r>
      <w:r w:rsidR="00F12216" w:rsidRPr="000744E3">
        <w:t>liquidity provisions</w:t>
      </w:r>
      <w:r w:rsidR="00BC2DE6" w:rsidRPr="000744E3">
        <w:t xml:space="preserve"> schemes</w:t>
      </w:r>
      <w:r w:rsidR="00F12216" w:rsidRPr="000744E3">
        <w:t xml:space="preserve">, namely liquidity provider SIs and </w:t>
      </w:r>
      <w:r w:rsidR="003B6825" w:rsidRPr="000744E3">
        <w:t>brokers</w:t>
      </w:r>
      <w:r w:rsidR="00B93549" w:rsidRPr="000744E3">
        <w:t>’</w:t>
      </w:r>
      <w:r w:rsidR="003B6825" w:rsidRPr="000744E3">
        <w:t xml:space="preserve"> electronic </w:t>
      </w:r>
      <w:r w:rsidRPr="000744E3">
        <w:t xml:space="preserve">capital commitment. </w:t>
      </w:r>
    </w:p>
    <w:p w14:paraId="63AFB99C" w14:textId="3D66A024" w:rsidR="0067248A" w:rsidRPr="000744E3" w:rsidRDefault="0067248A" w:rsidP="00686E93">
      <w:pPr>
        <w:jc w:val="left"/>
      </w:pPr>
      <w:r w:rsidRPr="000744E3">
        <w:t xml:space="preserve">We </w:t>
      </w:r>
      <w:r w:rsidR="000E5FE2" w:rsidRPr="000744E3">
        <w:t xml:space="preserve">therefore disagree </w:t>
      </w:r>
      <w:r w:rsidRPr="000744E3">
        <w:t>that small trade sizes are automatically associated with retail flow. SIs operate diverse business models, and small trade sizes on SIs are not</w:t>
      </w:r>
      <w:r w:rsidR="000E5FE2" w:rsidRPr="000744E3">
        <w:t xml:space="preserve"> </w:t>
      </w:r>
      <w:r w:rsidRPr="000744E3">
        <w:t xml:space="preserve">primarily a product of retail order routing. </w:t>
      </w:r>
      <w:r w:rsidR="0050792B" w:rsidRPr="000744E3">
        <w:t>Small trade size</w:t>
      </w:r>
      <w:r w:rsidRPr="000744E3">
        <w:t xml:space="preserve"> </w:t>
      </w:r>
      <w:r w:rsidR="000E5FE2" w:rsidRPr="000744E3">
        <w:t xml:space="preserve">can </w:t>
      </w:r>
      <w:r w:rsidRPr="000744E3">
        <w:t>arise from:</w:t>
      </w:r>
    </w:p>
    <w:p w14:paraId="677093C6" w14:textId="4C924807" w:rsidR="0067248A" w:rsidRPr="000744E3" w:rsidRDefault="0067248A" w:rsidP="00686E93">
      <w:pPr>
        <w:jc w:val="left"/>
      </w:pPr>
      <w:r w:rsidRPr="000744E3">
        <w:t xml:space="preserve">(a) </w:t>
      </w:r>
      <w:r w:rsidRPr="000744E3">
        <w:rPr>
          <w:b/>
        </w:rPr>
        <w:t>Institutional order slicing</w:t>
      </w:r>
      <w:r w:rsidRPr="000744E3">
        <w:t>, where parent orders are broken into smaller child orders by execution algorithms or smart order routers and routed across multiple execution venues, including SIs</w:t>
      </w:r>
      <w:r w:rsidR="000E5FE2" w:rsidRPr="000744E3">
        <w:t xml:space="preserve"> (Brokers’ and ELPs’ alike)</w:t>
      </w:r>
      <w:r w:rsidR="0050792B" w:rsidRPr="000744E3">
        <w:t xml:space="preserve">. This is typically the phenomenon that drove average execution on exchange to drastically reduce since the </w:t>
      </w:r>
      <w:r w:rsidR="00195BAB" w:rsidRPr="000744E3">
        <w:t>mid-2000s</w:t>
      </w:r>
      <w:r w:rsidR="32BE0C41" w:rsidRPr="000744E3">
        <w:t>;</w:t>
      </w:r>
    </w:p>
    <w:p w14:paraId="64E207AB" w14:textId="77777777" w:rsidR="0067248A" w:rsidRPr="000744E3" w:rsidRDefault="0067248A" w:rsidP="00686E93">
      <w:pPr>
        <w:jc w:val="left"/>
      </w:pPr>
      <w:r w:rsidRPr="000744E3">
        <w:t xml:space="preserve">(b) </w:t>
      </w:r>
      <w:r w:rsidRPr="000744E3">
        <w:rPr>
          <w:b/>
        </w:rPr>
        <w:t>Intermediated retail flow</w:t>
      </w:r>
      <w:r w:rsidRPr="000744E3">
        <w:t>, where a retail broker internalises or routes its retail flow through SI arrangements;</w:t>
      </w:r>
    </w:p>
    <w:p w14:paraId="4E4D04CF" w14:textId="58937763" w:rsidR="0067248A" w:rsidRPr="000744E3" w:rsidRDefault="0067248A" w:rsidP="00686E93">
      <w:pPr>
        <w:jc w:val="left"/>
      </w:pPr>
      <w:r w:rsidRPr="000744E3">
        <w:t xml:space="preserve">(c) </w:t>
      </w:r>
      <w:r w:rsidRPr="000744E3">
        <w:rPr>
          <w:b/>
        </w:rPr>
        <w:t>Liquidity-provider SI activity</w:t>
      </w:r>
      <w:r w:rsidRPr="000744E3">
        <w:t xml:space="preserve"> serving sell-side and buy-side execution algorithms with continuous quoting that </w:t>
      </w:r>
      <w:r w:rsidR="00A0260A" w:rsidRPr="000744E3">
        <w:t xml:space="preserve">could lead to </w:t>
      </w:r>
      <w:r w:rsidRPr="000744E3">
        <w:t>a high frequency of small executions; and</w:t>
      </w:r>
    </w:p>
    <w:p w14:paraId="7BBE634B" w14:textId="01A28F6C" w:rsidR="0067248A" w:rsidRPr="000744E3" w:rsidRDefault="0067248A" w:rsidP="00686E93">
      <w:pPr>
        <w:jc w:val="left"/>
      </w:pPr>
      <w:r w:rsidRPr="000744E3">
        <w:t xml:space="preserve">(d) </w:t>
      </w:r>
      <w:r w:rsidRPr="000744E3">
        <w:rPr>
          <w:b/>
        </w:rPr>
        <w:t>Bank SI activity</w:t>
      </w:r>
      <w:r w:rsidRPr="000744E3">
        <w:t xml:space="preserve"> serving institutional clients across a broader size range, including small executions where the institutional </w:t>
      </w:r>
      <w:r w:rsidR="000E5FE2" w:rsidRPr="000744E3">
        <w:t>order</w:t>
      </w:r>
      <w:r w:rsidR="0009065C" w:rsidRPr="000744E3">
        <w:t xml:space="preserve">s are executed </w:t>
      </w:r>
      <w:r w:rsidR="006B56D1" w:rsidRPr="000744E3">
        <w:t xml:space="preserve">by electronic trading desks, which typically </w:t>
      </w:r>
      <w:r w:rsidR="0050792B" w:rsidRPr="000744E3">
        <w:t xml:space="preserve">manage fully automated execution services, in contrast to high touch and portfolio trading where some of the activity is still human driven. </w:t>
      </w:r>
    </w:p>
    <w:p w14:paraId="59F2172E" w14:textId="718CC4F1" w:rsidR="0067248A" w:rsidRPr="000744E3" w:rsidRDefault="007D1CB0" w:rsidP="00686E93">
      <w:r w:rsidRPr="000744E3">
        <w:t>Trade size therefore does not, in isolation, identify either the client type being served or the SI business model in operation</w:t>
      </w:r>
      <w:r w:rsidR="00030E77" w:rsidRPr="000744E3">
        <w:t xml:space="preserve">. </w:t>
      </w:r>
      <w:r w:rsidR="008C318C" w:rsidRPr="000744E3">
        <w:t xml:space="preserve">We would encourage ESMA to continue its analysis of the </w:t>
      </w:r>
      <w:r w:rsidR="002E0327" w:rsidRPr="000744E3">
        <w:t>e</w:t>
      </w:r>
      <w:r w:rsidR="008C318C" w:rsidRPr="000744E3">
        <w:t>quities market by adding a retail dimension to its statistical analysis. It would be extremely beneficial for the market as a whole to understand the overall weight of retail executions (in notional and number of transactions) for both on</w:t>
      </w:r>
      <w:r w:rsidR="00861A54" w:rsidRPr="000744E3">
        <w:t>-</w:t>
      </w:r>
      <w:r w:rsidR="008C318C" w:rsidRPr="000744E3">
        <w:t>venue and off</w:t>
      </w:r>
      <w:r w:rsidR="00861A54" w:rsidRPr="000744E3">
        <w:t>-</w:t>
      </w:r>
      <w:r w:rsidR="008C318C" w:rsidRPr="000744E3">
        <w:t>venue liquidity.</w:t>
      </w:r>
      <w:r w:rsidR="004E5BDD" w:rsidRPr="000744E3">
        <w:t xml:space="preserve"> Such indicators should be part of regular communication from ESMA as they are key in understanding market dynamics and in the future assessing the effectiveness of the </w:t>
      </w:r>
      <w:r w:rsidR="002B7F26" w:rsidRPr="000744E3">
        <w:t xml:space="preserve">SIU </w:t>
      </w:r>
      <w:r w:rsidR="004E5BDD" w:rsidRPr="000744E3">
        <w:t xml:space="preserve">retail </w:t>
      </w:r>
      <w:r w:rsidR="002B7F26" w:rsidRPr="000744E3">
        <w:t xml:space="preserve">investment strategy. </w:t>
      </w:r>
    </w:p>
    <w:p w14:paraId="327405BE" w14:textId="77777777" w:rsidR="00785AC1" w:rsidRPr="000744E3" w:rsidRDefault="00785AC1" w:rsidP="00785AC1">
      <w:r w:rsidRPr="000744E3">
        <w:t>&lt;ESMA_QUESTION_MSEM_21&gt;</w:t>
      </w:r>
    </w:p>
    <w:p w14:paraId="280D0C7D" w14:textId="77777777" w:rsidR="00785AC1" w:rsidRPr="000744E3" w:rsidRDefault="00785AC1" w:rsidP="00785AC1"/>
    <w:p w14:paraId="17A4CF4F"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is your perception of the application of price improvement by SIs? Does the data analysis reflect the reality, or do you believe that there are some data quality issues in the flagging of transactions subject to price improvement?</w:t>
      </w:r>
    </w:p>
    <w:p w14:paraId="28B1D082" w14:textId="77777777" w:rsidR="00785AC1" w:rsidRPr="000744E3" w:rsidRDefault="00785AC1" w:rsidP="00785AC1">
      <w:r w:rsidRPr="000744E3">
        <w:t>&lt;ESMA_QUESTION_MSEM_22&gt;</w:t>
      </w:r>
    </w:p>
    <w:p w14:paraId="2477BAA7" w14:textId="77777777" w:rsidR="00352F1E" w:rsidRPr="000744E3" w:rsidRDefault="00E27F4F" w:rsidP="00F662D6">
      <w:r w:rsidRPr="000744E3">
        <w:rPr>
          <w:bCs/>
        </w:rPr>
        <w:t xml:space="preserve">Before drawing policy conclusions from these data, we highlight </w:t>
      </w:r>
      <w:r w:rsidR="004E4662" w:rsidRPr="000744E3">
        <w:rPr>
          <w:bCs/>
        </w:rPr>
        <w:t>some</w:t>
      </w:r>
      <w:r w:rsidRPr="000744E3">
        <w:rPr>
          <w:bCs/>
        </w:rPr>
        <w:t xml:space="preserve"> methodological consideration</w:t>
      </w:r>
      <w:r w:rsidR="004E4662" w:rsidRPr="000744E3">
        <w:rPr>
          <w:bCs/>
        </w:rPr>
        <w:t>s</w:t>
      </w:r>
      <w:r w:rsidR="00352F1E" w:rsidRPr="000744E3">
        <w:t>:</w:t>
      </w:r>
    </w:p>
    <w:p w14:paraId="64070A05" w14:textId="77777777" w:rsidR="003430EA" w:rsidRPr="000744E3" w:rsidRDefault="00E27F4F" w:rsidP="00851902">
      <w:pPr>
        <w:pStyle w:val="ListParagraph"/>
        <w:numPr>
          <w:ilvl w:val="0"/>
          <w:numId w:val="14"/>
        </w:numPr>
      </w:pPr>
      <w:r w:rsidRPr="000744E3">
        <w:t xml:space="preserve">ESMA's Figure 27 reports the proportion of </w:t>
      </w:r>
      <w:r w:rsidR="0099053E" w:rsidRPr="000744E3">
        <w:t xml:space="preserve">each </w:t>
      </w:r>
      <w:r w:rsidR="00ED20BC" w:rsidRPr="000744E3">
        <w:t>anonymised</w:t>
      </w:r>
      <w:r w:rsidR="0099053E" w:rsidRPr="000744E3">
        <w:t xml:space="preserve"> </w:t>
      </w:r>
      <w:r w:rsidRPr="000744E3">
        <w:t>SI</w:t>
      </w:r>
      <w:r w:rsidR="00270205" w:rsidRPr="000744E3">
        <w:t>’</w:t>
      </w:r>
      <w:r w:rsidR="00ED20BC" w:rsidRPr="000744E3">
        <w:t>s</w:t>
      </w:r>
      <w:r w:rsidRPr="000744E3">
        <w:t xml:space="preserve"> transactions executed off-tick as a percentage of trade count, while Figure 33 reports the proportion of RPRI-flagged transactions as a percentage of notional. These are different bases and are not directly comparable.</w:t>
      </w:r>
      <w:r w:rsidR="004E4662" w:rsidRPr="000744E3">
        <w:t xml:space="preserve"> </w:t>
      </w:r>
    </w:p>
    <w:p w14:paraId="55C3C866" w14:textId="617F566D" w:rsidR="00DF2AB4" w:rsidRPr="000744E3" w:rsidDel="007A2AC7" w:rsidRDefault="007A2AC7" w:rsidP="00851902">
      <w:pPr>
        <w:pStyle w:val="ListParagraph"/>
        <w:numPr>
          <w:ilvl w:val="0"/>
          <w:numId w:val="14"/>
        </w:numPr>
      </w:pPr>
      <w:r w:rsidRPr="000744E3">
        <w:t>T</w:t>
      </w:r>
      <w:r w:rsidR="004E4662" w:rsidRPr="000744E3">
        <w:t>he RPRI flag is only required for execution</w:t>
      </w:r>
      <w:r w:rsidR="00DF2AB4" w:rsidRPr="000744E3">
        <w:t>s</w:t>
      </w:r>
      <w:r w:rsidR="004E4662" w:rsidRPr="000744E3">
        <w:t xml:space="preserve"> </w:t>
      </w:r>
      <w:r w:rsidR="002E6877" w:rsidRPr="000744E3">
        <w:t xml:space="preserve">in liquid stocks </w:t>
      </w:r>
      <w:r w:rsidR="00A36585" w:rsidRPr="000744E3">
        <w:t xml:space="preserve">for orders </w:t>
      </w:r>
      <w:r w:rsidR="004E4662" w:rsidRPr="000744E3">
        <w:t>below the transparency threshold (set at SMS</w:t>
      </w:r>
      <w:r w:rsidR="00A36585" w:rsidRPr="000744E3">
        <w:t xml:space="preserve">, </w:t>
      </w:r>
      <w:r w:rsidR="004E4662" w:rsidRPr="000744E3">
        <w:t>EUR ~10k</w:t>
      </w:r>
      <w:r w:rsidR="00A36585" w:rsidRPr="000744E3">
        <w:t>,</w:t>
      </w:r>
      <w:r w:rsidR="004E4662" w:rsidRPr="000744E3">
        <w:t xml:space="preserve"> for most of the timeframe covered by ESMA analysis)</w:t>
      </w:r>
      <w:r w:rsidR="00DF2AB4" w:rsidRPr="000744E3">
        <w:t>, while off tick executions can relate to orders in all sizes</w:t>
      </w:r>
      <w:r w:rsidR="0073571F" w:rsidRPr="000744E3">
        <w:t xml:space="preserve">, including but not limited to </w:t>
      </w:r>
      <w:r w:rsidR="004E4662" w:rsidRPr="000744E3">
        <w:t xml:space="preserve">benchmark trades and trades above the </w:t>
      </w:r>
      <w:r w:rsidR="0073571F" w:rsidRPr="000744E3">
        <w:t xml:space="preserve">quoting </w:t>
      </w:r>
      <w:r w:rsidR="004E4662" w:rsidRPr="000744E3">
        <w:t>transparency threshold</w:t>
      </w:r>
      <w:r w:rsidR="00A36585" w:rsidRPr="000744E3">
        <w:t xml:space="preserve"> in both liquid and illiquid instrument</w:t>
      </w:r>
      <w:r w:rsidR="004802B8" w:rsidRPr="000744E3">
        <w:t>s</w:t>
      </w:r>
      <w:r w:rsidR="004E4662" w:rsidRPr="000744E3">
        <w:t>.</w:t>
      </w:r>
      <w:r w:rsidR="00E27F4F" w:rsidRPr="000744E3">
        <w:t xml:space="preserve"> </w:t>
      </w:r>
    </w:p>
    <w:p w14:paraId="43395232" w14:textId="40A58F82" w:rsidR="003F199E" w:rsidRPr="000744E3" w:rsidRDefault="004E4662" w:rsidP="003430EA">
      <w:r w:rsidRPr="000744E3">
        <w:t>It is therefore difficult to opine from these metrics</w:t>
      </w:r>
      <w:r w:rsidR="00DF2AB4" w:rsidRPr="000744E3">
        <w:t xml:space="preserve"> </w:t>
      </w:r>
      <w:r w:rsidR="00CB61EA" w:rsidRPr="000744E3">
        <w:t xml:space="preserve">alone </w:t>
      </w:r>
      <w:r w:rsidRPr="000744E3">
        <w:t xml:space="preserve">the level of price improvement and how it relates to the order size. </w:t>
      </w:r>
      <w:r w:rsidR="00E22EBA" w:rsidRPr="000744E3">
        <w:t>Attempt</w:t>
      </w:r>
      <w:r w:rsidR="00561C8C" w:rsidRPr="000744E3">
        <w:t>ing</w:t>
      </w:r>
      <w:r w:rsidR="00E22EBA" w:rsidRPr="000744E3">
        <w:t xml:space="preserve"> to understand the price improvement dynamics within the SI regime </w:t>
      </w:r>
      <w:r w:rsidR="000A4F4B" w:rsidRPr="000744E3">
        <w:t xml:space="preserve">from post trade transparency </w:t>
      </w:r>
      <w:r w:rsidR="00A13E75" w:rsidRPr="000744E3">
        <w:t xml:space="preserve">(and to an extent from transaction reporting) </w:t>
      </w:r>
      <w:r w:rsidR="000A4F4B" w:rsidRPr="000744E3">
        <w:t xml:space="preserve">is </w:t>
      </w:r>
      <w:r w:rsidR="00DF2AB4" w:rsidRPr="000744E3">
        <w:t xml:space="preserve">also </w:t>
      </w:r>
      <w:r w:rsidR="000A4F4B" w:rsidRPr="000744E3">
        <w:t xml:space="preserve">inherently faulty as there is no </w:t>
      </w:r>
      <w:r w:rsidR="00561C8C" w:rsidRPr="000744E3">
        <w:t>abilit</w:t>
      </w:r>
      <w:r w:rsidR="000A4F4B" w:rsidRPr="000744E3">
        <w:t xml:space="preserve">y to match attributed public quotes to anonymised SI executions. </w:t>
      </w:r>
    </w:p>
    <w:p w14:paraId="134E0EAE" w14:textId="6F622332" w:rsidR="00D754BD" w:rsidRPr="000744E3" w:rsidRDefault="00930309" w:rsidP="00F662D6">
      <w:r w:rsidRPr="000744E3">
        <w:t xml:space="preserve">The </w:t>
      </w:r>
      <w:proofErr w:type="spellStart"/>
      <w:r w:rsidRPr="000744E3">
        <w:t>MiFIR</w:t>
      </w:r>
      <w:proofErr w:type="spellEnd"/>
      <w:r w:rsidRPr="000744E3">
        <w:t xml:space="preserve"> provision allowing execution price improvement in "justified cases" creates a structural feature whereby public SI quotes seem to be widely published at a consolidated EBBO and a significant proportion of executions may occur at improved prices. This is not conducive to a meaningful pre-trade transparency framework and is one of the reasons why public SI quotes are not used as a reference for </w:t>
      </w:r>
      <w:r w:rsidR="009C0A79" w:rsidRPr="000744E3">
        <w:t xml:space="preserve">SI </w:t>
      </w:r>
      <w:r w:rsidRPr="000744E3">
        <w:t>execution today.</w:t>
      </w:r>
      <w:r w:rsidR="004E35F8" w:rsidRPr="000744E3">
        <w:t xml:space="preserve"> With the current state of the available data</w:t>
      </w:r>
      <w:r w:rsidR="00A976F1" w:rsidRPr="000744E3">
        <w:t xml:space="preserve"> and</w:t>
      </w:r>
      <w:r w:rsidR="004E35F8" w:rsidRPr="000744E3">
        <w:t xml:space="preserve"> its quality</w:t>
      </w:r>
      <w:r w:rsidR="008143FA" w:rsidRPr="000744E3">
        <w:t xml:space="preserve">, it is difficult to </w:t>
      </w:r>
      <w:r w:rsidR="00D754BD" w:rsidRPr="000744E3">
        <w:t xml:space="preserve">know if price improvement within SI is material. </w:t>
      </w:r>
    </w:p>
    <w:p w14:paraId="347D107F" w14:textId="269B9369" w:rsidR="002E6877" w:rsidRPr="000744E3" w:rsidRDefault="00E27F4F" w:rsidP="00F662D6">
      <w:r w:rsidRPr="000744E3">
        <w:t xml:space="preserve">We would </w:t>
      </w:r>
      <w:r w:rsidR="00DE2790" w:rsidRPr="000744E3">
        <w:t xml:space="preserve">therefore </w:t>
      </w:r>
      <w:r w:rsidRPr="000744E3">
        <w:t xml:space="preserve">encourage ESMA to publish </w:t>
      </w:r>
      <w:r w:rsidR="007917FD" w:rsidRPr="000744E3">
        <w:t>further</w:t>
      </w:r>
      <w:r w:rsidR="007A1AEB" w:rsidRPr="000744E3">
        <w:t xml:space="preserve"> analysis </w:t>
      </w:r>
      <w:r w:rsidR="000761EE" w:rsidRPr="000744E3">
        <w:t>clearly differentiating SI activity subjected to the quoting obligation from the rest of the SI activity</w:t>
      </w:r>
      <w:r w:rsidR="002E6877" w:rsidRPr="000744E3">
        <w:t xml:space="preserve"> </w:t>
      </w:r>
      <w:r w:rsidR="00D838CC" w:rsidRPr="000744E3">
        <w:t>in accordance with the methodology set out below</w:t>
      </w:r>
      <w:r w:rsidR="002E6877" w:rsidRPr="000744E3">
        <w:t>:</w:t>
      </w:r>
    </w:p>
    <w:tbl>
      <w:tblPr>
        <w:tblStyle w:val="TableGrid"/>
        <w:tblW w:w="0" w:type="auto"/>
        <w:tblLook w:val="04A0" w:firstRow="1" w:lastRow="0" w:firstColumn="1" w:lastColumn="0" w:noHBand="0" w:noVBand="1"/>
      </w:tblPr>
      <w:tblGrid>
        <w:gridCol w:w="1473"/>
        <w:gridCol w:w="1075"/>
        <w:gridCol w:w="1416"/>
        <w:gridCol w:w="1843"/>
        <w:gridCol w:w="1559"/>
        <w:gridCol w:w="1696"/>
      </w:tblGrid>
      <w:tr w:rsidR="00A86557" w:rsidRPr="000744E3" w14:paraId="4DFED869" w14:textId="04D5B41B" w:rsidTr="00A248EA">
        <w:tc>
          <w:tcPr>
            <w:tcW w:w="1473" w:type="dxa"/>
            <w:shd w:val="clear" w:color="auto" w:fill="156082" w:themeFill="accent1"/>
          </w:tcPr>
          <w:p w14:paraId="1F6DF7A3" w14:textId="24DFB36B" w:rsidR="00A86557" w:rsidRPr="000744E3" w:rsidRDefault="00A86557" w:rsidP="00A248EA">
            <w:pPr>
              <w:spacing w:after="0"/>
              <w:rPr>
                <w:color w:val="FFFFFF" w:themeColor="background1"/>
                <w:sz w:val="18"/>
                <w:szCs w:val="16"/>
              </w:rPr>
            </w:pPr>
            <w:r w:rsidRPr="000744E3">
              <w:rPr>
                <w:color w:val="FFFFFF" w:themeColor="background1"/>
                <w:sz w:val="18"/>
                <w:szCs w:val="16"/>
              </w:rPr>
              <w:t xml:space="preserve">SI </w:t>
            </w:r>
            <w:proofErr w:type="spellStart"/>
            <w:r w:rsidRPr="000744E3">
              <w:rPr>
                <w:color w:val="FFFFFF" w:themeColor="background1"/>
                <w:sz w:val="18"/>
                <w:szCs w:val="16"/>
              </w:rPr>
              <w:t>activity</w:t>
            </w:r>
            <w:proofErr w:type="spellEnd"/>
          </w:p>
        </w:tc>
        <w:tc>
          <w:tcPr>
            <w:tcW w:w="1075" w:type="dxa"/>
            <w:shd w:val="clear" w:color="auto" w:fill="156082" w:themeFill="accent1"/>
          </w:tcPr>
          <w:p w14:paraId="6531B24F" w14:textId="7FA6E203" w:rsidR="00A86557" w:rsidRPr="000744E3" w:rsidRDefault="00A86557" w:rsidP="00A248EA">
            <w:pPr>
              <w:spacing w:after="0"/>
              <w:rPr>
                <w:color w:val="FFFFFF" w:themeColor="background1"/>
                <w:sz w:val="18"/>
                <w:szCs w:val="16"/>
              </w:rPr>
            </w:pPr>
            <w:r w:rsidRPr="000744E3">
              <w:rPr>
                <w:color w:val="FFFFFF" w:themeColor="background1"/>
                <w:sz w:val="18"/>
                <w:szCs w:val="16"/>
              </w:rPr>
              <w:t>Instrument</w:t>
            </w:r>
          </w:p>
        </w:tc>
        <w:tc>
          <w:tcPr>
            <w:tcW w:w="1416" w:type="dxa"/>
            <w:shd w:val="clear" w:color="auto" w:fill="156082" w:themeFill="accent1"/>
          </w:tcPr>
          <w:p w14:paraId="731B1EFB" w14:textId="5C327CA5" w:rsidR="00A86557" w:rsidRPr="000744E3" w:rsidRDefault="00A86557" w:rsidP="00A248EA">
            <w:pPr>
              <w:spacing w:after="0"/>
              <w:rPr>
                <w:color w:val="FFFFFF" w:themeColor="background1"/>
                <w:sz w:val="18"/>
                <w:szCs w:val="16"/>
              </w:rPr>
            </w:pPr>
            <w:proofErr w:type="spellStart"/>
            <w:r w:rsidRPr="000744E3">
              <w:rPr>
                <w:color w:val="FFFFFF" w:themeColor="background1"/>
                <w:sz w:val="18"/>
                <w:szCs w:val="16"/>
              </w:rPr>
              <w:t>Identification</w:t>
            </w:r>
            <w:proofErr w:type="spellEnd"/>
            <w:r w:rsidRPr="000744E3">
              <w:rPr>
                <w:color w:val="FFFFFF" w:themeColor="background1"/>
                <w:sz w:val="18"/>
                <w:szCs w:val="16"/>
              </w:rPr>
              <w:t xml:space="preserve"> of </w:t>
            </w:r>
            <w:proofErr w:type="spellStart"/>
            <w:r w:rsidRPr="000744E3">
              <w:rPr>
                <w:color w:val="FFFFFF" w:themeColor="background1"/>
                <w:sz w:val="18"/>
                <w:szCs w:val="16"/>
              </w:rPr>
              <w:t>the</w:t>
            </w:r>
            <w:proofErr w:type="spellEnd"/>
            <w:r w:rsidRPr="000744E3">
              <w:rPr>
                <w:color w:val="FFFFFF" w:themeColor="background1"/>
                <w:sz w:val="18"/>
                <w:szCs w:val="16"/>
              </w:rPr>
              <w:t xml:space="preserve"> flow</w:t>
            </w:r>
          </w:p>
        </w:tc>
        <w:tc>
          <w:tcPr>
            <w:tcW w:w="1843" w:type="dxa"/>
            <w:shd w:val="clear" w:color="auto" w:fill="156082" w:themeFill="accent1"/>
          </w:tcPr>
          <w:p w14:paraId="58C1E0C9" w14:textId="7B4019FB" w:rsidR="00A86557" w:rsidRPr="000744E3" w:rsidRDefault="00A86557" w:rsidP="00A248EA">
            <w:pPr>
              <w:spacing w:after="0"/>
              <w:rPr>
                <w:color w:val="FFFFFF" w:themeColor="background1"/>
                <w:sz w:val="18"/>
                <w:szCs w:val="16"/>
              </w:rPr>
            </w:pPr>
            <w:r w:rsidRPr="000744E3">
              <w:rPr>
                <w:color w:val="FFFFFF" w:themeColor="background1"/>
                <w:sz w:val="18"/>
                <w:szCs w:val="16"/>
              </w:rPr>
              <w:t xml:space="preserve">Price </w:t>
            </w:r>
            <w:proofErr w:type="spellStart"/>
            <w:r w:rsidRPr="000744E3">
              <w:rPr>
                <w:color w:val="FFFFFF" w:themeColor="background1"/>
                <w:sz w:val="18"/>
                <w:szCs w:val="16"/>
              </w:rPr>
              <w:t>improvement</w:t>
            </w:r>
            <w:proofErr w:type="spellEnd"/>
          </w:p>
        </w:tc>
        <w:tc>
          <w:tcPr>
            <w:tcW w:w="1559" w:type="dxa"/>
            <w:shd w:val="clear" w:color="auto" w:fill="156082" w:themeFill="accent1"/>
          </w:tcPr>
          <w:p w14:paraId="20D95E2E" w14:textId="0744E16E" w:rsidR="00A86557" w:rsidRPr="000744E3" w:rsidRDefault="00A86557" w:rsidP="00A248EA">
            <w:pPr>
              <w:spacing w:after="0"/>
              <w:rPr>
                <w:color w:val="FFFFFF" w:themeColor="background1"/>
                <w:sz w:val="18"/>
                <w:szCs w:val="16"/>
              </w:rPr>
            </w:pPr>
            <w:r w:rsidRPr="000744E3">
              <w:rPr>
                <w:color w:val="FFFFFF" w:themeColor="background1"/>
                <w:sz w:val="18"/>
                <w:szCs w:val="16"/>
              </w:rPr>
              <w:t xml:space="preserve">Level of </w:t>
            </w:r>
            <w:proofErr w:type="spellStart"/>
            <w:r w:rsidRPr="000744E3">
              <w:rPr>
                <w:color w:val="FFFFFF" w:themeColor="background1"/>
                <w:sz w:val="18"/>
                <w:szCs w:val="16"/>
              </w:rPr>
              <w:t>price</w:t>
            </w:r>
            <w:proofErr w:type="spellEnd"/>
            <w:r w:rsidRPr="000744E3">
              <w:rPr>
                <w:color w:val="FFFFFF" w:themeColor="background1"/>
                <w:sz w:val="18"/>
                <w:szCs w:val="16"/>
              </w:rPr>
              <w:t xml:space="preserve"> </w:t>
            </w:r>
            <w:proofErr w:type="spellStart"/>
            <w:r w:rsidRPr="000744E3">
              <w:rPr>
                <w:color w:val="FFFFFF" w:themeColor="background1"/>
                <w:sz w:val="18"/>
                <w:szCs w:val="16"/>
              </w:rPr>
              <w:t>improvement</w:t>
            </w:r>
            <w:proofErr w:type="spellEnd"/>
          </w:p>
        </w:tc>
        <w:tc>
          <w:tcPr>
            <w:tcW w:w="1696" w:type="dxa"/>
            <w:shd w:val="clear" w:color="auto" w:fill="156082" w:themeFill="accent1"/>
          </w:tcPr>
          <w:p w14:paraId="156B32DF" w14:textId="7F7AC982" w:rsidR="00A86557" w:rsidRPr="000744E3" w:rsidRDefault="00A86557" w:rsidP="00A248EA">
            <w:pPr>
              <w:spacing w:after="0"/>
              <w:rPr>
                <w:color w:val="FFFFFF" w:themeColor="background1"/>
                <w:sz w:val="18"/>
                <w:szCs w:val="18"/>
              </w:rPr>
            </w:pPr>
            <w:proofErr w:type="spellStart"/>
            <w:r w:rsidRPr="000744E3">
              <w:rPr>
                <w:color w:val="FFFFFF" w:themeColor="background1"/>
                <w:sz w:val="18"/>
                <w:szCs w:val="18"/>
              </w:rPr>
              <w:t>Propo</w:t>
            </w:r>
            <w:r w:rsidR="002C7C5C" w:rsidRPr="000744E3">
              <w:rPr>
                <w:color w:val="FFFFFF" w:themeColor="background1"/>
                <w:sz w:val="18"/>
                <w:szCs w:val="18"/>
              </w:rPr>
              <w:t>r</w:t>
            </w:r>
            <w:r w:rsidRPr="000744E3">
              <w:rPr>
                <w:color w:val="FFFFFF" w:themeColor="background1"/>
                <w:sz w:val="18"/>
                <w:szCs w:val="18"/>
              </w:rPr>
              <w:t>tion</w:t>
            </w:r>
            <w:proofErr w:type="spellEnd"/>
            <w:r w:rsidRPr="000744E3">
              <w:rPr>
                <w:color w:val="FFFFFF" w:themeColor="background1"/>
                <w:sz w:val="18"/>
                <w:szCs w:val="18"/>
              </w:rPr>
              <w:t xml:space="preserve"> of off </w:t>
            </w:r>
            <w:proofErr w:type="spellStart"/>
            <w:r w:rsidRPr="000744E3">
              <w:rPr>
                <w:color w:val="FFFFFF" w:themeColor="background1"/>
                <w:sz w:val="18"/>
                <w:szCs w:val="18"/>
              </w:rPr>
              <w:t>tick</w:t>
            </w:r>
            <w:proofErr w:type="spellEnd"/>
          </w:p>
        </w:tc>
      </w:tr>
      <w:tr w:rsidR="00A86557" w:rsidRPr="000744E3" w14:paraId="39B95709" w14:textId="24021E34" w:rsidTr="00A248EA">
        <w:tc>
          <w:tcPr>
            <w:tcW w:w="1473" w:type="dxa"/>
            <w:shd w:val="clear" w:color="auto" w:fill="156082" w:themeFill="accent1"/>
          </w:tcPr>
          <w:p w14:paraId="44C11BD8" w14:textId="5C41F016" w:rsidR="00A86557" w:rsidRPr="000744E3" w:rsidRDefault="00A86557" w:rsidP="00A248EA">
            <w:pPr>
              <w:spacing w:after="0"/>
              <w:rPr>
                <w:b/>
                <w:bCs/>
                <w:color w:val="FFFFFF" w:themeColor="background1"/>
                <w:sz w:val="18"/>
                <w:szCs w:val="16"/>
              </w:rPr>
            </w:pPr>
            <w:proofErr w:type="spellStart"/>
            <w:r w:rsidRPr="000744E3">
              <w:rPr>
                <w:b/>
                <w:bCs/>
                <w:color w:val="FFFFFF" w:themeColor="background1"/>
                <w:sz w:val="18"/>
                <w:szCs w:val="16"/>
              </w:rPr>
              <w:t>Subjected</w:t>
            </w:r>
            <w:proofErr w:type="spellEnd"/>
            <w:r w:rsidRPr="000744E3">
              <w:rPr>
                <w:b/>
                <w:bCs/>
                <w:color w:val="FFFFFF" w:themeColor="background1"/>
                <w:sz w:val="18"/>
                <w:szCs w:val="16"/>
              </w:rPr>
              <w:t xml:space="preserve"> </w:t>
            </w:r>
            <w:proofErr w:type="spellStart"/>
            <w:r w:rsidRPr="000744E3">
              <w:rPr>
                <w:b/>
                <w:bCs/>
                <w:color w:val="FFFFFF" w:themeColor="background1"/>
                <w:sz w:val="18"/>
                <w:szCs w:val="16"/>
              </w:rPr>
              <w:t>to</w:t>
            </w:r>
            <w:proofErr w:type="spellEnd"/>
            <w:r w:rsidRPr="000744E3">
              <w:rPr>
                <w:b/>
                <w:bCs/>
                <w:color w:val="FFFFFF" w:themeColor="background1"/>
                <w:sz w:val="18"/>
                <w:szCs w:val="16"/>
              </w:rPr>
              <w:t xml:space="preserve"> </w:t>
            </w:r>
            <w:proofErr w:type="spellStart"/>
            <w:r w:rsidRPr="000744E3">
              <w:rPr>
                <w:b/>
                <w:bCs/>
                <w:color w:val="FFFFFF" w:themeColor="background1"/>
                <w:sz w:val="18"/>
                <w:szCs w:val="16"/>
              </w:rPr>
              <w:t>mandatory</w:t>
            </w:r>
            <w:proofErr w:type="spellEnd"/>
            <w:r w:rsidRPr="000744E3">
              <w:rPr>
                <w:b/>
                <w:bCs/>
                <w:color w:val="FFFFFF" w:themeColor="background1"/>
                <w:sz w:val="18"/>
                <w:szCs w:val="16"/>
              </w:rPr>
              <w:t xml:space="preserve"> </w:t>
            </w:r>
            <w:proofErr w:type="spellStart"/>
            <w:r w:rsidRPr="000744E3">
              <w:rPr>
                <w:b/>
                <w:bCs/>
                <w:color w:val="FFFFFF" w:themeColor="background1"/>
                <w:sz w:val="18"/>
                <w:szCs w:val="16"/>
              </w:rPr>
              <w:t>quoting</w:t>
            </w:r>
            <w:proofErr w:type="spellEnd"/>
            <w:r w:rsidRPr="000744E3">
              <w:rPr>
                <w:b/>
                <w:bCs/>
                <w:color w:val="FFFFFF" w:themeColor="background1"/>
                <w:sz w:val="18"/>
                <w:szCs w:val="16"/>
              </w:rPr>
              <w:t xml:space="preserve"> </w:t>
            </w:r>
          </w:p>
        </w:tc>
        <w:tc>
          <w:tcPr>
            <w:tcW w:w="1075" w:type="dxa"/>
          </w:tcPr>
          <w:p w14:paraId="02848F90" w14:textId="517F1D6D" w:rsidR="00A86557" w:rsidRPr="000744E3" w:rsidRDefault="00A86557" w:rsidP="00A248EA">
            <w:pPr>
              <w:spacing w:after="0"/>
              <w:jc w:val="left"/>
              <w:rPr>
                <w:sz w:val="18"/>
                <w:szCs w:val="16"/>
              </w:rPr>
            </w:pPr>
            <w:r w:rsidRPr="000744E3">
              <w:rPr>
                <w:sz w:val="18"/>
                <w:szCs w:val="16"/>
              </w:rPr>
              <w:t xml:space="preserve">Liquid </w:t>
            </w:r>
            <w:proofErr w:type="spellStart"/>
            <w:r w:rsidRPr="000744E3">
              <w:rPr>
                <w:sz w:val="18"/>
                <w:szCs w:val="16"/>
              </w:rPr>
              <w:t>only</w:t>
            </w:r>
            <w:proofErr w:type="spellEnd"/>
          </w:p>
        </w:tc>
        <w:tc>
          <w:tcPr>
            <w:tcW w:w="1416" w:type="dxa"/>
          </w:tcPr>
          <w:p w14:paraId="4D4926EC" w14:textId="17ADA14C" w:rsidR="00A86557" w:rsidRPr="000744E3" w:rsidRDefault="00A86557" w:rsidP="00A248EA">
            <w:pPr>
              <w:spacing w:after="0"/>
              <w:jc w:val="left"/>
              <w:rPr>
                <w:sz w:val="18"/>
                <w:szCs w:val="16"/>
                <w:lang w:val="en-GB"/>
              </w:rPr>
            </w:pPr>
            <w:r w:rsidRPr="000744E3">
              <w:rPr>
                <w:sz w:val="18"/>
                <w:szCs w:val="16"/>
                <w:lang w:val="en-GB"/>
              </w:rPr>
              <w:t>SI trades without the “SIZE” flag</w:t>
            </w:r>
          </w:p>
        </w:tc>
        <w:tc>
          <w:tcPr>
            <w:tcW w:w="1843" w:type="dxa"/>
          </w:tcPr>
          <w:p w14:paraId="3F56164B" w14:textId="3865ECE0" w:rsidR="00A86557" w:rsidRPr="000744E3" w:rsidRDefault="00A86557" w:rsidP="00A248EA">
            <w:pPr>
              <w:spacing w:after="0"/>
              <w:jc w:val="left"/>
              <w:rPr>
                <w:sz w:val="18"/>
                <w:szCs w:val="16"/>
              </w:rPr>
            </w:pPr>
            <w:proofErr w:type="spellStart"/>
            <w:r w:rsidRPr="000744E3">
              <w:rPr>
                <w:sz w:val="18"/>
                <w:szCs w:val="16"/>
              </w:rPr>
              <w:t>Identified</w:t>
            </w:r>
            <w:proofErr w:type="spellEnd"/>
            <w:r w:rsidRPr="000744E3">
              <w:rPr>
                <w:sz w:val="18"/>
                <w:szCs w:val="16"/>
              </w:rPr>
              <w:t xml:space="preserve"> </w:t>
            </w:r>
            <w:proofErr w:type="spellStart"/>
            <w:r w:rsidRPr="000744E3">
              <w:rPr>
                <w:sz w:val="18"/>
                <w:szCs w:val="16"/>
              </w:rPr>
              <w:t>by</w:t>
            </w:r>
            <w:proofErr w:type="spellEnd"/>
            <w:r w:rsidRPr="000744E3">
              <w:rPr>
                <w:sz w:val="18"/>
                <w:szCs w:val="16"/>
              </w:rPr>
              <w:t xml:space="preserve"> RPRI</w:t>
            </w:r>
          </w:p>
        </w:tc>
        <w:tc>
          <w:tcPr>
            <w:tcW w:w="1559" w:type="dxa"/>
            <w:vMerge w:val="restart"/>
          </w:tcPr>
          <w:p w14:paraId="64A21981" w14:textId="29F044CC" w:rsidR="00A86557" w:rsidRPr="000744E3" w:rsidRDefault="00A86557" w:rsidP="00A248EA">
            <w:pPr>
              <w:spacing w:after="0"/>
              <w:jc w:val="left"/>
              <w:rPr>
                <w:sz w:val="18"/>
                <w:szCs w:val="16"/>
                <w:lang w:val="en-GB"/>
              </w:rPr>
            </w:pPr>
            <w:r w:rsidRPr="000744E3">
              <w:rPr>
                <w:sz w:val="18"/>
                <w:szCs w:val="16"/>
                <w:lang w:val="en-GB"/>
              </w:rPr>
              <w:t>Requires compar</w:t>
            </w:r>
            <w:r w:rsidR="00D003AB" w:rsidRPr="000744E3">
              <w:rPr>
                <w:sz w:val="18"/>
                <w:szCs w:val="16"/>
                <w:lang w:val="en-GB"/>
              </w:rPr>
              <w:t>ison of</w:t>
            </w:r>
            <w:r w:rsidRPr="000744E3">
              <w:rPr>
                <w:sz w:val="18"/>
                <w:szCs w:val="16"/>
                <w:lang w:val="en-GB"/>
              </w:rPr>
              <w:t xml:space="preserve"> the quotes to </w:t>
            </w:r>
            <w:r w:rsidR="00D003AB" w:rsidRPr="000744E3">
              <w:rPr>
                <w:sz w:val="18"/>
                <w:szCs w:val="16"/>
                <w:lang w:val="en-GB"/>
              </w:rPr>
              <w:t>t</w:t>
            </w:r>
            <w:r w:rsidRPr="000744E3">
              <w:rPr>
                <w:sz w:val="18"/>
                <w:szCs w:val="16"/>
                <w:lang w:val="en-GB"/>
              </w:rPr>
              <w:t>he execution for each SI.</w:t>
            </w:r>
          </w:p>
        </w:tc>
        <w:tc>
          <w:tcPr>
            <w:tcW w:w="1696" w:type="dxa"/>
            <w:vMerge w:val="restart"/>
          </w:tcPr>
          <w:p w14:paraId="004D790D" w14:textId="52F9530F" w:rsidR="00A86557" w:rsidRPr="000744E3" w:rsidRDefault="00A86557" w:rsidP="00A248EA">
            <w:pPr>
              <w:spacing w:after="0"/>
              <w:jc w:val="left"/>
              <w:rPr>
                <w:sz w:val="18"/>
                <w:szCs w:val="16"/>
                <w:lang w:val="en-GB"/>
              </w:rPr>
            </w:pPr>
            <w:r w:rsidRPr="000744E3">
              <w:rPr>
                <w:sz w:val="18"/>
                <w:szCs w:val="16"/>
                <w:lang w:val="en-GB"/>
              </w:rPr>
              <w:t xml:space="preserve">Any executions not </w:t>
            </w:r>
            <w:r w:rsidR="00D511F3">
              <w:rPr>
                <w:sz w:val="18"/>
                <w:szCs w:val="16"/>
                <w:lang w:val="en-GB"/>
              </w:rPr>
              <w:t>in line</w:t>
            </w:r>
            <w:r w:rsidRPr="000744E3">
              <w:rPr>
                <w:sz w:val="18"/>
                <w:szCs w:val="16"/>
                <w:lang w:val="en-GB"/>
              </w:rPr>
              <w:t xml:space="preserve"> with the </w:t>
            </w:r>
            <w:r w:rsidR="006878E3" w:rsidRPr="000744E3">
              <w:rPr>
                <w:sz w:val="18"/>
                <w:szCs w:val="16"/>
                <w:lang w:val="en-GB"/>
              </w:rPr>
              <w:t>tick size table</w:t>
            </w:r>
            <w:r w:rsidR="007917FD" w:rsidRPr="000744E3">
              <w:rPr>
                <w:sz w:val="18"/>
                <w:szCs w:val="16"/>
                <w:lang w:val="en-GB"/>
              </w:rPr>
              <w:t>, classified by post trade flag (</w:t>
            </w:r>
            <w:r w:rsidR="00D511F3">
              <w:rPr>
                <w:sz w:val="18"/>
                <w:szCs w:val="16"/>
                <w:lang w:val="en-GB"/>
              </w:rPr>
              <w:t xml:space="preserve">trades with </w:t>
            </w:r>
            <w:r w:rsidR="007917FD" w:rsidRPr="000744E3">
              <w:rPr>
                <w:sz w:val="18"/>
                <w:szCs w:val="16"/>
                <w:lang w:val="en-GB"/>
              </w:rPr>
              <w:t xml:space="preserve">no flag, </w:t>
            </w:r>
            <w:r w:rsidR="00A248EA">
              <w:rPr>
                <w:sz w:val="18"/>
                <w:szCs w:val="16"/>
                <w:lang w:val="en-GB"/>
              </w:rPr>
              <w:t xml:space="preserve">and with flags </w:t>
            </w:r>
            <w:r w:rsidR="007917FD" w:rsidRPr="000744E3">
              <w:rPr>
                <w:sz w:val="18"/>
                <w:szCs w:val="16"/>
                <w:lang w:val="en-GB"/>
              </w:rPr>
              <w:t>benchmark, portfolio and conti</w:t>
            </w:r>
            <w:r w:rsidR="00D003AB" w:rsidRPr="000744E3">
              <w:rPr>
                <w:sz w:val="18"/>
                <w:szCs w:val="16"/>
                <w:lang w:val="en-GB"/>
              </w:rPr>
              <w:t>n</w:t>
            </w:r>
            <w:r w:rsidR="007917FD" w:rsidRPr="000744E3">
              <w:rPr>
                <w:sz w:val="18"/>
                <w:szCs w:val="16"/>
                <w:lang w:val="en-GB"/>
              </w:rPr>
              <w:t>gent)</w:t>
            </w:r>
          </w:p>
        </w:tc>
      </w:tr>
      <w:tr w:rsidR="00A86557" w:rsidRPr="000744E3" w14:paraId="2041E76A" w14:textId="7DDA27C8" w:rsidTr="00A248EA">
        <w:tc>
          <w:tcPr>
            <w:tcW w:w="1473" w:type="dxa"/>
            <w:vMerge w:val="restart"/>
            <w:shd w:val="clear" w:color="auto" w:fill="156082" w:themeFill="accent1"/>
          </w:tcPr>
          <w:p w14:paraId="7FB07F2F" w14:textId="2A8EE15E" w:rsidR="00A86557" w:rsidRPr="000744E3" w:rsidRDefault="00A86557" w:rsidP="00A248EA">
            <w:pPr>
              <w:spacing w:after="0"/>
              <w:rPr>
                <w:b/>
                <w:color w:val="FFFFFF" w:themeColor="background1"/>
                <w:sz w:val="18"/>
                <w:szCs w:val="16"/>
                <w:lang w:val="en-GB"/>
              </w:rPr>
            </w:pPr>
            <w:r w:rsidRPr="000744E3">
              <w:rPr>
                <w:b/>
                <w:color w:val="FFFFFF" w:themeColor="background1"/>
                <w:sz w:val="18"/>
                <w:szCs w:val="16"/>
                <w:lang w:val="en-GB"/>
              </w:rPr>
              <w:t>Not subjected to mandatory quoting</w:t>
            </w:r>
          </w:p>
        </w:tc>
        <w:tc>
          <w:tcPr>
            <w:tcW w:w="1075" w:type="dxa"/>
          </w:tcPr>
          <w:p w14:paraId="310C19D3" w14:textId="2C8206AA" w:rsidR="00A86557" w:rsidRPr="000744E3" w:rsidRDefault="00A86557" w:rsidP="00A248EA">
            <w:pPr>
              <w:spacing w:after="0"/>
              <w:jc w:val="left"/>
              <w:rPr>
                <w:sz w:val="18"/>
                <w:szCs w:val="16"/>
              </w:rPr>
            </w:pPr>
            <w:r w:rsidRPr="000744E3">
              <w:rPr>
                <w:sz w:val="18"/>
                <w:szCs w:val="16"/>
              </w:rPr>
              <w:t xml:space="preserve">Liquid </w:t>
            </w:r>
          </w:p>
        </w:tc>
        <w:tc>
          <w:tcPr>
            <w:tcW w:w="1416" w:type="dxa"/>
          </w:tcPr>
          <w:p w14:paraId="080C6011" w14:textId="41F1CC17" w:rsidR="00A86557" w:rsidRPr="000744E3" w:rsidRDefault="00A86557" w:rsidP="00A248EA">
            <w:pPr>
              <w:spacing w:after="0"/>
              <w:jc w:val="left"/>
              <w:rPr>
                <w:sz w:val="18"/>
                <w:szCs w:val="16"/>
                <w:lang w:val="en-GB"/>
              </w:rPr>
            </w:pPr>
            <w:r w:rsidRPr="000744E3">
              <w:rPr>
                <w:sz w:val="18"/>
                <w:szCs w:val="16"/>
                <w:lang w:val="en-GB"/>
              </w:rPr>
              <w:t>SI with the “SIZE” flag</w:t>
            </w:r>
          </w:p>
        </w:tc>
        <w:tc>
          <w:tcPr>
            <w:tcW w:w="1843" w:type="dxa"/>
          </w:tcPr>
          <w:p w14:paraId="38476EEC" w14:textId="36C5FCE2" w:rsidR="00A86557" w:rsidRPr="000744E3" w:rsidRDefault="00A86557" w:rsidP="00A248EA">
            <w:pPr>
              <w:spacing w:after="0"/>
              <w:jc w:val="left"/>
              <w:rPr>
                <w:sz w:val="18"/>
                <w:szCs w:val="16"/>
                <w:lang w:val="en-GB"/>
              </w:rPr>
            </w:pPr>
            <w:r w:rsidRPr="000744E3">
              <w:rPr>
                <w:sz w:val="18"/>
                <w:szCs w:val="16"/>
                <w:lang w:val="en-GB"/>
              </w:rPr>
              <w:t>No natural data point, would require access to a link between quotes and executions</w:t>
            </w:r>
          </w:p>
        </w:tc>
        <w:tc>
          <w:tcPr>
            <w:tcW w:w="1559" w:type="dxa"/>
            <w:vMerge/>
          </w:tcPr>
          <w:p w14:paraId="27772136" w14:textId="6C9E74C6" w:rsidR="00A86557" w:rsidRPr="000744E3" w:rsidRDefault="00A86557" w:rsidP="00A248EA">
            <w:pPr>
              <w:spacing w:after="0"/>
              <w:jc w:val="left"/>
              <w:rPr>
                <w:sz w:val="18"/>
                <w:szCs w:val="16"/>
                <w:lang w:val="en-GB"/>
              </w:rPr>
            </w:pPr>
          </w:p>
        </w:tc>
        <w:tc>
          <w:tcPr>
            <w:tcW w:w="1696" w:type="dxa"/>
            <w:vMerge/>
          </w:tcPr>
          <w:p w14:paraId="35352A74" w14:textId="77777777" w:rsidR="00A86557" w:rsidRPr="000744E3" w:rsidRDefault="00A86557" w:rsidP="00A248EA">
            <w:pPr>
              <w:spacing w:after="0"/>
              <w:jc w:val="left"/>
              <w:rPr>
                <w:sz w:val="18"/>
                <w:szCs w:val="16"/>
                <w:lang w:val="en-GB"/>
              </w:rPr>
            </w:pPr>
          </w:p>
        </w:tc>
      </w:tr>
      <w:tr w:rsidR="00A86557" w:rsidRPr="000744E3" w14:paraId="362D8F25" w14:textId="5310CAA1" w:rsidTr="00A248EA">
        <w:tc>
          <w:tcPr>
            <w:tcW w:w="1473" w:type="dxa"/>
            <w:vMerge/>
          </w:tcPr>
          <w:p w14:paraId="1E332E90" w14:textId="77777777" w:rsidR="00A86557" w:rsidRPr="000744E3" w:rsidRDefault="00A86557" w:rsidP="00A248EA">
            <w:pPr>
              <w:spacing w:after="0"/>
              <w:rPr>
                <w:b/>
                <w:color w:val="FFFFFF" w:themeColor="background1"/>
                <w:sz w:val="18"/>
                <w:szCs w:val="16"/>
                <w:lang w:val="en-GB"/>
              </w:rPr>
            </w:pPr>
          </w:p>
        </w:tc>
        <w:tc>
          <w:tcPr>
            <w:tcW w:w="1075" w:type="dxa"/>
          </w:tcPr>
          <w:p w14:paraId="2C8E032F" w14:textId="6D0C88CE" w:rsidR="00A86557" w:rsidRPr="000744E3" w:rsidRDefault="00A86557" w:rsidP="00A248EA">
            <w:pPr>
              <w:spacing w:after="0"/>
              <w:jc w:val="left"/>
              <w:rPr>
                <w:sz w:val="18"/>
                <w:szCs w:val="16"/>
              </w:rPr>
            </w:pPr>
            <w:proofErr w:type="spellStart"/>
            <w:r w:rsidRPr="000744E3">
              <w:rPr>
                <w:sz w:val="18"/>
                <w:szCs w:val="16"/>
              </w:rPr>
              <w:t>Illiquid</w:t>
            </w:r>
            <w:proofErr w:type="spellEnd"/>
          </w:p>
        </w:tc>
        <w:tc>
          <w:tcPr>
            <w:tcW w:w="1416" w:type="dxa"/>
          </w:tcPr>
          <w:p w14:paraId="0AF4A950" w14:textId="4BF94632" w:rsidR="00A86557" w:rsidRPr="000744E3" w:rsidRDefault="00A86557" w:rsidP="00A248EA">
            <w:pPr>
              <w:spacing w:after="0"/>
              <w:jc w:val="left"/>
              <w:rPr>
                <w:sz w:val="18"/>
                <w:szCs w:val="16"/>
              </w:rPr>
            </w:pPr>
            <w:r w:rsidRPr="000744E3">
              <w:rPr>
                <w:sz w:val="18"/>
                <w:szCs w:val="16"/>
              </w:rPr>
              <w:t xml:space="preserve">No </w:t>
            </w:r>
            <w:proofErr w:type="spellStart"/>
            <w:r w:rsidRPr="000744E3">
              <w:rPr>
                <w:sz w:val="18"/>
                <w:szCs w:val="16"/>
              </w:rPr>
              <w:t>flag</w:t>
            </w:r>
            <w:proofErr w:type="spellEnd"/>
          </w:p>
        </w:tc>
        <w:tc>
          <w:tcPr>
            <w:tcW w:w="1843" w:type="dxa"/>
          </w:tcPr>
          <w:p w14:paraId="5F1CF6BE" w14:textId="70CF494D" w:rsidR="00A86557" w:rsidRPr="000744E3" w:rsidRDefault="00A86557" w:rsidP="00A248EA">
            <w:pPr>
              <w:spacing w:after="0"/>
              <w:jc w:val="left"/>
              <w:rPr>
                <w:sz w:val="18"/>
                <w:szCs w:val="16"/>
              </w:rPr>
            </w:pPr>
            <w:r w:rsidRPr="000744E3">
              <w:rPr>
                <w:sz w:val="18"/>
                <w:szCs w:val="16"/>
              </w:rPr>
              <w:t xml:space="preserve">No </w:t>
            </w:r>
            <w:proofErr w:type="spellStart"/>
            <w:r w:rsidRPr="000744E3">
              <w:rPr>
                <w:sz w:val="18"/>
                <w:szCs w:val="16"/>
              </w:rPr>
              <w:t>flag</w:t>
            </w:r>
            <w:proofErr w:type="spellEnd"/>
            <w:r w:rsidRPr="000744E3">
              <w:rPr>
                <w:sz w:val="18"/>
                <w:szCs w:val="16"/>
              </w:rPr>
              <w:t xml:space="preserve"> </w:t>
            </w:r>
          </w:p>
        </w:tc>
        <w:tc>
          <w:tcPr>
            <w:tcW w:w="1559" w:type="dxa"/>
            <w:vMerge/>
          </w:tcPr>
          <w:p w14:paraId="7532BA9A" w14:textId="77777777" w:rsidR="00A86557" w:rsidRPr="000744E3" w:rsidRDefault="00A86557" w:rsidP="00A248EA">
            <w:pPr>
              <w:spacing w:after="0"/>
              <w:jc w:val="left"/>
              <w:rPr>
                <w:sz w:val="18"/>
                <w:szCs w:val="16"/>
              </w:rPr>
            </w:pPr>
          </w:p>
        </w:tc>
        <w:tc>
          <w:tcPr>
            <w:tcW w:w="1696" w:type="dxa"/>
            <w:vMerge/>
          </w:tcPr>
          <w:p w14:paraId="463A71FB" w14:textId="77777777" w:rsidR="00A86557" w:rsidRPr="000744E3" w:rsidRDefault="00A86557" w:rsidP="00A248EA">
            <w:pPr>
              <w:spacing w:after="0"/>
              <w:jc w:val="left"/>
              <w:rPr>
                <w:sz w:val="18"/>
                <w:szCs w:val="16"/>
              </w:rPr>
            </w:pPr>
          </w:p>
        </w:tc>
      </w:tr>
      <w:tr w:rsidR="007917FD" w:rsidRPr="000744E3" w14:paraId="67057339" w14:textId="77777777" w:rsidTr="00A248EA">
        <w:tc>
          <w:tcPr>
            <w:tcW w:w="1473" w:type="dxa"/>
            <w:shd w:val="clear" w:color="auto" w:fill="156082" w:themeFill="accent1"/>
          </w:tcPr>
          <w:p w14:paraId="6013D6A2" w14:textId="525A75A4" w:rsidR="007917FD" w:rsidRPr="000744E3" w:rsidRDefault="007917FD" w:rsidP="00A248EA">
            <w:pPr>
              <w:spacing w:after="0"/>
              <w:rPr>
                <w:b/>
                <w:color w:val="FFFFFF" w:themeColor="background1"/>
                <w:sz w:val="18"/>
                <w:szCs w:val="16"/>
                <w:lang w:val="en-GB"/>
              </w:rPr>
            </w:pPr>
            <w:r w:rsidRPr="000744E3">
              <w:rPr>
                <w:b/>
                <w:color w:val="FFFFFF" w:themeColor="background1"/>
                <w:sz w:val="18"/>
                <w:szCs w:val="16"/>
                <w:lang w:val="en-GB"/>
              </w:rPr>
              <w:t>Limitation of the analysis with the current regulatory framework</w:t>
            </w:r>
          </w:p>
        </w:tc>
        <w:tc>
          <w:tcPr>
            <w:tcW w:w="1075" w:type="dxa"/>
          </w:tcPr>
          <w:p w14:paraId="741DF10C" w14:textId="056734BB" w:rsidR="007917FD" w:rsidRPr="000744E3" w:rsidRDefault="007917FD" w:rsidP="00A248EA">
            <w:pPr>
              <w:spacing w:after="0"/>
              <w:jc w:val="left"/>
              <w:rPr>
                <w:sz w:val="18"/>
                <w:szCs w:val="16"/>
              </w:rPr>
            </w:pPr>
            <w:r w:rsidRPr="000744E3">
              <w:rPr>
                <w:sz w:val="18"/>
                <w:szCs w:val="16"/>
              </w:rPr>
              <w:t>None</w:t>
            </w:r>
          </w:p>
        </w:tc>
        <w:tc>
          <w:tcPr>
            <w:tcW w:w="1416" w:type="dxa"/>
          </w:tcPr>
          <w:p w14:paraId="3BB53E4A" w14:textId="00B3D5AB" w:rsidR="007917FD" w:rsidRPr="000744E3" w:rsidRDefault="005F6EDA" w:rsidP="00A248EA">
            <w:pPr>
              <w:spacing w:after="0"/>
              <w:jc w:val="left"/>
              <w:rPr>
                <w:sz w:val="18"/>
                <w:szCs w:val="16"/>
                <w:lang w:val="en-GB"/>
              </w:rPr>
            </w:pPr>
            <w:r w:rsidRPr="000744E3">
              <w:rPr>
                <w:sz w:val="18"/>
                <w:szCs w:val="16"/>
                <w:lang w:val="en-GB"/>
              </w:rPr>
              <w:t>SIZE only exists in transaction reporting data</w:t>
            </w:r>
          </w:p>
        </w:tc>
        <w:tc>
          <w:tcPr>
            <w:tcW w:w="1843" w:type="dxa"/>
          </w:tcPr>
          <w:p w14:paraId="33236A23" w14:textId="477EF044" w:rsidR="007917FD" w:rsidRPr="000744E3" w:rsidRDefault="005F6EDA" w:rsidP="00A248EA">
            <w:pPr>
              <w:spacing w:after="0"/>
              <w:jc w:val="left"/>
              <w:rPr>
                <w:sz w:val="18"/>
                <w:szCs w:val="16"/>
                <w:lang w:val="en-GB"/>
              </w:rPr>
            </w:pPr>
            <w:r w:rsidRPr="000744E3">
              <w:rPr>
                <w:sz w:val="18"/>
                <w:szCs w:val="16"/>
                <w:lang w:val="en-GB"/>
              </w:rPr>
              <w:t xml:space="preserve">RPRI only exists in transaction reporting data and </w:t>
            </w:r>
            <w:r w:rsidR="00D810CA" w:rsidRPr="000744E3">
              <w:rPr>
                <w:sz w:val="18"/>
                <w:szCs w:val="16"/>
                <w:lang w:val="en-GB"/>
              </w:rPr>
              <w:t>for liquid instrument</w:t>
            </w:r>
            <w:r w:rsidR="00D003AB" w:rsidRPr="000744E3">
              <w:rPr>
                <w:sz w:val="18"/>
                <w:szCs w:val="16"/>
                <w:lang w:val="en-GB"/>
              </w:rPr>
              <w:t>s</w:t>
            </w:r>
          </w:p>
        </w:tc>
        <w:tc>
          <w:tcPr>
            <w:tcW w:w="1559" w:type="dxa"/>
          </w:tcPr>
          <w:p w14:paraId="70AB7E9A" w14:textId="1C56638E" w:rsidR="007917FD" w:rsidRPr="000744E3" w:rsidRDefault="00715D3D" w:rsidP="00A248EA">
            <w:pPr>
              <w:spacing w:after="0"/>
              <w:jc w:val="left"/>
              <w:rPr>
                <w:sz w:val="18"/>
                <w:szCs w:val="16"/>
                <w:lang w:val="en-GB"/>
              </w:rPr>
            </w:pPr>
            <w:r w:rsidRPr="000744E3">
              <w:rPr>
                <w:sz w:val="18"/>
                <w:szCs w:val="16"/>
                <w:lang w:val="en-GB"/>
              </w:rPr>
              <w:t>No easy data point in transaction reporting to un</w:t>
            </w:r>
            <w:r w:rsidR="00D003AB" w:rsidRPr="000744E3">
              <w:rPr>
                <w:sz w:val="18"/>
                <w:szCs w:val="16"/>
                <w:lang w:val="en-GB"/>
              </w:rPr>
              <w:t>d</w:t>
            </w:r>
            <w:r w:rsidRPr="000744E3">
              <w:rPr>
                <w:sz w:val="18"/>
                <w:szCs w:val="16"/>
                <w:lang w:val="en-GB"/>
              </w:rPr>
              <w:t>erstand the quote value at the time of execution</w:t>
            </w:r>
          </w:p>
        </w:tc>
        <w:tc>
          <w:tcPr>
            <w:tcW w:w="1696" w:type="dxa"/>
          </w:tcPr>
          <w:p w14:paraId="7E24DB7E" w14:textId="1F5368BD" w:rsidR="007917FD" w:rsidRPr="000744E3" w:rsidRDefault="008552EF" w:rsidP="00A248EA">
            <w:pPr>
              <w:spacing w:after="0"/>
              <w:jc w:val="left"/>
              <w:rPr>
                <w:sz w:val="18"/>
                <w:szCs w:val="16"/>
                <w:lang w:val="en-GB"/>
              </w:rPr>
            </w:pPr>
            <w:r w:rsidRPr="000744E3">
              <w:rPr>
                <w:sz w:val="18"/>
                <w:szCs w:val="16"/>
                <w:lang w:val="en-GB"/>
              </w:rPr>
              <w:t>No easy data point to understand if the off tick execution was at mid</w:t>
            </w:r>
          </w:p>
        </w:tc>
      </w:tr>
    </w:tbl>
    <w:p w14:paraId="6DB7331E" w14:textId="75ECD24F" w:rsidR="001865EE" w:rsidRPr="000744E3" w:rsidRDefault="001865EE" w:rsidP="00F662D6">
      <w:pPr>
        <w:pStyle w:val="Caption"/>
        <w:jc w:val="center"/>
        <w:rPr>
          <w:b/>
          <w:bCs/>
        </w:rPr>
      </w:pPr>
      <w:r w:rsidRPr="000744E3">
        <w:t xml:space="preserve">Table </w:t>
      </w:r>
      <w:r w:rsidR="009408CC">
        <w:fldChar w:fldCharType="begin"/>
      </w:r>
      <w:r w:rsidR="009408CC">
        <w:instrText xml:space="preserve"> SEQ Table \* ARABIC </w:instrText>
      </w:r>
      <w:r w:rsidR="009408CC">
        <w:fldChar w:fldCharType="separate"/>
      </w:r>
      <w:r w:rsidR="009408CC" w:rsidRPr="000744E3">
        <w:rPr>
          <w:noProof/>
        </w:rPr>
        <w:t>3</w:t>
      </w:r>
      <w:r w:rsidR="009408CC">
        <w:rPr>
          <w:noProof/>
        </w:rPr>
        <w:fldChar w:fldCharType="end"/>
      </w:r>
      <w:r w:rsidRPr="000744E3">
        <w:t xml:space="preserve">: </w:t>
      </w:r>
      <w:r w:rsidR="00DC27F8" w:rsidRPr="000744E3">
        <w:t xml:space="preserve">topology of </w:t>
      </w:r>
      <w:r w:rsidR="009D0C15" w:rsidRPr="000744E3">
        <w:t>SI data points and main limitation</w:t>
      </w:r>
      <w:r w:rsidR="002B1B93" w:rsidRPr="000744E3">
        <w:t>s</w:t>
      </w:r>
    </w:p>
    <w:p w14:paraId="33DE990C" w14:textId="7F4EE8DB" w:rsidR="00437B52" w:rsidRPr="000744E3" w:rsidRDefault="00437B52" w:rsidP="00F662D6">
      <w:r w:rsidRPr="000744E3">
        <w:t>W</w:t>
      </w:r>
      <w:r w:rsidR="00D63E12" w:rsidRPr="000744E3">
        <w:t>ith regard</w:t>
      </w:r>
      <w:r w:rsidR="00F27418" w:rsidRPr="000744E3">
        <w:t xml:space="preserve"> </w:t>
      </w:r>
      <w:r w:rsidR="002C7C5C" w:rsidRPr="000744E3">
        <w:t>to data</w:t>
      </w:r>
      <w:r w:rsidR="00D63E12" w:rsidRPr="000744E3">
        <w:t xml:space="preserve"> quality issues, we refer to our answer to </w:t>
      </w:r>
      <w:r w:rsidR="00FF0483" w:rsidRPr="000744E3">
        <w:t>Q</w:t>
      </w:r>
      <w:r w:rsidR="00D47AC8" w:rsidRPr="000744E3">
        <w:t>23</w:t>
      </w:r>
      <w:r w:rsidR="00D63E12" w:rsidRPr="000744E3">
        <w:t xml:space="preserve">. When it comes to the specific cases of SIZE and RPRI, we </w:t>
      </w:r>
      <w:r w:rsidR="0093626D" w:rsidRPr="000744E3">
        <w:t>are not in a position to know</w:t>
      </w:r>
      <w:r w:rsidR="00634075" w:rsidRPr="000744E3">
        <w:t xml:space="preserve"> whether or not those flags are correctly reported. We recommend</w:t>
      </w:r>
      <w:r w:rsidR="00386AAC" w:rsidRPr="000744E3">
        <w:t xml:space="preserve"> that</w:t>
      </w:r>
      <w:r w:rsidR="00634075" w:rsidRPr="000744E3">
        <w:t xml:space="preserve"> ESMA and/or NCAs  launch a thematic review of SI activity to ensure consistent application of the regulatory flag framework and address any divergence in interpretations.</w:t>
      </w:r>
    </w:p>
    <w:p w14:paraId="2A960600" w14:textId="352A53D3" w:rsidR="00785AC1" w:rsidRPr="000744E3" w:rsidRDefault="00785AC1" w:rsidP="00F662D6">
      <w:r w:rsidRPr="000744E3">
        <w:t>&lt;ESMA_QUESTION_MSEM_22&gt;</w:t>
      </w:r>
    </w:p>
    <w:p w14:paraId="5870E9CB" w14:textId="77777777" w:rsidR="00785AC1" w:rsidRPr="000744E3" w:rsidRDefault="00785AC1" w:rsidP="00F662D6"/>
    <w:p w14:paraId="7EC5E8A2" w14:textId="77777777" w:rsidR="00785AC1" w:rsidRPr="000744E3" w:rsidRDefault="00785AC1" w:rsidP="00F662D6">
      <w:pPr>
        <w:pStyle w:val="Questionstyle"/>
        <w:numPr>
          <w:ilvl w:val="0"/>
          <w:numId w:val="1"/>
        </w:numPr>
        <w:tabs>
          <w:tab w:val="clear" w:pos="567"/>
        </w:tabs>
        <w:spacing w:before="120" w:after="120"/>
        <w:ind w:left="851" w:hanging="709"/>
      </w:pPr>
      <w:r w:rsidRPr="000744E3">
        <w:t>Which flags do you consider important to identify certain trade related to SI trading?</w:t>
      </w:r>
    </w:p>
    <w:p w14:paraId="097A9188" w14:textId="77777777" w:rsidR="00785AC1" w:rsidRPr="000744E3" w:rsidRDefault="00785AC1" w:rsidP="00F662D6">
      <w:r w:rsidRPr="000744E3">
        <w:t>&lt;ESMA_QUESTION_MSEM_23&gt;</w:t>
      </w:r>
    </w:p>
    <w:p w14:paraId="56FE5D84" w14:textId="61B08639" w:rsidR="00DB741F" w:rsidRPr="000744E3" w:rsidRDefault="00555F39" w:rsidP="00851902">
      <w:pPr>
        <w:jc w:val="left"/>
      </w:pPr>
      <w:r w:rsidRPr="000744E3">
        <w:t xml:space="preserve">If there are deficiencies in SI flagging and reporting, it would </w:t>
      </w:r>
      <w:r w:rsidR="25024834" w:rsidRPr="000744E3">
        <w:t>materially</w:t>
      </w:r>
      <w:r w:rsidRPr="000744E3">
        <w:t xml:space="preserve"> undermine the ability to assess execution quality, price formation and overall market dynamics. </w:t>
      </w:r>
      <w:r w:rsidR="0093626D" w:rsidRPr="000744E3">
        <w:t>A</w:t>
      </w:r>
      <w:r w:rsidRPr="000744E3">
        <w:t>ddressing th</w:t>
      </w:r>
      <w:r w:rsidR="00735FAA" w:rsidRPr="000744E3">
        <w:t xml:space="preserve">ese potential issues would </w:t>
      </w:r>
      <w:r w:rsidR="001E7AE5" w:rsidRPr="000744E3">
        <w:t xml:space="preserve">improve </w:t>
      </w:r>
      <w:r w:rsidR="7F077335" w:rsidRPr="000744E3">
        <w:t>the overall</w:t>
      </w:r>
      <w:r w:rsidR="001E7AE5" w:rsidRPr="000744E3">
        <w:t xml:space="preserve"> </w:t>
      </w:r>
      <w:r w:rsidR="00683B8D" w:rsidRPr="000744E3">
        <w:t xml:space="preserve">global </w:t>
      </w:r>
      <w:r w:rsidR="001E7AE5" w:rsidRPr="000744E3">
        <w:t xml:space="preserve">understanding of </w:t>
      </w:r>
      <w:r w:rsidR="00683B8D" w:rsidRPr="000744E3">
        <w:t xml:space="preserve">liquidity, </w:t>
      </w:r>
      <w:r w:rsidR="00353024" w:rsidRPr="000744E3">
        <w:t xml:space="preserve">and </w:t>
      </w:r>
      <w:r w:rsidR="00683B8D" w:rsidRPr="000744E3">
        <w:t>the Call for Evidence itself demonstrates how valuable some of the flags removed from post trade transparency are for understanding the SI footprint.</w:t>
      </w:r>
      <w:r w:rsidR="00DB741F" w:rsidRPr="000744E3">
        <w:t xml:space="preserve"> Taking into consideration ESMA’s </w:t>
      </w:r>
      <w:r w:rsidR="008254D3" w:rsidRPr="000744E3">
        <w:t xml:space="preserve">data </w:t>
      </w:r>
      <w:r w:rsidR="00DB741F" w:rsidRPr="000744E3">
        <w:t>limitation and current state of the post trade transparency regime, we consider the following flag set to be the minimum required to support credible supervision, evidence-based policy, and informed market participation in the bilateral space:</w:t>
      </w:r>
    </w:p>
    <w:p w14:paraId="6D4EF475" w14:textId="453236BB" w:rsidR="0087634B" w:rsidRPr="000744E3" w:rsidRDefault="00811F90" w:rsidP="00851902">
      <w:pPr>
        <w:pStyle w:val="ListParagraph"/>
        <w:numPr>
          <w:ilvl w:val="0"/>
          <w:numId w:val="16"/>
        </w:numPr>
        <w:jc w:val="left"/>
      </w:pPr>
      <w:r w:rsidRPr="000744E3">
        <w:rPr>
          <w:b/>
        </w:rPr>
        <w:t>Safeguarding of SIZE and RPRI</w:t>
      </w:r>
      <w:r w:rsidRPr="000744E3">
        <w:t xml:space="preserve"> in RTS 22 (transaction reporting), and ideally</w:t>
      </w:r>
      <w:r w:rsidR="00BB65FB" w:rsidRPr="000744E3">
        <w:t xml:space="preserve"> also</w:t>
      </w:r>
      <w:r w:rsidRPr="000744E3">
        <w:t xml:space="preserve"> </w:t>
      </w:r>
      <w:r w:rsidR="00D75804" w:rsidRPr="000744E3">
        <w:t xml:space="preserve">reintroducing them </w:t>
      </w:r>
      <w:r w:rsidRPr="000744E3">
        <w:t xml:space="preserve">in RTS 1 (post-trade transparency). At </w:t>
      </w:r>
      <w:r w:rsidR="00BB65FB" w:rsidRPr="000744E3">
        <w:t xml:space="preserve">a </w:t>
      </w:r>
      <w:r w:rsidRPr="000744E3">
        <w:t xml:space="preserve">minimum, these flags should be available to supervisors; the absence of any equivalent granular indicators in post-trade reporting represents a material reduction in market participants' ability to monitor the SI </w:t>
      </w:r>
      <w:r w:rsidR="006600BE" w:rsidRPr="000744E3">
        <w:t>contribution to executed volumes</w:t>
      </w:r>
      <w:r w:rsidR="00D75804" w:rsidRPr="000744E3">
        <w:t xml:space="preserve">. </w:t>
      </w:r>
      <w:r w:rsidRPr="000744E3">
        <w:t xml:space="preserve">RPRI </w:t>
      </w:r>
      <w:r w:rsidR="00D75804" w:rsidRPr="000744E3">
        <w:t xml:space="preserve">should also be applicable to </w:t>
      </w:r>
      <w:r w:rsidR="00123A2A" w:rsidRPr="000744E3">
        <w:t>execution</w:t>
      </w:r>
      <w:r w:rsidR="00D75804" w:rsidRPr="000744E3">
        <w:t>s price improved against</w:t>
      </w:r>
      <w:r w:rsidR="00123A2A" w:rsidRPr="000744E3">
        <w:t xml:space="preserve"> private quotes</w:t>
      </w:r>
      <w:r w:rsidR="00CF16C4" w:rsidRPr="000744E3">
        <w:t>;</w:t>
      </w:r>
    </w:p>
    <w:p w14:paraId="50E703DE" w14:textId="77777777" w:rsidR="0087634B" w:rsidRPr="000744E3" w:rsidRDefault="00E758E2" w:rsidP="00851902">
      <w:pPr>
        <w:pStyle w:val="ListParagraph"/>
        <w:numPr>
          <w:ilvl w:val="0"/>
          <w:numId w:val="16"/>
        </w:numPr>
        <w:jc w:val="left"/>
      </w:pPr>
      <w:r w:rsidRPr="000744E3">
        <w:rPr>
          <w:b/>
        </w:rPr>
        <w:t>Closing-price flag (CLSE)</w:t>
      </w:r>
      <w:r w:rsidRPr="000744E3">
        <w:t xml:space="preserve"> in RTS 22 and RTS 1, applied uniformly across trading venues, SIs and OBOE, to map volumes executed at or by reference to the closing price across execution mechanisms. The UK has introduced an equivalent flag and the operational precedent is well established;</w:t>
      </w:r>
      <w:r w:rsidR="0087634B" w:rsidRPr="000744E3">
        <w:t xml:space="preserve"> </w:t>
      </w:r>
    </w:p>
    <w:p w14:paraId="51FB36E6" w14:textId="0D546A8B" w:rsidR="0087634B" w:rsidRPr="000744E3" w:rsidRDefault="0087634B" w:rsidP="00851902">
      <w:pPr>
        <w:pStyle w:val="ListParagraph"/>
        <w:numPr>
          <w:ilvl w:val="0"/>
          <w:numId w:val="16"/>
        </w:numPr>
        <w:jc w:val="left"/>
      </w:pPr>
      <w:r w:rsidRPr="000744E3">
        <w:rPr>
          <w:b/>
        </w:rPr>
        <w:t>Execution-method flag based on FIX tag 2405</w:t>
      </w:r>
      <w:r w:rsidRPr="000744E3">
        <w:t xml:space="preserve"> distinguishing manual from automated/algorithmic execution for off-venue trades, equivalent to the ALGO flag currently mandated for on-venue activity. This is a critical proxy for accessibility and execution quality assessment;</w:t>
      </w:r>
    </w:p>
    <w:p w14:paraId="72443324" w14:textId="141113DA" w:rsidR="00EF57AD" w:rsidRPr="000744E3" w:rsidRDefault="00EF57AD" w:rsidP="00851902">
      <w:pPr>
        <w:pStyle w:val="ListParagraph"/>
        <w:numPr>
          <w:ilvl w:val="0"/>
          <w:numId w:val="16"/>
        </w:numPr>
        <w:jc w:val="left"/>
      </w:pPr>
      <w:r w:rsidRPr="000744E3">
        <w:rPr>
          <w:b/>
        </w:rPr>
        <w:t>Cross-border duplicate flag (XBDT)</w:t>
      </w:r>
      <w:r w:rsidRPr="000744E3">
        <w:t xml:space="preserve"> for trades reported in both EU and UK jurisdictions, where bilateral mutual recognition of UK and EU APAs is not implemented. Approximately 60% of off-venue activity in EEA shares is published in the UK, and the inflation of EU and UK XOFF totals due to dual reporting materially distorts liquidity analysis;</w:t>
      </w:r>
    </w:p>
    <w:p w14:paraId="767A9D40" w14:textId="02869E7F" w:rsidR="00F153CA" w:rsidRPr="000744E3" w:rsidRDefault="00F153CA" w:rsidP="00851902">
      <w:pPr>
        <w:pStyle w:val="ListParagraph"/>
        <w:numPr>
          <w:ilvl w:val="0"/>
          <w:numId w:val="16"/>
        </w:numPr>
        <w:jc w:val="left"/>
      </w:pPr>
      <w:r w:rsidRPr="000744E3">
        <w:rPr>
          <w:b/>
        </w:rPr>
        <w:t>Intragroup flag (IGRP)</w:t>
      </w:r>
      <w:r w:rsidRPr="000744E3">
        <w:t xml:space="preserve"> for transactions executed between affiliates of the same group, allowing identification of trades that should be excluded from addressable-liquidity measures and from post trade transparency. The flag should however be implemented for transaction reporting;</w:t>
      </w:r>
    </w:p>
    <w:p w14:paraId="23AE9D3D" w14:textId="73A7ADF8" w:rsidR="00FF3278" w:rsidRPr="000744E3" w:rsidRDefault="00FF3278" w:rsidP="00851902">
      <w:pPr>
        <w:pStyle w:val="ListParagraph"/>
        <w:numPr>
          <w:ilvl w:val="0"/>
          <w:numId w:val="16"/>
        </w:numPr>
        <w:jc w:val="left"/>
      </w:pPr>
      <w:r w:rsidRPr="000744E3">
        <w:rPr>
          <w:b/>
        </w:rPr>
        <w:t>Midpoint flag</w:t>
      </w:r>
      <w:r w:rsidRPr="000744E3">
        <w:t xml:space="preserve"> identifying SI execution at midpoint</w:t>
      </w:r>
      <w:r w:rsidR="00D43098" w:rsidRPr="000744E3">
        <w:t>. G</w:t>
      </w:r>
      <w:r w:rsidRPr="000744E3">
        <w:t xml:space="preserve">iven the expanded midpoint execution flexibility introduced for SIs in the most recent </w:t>
      </w:r>
      <w:proofErr w:type="spellStart"/>
      <w:r w:rsidRPr="000744E3">
        <w:t>MiFIR</w:t>
      </w:r>
      <w:proofErr w:type="spellEnd"/>
      <w:r w:rsidRPr="000744E3">
        <w:t xml:space="preserve"> review, it would avoid </w:t>
      </w:r>
      <w:r w:rsidR="00D43098" w:rsidRPr="000744E3">
        <w:t>conflation of</w:t>
      </w:r>
      <w:r w:rsidRPr="000744E3">
        <w:t xml:space="preserve"> </w:t>
      </w:r>
      <w:r w:rsidR="00CF16C4" w:rsidRPr="000744E3">
        <w:t>off tick execution and mid-point execution (as off tick only exist</w:t>
      </w:r>
      <w:r w:rsidR="00B96136" w:rsidRPr="000744E3">
        <w:t>s</w:t>
      </w:r>
      <w:r w:rsidR="00CF16C4" w:rsidRPr="000744E3">
        <w:t xml:space="preserve"> for a spread with an uneven number of ticks</w:t>
      </w:r>
      <w:r w:rsidR="5B79BEAC" w:rsidRPr="000744E3">
        <w:t>)</w:t>
      </w:r>
      <w:r w:rsidR="00CF16C4" w:rsidRPr="000744E3">
        <w:t>;</w:t>
      </w:r>
    </w:p>
    <w:p w14:paraId="0CC42E8B" w14:textId="18FC3C9D" w:rsidR="000569DB" w:rsidRPr="000744E3" w:rsidRDefault="000569DB" w:rsidP="00851902">
      <w:pPr>
        <w:pStyle w:val="ListParagraph"/>
        <w:numPr>
          <w:ilvl w:val="0"/>
          <w:numId w:val="16"/>
        </w:numPr>
        <w:jc w:val="left"/>
      </w:pPr>
      <w:r w:rsidRPr="000744E3">
        <w:rPr>
          <w:b/>
        </w:rPr>
        <w:t>Private-quote-execution flag</w:t>
      </w:r>
      <w:r w:rsidRPr="000744E3">
        <w:t xml:space="preserve"> identifying transactions executed against a quote that was not made publicly available, valid for both transaction report and post trade transparency. Where RPRI is restored, it should also be applicable to private-quote executions. This would allow the market to distinguish execution outcomes obtained on a public-quote basis from those obtained under bilateral private quoting</w:t>
      </w:r>
      <w:r w:rsidR="00CF16C4" w:rsidRPr="000744E3">
        <w:t>;</w:t>
      </w:r>
    </w:p>
    <w:p w14:paraId="588F2E59" w14:textId="05FD65C1" w:rsidR="00E53F90" w:rsidRPr="000744E3" w:rsidRDefault="00E53F90" w:rsidP="00851902">
      <w:pPr>
        <w:pStyle w:val="ListParagraph"/>
        <w:numPr>
          <w:ilvl w:val="0"/>
          <w:numId w:val="16"/>
        </w:numPr>
        <w:jc w:val="left"/>
        <w:rPr>
          <w:b/>
        </w:rPr>
      </w:pPr>
      <w:r w:rsidRPr="000744E3">
        <w:rPr>
          <w:b/>
        </w:rPr>
        <w:t>Level of price improvement</w:t>
      </w:r>
      <w:r w:rsidR="00CF16C4" w:rsidRPr="000744E3">
        <w:rPr>
          <w:b/>
        </w:rPr>
        <w:t xml:space="preserve">: </w:t>
      </w:r>
      <w:r w:rsidR="0016505C" w:rsidRPr="000744E3">
        <w:rPr>
          <w:bCs/>
        </w:rPr>
        <w:t>providing</w:t>
      </w:r>
      <w:r w:rsidR="546F5BC1" w:rsidRPr="000744E3">
        <w:t>,</w:t>
      </w:r>
      <w:r w:rsidR="00B97F28" w:rsidRPr="000744E3">
        <w:rPr>
          <w:bCs/>
        </w:rPr>
        <w:t xml:space="preserve"> on the trade and transaction report</w:t>
      </w:r>
      <w:r w:rsidR="4C961361" w:rsidRPr="000744E3">
        <w:t>,</w:t>
      </w:r>
      <w:r w:rsidR="00B97F28" w:rsidRPr="000744E3">
        <w:rPr>
          <w:bCs/>
        </w:rPr>
        <w:t xml:space="preserve"> an indication in ticks or basis point</w:t>
      </w:r>
      <w:r w:rsidR="00EC0A30" w:rsidRPr="000744E3">
        <w:rPr>
          <w:bCs/>
        </w:rPr>
        <w:t>s</w:t>
      </w:r>
      <w:r w:rsidR="00B97F28" w:rsidRPr="000744E3">
        <w:rPr>
          <w:bCs/>
        </w:rPr>
        <w:t xml:space="preserve"> of the price improvement provided compared to the reference price used</w:t>
      </w:r>
      <w:r w:rsidR="002A12C4" w:rsidRPr="000744E3">
        <w:rPr>
          <w:bCs/>
        </w:rPr>
        <w:t>.</w:t>
      </w:r>
    </w:p>
    <w:p w14:paraId="7355449E" w14:textId="07651138" w:rsidR="00EF180C" w:rsidRPr="000744E3" w:rsidRDefault="00EF180C" w:rsidP="00851902">
      <w:pPr>
        <w:jc w:val="left"/>
      </w:pPr>
      <w:r w:rsidRPr="000744E3">
        <w:t>On the question of SI-level identification in post-trade reports</w:t>
      </w:r>
      <w:r w:rsidR="00B97F28" w:rsidRPr="000744E3">
        <w:t>, o</w:t>
      </w:r>
      <w:r w:rsidRPr="000744E3">
        <w:t xml:space="preserve">ur preferred </w:t>
      </w:r>
      <w:r w:rsidR="00B97F28" w:rsidRPr="000744E3">
        <w:t xml:space="preserve">approach </w:t>
      </w:r>
      <w:r w:rsidRPr="000744E3">
        <w:t xml:space="preserve">is </w:t>
      </w:r>
      <w:r w:rsidR="00B97F28" w:rsidRPr="000744E3">
        <w:t xml:space="preserve">the </w:t>
      </w:r>
      <w:r w:rsidR="007002FA" w:rsidRPr="000744E3">
        <w:t xml:space="preserve">introduction of </w:t>
      </w:r>
      <w:r w:rsidRPr="006354FA">
        <w:rPr>
          <w:bCs/>
        </w:rPr>
        <w:t>attributed report</w:t>
      </w:r>
      <w:r w:rsidR="00623721" w:rsidRPr="006354FA">
        <w:rPr>
          <w:bCs/>
        </w:rPr>
        <w:t>s</w:t>
      </w:r>
      <w:r w:rsidRPr="006354FA">
        <w:rPr>
          <w:bCs/>
        </w:rPr>
        <w:t>, modelled on the FINRA OTC Transparency Reports</w:t>
      </w:r>
      <w:r w:rsidRPr="000744E3">
        <w:t xml:space="preserve"> for ATSs and single dealer platforms in the United States, published with an appropriate delay (typically weeks after </w:t>
      </w:r>
      <w:r w:rsidR="007002FA" w:rsidRPr="000744E3">
        <w:t xml:space="preserve">the </w:t>
      </w:r>
      <w:r w:rsidRPr="000744E3">
        <w:t>trade date)</w:t>
      </w:r>
      <w:r w:rsidR="007002FA" w:rsidRPr="000744E3">
        <w:t xml:space="preserve">, which we believe has been efficient in </w:t>
      </w:r>
      <w:r w:rsidRPr="000744E3">
        <w:t>protect</w:t>
      </w:r>
      <w:r w:rsidR="007002FA" w:rsidRPr="000744E3">
        <w:t>ing</w:t>
      </w:r>
      <w:r w:rsidRPr="000744E3">
        <w:t xml:space="preserve"> liquidity providers from undue position risk</w:t>
      </w:r>
      <w:r w:rsidR="007002FA" w:rsidRPr="000744E3">
        <w:t xml:space="preserve"> in the US</w:t>
      </w:r>
      <w:r w:rsidRPr="000744E3">
        <w:t>. We consider this a more proportionate approach than real-time SI identification in post-trade transparency feeds, which would create a more material risk of reverse-engineering  liquidity provision strategies and an asymmetry with trading venue execution (where liquidity providers are not identified in real time).</w:t>
      </w:r>
    </w:p>
    <w:p w14:paraId="7B31DB41" w14:textId="77777777" w:rsidR="00785AC1" w:rsidRPr="000744E3" w:rsidRDefault="00785AC1" w:rsidP="00F662D6">
      <w:r w:rsidRPr="000744E3">
        <w:t>&lt;ESMA_QUESTION_MSEM_23&gt;</w:t>
      </w:r>
    </w:p>
    <w:p w14:paraId="42B54D91" w14:textId="2FD30EE3" w:rsidR="00785AC1" w:rsidRPr="000744E3" w:rsidDel="00647A86" w:rsidRDefault="00785AC1" w:rsidP="00F662D6"/>
    <w:p w14:paraId="406D7E61" w14:textId="77777777" w:rsidR="00785AC1" w:rsidRPr="000744E3" w:rsidRDefault="00785AC1" w:rsidP="00F662D6">
      <w:pPr>
        <w:pStyle w:val="Questionstyle"/>
        <w:numPr>
          <w:ilvl w:val="0"/>
          <w:numId w:val="1"/>
        </w:numPr>
        <w:tabs>
          <w:tab w:val="clear" w:pos="567"/>
        </w:tabs>
        <w:spacing w:before="120" w:after="120"/>
        <w:ind w:left="851" w:hanging="709"/>
      </w:pPr>
      <w:r w:rsidRPr="000744E3">
        <w:t>What is your view on the evolution of SI trading on the EU markets? Are there any structural shifts that you noticed, or envisage, which you believe should be further monitored?</w:t>
      </w:r>
    </w:p>
    <w:p w14:paraId="43962CC0" w14:textId="77777777" w:rsidR="00785AC1" w:rsidRPr="000744E3" w:rsidRDefault="00785AC1" w:rsidP="00F662D6">
      <w:r w:rsidRPr="000744E3">
        <w:t>&lt;ESMA_QUESTION_MSEM_24&gt;</w:t>
      </w:r>
    </w:p>
    <w:p w14:paraId="1F8D08AB" w14:textId="60CE28AD" w:rsidR="00DE6E57" w:rsidRPr="000744E3" w:rsidRDefault="00DE6E57" w:rsidP="00765B20">
      <w:pPr>
        <w:jc w:val="left"/>
      </w:pPr>
      <w:r w:rsidRPr="000744E3">
        <w:t>Our assessment of how SI trading is evolving in EU markets aligns with our response to Q20. We</w:t>
      </w:r>
      <w:r w:rsidRPr="000744E3" w:rsidDel="00211C09">
        <w:t xml:space="preserve"> </w:t>
      </w:r>
      <w:r w:rsidRPr="000744E3">
        <w:t xml:space="preserve">highlight the following structural shifts that, in our view, </w:t>
      </w:r>
      <w:r w:rsidR="006600BE" w:rsidRPr="000744E3">
        <w:t>needs to be adequately monitor</w:t>
      </w:r>
      <w:r w:rsidR="009408CC" w:rsidRPr="000744E3">
        <w:t>ed.</w:t>
      </w:r>
    </w:p>
    <w:p w14:paraId="00924A96" w14:textId="3611A8D3" w:rsidR="00DE6E57" w:rsidRPr="000744E3" w:rsidRDefault="00DE6E57" w:rsidP="00765B20">
      <w:pPr>
        <w:jc w:val="left"/>
      </w:pPr>
      <w:r w:rsidRPr="000744E3">
        <w:t xml:space="preserve">(a) </w:t>
      </w:r>
      <w:r w:rsidRPr="000744E3">
        <w:rPr>
          <w:b/>
        </w:rPr>
        <w:t>New SI distribution models</w:t>
      </w:r>
      <w:r w:rsidRPr="000744E3">
        <w:t>, including trajectory cross VWAP services, mid-point quote feeds, private "rooms" or curated quote arrangements, and SI internalisation in the close. These models are not consistently identified in post-trade data, making their scale and characteristics difficult to assess.</w:t>
      </w:r>
    </w:p>
    <w:p w14:paraId="07441464" w14:textId="62DD491F" w:rsidR="00DE6E57" w:rsidRPr="000744E3" w:rsidRDefault="00DE6E57" w:rsidP="00765B20">
      <w:pPr>
        <w:jc w:val="left"/>
      </w:pPr>
      <w:r w:rsidRPr="000744E3">
        <w:t xml:space="preserve">(b) </w:t>
      </w:r>
      <w:r w:rsidRPr="000744E3">
        <w:rPr>
          <w:b/>
        </w:rPr>
        <w:t>SI activity in the closing phase</w:t>
      </w:r>
      <w:r w:rsidRPr="000744E3">
        <w:t>. Anecdotal industry evidence and buy-side feedback suggests that bilateral execution at or in reference to the closing price has grown materially, potentially representing a meaningful proportion of total close-phase activity. Without an EU-level closing flag (CLSE), this growth cannot be measured. The introduction of such a flag (see our response to Q23) is a precondition for evidence-based policy on alternative closing mechanisms.</w:t>
      </w:r>
      <w:r w:rsidR="00856729" w:rsidRPr="000744E3">
        <w:t xml:space="preserve"> </w:t>
      </w:r>
    </w:p>
    <w:p w14:paraId="7651A1A4" w14:textId="324B3A47" w:rsidR="00DE6E57" w:rsidRPr="000744E3" w:rsidRDefault="00BD4234" w:rsidP="00765B20">
      <w:pPr>
        <w:jc w:val="left"/>
      </w:pPr>
      <w:r w:rsidRPr="000744E3">
        <w:t>(c</w:t>
      </w:r>
      <w:r w:rsidR="00DE6E57" w:rsidRPr="000744E3">
        <w:t xml:space="preserve">) </w:t>
      </w:r>
      <w:r w:rsidR="00DE6E57" w:rsidRPr="000744E3">
        <w:rPr>
          <w:b/>
        </w:rPr>
        <w:t>Quote-aggregator arrangements</w:t>
      </w:r>
      <w:r w:rsidR="00DE6E57" w:rsidRPr="000744E3">
        <w:t xml:space="preserve"> that combine SI quotes from multiple providers and route orders against them with limited user involvement. Where such arrangements exhibit the characteristics of a trading venue (aggregation of quotes, non-discretionary order routing, multilateral interaction), there is a question of whether they should be regulated as such.</w:t>
      </w:r>
    </w:p>
    <w:p w14:paraId="368591AF" w14:textId="60CEA363" w:rsidR="00BD4234" w:rsidRPr="000744E3" w:rsidRDefault="00BD4234" w:rsidP="00765B20">
      <w:pPr>
        <w:jc w:val="left"/>
      </w:pPr>
      <w:r w:rsidRPr="000744E3">
        <w:t xml:space="preserve">(d) </w:t>
      </w:r>
      <w:r w:rsidRPr="000744E3">
        <w:rPr>
          <w:b/>
          <w:bCs/>
        </w:rPr>
        <w:t xml:space="preserve">Potential liquidity gap </w:t>
      </w:r>
      <w:r w:rsidR="000B24C2" w:rsidRPr="000744E3">
        <w:t>as reported by EPTA (</w:t>
      </w:r>
      <w:hyperlink r:id="rId23" w:history="1">
        <w:r w:rsidR="000B24C2" w:rsidRPr="000744E3">
          <w:rPr>
            <w:rStyle w:val="Hyperlink"/>
          </w:rPr>
          <w:t>FIA EPTA Insights - Mind Transparency Gap paper_FINAL.pdf</w:t>
        </w:r>
      </w:hyperlink>
      <w:r w:rsidR="000B24C2" w:rsidRPr="000744E3">
        <w:t>)</w:t>
      </w:r>
      <w:r w:rsidR="003504B1" w:rsidRPr="000744E3">
        <w:t>. The use of OTC derivatives should be examine</w:t>
      </w:r>
      <w:r w:rsidR="004466F3" w:rsidRPr="000744E3">
        <w:t>d</w:t>
      </w:r>
      <w:r w:rsidR="003504B1" w:rsidRPr="000744E3">
        <w:t xml:space="preserve"> to assess </w:t>
      </w:r>
      <w:r w:rsidR="004466F3" w:rsidRPr="000744E3">
        <w:t xml:space="preserve">its </w:t>
      </w:r>
      <w:r w:rsidR="003504B1" w:rsidRPr="000744E3">
        <w:t xml:space="preserve">materiality and whether or not it </w:t>
      </w:r>
      <w:r w:rsidR="004466F3" w:rsidRPr="000744E3">
        <w:t>leads to</w:t>
      </w:r>
      <w:r w:rsidR="0048216B" w:rsidRPr="000744E3">
        <w:t xml:space="preserve"> an</w:t>
      </w:r>
      <w:r w:rsidR="004466F3" w:rsidRPr="000744E3">
        <w:t xml:space="preserve"> underestimat</w:t>
      </w:r>
      <w:r w:rsidR="0048216B" w:rsidRPr="000744E3">
        <w:t>ion of</w:t>
      </w:r>
      <w:r w:rsidR="004466F3" w:rsidRPr="000744E3">
        <w:t xml:space="preserve"> </w:t>
      </w:r>
      <w:r w:rsidR="003504B1" w:rsidRPr="000744E3">
        <w:t xml:space="preserve">the </w:t>
      </w:r>
      <w:r w:rsidR="004466F3" w:rsidRPr="000744E3">
        <w:t xml:space="preserve">level of </w:t>
      </w:r>
      <w:r w:rsidR="003504B1" w:rsidRPr="000744E3">
        <w:t xml:space="preserve">liquidity in Europe. </w:t>
      </w:r>
    </w:p>
    <w:p w14:paraId="34B30385" w14:textId="7F5D8CE8" w:rsidR="00DE6E57" w:rsidRPr="000744E3" w:rsidRDefault="00DE6E57" w:rsidP="00765B20">
      <w:pPr>
        <w:jc w:val="left"/>
      </w:pPr>
      <w:r w:rsidRPr="000744E3">
        <w:t>We acknowledge the data limitations that prevent firm conclusions on each of these points. The restoration of the flags identified in our response to Q 23 would materially improve the evidence base. Continued supervisory dialogue with SI operators on their business models, execution policies and risk management arrangements would also support a more informed assessment of whether the regime is operating in line with its design</w:t>
      </w:r>
      <w:r w:rsidR="003504B1" w:rsidRPr="000744E3">
        <w:t xml:space="preserve"> and </w:t>
      </w:r>
      <w:r w:rsidR="007F4F13" w:rsidRPr="000744E3">
        <w:t>produce the necessary data quality to analyse market dynamics</w:t>
      </w:r>
      <w:r w:rsidRPr="000744E3">
        <w:t>.</w:t>
      </w:r>
    </w:p>
    <w:p w14:paraId="6874D638" w14:textId="77777777" w:rsidR="00785AC1" w:rsidRPr="000744E3" w:rsidRDefault="00785AC1" w:rsidP="00785AC1">
      <w:r w:rsidRPr="000744E3">
        <w:t>&lt;ESMA_QUESTION_MSEM_24&gt;</w:t>
      </w:r>
    </w:p>
    <w:p w14:paraId="654B0313" w14:textId="77777777" w:rsidR="00785AC1" w:rsidRPr="000744E3" w:rsidRDefault="00785AC1" w:rsidP="00785AC1"/>
    <w:p w14:paraId="09C1DCDA" w14:textId="77777777" w:rsidR="00785AC1" w:rsidRPr="000744E3" w:rsidRDefault="00785AC1" w:rsidP="00785AC1">
      <w:pPr>
        <w:pStyle w:val="Questionstyle"/>
        <w:numPr>
          <w:ilvl w:val="0"/>
          <w:numId w:val="1"/>
        </w:numPr>
        <w:tabs>
          <w:tab w:val="clear" w:pos="567"/>
        </w:tabs>
        <w:spacing w:before="120" w:after="120"/>
        <w:ind w:left="851" w:hanging="709"/>
      </w:pPr>
      <w:r w:rsidRPr="000744E3">
        <w:t>Please highlight any concerns/issues you may have at this stage? Do you see a need for specific for regulatory interventions (please provide details possibly relating to the information and data available or observed)?</w:t>
      </w:r>
    </w:p>
    <w:p w14:paraId="6D424EB7" w14:textId="77777777" w:rsidR="00785AC1" w:rsidRPr="000744E3" w:rsidRDefault="00785AC1" w:rsidP="00785AC1">
      <w:r w:rsidRPr="000744E3">
        <w:t>&lt;ESMA_QUESTION_MSEM_25&gt;</w:t>
      </w:r>
    </w:p>
    <w:p w14:paraId="7C267985" w14:textId="509E25DF" w:rsidR="0040696D" w:rsidRPr="000744E3" w:rsidRDefault="00FE38D6" w:rsidP="006600BE">
      <w:r w:rsidRPr="000744E3">
        <w:t xml:space="preserve">At this stage, our principal concerns relate to data quality for SI trading </w:t>
      </w:r>
      <w:r w:rsidR="00765B20" w:rsidRPr="000744E3">
        <w:t>(</w:t>
      </w:r>
      <w:r w:rsidRPr="000744E3">
        <w:t>and, more generally, for off-venue execution</w:t>
      </w:r>
      <w:r w:rsidR="00765B20" w:rsidRPr="000744E3">
        <w:t xml:space="preserve">) as well as </w:t>
      </w:r>
      <w:r w:rsidR="008F34C9" w:rsidRPr="000744E3">
        <w:t>activity that may unintentionally move Europe closer towards being a price driven market</w:t>
      </w:r>
      <w:r w:rsidR="00B87F58" w:rsidRPr="000744E3">
        <w:t xml:space="preserve">. </w:t>
      </w:r>
      <w:r w:rsidRPr="000744E3">
        <w:t>We</w:t>
      </w:r>
      <w:r w:rsidRPr="000744E3" w:rsidDel="009C2144">
        <w:t xml:space="preserve"> </w:t>
      </w:r>
      <w:r w:rsidRPr="000744E3">
        <w:t>recommend that ESMA</w:t>
      </w:r>
      <w:r w:rsidR="00B92CB3" w:rsidRPr="000744E3">
        <w:t xml:space="preserve"> </w:t>
      </w:r>
      <w:r w:rsidRPr="000744E3">
        <w:t xml:space="preserve">address data quality through a consistent set of flags and a common interpretation of them as part of a review of </w:t>
      </w:r>
      <w:r w:rsidR="00B92CB3" w:rsidRPr="000744E3">
        <w:t xml:space="preserve">both </w:t>
      </w:r>
      <w:r w:rsidRPr="000744E3">
        <w:t>RTS1 and RTS22</w:t>
      </w:r>
      <w:r w:rsidR="009F365E" w:rsidRPr="000744E3">
        <w:t xml:space="preserve">. Please refer to our answer to Q24 for details on adjustments we believe would be beneficial to the market. </w:t>
      </w:r>
    </w:p>
    <w:p w14:paraId="65308004" w14:textId="77777777" w:rsidR="00785AC1" w:rsidRPr="000744E3" w:rsidRDefault="00785AC1" w:rsidP="00785AC1">
      <w:r w:rsidRPr="000744E3">
        <w:t>&lt;ESMA_QUESTION_MSEM_25&gt;</w:t>
      </w:r>
    </w:p>
    <w:p w14:paraId="10ABFBEA" w14:textId="77777777" w:rsidR="00785AC1" w:rsidRPr="000744E3" w:rsidRDefault="00785AC1" w:rsidP="00785AC1"/>
    <w:p w14:paraId="30EBE70C" w14:textId="77777777" w:rsidR="00785AC1" w:rsidRPr="000744E3" w:rsidRDefault="00785AC1" w:rsidP="00785AC1">
      <w:pPr>
        <w:pStyle w:val="Questionstyle"/>
        <w:numPr>
          <w:ilvl w:val="0"/>
          <w:numId w:val="1"/>
        </w:numPr>
        <w:tabs>
          <w:tab w:val="clear" w:pos="567"/>
        </w:tabs>
        <w:spacing w:before="120" w:after="120"/>
        <w:ind w:left="851" w:hanging="709"/>
      </w:pPr>
      <w:r w:rsidRPr="000744E3">
        <w:t>Have you witnessed an increase in the use of benchmark trades? If so, what are the drivers of such increase on venue and on SI?</w:t>
      </w:r>
    </w:p>
    <w:p w14:paraId="650B832F" w14:textId="77777777" w:rsidR="00785AC1" w:rsidRPr="000744E3" w:rsidRDefault="00785AC1" w:rsidP="00F662D6">
      <w:r w:rsidRPr="000744E3">
        <w:t>&lt;ESMA_QUESTION_MSEM_26&gt;</w:t>
      </w:r>
    </w:p>
    <w:p w14:paraId="124AE32B" w14:textId="40003DE6" w:rsidR="00287B6B" w:rsidRPr="000744E3" w:rsidRDefault="00287B6B" w:rsidP="00D174F3">
      <w:r w:rsidRPr="000744E3">
        <w:t xml:space="preserve">We have observed an increase in the use of benchmark trades in EEA shares over the period covered by the Call for Evidence. We do not have a definitive view of the relative weight of the different drivers, but </w:t>
      </w:r>
      <w:r w:rsidR="009B71E0" w:rsidRPr="000744E3">
        <w:t xml:space="preserve">best execution is </w:t>
      </w:r>
      <w:r w:rsidR="00177208" w:rsidRPr="000744E3">
        <w:t xml:space="preserve">likely to </w:t>
      </w:r>
      <w:r w:rsidRPr="000744E3">
        <w:t xml:space="preserve">be </w:t>
      </w:r>
      <w:r w:rsidR="009B71E0" w:rsidRPr="000744E3">
        <w:t xml:space="preserve">the key </w:t>
      </w:r>
      <w:r w:rsidR="008F34C9" w:rsidRPr="000744E3">
        <w:t>one</w:t>
      </w:r>
      <w:r w:rsidR="009B71E0" w:rsidRPr="000744E3">
        <w:t xml:space="preserve">: </w:t>
      </w:r>
      <w:r w:rsidR="003105B1" w:rsidRPr="000744E3">
        <w:t>institutional clients select benchmark methodologies (typically VWAP or arrival price) as the basis on which intermediaries are measured. This places a premium on execution mechanisms that can deliver the benchmark price.</w:t>
      </w:r>
    </w:p>
    <w:p w14:paraId="68AE888C" w14:textId="3B8E494A" w:rsidR="00282346" w:rsidRPr="000744E3" w:rsidRDefault="009B71E0" w:rsidP="00D174F3">
      <w:r w:rsidRPr="000744E3">
        <w:t>In addition</w:t>
      </w:r>
      <w:r w:rsidR="008633AC" w:rsidRPr="000744E3">
        <w:t>,</w:t>
      </w:r>
      <w:r w:rsidRPr="000744E3">
        <w:t xml:space="preserve"> </w:t>
      </w:r>
      <w:r w:rsidRPr="000744E3">
        <w:rPr>
          <w:rFonts w:ascii="Aptos" w:eastAsia="Aptos" w:hAnsi="Aptos" w:cs="Aptos"/>
          <w:szCs w:val="22"/>
        </w:rPr>
        <w:t>new off</w:t>
      </w:r>
      <w:r w:rsidR="004E3A70" w:rsidRPr="000744E3">
        <w:rPr>
          <w:rFonts w:ascii="Aptos" w:eastAsia="Aptos" w:hAnsi="Aptos" w:cs="Aptos"/>
          <w:szCs w:val="22"/>
        </w:rPr>
        <w:t>-</w:t>
      </w:r>
      <w:r w:rsidR="3BB5BA47" w:rsidRPr="000744E3">
        <w:rPr>
          <w:rFonts w:ascii="Aptos" w:eastAsia="Aptos" w:hAnsi="Aptos" w:cs="Aptos"/>
          <w:szCs w:val="22"/>
        </w:rPr>
        <w:t>venue execution models such as trajectory cross can achieve a benchmark execution but can only be deployed off-book (either as SI or via the NT waiver)</w:t>
      </w:r>
      <w:r w:rsidR="000A5E28" w:rsidRPr="000744E3">
        <w:t>. A</w:t>
      </w:r>
      <w:r w:rsidR="00800E66" w:rsidRPr="000744E3">
        <w:t>s we understand</w:t>
      </w:r>
      <w:r w:rsidR="000A5E28" w:rsidRPr="000744E3">
        <w:t xml:space="preserve">, there is no possibility currently for </w:t>
      </w:r>
      <w:r w:rsidR="00800E66" w:rsidRPr="000744E3">
        <w:t>a trading venue to use the NT waiver to depl</w:t>
      </w:r>
      <w:r w:rsidR="00280AFC" w:rsidRPr="000744E3">
        <w:t xml:space="preserve">oy </w:t>
      </w:r>
      <w:r w:rsidR="000A5E28" w:rsidRPr="000744E3">
        <w:t>such mechanisms, although members may use the trading venue to report such trades. This lead</w:t>
      </w:r>
      <w:r w:rsidR="009D18EB" w:rsidRPr="000744E3">
        <w:t>s</w:t>
      </w:r>
      <w:r w:rsidR="000A5E28" w:rsidRPr="000744E3">
        <w:t xml:space="preserve"> to an asymmetry </w:t>
      </w:r>
      <w:r w:rsidR="008C616A" w:rsidRPr="000744E3">
        <w:t xml:space="preserve">not just </w:t>
      </w:r>
      <w:r w:rsidR="000A5E28" w:rsidRPr="000744E3">
        <w:t xml:space="preserve">between trading venues and SI but also between investment firms, with smaller actors not having the scale and the investment to deploy such </w:t>
      </w:r>
      <w:r w:rsidR="007F403D" w:rsidRPr="000744E3">
        <w:t xml:space="preserve">an </w:t>
      </w:r>
      <w:r w:rsidR="000A5E28" w:rsidRPr="000744E3">
        <w:t xml:space="preserve">execution model. </w:t>
      </w:r>
      <w:r w:rsidR="00282346" w:rsidRPr="000744E3">
        <w:t xml:space="preserve">We are therefore supportive </w:t>
      </w:r>
      <w:r w:rsidR="00DD76AB" w:rsidRPr="000744E3">
        <w:t xml:space="preserve">of </w:t>
      </w:r>
      <w:r w:rsidR="00DD76AB" w:rsidRPr="006354FA">
        <w:rPr>
          <w:bCs/>
        </w:rPr>
        <w:t>a</w:t>
      </w:r>
      <w:r w:rsidR="00282346" w:rsidRPr="006354FA">
        <w:rPr>
          <w:bCs/>
        </w:rPr>
        <w:t>llow</w:t>
      </w:r>
      <w:r w:rsidR="00DD76AB" w:rsidRPr="006354FA">
        <w:rPr>
          <w:bCs/>
        </w:rPr>
        <w:t>ing</w:t>
      </w:r>
      <w:r w:rsidR="00282346" w:rsidRPr="006354FA">
        <w:rPr>
          <w:bCs/>
        </w:rPr>
        <w:t xml:space="preserve"> MTFs to operate negotiated trade waiver facilities under</w:t>
      </w:r>
      <w:r w:rsidR="00282346" w:rsidRPr="000744E3">
        <w:t xml:space="preserve"> the same conditions as their members. The current rules restrict NT waiver facilities to the sole discretion of trading venues’ members as long as their negotiation is in line with the trading venue’s rules.</w:t>
      </w:r>
    </w:p>
    <w:p w14:paraId="4A4D9AE1" w14:textId="2FD8ECDC" w:rsidR="00AC5CF3" w:rsidRPr="000744E3" w:rsidRDefault="00AC5CF3" w:rsidP="00D174F3">
      <w:pPr>
        <w:jc w:val="left"/>
      </w:pPr>
      <w:r w:rsidRPr="000744E3">
        <w:t>On the question of where benchmark trades are executed: as a multilateral trading venue, our direct visibility is limited. We accept negotiated-trade reports for benchmark trades executed off-book on-exchange, but we do not have visibility on how those trades were originally executed. The current flagging regime does not distinguish these scenarios. We would therefore encourage ESMA to consider, as part of any guidance on benchmark trades, the introduction of execution-mechanism flagging (drawing on FIX tag 2405) so that the manual versus automated character of off-venue benchmark execution is identifiable.</w:t>
      </w:r>
    </w:p>
    <w:p w14:paraId="064FB1F7" w14:textId="77777777" w:rsidR="00AC5CF3" w:rsidRPr="000744E3" w:rsidRDefault="00AC5CF3" w:rsidP="000A5E28"/>
    <w:p w14:paraId="7CB9DB5C" w14:textId="77777777" w:rsidR="00785AC1" w:rsidRPr="000744E3" w:rsidRDefault="00785AC1" w:rsidP="00785AC1">
      <w:r w:rsidRPr="000744E3">
        <w:t>&lt;ESMA_QUESTION_MSEM_26&gt;</w:t>
      </w:r>
    </w:p>
    <w:p w14:paraId="012153AF" w14:textId="77777777" w:rsidR="00785AC1" w:rsidRPr="000744E3" w:rsidRDefault="00785AC1" w:rsidP="00785AC1"/>
    <w:p w14:paraId="76940C67" w14:textId="77777777" w:rsidR="00785AC1" w:rsidRPr="000744E3" w:rsidRDefault="00785AC1" w:rsidP="00785AC1">
      <w:pPr>
        <w:pStyle w:val="Questionstyle"/>
        <w:numPr>
          <w:ilvl w:val="0"/>
          <w:numId w:val="1"/>
        </w:numPr>
        <w:tabs>
          <w:tab w:val="clear" w:pos="567"/>
        </w:tabs>
        <w:spacing w:before="120" w:after="120"/>
        <w:ind w:left="851" w:hanging="709"/>
      </w:pPr>
      <w:r w:rsidRPr="000744E3">
        <w:t>Should the use of transactions from multiple trading venues be allowed when calculating the benchmark?</w:t>
      </w:r>
    </w:p>
    <w:p w14:paraId="28ACD597" w14:textId="77777777" w:rsidR="00785AC1" w:rsidRPr="000744E3" w:rsidRDefault="00785AC1" w:rsidP="00785AC1">
      <w:r w:rsidRPr="000744E3">
        <w:t>&lt;ESMA_QUESTION_MSEM_27&gt;</w:t>
      </w:r>
    </w:p>
    <w:p w14:paraId="098ABEC7" w14:textId="55AF0942" w:rsidR="00785AC1" w:rsidRPr="000744E3" w:rsidRDefault="007F6B77" w:rsidP="009470FC">
      <w:pPr>
        <w:jc w:val="left"/>
      </w:pPr>
      <w:r w:rsidRPr="000744E3">
        <w:t>The use of transactions from multiple trading venues in calculating a benchmark price (for example, a multi-venue VWAP) is already established practice in execution algorithms, and we see no reason to restrict it for execution purposes. Different benchmark methodologies serve different execution objectives; market participants should retain flexibility to select an appropriate benchmark for the order at hand.</w:t>
      </w:r>
    </w:p>
    <w:p w14:paraId="2AC57F42" w14:textId="77777777" w:rsidR="00785AC1" w:rsidRPr="000744E3" w:rsidRDefault="00785AC1" w:rsidP="00785AC1">
      <w:r w:rsidRPr="000744E3">
        <w:t>&lt;ESMA_QUESTION_MSEM_27&gt;</w:t>
      </w:r>
    </w:p>
    <w:p w14:paraId="75AFCBD5" w14:textId="77777777" w:rsidR="00785AC1" w:rsidRPr="000744E3" w:rsidRDefault="00785AC1" w:rsidP="00785AC1"/>
    <w:p w14:paraId="742BA7CE" w14:textId="77777777" w:rsidR="00785AC1" w:rsidRPr="000744E3" w:rsidRDefault="00785AC1" w:rsidP="00785AC1">
      <w:pPr>
        <w:pStyle w:val="Questionstyle"/>
        <w:numPr>
          <w:ilvl w:val="0"/>
          <w:numId w:val="1"/>
        </w:numPr>
        <w:tabs>
          <w:tab w:val="clear" w:pos="567"/>
        </w:tabs>
        <w:spacing w:before="120" w:after="120"/>
        <w:ind w:left="851" w:hanging="709"/>
      </w:pPr>
      <w:r w:rsidRPr="000744E3">
        <w:t>When performing benchmark trades, on how many transactions is the calculation of the benchmark trade based (on average, min, max, liquid vs. illiquid instruments)?</w:t>
      </w:r>
    </w:p>
    <w:p w14:paraId="49D18CBC" w14:textId="77777777" w:rsidR="00785AC1" w:rsidRPr="000744E3" w:rsidRDefault="00785AC1" w:rsidP="00785AC1">
      <w:r w:rsidRPr="000744E3">
        <w:t>&lt;ESMA_QUESTION_MSEM_28&gt;</w:t>
      </w:r>
    </w:p>
    <w:p w14:paraId="678759A7" w14:textId="1437255D" w:rsidR="000C0B81" w:rsidRPr="000744E3" w:rsidRDefault="000C0B81" w:rsidP="009470FC">
      <w:pPr>
        <w:jc w:val="left"/>
      </w:pPr>
      <w:r w:rsidRPr="000744E3">
        <w:t xml:space="preserve">Benchmark transactions are typically calculated </w:t>
      </w:r>
      <w:r w:rsidR="003905D3" w:rsidRPr="000744E3">
        <w:t xml:space="preserve">with </w:t>
      </w:r>
      <w:r w:rsidRPr="000744E3">
        <w:t>a series of underlying trades executed over a defined time horizon, rather than a single transaction. The number of constituent transactions and the length of the time horizon vary materially with:</w:t>
      </w:r>
    </w:p>
    <w:p w14:paraId="4E873FEC" w14:textId="77777777" w:rsidR="000C0B81" w:rsidRPr="000744E3" w:rsidRDefault="000C0B81" w:rsidP="009470FC">
      <w:pPr>
        <w:jc w:val="left"/>
      </w:pPr>
      <w:r w:rsidRPr="000744E3">
        <w:t>(a) the liquidity profile of the instrument (more liquid instruments support shorter execution windows with a high constituent-trade count; less liquid instruments require longer windows);</w:t>
      </w:r>
    </w:p>
    <w:p w14:paraId="35AC1BEC" w14:textId="77777777" w:rsidR="000C0B81" w:rsidRPr="000744E3" w:rsidRDefault="000C0B81" w:rsidP="009470FC">
      <w:pPr>
        <w:jc w:val="left"/>
      </w:pPr>
      <w:r w:rsidRPr="000744E3">
        <w:t>(b) the size and execution objectives of the parent order; and</w:t>
      </w:r>
    </w:p>
    <w:p w14:paraId="26B808C0" w14:textId="77777777" w:rsidR="000C0B81" w:rsidRPr="000744E3" w:rsidRDefault="000C0B81" w:rsidP="009470FC">
      <w:pPr>
        <w:jc w:val="left"/>
      </w:pPr>
      <w:r w:rsidRPr="000744E3">
        <w:t>(c) the specific benchmark methodology agreed with the client (VWAP, TWAP, arrival price, close price, interval VWAP).</w:t>
      </w:r>
    </w:p>
    <w:p w14:paraId="7D346352" w14:textId="288F7518" w:rsidR="000C0B81" w:rsidRPr="000744E3" w:rsidRDefault="000C0B81" w:rsidP="009470FC">
      <w:pPr>
        <w:jc w:val="left"/>
      </w:pPr>
      <w:r w:rsidRPr="000744E3">
        <w:t>Given this variability, we would caution against prescriptive minimum-transaction or minimum-time-period requirements for benchmark calculation, which risk reducing execution efficiency in less liquid instruments without delivering proportionate transparency benefits. We do not consider that the policy concerns ESMA is seeking to address are best resolved through prescriptive thresholds; they are better addressed through improved flagging and reporting (see our response to Q26).</w:t>
      </w:r>
    </w:p>
    <w:p w14:paraId="2FA314A9" w14:textId="77777777" w:rsidR="00785AC1" w:rsidRPr="000744E3" w:rsidRDefault="00785AC1" w:rsidP="00785AC1">
      <w:r w:rsidRPr="000744E3">
        <w:t>&lt;ESMA_QUESTION_MSEM_28&gt;</w:t>
      </w:r>
    </w:p>
    <w:p w14:paraId="1E5C6EFD" w14:textId="77777777" w:rsidR="00785AC1" w:rsidRPr="000744E3" w:rsidRDefault="00785AC1" w:rsidP="00785AC1"/>
    <w:p w14:paraId="5B1AA059" w14:textId="77777777" w:rsidR="00785AC1" w:rsidRPr="000744E3" w:rsidRDefault="00785AC1" w:rsidP="00785AC1">
      <w:pPr>
        <w:pStyle w:val="Questionstyle"/>
        <w:numPr>
          <w:ilvl w:val="0"/>
          <w:numId w:val="1"/>
        </w:numPr>
        <w:tabs>
          <w:tab w:val="clear" w:pos="567"/>
        </w:tabs>
        <w:spacing w:before="120" w:after="120"/>
        <w:ind w:left="851" w:hanging="709"/>
      </w:pPr>
      <w:r w:rsidRPr="000744E3">
        <w:t xml:space="preserve">To what extent SI take advantage of the provision in Article 15(3) of </w:t>
      </w:r>
      <w:proofErr w:type="spellStart"/>
      <w:r w:rsidRPr="000744E3">
        <w:t>MiFIR</w:t>
      </w:r>
      <w:proofErr w:type="spellEnd"/>
      <w:r w:rsidRPr="000744E3">
        <w:t>? Please share any data you may be informative in this context to understand the extent to which SIs use this provision.</w:t>
      </w:r>
    </w:p>
    <w:p w14:paraId="27865844" w14:textId="77777777" w:rsidR="00785AC1" w:rsidRPr="000744E3" w:rsidRDefault="00785AC1" w:rsidP="00785AC1">
      <w:r w:rsidRPr="000744E3">
        <w:t>&lt;ESMA_QUESTION_MSEM_29&gt;</w:t>
      </w:r>
    </w:p>
    <w:p w14:paraId="67F4EBB0" w14:textId="77777777" w:rsidR="00785AC1" w:rsidRPr="000744E3" w:rsidRDefault="00785AC1" w:rsidP="00785AC1">
      <w:r w:rsidRPr="000744E3">
        <w:t>TYPE YOUR TEXT HERE</w:t>
      </w:r>
    </w:p>
    <w:p w14:paraId="3A02A79D" w14:textId="77777777" w:rsidR="00785AC1" w:rsidRPr="000744E3" w:rsidRDefault="00785AC1" w:rsidP="00785AC1">
      <w:r w:rsidRPr="000744E3">
        <w:t>&lt;ESMA_QUESTION_MSEM_29&gt;</w:t>
      </w:r>
    </w:p>
    <w:p w14:paraId="12E5025D" w14:textId="77777777" w:rsidR="00785AC1" w:rsidRPr="000744E3" w:rsidRDefault="00785AC1" w:rsidP="00785AC1"/>
    <w:p w14:paraId="76985278" w14:textId="77777777" w:rsidR="00785AC1" w:rsidRPr="000744E3" w:rsidRDefault="00785AC1" w:rsidP="00785AC1">
      <w:pPr>
        <w:pStyle w:val="Questionstyle"/>
        <w:numPr>
          <w:ilvl w:val="0"/>
          <w:numId w:val="1"/>
        </w:numPr>
        <w:tabs>
          <w:tab w:val="clear" w:pos="567"/>
        </w:tabs>
        <w:spacing w:before="120" w:after="120"/>
        <w:ind w:left="851" w:hanging="709"/>
      </w:pPr>
      <w:r w:rsidRPr="000744E3">
        <w:t>Would you be supportive of ESMA issuing guidance on benchmark trades? If yes, should it encompass quantifying the minimum requirements (e.g. minimum number of transactions to be included when calculating a benchmark price, minimum time period to cover).</w:t>
      </w:r>
    </w:p>
    <w:p w14:paraId="4CA0B7A2" w14:textId="77777777" w:rsidR="00785AC1" w:rsidRPr="000744E3" w:rsidRDefault="00785AC1" w:rsidP="00785AC1">
      <w:r w:rsidRPr="000744E3">
        <w:t>&lt;ESMA_QUESTION_MSEM_30&gt;</w:t>
      </w:r>
    </w:p>
    <w:p w14:paraId="3D25619A" w14:textId="34ABC3CC" w:rsidR="00E9188D" w:rsidRPr="000744E3" w:rsidRDefault="00E9188D" w:rsidP="00891225">
      <w:pPr>
        <w:jc w:val="left"/>
      </w:pPr>
      <w:r w:rsidRPr="000744E3">
        <w:t xml:space="preserve">We would be supportive of ESMA issuing guidance on benchmark trades, with a clearly defined scope. In our view, the right scope for such guidance is </w:t>
      </w:r>
      <w:r w:rsidRPr="006354FA">
        <w:t xml:space="preserve">the consistent identification and reporting of benchmark trades, not </w:t>
      </w:r>
      <w:r w:rsidRPr="000744E3">
        <w:t>the methodology of benchmark calculation itself. The mathematics of VWAP, TWAP, arrival price and closing-price benchmarks are well established in execution practice; further regulatory specification of these methodologies would risk introducing rigidity without evident transparency benefits.</w:t>
      </w:r>
    </w:p>
    <w:p w14:paraId="4B4074DD" w14:textId="77777777" w:rsidR="0004778F" w:rsidRPr="000744E3" w:rsidRDefault="0004778F" w:rsidP="00891225">
      <w:pPr>
        <w:jc w:val="left"/>
      </w:pPr>
      <w:r w:rsidRPr="000744E3">
        <w:t>The specific items where guidance would add the most value, in our view, are:</w:t>
      </w:r>
    </w:p>
    <w:p w14:paraId="02D00D38" w14:textId="17B2E6C3" w:rsidR="0004778F" w:rsidRPr="000744E3" w:rsidRDefault="0004778F" w:rsidP="00891225">
      <w:pPr>
        <w:jc w:val="left"/>
      </w:pPr>
      <w:r w:rsidRPr="000744E3">
        <w:t xml:space="preserve">(a) </w:t>
      </w:r>
      <w:r w:rsidRPr="000744E3">
        <w:rPr>
          <w:b/>
        </w:rPr>
        <w:t>Consistent attribution of benchmark trades to the correct execution channel</w:t>
      </w:r>
      <w:r w:rsidRPr="000744E3">
        <w:t xml:space="preserve"> (on-venue, SI, off-book on-exchange under negotiated trade waiver, or OTC). At present, we think there is divergence in how investment firms apply the BENC flag and the SI/XOFF MIC code combinations. This is a meaningful source of data quality issues in the dataset underpinning the Call for Evidence.</w:t>
      </w:r>
    </w:p>
    <w:p w14:paraId="0297C309" w14:textId="77777777" w:rsidR="0004778F" w:rsidRPr="000744E3" w:rsidRDefault="0004778F" w:rsidP="00891225">
      <w:pPr>
        <w:jc w:val="left"/>
      </w:pPr>
      <w:r w:rsidRPr="000744E3">
        <w:t xml:space="preserve">(b) </w:t>
      </w:r>
      <w:r w:rsidRPr="000744E3">
        <w:rPr>
          <w:b/>
        </w:rPr>
        <w:t>Distinction between manual and automated benchmark execution</w:t>
      </w:r>
      <w:r w:rsidRPr="000744E3">
        <w:t>. Manual benchmark trades (high-touch desk activity, principal commitment at an agreed benchmark) have different accessibility characteristics from automated benchmark execution services (such as trajectory cross). The FIX tag 2405 (</w:t>
      </w:r>
      <w:proofErr w:type="spellStart"/>
      <w:r w:rsidRPr="000744E3">
        <w:t>ExecMethod</w:t>
      </w:r>
      <w:proofErr w:type="spellEnd"/>
      <w:r w:rsidRPr="000744E3">
        <w:t>) is the natural vehicle for this distinction; mandating its use across off-venue benchmark execution would substantially improve the analytical visibility of this category.</w:t>
      </w:r>
    </w:p>
    <w:p w14:paraId="1321F1C3" w14:textId="77777777" w:rsidR="0004778F" w:rsidRPr="000744E3" w:rsidRDefault="0004778F" w:rsidP="00891225">
      <w:pPr>
        <w:jc w:val="left"/>
      </w:pPr>
      <w:r w:rsidRPr="000744E3">
        <w:t xml:space="preserve">(c) </w:t>
      </w:r>
      <w:r w:rsidRPr="000744E3">
        <w:rPr>
          <w:b/>
        </w:rPr>
        <w:t>Clear flagging of trades that reference the closing price</w:t>
      </w:r>
      <w:r w:rsidRPr="000744E3">
        <w:t xml:space="preserve"> (the CLSE flag, as introduced in the UK), applied consistently across trading venues, SIs and OBOE.</w:t>
      </w:r>
    </w:p>
    <w:p w14:paraId="17F704B5" w14:textId="77777777" w:rsidR="0004778F" w:rsidRPr="000744E3" w:rsidRDefault="0004778F" w:rsidP="00891225">
      <w:pPr>
        <w:jc w:val="left"/>
      </w:pPr>
      <w:r w:rsidRPr="000744E3">
        <w:t>Any guidance should be developed through consultation with market participants, drawing on the work of the FIX Trading Community equities consolidated tape working group and, where appropriate, reconvening the 2024 European Commission Data Expert Group.</w:t>
      </w:r>
    </w:p>
    <w:p w14:paraId="3EF7984B" w14:textId="77777777" w:rsidR="0004778F" w:rsidRPr="000744E3" w:rsidRDefault="0004778F" w:rsidP="00E9188D">
      <w:pPr>
        <w:jc w:val="left"/>
      </w:pPr>
    </w:p>
    <w:p w14:paraId="57550873" w14:textId="77777777" w:rsidR="00785AC1" w:rsidRPr="000744E3" w:rsidRDefault="00785AC1" w:rsidP="00785AC1">
      <w:r w:rsidRPr="000744E3">
        <w:t>&lt;ESMA_QUESTION_MSEM_30&gt;</w:t>
      </w:r>
    </w:p>
    <w:p w14:paraId="7432160A" w14:textId="77777777" w:rsidR="00785AC1" w:rsidRPr="000744E3" w:rsidRDefault="00785AC1" w:rsidP="00785AC1"/>
    <w:p w14:paraId="40847DE9" w14:textId="77777777" w:rsidR="00785AC1" w:rsidRPr="000744E3" w:rsidRDefault="00785AC1" w:rsidP="00785AC1">
      <w:pPr>
        <w:pStyle w:val="Questionstyle"/>
        <w:numPr>
          <w:ilvl w:val="0"/>
          <w:numId w:val="1"/>
        </w:numPr>
        <w:tabs>
          <w:tab w:val="clear" w:pos="567"/>
        </w:tabs>
        <w:spacing w:before="120" w:after="120"/>
        <w:ind w:left="851" w:hanging="709"/>
      </w:pPr>
      <w:r w:rsidRPr="000744E3">
        <w:t>Does member preferencing lead to unfair outcomes for end-investors, other members or the markets? Please explain, if possible on the basis of data.</w:t>
      </w:r>
    </w:p>
    <w:p w14:paraId="35DF2C49" w14:textId="77777777" w:rsidR="00785AC1" w:rsidRPr="000744E3" w:rsidRDefault="00785AC1" w:rsidP="00785AC1">
      <w:r w:rsidRPr="000744E3">
        <w:t>&lt;ESMA_QUESTION_MSEM_31&gt;</w:t>
      </w:r>
    </w:p>
    <w:p w14:paraId="26BC7B2D" w14:textId="5C623C80" w:rsidR="004E660C" w:rsidRPr="000744E3" w:rsidRDefault="004E660C" w:rsidP="00785AC1">
      <w:r w:rsidRPr="000744E3">
        <w:t>Member preferencing, in the form of priority allocation rules applied within an order book once a trade is otherwise eligible for execution, has been a long-standing feature of European equity market structure and predates MiFID</w:t>
      </w:r>
      <w:r w:rsidR="00A3256E" w:rsidRPr="000744E3">
        <w:t xml:space="preserve">. It </w:t>
      </w:r>
      <w:r w:rsidR="00BA7E2A" w:rsidRPr="000744E3">
        <w:t>allows venues</w:t>
      </w:r>
      <w:r w:rsidR="00BE4631" w:rsidRPr="000744E3">
        <w:t xml:space="preserve"> to cater to different investors</w:t>
      </w:r>
      <w:r w:rsidR="00A3256E" w:rsidRPr="000744E3">
        <w:t>’ needs</w:t>
      </w:r>
      <w:r w:rsidR="00BA7E2A" w:rsidRPr="000744E3">
        <w:t>, develop differentiat</w:t>
      </w:r>
      <w:r w:rsidR="00D51432" w:rsidRPr="000744E3">
        <w:t xml:space="preserve">ed </w:t>
      </w:r>
      <w:r w:rsidR="00BA7E2A" w:rsidRPr="000744E3">
        <w:t>offering</w:t>
      </w:r>
      <w:r w:rsidR="00D51432" w:rsidRPr="000744E3">
        <w:t>s</w:t>
      </w:r>
      <w:r w:rsidR="00BE4631" w:rsidRPr="000744E3">
        <w:t xml:space="preserve"> (</w:t>
      </w:r>
      <w:r w:rsidR="00A3256E" w:rsidRPr="000744E3">
        <w:t xml:space="preserve">e.g. </w:t>
      </w:r>
      <w:r w:rsidR="00BE4631" w:rsidRPr="000744E3">
        <w:t>retail vs institutional</w:t>
      </w:r>
      <w:r w:rsidR="00A3256E" w:rsidRPr="000744E3">
        <w:t xml:space="preserve"> flow</w:t>
      </w:r>
      <w:r w:rsidR="00BE4631" w:rsidRPr="000744E3">
        <w:t>)</w:t>
      </w:r>
      <w:r w:rsidR="00BA7E2A" w:rsidRPr="000744E3">
        <w:t xml:space="preserve">, reduce information leakage (by prioritising matching orders from the same member rather than with another counterparty) and optimise </w:t>
      </w:r>
      <w:r w:rsidR="00E26136" w:rsidRPr="000744E3">
        <w:t>clearing and settlement processes (by limiting settlement instructions to different parties)</w:t>
      </w:r>
      <w:r w:rsidR="00BA7E2A" w:rsidRPr="000744E3">
        <w:t xml:space="preserve">. </w:t>
      </w:r>
      <w:r w:rsidR="00E26136" w:rsidRPr="000744E3">
        <w:t xml:space="preserve">In addition, all </w:t>
      </w:r>
      <w:r w:rsidR="00122E2A" w:rsidRPr="000744E3">
        <w:t xml:space="preserve">price formation mechanisms on venues are </w:t>
      </w:r>
      <w:r w:rsidR="00103E2C" w:rsidRPr="000744E3">
        <w:t>reviewed and approved by NCAs, and publicly disclosed in rulebook and functional specific</w:t>
      </w:r>
      <w:r w:rsidR="00E817D2" w:rsidRPr="000744E3">
        <w:t>ations.</w:t>
      </w:r>
    </w:p>
    <w:p w14:paraId="7530CB7B" w14:textId="2B579DDB" w:rsidR="00BE4631" w:rsidRPr="000744E3" w:rsidRDefault="00BE4631" w:rsidP="00785AC1">
      <w:r w:rsidRPr="000744E3">
        <w:t xml:space="preserve">Considering (i) the public disclosure of these mechanisms in </w:t>
      </w:r>
      <w:r w:rsidR="00C14937" w:rsidRPr="000744E3">
        <w:t xml:space="preserve">public </w:t>
      </w:r>
      <w:r w:rsidRPr="000744E3">
        <w:t xml:space="preserve">venue rulebooks and specifications, (ii) the prior approval of those rulebooks by national competent authorities, (iii) the sophistication of institutional investors and brokers in selecting execution venues, and (iv) the level of competition between trading venues, it would be surprising if such priority management </w:t>
      </w:r>
      <w:r w:rsidR="00E817D2" w:rsidRPr="000744E3">
        <w:t>can</w:t>
      </w:r>
      <w:r w:rsidRPr="000744E3">
        <w:t xml:space="preserve"> be characterised as unfair to end-investors. </w:t>
      </w:r>
    </w:p>
    <w:p w14:paraId="5DC130FB" w14:textId="62A31DD6" w:rsidR="00785AC1" w:rsidRPr="000744E3" w:rsidRDefault="00785AC1" w:rsidP="00785AC1">
      <w:r w:rsidRPr="000744E3">
        <w:t>&lt;ESMA_QUESTION_MSEM_31&gt;</w:t>
      </w:r>
    </w:p>
    <w:p w14:paraId="0A47DF08" w14:textId="100CD5AF" w:rsidR="00785AC1" w:rsidRPr="000744E3" w:rsidRDefault="00785AC1" w:rsidP="00785AC1">
      <w:pPr>
        <w:spacing w:after="120" w:line="264" w:lineRule="auto"/>
        <w:jc w:val="left"/>
        <w:rPr>
          <w:b/>
        </w:rPr>
      </w:pPr>
    </w:p>
    <w:p w14:paraId="0243F24D" w14:textId="77777777" w:rsidR="00785AC1" w:rsidRPr="000744E3" w:rsidRDefault="00785AC1" w:rsidP="00785AC1">
      <w:pPr>
        <w:pStyle w:val="Questionstyle"/>
        <w:numPr>
          <w:ilvl w:val="0"/>
          <w:numId w:val="1"/>
        </w:numPr>
        <w:tabs>
          <w:tab w:val="clear" w:pos="567"/>
        </w:tabs>
        <w:spacing w:before="120" w:after="120"/>
        <w:ind w:left="851" w:hanging="709"/>
      </w:pPr>
      <w:r w:rsidRPr="000744E3">
        <w:t>To what extent do you see evidence that member preferencing extends in practice beyond jumping the queue and may also violate price priority principles?</w:t>
      </w:r>
    </w:p>
    <w:p w14:paraId="03B336E3" w14:textId="77777777" w:rsidR="00785AC1" w:rsidRPr="000744E3" w:rsidRDefault="00785AC1" w:rsidP="00785AC1">
      <w:r w:rsidRPr="000744E3">
        <w:t>&lt;ESMA_QUESTION_MSEM_32&gt;</w:t>
      </w:r>
    </w:p>
    <w:p w14:paraId="0D4D5DD0" w14:textId="5902BF4D" w:rsidR="00785AC1" w:rsidRPr="000744E3" w:rsidRDefault="00E45B2E" w:rsidP="00785AC1">
      <w:r w:rsidRPr="000744E3">
        <w:t xml:space="preserve">We do not believe the way member preferencing is used in EEA Trading Venues violates price priority principles. Where </w:t>
      </w:r>
      <w:r w:rsidR="008137A6" w:rsidRPr="000744E3">
        <w:t>member preferencing</w:t>
      </w:r>
      <w:r w:rsidR="00E817D2" w:rsidRPr="000744E3">
        <w:t xml:space="preserve"> is implemented, it does not supersede the priority given to the execution price. It is commonly used in FBAs or in closing auctions, whereby once the equilibrium price has been determined, priority will be given to matching orders from the same member first. </w:t>
      </w:r>
    </w:p>
    <w:p w14:paraId="6C14B9A2" w14:textId="77777777" w:rsidR="00785AC1" w:rsidRPr="000744E3" w:rsidRDefault="00785AC1" w:rsidP="00785AC1">
      <w:r w:rsidRPr="000744E3">
        <w:t>&lt;ESMA_QUESTION_MSEM_32&gt;</w:t>
      </w:r>
    </w:p>
    <w:p w14:paraId="72227EED" w14:textId="77777777" w:rsidR="00785AC1" w:rsidRPr="000744E3" w:rsidRDefault="00785AC1" w:rsidP="00785AC1"/>
    <w:p w14:paraId="306C45CE" w14:textId="77777777" w:rsidR="00785AC1" w:rsidRPr="000744E3" w:rsidRDefault="00785AC1" w:rsidP="00785AC1">
      <w:pPr>
        <w:pStyle w:val="Questionstyle"/>
        <w:numPr>
          <w:ilvl w:val="0"/>
          <w:numId w:val="1"/>
        </w:numPr>
        <w:tabs>
          <w:tab w:val="clear" w:pos="567"/>
        </w:tabs>
        <w:spacing w:before="120" w:after="120"/>
        <w:ind w:left="851" w:hanging="709"/>
      </w:pPr>
      <w:r w:rsidRPr="000744E3">
        <w:t>Should member preferencing be (a) prohibited, (b) should there be rules restricting the practice, or (c) should nothing be done? If you suggest there should be rules (b), which rules would you suggest? Please explain.</w:t>
      </w:r>
    </w:p>
    <w:p w14:paraId="44BEC57B" w14:textId="77777777" w:rsidR="00785AC1" w:rsidRPr="000744E3" w:rsidRDefault="00785AC1" w:rsidP="00785AC1">
      <w:r w:rsidRPr="000744E3">
        <w:t>&lt;ESMA_QUESTION_MSEM_33&gt;</w:t>
      </w:r>
    </w:p>
    <w:p w14:paraId="19A95B32" w14:textId="76C292BA" w:rsidR="008C3C43" w:rsidRPr="000744E3" w:rsidRDefault="008C3C43" w:rsidP="008C3C43">
      <w:pPr>
        <w:jc w:val="left"/>
      </w:pPr>
      <w:r w:rsidRPr="000744E3">
        <w:t xml:space="preserve">We support option (c): nothing should be done specifically </w:t>
      </w:r>
      <w:r w:rsidR="00880E82" w:rsidRPr="000744E3">
        <w:t>with regard to</w:t>
      </w:r>
      <w:r w:rsidRPr="000744E3">
        <w:t xml:space="preserve"> member preferencing on multilateral trading venues. As set out in our response to Q31, member preferencing within a disclosed, NCA-approved rulebook is a long-standing market practice that serves legitimate operational purposes. Evidence of negative effects on end-investors or other members has not, in our view, been provided.</w:t>
      </w:r>
    </w:p>
    <w:p w14:paraId="643174D4" w14:textId="77777777" w:rsidR="00785AC1" w:rsidRPr="000744E3" w:rsidRDefault="00785AC1" w:rsidP="00785AC1">
      <w:r w:rsidRPr="000744E3">
        <w:t>&lt;ESMA_QUESTION_MSEM_33&gt;</w:t>
      </w:r>
    </w:p>
    <w:p w14:paraId="585BC89F" w14:textId="77777777" w:rsidR="00785AC1" w:rsidRPr="000744E3" w:rsidRDefault="00785AC1" w:rsidP="00785AC1"/>
    <w:p w14:paraId="542C7345" w14:textId="77777777" w:rsidR="00785AC1" w:rsidRPr="000744E3" w:rsidRDefault="00785AC1" w:rsidP="00785AC1">
      <w:pPr>
        <w:pStyle w:val="Questionstyle"/>
        <w:numPr>
          <w:ilvl w:val="0"/>
          <w:numId w:val="1"/>
        </w:numPr>
        <w:tabs>
          <w:tab w:val="clear" w:pos="567"/>
        </w:tabs>
        <w:spacing w:before="120" w:after="120"/>
        <w:ind w:left="851" w:hanging="709"/>
      </w:pPr>
      <w:r w:rsidRPr="000744E3">
        <w:t>What would be the consequence of prohibiting certain forms of member preferencing? Please explain, if possible on the basis of data.</w:t>
      </w:r>
    </w:p>
    <w:p w14:paraId="484F1367" w14:textId="77777777" w:rsidR="00785AC1" w:rsidRPr="000744E3" w:rsidRDefault="00785AC1" w:rsidP="00785AC1">
      <w:r w:rsidRPr="000744E3">
        <w:t>&lt;ESMA_QUESTION_MSEM_34&gt;</w:t>
      </w:r>
    </w:p>
    <w:p w14:paraId="1CA8417E" w14:textId="62A4A05E" w:rsidR="00785AC1" w:rsidRPr="000744E3" w:rsidRDefault="4E5B5D1C" w:rsidP="00785AC1">
      <w:pPr>
        <w:rPr>
          <w:rFonts w:ascii="Aptos" w:eastAsia="Aptos" w:hAnsi="Aptos" w:cs="Aptos"/>
          <w:szCs w:val="22"/>
        </w:rPr>
      </w:pPr>
      <w:r w:rsidRPr="000744E3">
        <w:t>I</w:t>
      </w:r>
      <w:r w:rsidRPr="000744E3">
        <w:rPr>
          <w:rFonts w:ascii="Aptos" w:eastAsia="Aptos" w:hAnsi="Aptos" w:cs="Aptos"/>
          <w:szCs w:val="22"/>
        </w:rPr>
        <w:t>f member preferencing were prohibited, it would likely increase post-trade processing inefficiency and costs, increase information leakage, and reduce trading venue innovation and competition. It would also challenge long-established, NCA-approved order book mechanisms.</w:t>
      </w:r>
    </w:p>
    <w:p w14:paraId="7DE547E6" w14:textId="77777777" w:rsidR="00785AC1" w:rsidRPr="000744E3" w:rsidRDefault="00785AC1" w:rsidP="00785AC1">
      <w:r w:rsidRPr="000744E3">
        <w:t>&lt;ESMA_QUESTION_MSEM_34&gt;</w:t>
      </w:r>
    </w:p>
    <w:p w14:paraId="60044D8C" w14:textId="77777777" w:rsidR="00785AC1" w:rsidRPr="000744E3" w:rsidRDefault="00785AC1" w:rsidP="00785AC1"/>
    <w:p w14:paraId="201FCB9A" w14:textId="77777777" w:rsidR="00785AC1" w:rsidRPr="000744E3" w:rsidRDefault="00785AC1" w:rsidP="00785AC1">
      <w:pPr>
        <w:pStyle w:val="Questionstyle"/>
        <w:numPr>
          <w:ilvl w:val="0"/>
          <w:numId w:val="1"/>
        </w:numPr>
        <w:tabs>
          <w:tab w:val="clear" w:pos="567"/>
        </w:tabs>
        <w:spacing w:before="120" w:after="120"/>
        <w:ind w:left="851" w:hanging="709"/>
      </w:pPr>
      <w:r w:rsidRPr="000744E3">
        <w:t>Are you aware of other similar and common practices, for example on RFQs, where on venue competition is limited to the detriment of other investors or members? Please explain, if possible with data.</w:t>
      </w:r>
    </w:p>
    <w:p w14:paraId="7ED2A151" w14:textId="77777777" w:rsidR="00785AC1" w:rsidRPr="000744E3" w:rsidRDefault="00785AC1" w:rsidP="00785AC1">
      <w:r w:rsidRPr="000744E3">
        <w:t>&lt;ESMA_QUESTION_MSEM_35&gt;</w:t>
      </w:r>
    </w:p>
    <w:p w14:paraId="7183A07A" w14:textId="77777777" w:rsidR="00785AC1" w:rsidRPr="000744E3" w:rsidRDefault="00785AC1" w:rsidP="00785AC1">
      <w:r w:rsidRPr="000744E3">
        <w:t>TYPE YOUR TEXT HERE</w:t>
      </w:r>
    </w:p>
    <w:p w14:paraId="61B0527E" w14:textId="77777777" w:rsidR="00785AC1" w:rsidRPr="000744E3" w:rsidRDefault="00785AC1" w:rsidP="00785AC1">
      <w:r w:rsidRPr="000744E3">
        <w:t>&lt;ESMA_QUESTION_MSEM_35&gt;</w:t>
      </w:r>
    </w:p>
    <w:p w14:paraId="44599473" w14:textId="77777777" w:rsidR="00785AC1" w:rsidRPr="000744E3" w:rsidRDefault="00785AC1" w:rsidP="00785AC1"/>
    <w:p w14:paraId="3BA0D01A"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the above three approaches?</w:t>
      </w:r>
    </w:p>
    <w:p w14:paraId="235C447F" w14:textId="77777777" w:rsidR="00785AC1" w:rsidRPr="000744E3" w:rsidRDefault="00785AC1" w:rsidP="00785AC1">
      <w:r w:rsidRPr="000744E3">
        <w:t>&lt;ESMA_QUESTION_MSEM_36&gt;</w:t>
      </w:r>
    </w:p>
    <w:p w14:paraId="11BED247" w14:textId="49F51BF6" w:rsidR="00CF060A" w:rsidRPr="000744E3" w:rsidRDefault="00B1300D" w:rsidP="00CF060A">
      <w:r w:rsidRPr="000744E3">
        <w:rPr>
          <w:rFonts w:ascii="Aptos" w:hAnsi="Aptos"/>
        </w:rPr>
        <w:t>In our view,</w:t>
      </w:r>
      <w:r w:rsidR="00CF060A" w:rsidRPr="000744E3">
        <w:t xml:space="preserve"> ESMA's proposed </w:t>
      </w:r>
      <w:r w:rsidRPr="000744E3">
        <w:rPr>
          <w:rFonts w:ascii="Aptos" w:hAnsi="Aptos"/>
        </w:rPr>
        <w:t>notion</w:t>
      </w:r>
      <w:r w:rsidR="00CF060A" w:rsidRPr="000744E3">
        <w:t xml:space="preserve"> of </w:t>
      </w:r>
      <w:r w:rsidR="00CF060A" w:rsidRPr="000744E3">
        <w:rPr>
          <w:b/>
          <w:bCs/>
        </w:rPr>
        <w:t>addressability</w:t>
      </w:r>
      <w:r w:rsidR="00CF060A" w:rsidRPr="000744E3">
        <w:t xml:space="preserve"> would </w:t>
      </w:r>
      <w:r w:rsidRPr="000744E3">
        <w:rPr>
          <w:rFonts w:ascii="Aptos" w:hAnsi="Aptos"/>
        </w:rPr>
        <w:t>work</w:t>
      </w:r>
      <w:r w:rsidR="00CF060A" w:rsidRPr="000744E3">
        <w:t xml:space="preserve"> better </w:t>
      </w:r>
      <w:r w:rsidRPr="000744E3">
        <w:rPr>
          <w:rFonts w:ascii="Aptos" w:hAnsi="Aptos"/>
        </w:rPr>
        <w:t>if</w:t>
      </w:r>
      <w:r w:rsidR="00CF060A" w:rsidRPr="000744E3">
        <w:t xml:space="preserve"> it </w:t>
      </w:r>
      <w:r w:rsidRPr="000744E3">
        <w:t xml:space="preserve">were split </w:t>
      </w:r>
      <w:r w:rsidR="00CF060A" w:rsidRPr="000744E3">
        <w:t xml:space="preserve">into two </w:t>
      </w:r>
      <w:r w:rsidRPr="000744E3">
        <w:rPr>
          <w:rFonts w:ascii="Aptos" w:hAnsi="Aptos"/>
        </w:rPr>
        <w:t>separate</w:t>
      </w:r>
      <w:r w:rsidR="00CF060A" w:rsidRPr="000744E3">
        <w:t xml:space="preserve"> concepts: </w:t>
      </w:r>
      <w:r w:rsidR="00CF060A" w:rsidRPr="000744E3">
        <w:rPr>
          <w:b/>
          <w:bCs/>
        </w:rPr>
        <w:t>price formation</w:t>
      </w:r>
      <w:r w:rsidR="00CF060A" w:rsidRPr="000744E3">
        <w:t xml:space="preserve"> and </w:t>
      </w:r>
      <w:r w:rsidR="00CF060A" w:rsidRPr="000744E3">
        <w:rPr>
          <w:b/>
          <w:bCs/>
        </w:rPr>
        <w:t>accessibility</w:t>
      </w:r>
      <w:r w:rsidR="00CF060A" w:rsidRPr="000744E3">
        <w:t xml:space="preserve">. </w:t>
      </w:r>
      <w:r w:rsidRPr="000744E3">
        <w:rPr>
          <w:rFonts w:ascii="Aptos" w:hAnsi="Aptos"/>
        </w:rPr>
        <w:t>Drawing that distinction</w:t>
      </w:r>
      <w:r w:rsidR="00CF060A" w:rsidRPr="000744E3">
        <w:t xml:space="preserve"> also </w:t>
      </w:r>
      <w:r w:rsidRPr="000744E3">
        <w:rPr>
          <w:rFonts w:ascii="Aptos" w:hAnsi="Aptos"/>
        </w:rPr>
        <w:t>giv</w:t>
      </w:r>
      <w:r w:rsidR="00CF060A" w:rsidRPr="000744E3">
        <w:t xml:space="preserve">es a clearer </w:t>
      </w:r>
      <w:r w:rsidRPr="000744E3">
        <w:rPr>
          <w:rFonts w:ascii="Aptos" w:hAnsi="Aptos"/>
        </w:rPr>
        <w:t>basis</w:t>
      </w:r>
      <w:r w:rsidR="00CF060A" w:rsidRPr="000744E3">
        <w:t xml:space="preserve"> for </w:t>
      </w:r>
      <w:r w:rsidRPr="000744E3">
        <w:rPr>
          <w:rFonts w:ascii="Aptos" w:hAnsi="Aptos"/>
        </w:rPr>
        <w:t>dealing with</w:t>
      </w:r>
      <w:r w:rsidR="00CF060A" w:rsidRPr="000744E3">
        <w:t xml:space="preserve"> transactions </w:t>
      </w:r>
      <w:r w:rsidRPr="000744E3">
        <w:t xml:space="preserve">that are </w:t>
      </w:r>
      <w:r w:rsidR="00CF060A" w:rsidRPr="000744E3">
        <w:t xml:space="preserve">executed </w:t>
      </w:r>
      <w:r w:rsidRPr="000744E3">
        <w:rPr>
          <w:rFonts w:ascii="Aptos" w:hAnsi="Aptos"/>
        </w:rPr>
        <w:t>on term</w:t>
      </w:r>
      <w:r w:rsidR="00CF060A" w:rsidRPr="000744E3">
        <w:t>s other than the prevailing market price.</w:t>
      </w:r>
    </w:p>
    <w:p w14:paraId="0195573D" w14:textId="66796BA5" w:rsidR="00ED2754" w:rsidRPr="000744E3" w:rsidRDefault="00CF060A" w:rsidP="00CF060A">
      <w:r w:rsidRPr="000744E3">
        <w:rPr>
          <w:b/>
          <w:bCs/>
        </w:rPr>
        <w:t xml:space="preserve">Price </w:t>
      </w:r>
      <w:r w:rsidR="00145110" w:rsidRPr="000744E3">
        <w:rPr>
          <w:b/>
          <w:bCs/>
        </w:rPr>
        <w:t>f</w:t>
      </w:r>
      <w:r w:rsidRPr="000744E3">
        <w:rPr>
          <w:b/>
          <w:bCs/>
        </w:rPr>
        <w:t>ormation</w:t>
      </w:r>
      <w:r w:rsidR="00430298" w:rsidRPr="000744E3">
        <w:rPr>
          <w:b/>
          <w:bCs/>
        </w:rPr>
        <w:t xml:space="preserve">: </w:t>
      </w:r>
      <w:r w:rsidR="00B1300D" w:rsidRPr="000744E3">
        <w:rPr>
          <w:rFonts w:ascii="Aptos" w:hAnsi="Aptos"/>
        </w:rPr>
        <w:t>We would define price-forming transactions as those that transfer economic interest between a buyer and a seller in a way that feeds into market supply, demand</w:t>
      </w:r>
      <w:r w:rsidRPr="000744E3">
        <w:t xml:space="preserve"> and valuation.</w:t>
      </w:r>
      <w:r w:rsidR="00430298" w:rsidRPr="000744E3">
        <w:t xml:space="preserve"> </w:t>
      </w:r>
      <w:r w:rsidR="00D30C81" w:rsidRPr="000744E3">
        <w:t>Under this concept, dark executions for instance are price forming.</w:t>
      </w:r>
      <w:r w:rsidR="005E1D45" w:rsidRPr="000744E3">
        <w:t xml:space="preserve"> Price forming transaction</w:t>
      </w:r>
      <w:r w:rsidR="009B15BA" w:rsidRPr="000744E3">
        <w:t>s</w:t>
      </w:r>
      <w:r w:rsidR="005E1D45" w:rsidRPr="000744E3">
        <w:t xml:space="preserve"> </w:t>
      </w:r>
      <w:r w:rsidR="00FB209E" w:rsidRPr="000744E3">
        <w:t xml:space="preserve">cover </w:t>
      </w:r>
      <w:r w:rsidR="005E1D45" w:rsidRPr="000744E3">
        <w:t xml:space="preserve">therefore all </w:t>
      </w:r>
      <w:r w:rsidR="009B15BA" w:rsidRPr="000744E3">
        <w:t>transact</w:t>
      </w:r>
      <w:r w:rsidR="00F52860" w:rsidRPr="000744E3">
        <w:t xml:space="preserve">ions </w:t>
      </w:r>
      <w:r w:rsidR="00FB209E" w:rsidRPr="000744E3">
        <w:t>that trigger a genuine change of ownership and exclude</w:t>
      </w:r>
      <w:r w:rsidR="009348C5" w:rsidRPr="000744E3">
        <w:t xml:space="preserve"> all technical or </w:t>
      </w:r>
      <w:r w:rsidR="00233A55" w:rsidRPr="000744E3">
        <w:t>bookkeeping</w:t>
      </w:r>
      <w:r w:rsidR="009348C5" w:rsidRPr="000744E3">
        <w:t xml:space="preserve"> transactions</w:t>
      </w:r>
      <w:r w:rsidR="00ED2754" w:rsidRPr="000744E3">
        <w:t>. As such:</w:t>
      </w:r>
    </w:p>
    <w:p w14:paraId="33610821" w14:textId="505769F4" w:rsidR="00ED2754" w:rsidRPr="000744E3" w:rsidRDefault="00CF060A" w:rsidP="00CF060A">
      <w:pPr>
        <w:pStyle w:val="ListParagraph"/>
        <w:numPr>
          <w:ilvl w:val="0"/>
          <w:numId w:val="18"/>
        </w:numPr>
      </w:pPr>
      <w:r w:rsidRPr="000744E3">
        <w:rPr>
          <w:b/>
          <w:bCs/>
        </w:rPr>
        <w:t>Intragroup transactions and OBOE NPFT (Figure 36)</w:t>
      </w:r>
      <w:r w:rsidR="00ED2754" w:rsidRPr="000744E3">
        <w:rPr>
          <w:b/>
          <w:bCs/>
        </w:rPr>
        <w:t xml:space="preserve"> </w:t>
      </w:r>
      <w:r w:rsidRPr="000744E3">
        <w:t xml:space="preserve">should be </w:t>
      </w:r>
      <w:r w:rsidR="00B1300D" w:rsidRPr="000744E3">
        <w:rPr>
          <w:rFonts w:ascii="Aptos" w:hAnsi="Aptos"/>
        </w:rPr>
        <w:t>treated as</w:t>
      </w:r>
      <w:r w:rsidRPr="000744E3">
        <w:t xml:space="preserve"> </w:t>
      </w:r>
      <w:r w:rsidRPr="000744E3">
        <w:rPr>
          <w:b/>
          <w:bCs/>
        </w:rPr>
        <w:t>technical transactions</w:t>
      </w:r>
      <w:r w:rsidRPr="000744E3">
        <w:t xml:space="preserve">, </w:t>
      </w:r>
      <w:r w:rsidR="00B1300D" w:rsidRPr="000744E3">
        <w:rPr>
          <w:rFonts w:ascii="Aptos" w:hAnsi="Aptos"/>
        </w:rPr>
        <w:t>since</w:t>
      </w:r>
      <w:r w:rsidRPr="000744E3">
        <w:t xml:space="preserve"> they do not </w:t>
      </w:r>
      <w:r w:rsidR="00B1300D" w:rsidRPr="000744E3">
        <w:rPr>
          <w:rFonts w:ascii="Aptos" w:hAnsi="Aptos"/>
        </w:rPr>
        <w:t>satisfy</w:t>
      </w:r>
      <w:r w:rsidRPr="000744E3">
        <w:t xml:space="preserve"> the definition of price-forming activity.</w:t>
      </w:r>
      <w:r w:rsidR="00ED2754" w:rsidRPr="000744E3">
        <w:t xml:space="preserve"> </w:t>
      </w:r>
      <w:r w:rsidR="00B1300D" w:rsidRPr="000744E3">
        <w:rPr>
          <w:rFonts w:ascii="Aptos" w:hAnsi="Aptos"/>
        </w:rPr>
        <w:t>They should therefore fall outside post-trade transparency requirements, while</w:t>
      </w:r>
      <w:r w:rsidR="00B1300D" w:rsidRPr="000744E3">
        <w:t xml:space="preserve"> </w:t>
      </w:r>
      <w:r w:rsidRPr="000744E3">
        <w:t>remaining subject to transaction reporting obligations</w:t>
      </w:r>
      <w:r w:rsidR="00ED2754" w:rsidRPr="000744E3">
        <w:t xml:space="preserve"> where relevant.</w:t>
      </w:r>
    </w:p>
    <w:p w14:paraId="423E6772" w14:textId="3ADE2D63" w:rsidR="00CF060A" w:rsidRPr="000744E3" w:rsidRDefault="00CF060A" w:rsidP="009A409E">
      <w:pPr>
        <w:pStyle w:val="ListParagraph"/>
        <w:numPr>
          <w:ilvl w:val="0"/>
          <w:numId w:val="19"/>
        </w:numPr>
      </w:pPr>
      <w:r w:rsidRPr="000744E3">
        <w:rPr>
          <w:b/>
          <w:bCs/>
        </w:rPr>
        <w:t>OTC-XOFF and contingent trades (executed via OBOE, SI or OTC)</w:t>
      </w:r>
      <w:r w:rsidR="00ED2754" w:rsidRPr="000744E3">
        <w:rPr>
          <w:b/>
          <w:bCs/>
        </w:rPr>
        <w:t xml:space="preserve"> </w:t>
      </w:r>
      <w:r w:rsidRPr="000744E3">
        <w:t xml:space="preserve">should </w:t>
      </w:r>
      <w:r w:rsidR="00B1300D" w:rsidRPr="000744E3">
        <w:rPr>
          <w:rFonts w:ascii="Aptos" w:hAnsi="Aptos"/>
        </w:rPr>
        <w:t>remain</w:t>
      </w:r>
      <w:r w:rsidRPr="000744E3">
        <w:t xml:space="preserve"> classified as price-forming transactions.</w:t>
      </w:r>
      <w:r w:rsidR="00ED2754" w:rsidRPr="000744E3">
        <w:t xml:space="preserve"> </w:t>
      </w:r>
      <w:r w:rsidRPr="000744E3">
        <w:t>A</w:t>
      </w:r>
      <w:r w:rsidR="00B1300D" w:rsidRPr="000744E3">
        <w:rPr>
          <w:rFonts w:ascii="Aptos" w:hAnsi="Aptos"/>
        </w:rPr>
        <w:t>ccordingly</w:t>
      </w:r>
      <w:r w:rsidRPr="000744E3">
        <w:t xml:space="preserve">, they should </w:t>
      </w:r>
      <w:r w:rsidR="00B1300D" w:rsidRPr="000744E3">
        <w:rPr>
          <w:rFonts w:ascii="Aptos" w:hAnsi="Aptos"/>
        </w:rPr>
        <w:t>stay</w:t>
      </w:r>
      <w:r w:rsidRPr="000744E3">
        <w:t xml:space="preserve"> within the scope of post-trade transparency and continue to be published </w:t>
      </w:r>
      <w:r w:rsidR="00B1300D" w:rsidRPr="000744E3">
        <w:rPr>
          <w:rFonts w:ascii="Aptos" w:hAnsi="Aptos"/>
        </w:rPr>
        <w:t>on that basis</w:t>
      </w:r>
      <w:r w:rsidRPr="000744E3">
        <w:t>.</w:t>
      </w:r>
    </w:p>
    <w:p w14:paraId="680A700B" w14:textId="7A980ABB" w:rsidR="00CF060A" w:rsidRPr="000744E3" w:rsidRDefault="00CF060A" w:rsidP="009A409E">
      <w:r w:rsidRPr="000744E3">
        <w:rPr>
          <w:b/>
          <w:bCs/>
        </w:rPr>
        <w:t>Accessibility</w:t>
      </w:r>
      <w:r w:rsidR="005E1D45" w:rsidRPr="000744E3">
        <w:rPr>
          <w:b/>
          <w:bCs/>
        </w:rPr>
        <w:t xml:space="preserve">: </w:t>
      </w:r>
      <w:r w:rsidRPr="000744E3">
        <w:t xml:space="preserve">Accessibility should </w:t>
      </w:r>
      <w:r w:rsidR="00B1300D" w:rsidRPr="000744E3">
        <w:rPr>
          <w:rFonts w:ascii="Aptos" w:hAnsi="Aptos"/>
        </w:rPr>
        <w:t>centre</w:t>
      </w:r>
      <w:r w:rsidRPr="000744E3">
        <w:t xml:space="preserve"> on the information investors </w:t>
      </w:r>
      <w:r w:rsidR="00B1300D" w:rsidRPr="000744E3">
        <w:t xml:space="preserve">need in order </w:t>
      </w:r>
      <w:r w:rsidRPr="000744E3">
        <w:t xml:space="preserve">to </w:t>
      </w:r>
      <w:r w:rsidR="00B1300D" w:rsidRPr="000744E3">
        <w:rPr>
          <w:rFonts w:ascii="Aptos" w:hAnsi="Aptos"/>
        </w:rPr>
        <w:t>judge</w:t>
      </w:r>
      <w:r w:rsidRPr="000744E3">
        <w:t xml:space="preserve"> how relevant a </w:t>
      </w:r>
      <w:r w:rsidR="00B1300D" w:rsidRPr="000744E3">
        <w:rPr>
          <w:rFonts w:ascii="Aptos" w:hAnsi="Aptos"/>
        </w:rPr>
        <w:t>given</w:t>
      </w:r>
      <w:r w:rsidRPr="000744E3">
        <w:t xml:space="preserve"> price-forming transaction is to them.</w:t>
      </w:r>
      <w:r w:rsidR="00ED2754" w:rsidRPr="000744E3">
        <w:t xml:space="preserve"> </w:t>
      </w:r>
      <w:r w:rsidRPr="000744E3">
        <w:t xml:space="preserve">This </w:t>
      </w:r>
      <w:r w:rsidR="00B1300D" w:rsidRPr="000744E3">
        <w:rPr>
          <w:rFonts w:ascii="Aptos" w:hAnsi="Aptos"/>
        </w:rPr>
        <w:t>depends on</w:t>
      </w:r>
      <w:r w:rsidRPr="000744E3">
        <w:t xml:space="preserve"> flags </w:t>
      </w:r>
      <w:r w:rsidR="00B1300D" w:rsidRPr="000744E3">
        <w:rPr>
          <w:rFonts w:ascii="Aptos" w:hAnsi="Aptos"/>
        </w:rPr>
        <w:t>being applied consistently</w:t>
      </w:r>
      <w:r w:rsidR="00ED2754" w:rsidRPr="000744E3">
        <w:t xml:space="preserve"> </w:t>
      </w:r>
      <w:r w:rsidR="00B1300D" w:rsidRPr="000744E3">
        <w:rPr>
          <w:rFonts w:ascii="Aptos" w:hAnsi="Aptos"/>
        </w:rPr>
        <w:t xml:space="preserve">and accurately </w:t>
      </w:r>
      <w:r w:rsidR="00ED2754" w:rsidRPr="000744E3">
        <w:rPr>
          <w:rFonts w:ascii="Aptos" w:hAnsi="Aptos"/>
        </w:rPr>
        <w:t>(</w:t>
      </w:r>
      <w:r w:rsidR="00ED2754" w:rsidRPr="000744E3">
        <w:t xml:space="preserve">as </w:t>
      </w:r>
      <w:r w:rsidR="00ED2754" w:rsidRPr="000744E3">
        <w:rPr>
          <w:rFonts w:ascii="Aptos" w:hAnsi="Aptos"/>
        </w:rPr>
        <w:t>set out</w:t>
      </w:r>
      <w:r w:rsidR="00ED2754" w:rsidRPr="000744E3">
        <w:t xml:space="preserve"> in our response to Q1) </w:t>
      </w:r>
      <w:r w:rsidR="00B1300D" w:rsidRPr="000744E3">
        <w:rPr>
          <w:rFonts w:ascii="Aptos" w:hAnsi="Aptos"/>
        </w:rPr>
        <w:t>to describe</w:t>
      </w:r>
      <w:r w:rsidRPr="000744E3">
        <w:t>:</w:t>
      </w:r>
      <w:r w:rsidR="00505AF9" w:rsidRPr="000744E3">
        <w:t xml:space="preserve"> </w:t>
      </w:r>
      <w:r w:rsidRPr="000744E3">
        <w:t xml:space="preserve">the </w:t>
      </w:r>
      <w:r w:rsidR="00B1300D" w:rsidRPr="000744E3">
        <w:rPr>
          <w:rFonts w:ascii="Aptos" w:hAnsi="Aptos"/>
        </w:rPr>
        <w:t>typ</w:t>
      </w:r>
      <w:r w:rsidRPr="000744E3">
        <w:t xml:space="preserve">e of transaction (e.g. </w:t>
      </w:r>
      <w:r w:rsidR="00CE2926" w:rsidRPr="000744E3">
        <w:t xml:space="preserve">standard, </w:t>
      </w:r>
      <w:r w:rsidRPr="000744E3">
        <w:t>benchmark, at-the-close, portfolio, contingent)</w:t>
      </w:r>
      <w:r w:rsidR="00505AF9" w:rsidRPr="000744E3">
        <w:t xml:space="preserve">, </w:t>
      </w:r>
      <w:r w:rsidRPr="000744E3">
        <w:t xml:space="preserve">the </w:t>
      </w:r>
      <w:r w:rsidR="00B1300D" w:rsidRPr="000744E3">
        <w:rPr>
          <w:rFonts w:ascii="Aptos" w:hAnsi="Aptos"/>
        </w:rPr>
        <w:t>degree</w:t>
      </w:r>
      <w:r w:rsidRPr="000744E3">
        <w:t xml:space="preserve"> of automation involved (FIX Tag 2405)</w:t>
      </w:r>
      <w:r w:rsidR="00CE2926" w:rsidRPr="000744E3">
        <w:t>,</w:t>
      </w:r>
      <w:r w:rsidRPr="000744E3">
        <w:t xml:space="preserve"> and</w:t>
      </w:r>
      <w:r w:rsidR="00CE2926" w:rsidRPr="000744E3">
        <w:t xml:space="preserve"> </w:t>
      </w:r>
      <w:r w:rsidR="00B1300D" w:rsidRPr="000744E3">
        <w:rPr>
          <w:rFonts w:ascii="Aptos" w:hAnsi="Aptos"/>
        </w:rPr>
        <w:t>when</w:t>
      </w:r>
      <w:r w:rsidRPr="000744E3">
        <w:t xml:space="preserve"> execution </w:t>
      </w:r>
      <w:r w:rsidR="00B1300D" w:rsidRPr="000744E3">
        <w:t xml:space="preserve">takes place </w:t>
      </w:r>
      <w:r w:rsidRPr="000744E3">
        <w:t>(open, intraday, close or out-of-hours),</w:t>
      </w:r>
    </w:p>
    <w:p w14:paraId="2E00501B" w14:textId="734188C4" w:rsidR="00CF060A" w:rsidRPr="000744E3" w:rsidRDefault="00CF060A" w:rsidP="00505AF9">
      <w:r w:rsidRPr="000744E3">
        <w:rPr>
          <w:b/>
          <w:bCs/>
        </w:rPr>
        <w:t xml:space="preserve">Transactions </w:t>
      </w:r>
      <w:r w:rsidR="000E4DAD" w:rsidRPr="000744E3">
        <w:rPr>
          <w:b/>
          <w:bCs/>
        </w:rPr>
        <w:t>s</w:t>
      </w:r>
      <w:r w:rsidRPr="000744E3">
        <w:rPr>
          <w:b/>
          <w:bCs/>
        </w:rPr>
        <w:t xml:space="preserve">ubject to </w:t>
      </w:r>
      <w:r w:rsidR="000E4DAD" w:rsidRPr="000744E3">
        <w:rPr>
          <w:rFonts w:ascii="Aptos" w:hAnsi="Aptos"/>
          <w:b/>
          <w:bCs/>
        </w:rPr>
        <w:t>t</w:t>
      </w:r>
      <w:r w:rsidR="00C527BF" w:rsidRPr="000744E3">
        <w:rPr>
          <w:rFonts w:ascii="Aptos" w:hAnsi="Aptos"/>
          <w:b/>
          <w:bCs/>
        </w:rPr>
        <w:t>erm</w:t>
      </w:r>
      <w:r w:rsidRPr="000744E3">
        <w:rPr>
          <w:b/>
          <w:bCs/>
        </w:rPr>
        <w:t xml:space="preserve">s </w:t>
      </w:r>
      <w:r w:rsidR="000E4DAD" w:rsidRPr="000744E3">
        <w:rPr>
          <w:b/>
          <w:bCs/>
        </w:rPr>
        <w:t>o</w:t>
      </w:r>
      <w:r w:rsidRPr="000744E3">
        <w:rPr>
          <w:b/>
          <w:bCs/>
        </w:rPr>
        <w:t xml:space="preserve">ther </w:t>
      </w:r>
      <w:r w:rsidR="000E4DAD" w:rsidRPr="000744E3">
        <w:rPr>
          <w:b/>
          <w:bCs/>
        </w:rPr>
        <w:t>t</w:t>
      </w:r>
      <w:r w:rsidRPr="000744E3">
        <w:rPr>
          <w:b/>
          <w:bCs/>
        </w:rPr>
        <w:t xml:space="preserve">han the </w:t>
      </w:r>
      <w:r w:rsidR="000E4DAD" w:rsidRPr="000744E3">
        <w:rPr>
          <w:b/>
          <w:bCs/>
        </w:rPr>
        <w:t>c</w:t>
      </w:r>
      <w:r w:rsidRPr="000744E3">
        <w:rPr>
          <w:b/>
          <w:bCs/>
        </w:rPr>
        <w:t xml:space="preserve">urrent </w:t>
      </w:r>
      <w:r w:rsidR="000E4DAD" w:rsidRPr="000744E3">
        <w:rPr>
          <w:b/>
          <w:bCs/>
        </w:rPr>
        <w:t>m</w:t>
      </w:r>
      <w:r w:rsidRPr="000744E3">
        <w:rPr>
          <w:b/>
          <w:bCs/>
        </w:rPr>
        <w:t xml:space="preserve">arket </w:t>
      </w:r>
      <w:r w:rsidR="000E4DAD" w:rsidRPr="000744E3">
        <w:rPr>
          <w:b/>
          <w:bCs/>
        </w:rPr>
        <w:t>p</w:t>
      </w:r>
      <w:r w:rsidRPr="000744E3">
        <w:rPr>
          <w:b/>
          <w:bCs/>
        </w:rPr>
        <w:t>rice</w:t>
      </w:r>
      <w:r w:rsidR="00ED2754" w:rsidRPr="000744E3">
        <w:rPr>
          <w:b/>
          <w:bCs/>
        </w:rPr>
        <w:t xml:space="preserve">: </w:t>
      </w:r>
      <w:r w:rsidR="00ED2754" w:rsidRPr="000744E3">
        <w:t xml:space="preserve">should be considered as price forming but with </w:t>
      </w:r>
      <w:r w:rsidR="000E4DAD" w:rsidRPr="000744E3">
        <w:t>a</w:t>
      </w:r>
      <w:r w:rsidR="00ED2754" w:rsidRPr="000744E3">
        <w:t xml:space="preserve"> potentially lower level of accessibility. </w:t>
      </w:r>
      <w:r w:rsidR="00ED2754" w:rsidRPr="000744E3">
        <w:rPr>
          <w:rFonts w:ascii="Aptos" w:hAnsi="Aptos"/>
        </w:rPr>
        <w:t>Separating</w:t>
      </w:r>
      <w:r w:rsidR="00ED2754" w:rsidRPr="000744E3">
        <w:t xml:space="preserve"> price formation </w:t>
      </w:r>
      <w:r w:rsidR="00ED2754" w:rsidRPr="000744E3">
        <w:rPr>
          <w:rFonts w:ascii="Aptos" w:hAnsi="Aptos"/>
        </w:rPr>
        <w:t>from</w:t>
      </w:r>
      <w:r w:rsidR="00ED2754" w:rsidRPr="000744E3">
        <w:t xml:space="preserve"> accessibility therefore </w:t>
      </w:r>
      <w:r w:rsidR="00ED2754" w:rsidRPr="000744E3">
        <w:rPr>
          <w:rFonts w:ascii="Aptos" w:hAnsi="Aptos"/>
        </w:rPr>
        <w:t>keeps them</w:t>
      </w:r>
      <w:r w:rsidR="00ED2754" w:rsidRPr="000744E3">
        <w:t xml:space="preserve"> visible for transparency purposes while </w:t>
      </w:r>
      <w:r w:rsidR="00ED2754" w:rsidRPr="000744E3">
        <w:rPr>
          <w:rFonts w:ascii="Aptos" w:hAnsi="Aptos"/>
        </w:rPr>
        <w:t>giv</w:t>
      </w:r>
      <w:r w:rsidR="00ED2754" w:rsidRPr="000744E3">
        <w:t xml:space="preserve">ing investors the context </w:t>
      </w:r>
      <w:r w:rsidR="00ED2754" w:rsidRPr="000744E3">
        <w:rPr>
          <w:rFonts w:ascii="Aptos" w:hAnsi="Aptos"/>
        </w:rPr>
        <w:t>they ne</w:t>
      </w:r>
      <w:r w:rsidR="00ED2754" w:rsidRPr="000744E3">
        <w:t xml:space="preserve">ed to </w:t>
      </w:r>
      <w:r w:rsidR="00ED2754" w:rsidRPr="000744E3">
        <w:rPr>
          <w:rFonts w:ascii="Aptos" w:hAnsi="Aptos"/>
        </w:rPr>
        <w:t>gauge</w:t>
      </w:r>
      <w:r w:rsidR="00ED2754" w:rsidRPr="000744E3">
        <w:t xml:space="preserve"> their relevance. T</w:t>
      </w:r>
      <w:r w:rsidRPr="000744E3">
        <w:t xml:space="preserve">his category should </w:t>
      </w:r>
      <w:r w:rsidR="00C527BF" w:rsidRPr="000744E3">
        <w:rPr>
          <w:rFonts w:ascii="Aptos" w:hAnsi="Aptos"/>
        </w:rPr>
        <w:t>captur</w:t>
      </w:r>
      <w:r w:rsidRPr="000744E3">
        <w:t>e transactions flagged as:</w:t>
      </w:r>
      <w:r w:rsidR="00505AF9" w:rsidRPr="000744E3">
        <w:t xml:space="preserve"> </w:t>
      </w:r>
      <w:r w:rsidR="00303A5E" w:rsidRPr="000744E3">
        <w:t>b</w:t>
      </w:r>
      <w:r w:rsidRPr="000744E3">
        <w:t>enchmark</w:t>
      </w:r>
      <w:r w:rsidR="00505AF9" w:rsidRPr="000744E3">
        <w:t xml:space="preserve">, </w:t>
      </w:r>
      <w:r w:rsidR="00303A5E" w:rsidRPr="000744E3">
        <w:t>p</w:t>
      </w:r>
      <w:r w:rsidRPr="000744E3">
        <w:t>ortfolio</w:t>
      </w:r>
      <w:r w:rsidR="00505AF9" w:rsidRPr="000744E3">
        <w:t xml:space="preserve">, </w:t>
      </w:r>
      <w:r w:rsidR="004601EF" w:rsidRPr="000744E3">
        <w:t>c</w:t>
      </w:r>
      <w:r w:rsidRPr="000744E3">
        <w:t>ontingent</w:t>
      </w:r>
      <w:r w:rsidR="00505AF9" w:rsidRPr="000744E3">
        <w:t>,</w:t>
      </w:r>
      <w:r w:rsidRPr="000744E3">
        <w:t xml:space="preserve"> and</w:t>
      </w:r>
      <w:r w:rsidR="00505AF9" w:rsidRPr="000744E3">
        <w:t xml:space="preserve"> </w:t>
      </w:r>
      <w:r w:rsidR="004601EF" w:rsidRPr="000744E3">
        <w:t>a</w:t>
      </w:r>
      <w:r w:rsidRPr="000744E3">
        <w:t>t</w:t>
      </w:r>
      <w:r w:rsidR="00E31524" w:rsidRPr="000744E3">
        <w:rPr>
          <w:rFonts w:ascii="Aptos" w:hAnsi="Aptos"/>
        </w:rPr>
        <w:t>-the-c</w:t>
      </w:r>
      <w:r w:rsidRPr="000744E3">
        <w:t>lose (</w:t>
      </w:r>
      <w:r w:rsidR="00505AF9" w:rsidRPr="000744E3">
        <w:rPr>
          <w:rFonts w:ascii="Aptos" w:hAnsi="Aptos"/>
        </w:rPr>
        <w:t>if</w:t>
      </w:r>
      <w:r w:rsidRPr="000744E3">
        <w:t xml:space="preserve"> such a flag </w:t>
      </w:r>
      <w:r w:rsidR="004601EF" w:rsidRPr="000744E3">
        <w:t xml:space="preserve">were </w:t>
      </w:r>
      <w:r w:rsidRPr="000744E3">
        <w:t>introduced).</w:t>
      </w:r>
    </w:p>
    <w:p w14:paraId="742DA422" w14:textId="75DC91B7" w:rsidR="00A31E90" w:rsidRPr="000744E3" w:rsidRDefault="00A31E90" w:rsidP="00A31E90">
      <w:r w:rsidRPr="000744E3">
        <w:t>We disagree with the view that contingent trades are non-addressable. They typically arise from specific workflow (mainly exchange for physical or EFPs), but they remain part of the overall liquidity picture and carry genuine economic interest. The market consensus is that EFPs may not directly price-forming (in the purest sense of the term) in the equity basket as they usually reference, rather than discover, prices</w:t>
      </w:r>
      <w:r w:rsidR="382926D1" w:rsidRPr="000744E3">
        <w:t>, b</w:t>
      </w:r>
      <w:r w:rsidRPr="000744E3">
        <w:t xml:space="preserve">ut they indirectly support price formation. </w:t>
      </w:r>
    </w:p>
    <w:p w14:paraId="01613C34" w14:textId="77777777" w:rsidR="00A31E90" w:rsidRPr="000744E3" w:rsidRDefault="00A31E90" w:rsidP="009A409E"/>
    <w:p w14:paraId="4CB321EF" w14:textId="77777777" w:rsidR="00785AC1" w:rsidRPr="000744E3" w:rsidRDefault="00785AC1" w:rsidP="00785AC1">
      <w:r w:rsidRPr="000744E3">
        <w:t>&lt;ESMA_QUESTION_MSEM_36&gt;</w:t>
      </w:r>
    </w:p>
    <w:p w14:paraId="0F29B2D5" w14:textId="77777777" w:rsidR="00785AC1" w:rsidRPr="000744E3" w:rsidRDefault="00785AC1" w:rsidP="00785AC1"/>
    <w:p w14:paraId="4DBE4329"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this first part of the table on addressable liquidity and price forming?</w:t>
      </w:r>
    </w:p>
    <w:p w14:paraId="17235510" w14:textId="77777777" w:rsidR="00785AC1" w:rsidRPr="000744E3" w:rsidRDefault="00785AC1" w:rsidP="00785AC1">
      <w:r w:rsidRPr="000744E3">
        <w:t>&lt;ESMA_QUESTION_MSEM_37&gt;</w:t>
      </w:r>
    </w:p>
    <w:p w14:paraId="41830022" w14:textId="46BEA8CB" w:rsidR="00785AC1" w:rsidRPr="000744E3" w:rsidRDefault="00FF5311" w:rsidP="00785AC1">
      <w:r w:rsidRPr="000744E3">
        <w:t>We</w:t>
      </w:r>
      <w:r w:rsidR="007708F0" w:rsidRPr="000744E3">
        <w:t xml:space="preserve"> agree, although we reiterate that such transactions (all flagged NPFT when reported on venue</w:t>
      </w:r>
      <w:r w:rsidR="006C6872" w:rsidRPr="000744E3">
        <w:t xml:space="preserve">) should be exempt from post trade transparency. </w:t>
      </w:r>
    </w:p>
    <w:p w14:paraId="59A8F077" w14:textId="77777777" w:rsidR="00785AC1" w:rsidRPr="000744E3" w:rsidRDefault="00785AC1" w:rsidP="00785AC1">
      <w:r w:rsidRPr="000744E3">
        <w:t>&lt;ESMA_QUESTION_MSEM_37&gt;</w:t>
      </w:r>
    </w:p>
    <w:p w14:paraId="411DF673" w14:textId="77777777" w:rsidR="00785AC1" w:rsidRPr="000744E3" w:rsidRDefault="00785AC1" w:rsidP="00785AC1"/>
    <w:p w14:paraId="35845EDD"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this second part of the table on addressable liquidity and price forming?</w:t>
      </w:r>
    </w:p>
    <w:p w14:paraId="323809E5" w14:textId="77777777" w:rsidR="00785AC1" w:rsidRPr="000744E3" w:rsidRDefault="00785AC1" w:rsidP="00785AC1">
      <w:r w:rsidRPr="000744E3">
        <w:t>&lt;ESMA_QUESTION_MSEM_38&gt;</w:t>
      </w:r>
    </w:p>
    <w:p w14:paraId="22C669C3" w14:textId="020308B7" w:rsidR="00DC2A3B" w:rsidRPr="000744E3" w:rsidRDefault="00BF7748" w:rsidP="00A017A8">
      <w:r w:rsidRPr="000744E3">
        <w:t>We agree</w:t>
      </w:r>
      <w:r w:rsidR="00A017A8" w:rsidRPr="000744E3">
        <w:t xml:space="preserve"> with the classification of RFMD Give-in Give up but </w:t>
      </w:r>
      <w:r w:rsidR="004D3190" w:rsidRPr="000744E3">
        <w:t>b</w:t>
      </w:r>
      <w:r w:rsidR="00DC2A3B" w:rsidRPr="000744E3">
        <w:t>enchmark</w:t>
      </w:r>
      <w:r w:rsidR="00A568D3" w:rsidRPr="000744E3">
        <w:t xml:space="preserve">, </w:t>
      </w:r>
      <w:r w:rsidR="004D3190" w:rsidRPr="000744E3">
        <w:t>p</w:t>
      </w:r>
      <w:r w:rsidR="00A568D3" w:rsidRPr="000744E3">
        <w:t xml:space="preserve">ortfolio and </w:t>
      </w:r>
      <w:r w:rsidR="004D3190" w:rsidRPr="000744E3">
        <w:t>c</w:t>
      </w:r>
      <w:r w:rsidR="00A568D3" w:rsidRPr="000744E3">
        <w:t>ontingent</w:t>
      </w:r>
      <w:r w:rsidR="00DC2A3B" w:rsidRPr="000744E3">
        <w:t xml:space="preserve"> transaction</w:t>
      </w:r>
      <w:r w:rsidR="00A568D3" w:rsidRPr="000744E3">
        <w:t>s</w:t>
      </w:r>
      <w:r w:rsidR="00DC2A3B" w:rsidRPr="000744E3">
        <w:t xml:space="preserve"> should be considered as </w:t>
      </w:r>
      <w:r w:rsidR="00A568D3" w:rsidRPr="000744E3">
        <w:t xml:space="preserve">addressable and </w:t>
      </w:r>
      <w:r w:rsidR="00DC2A3B" w:rsidRPr="000744E3">
        <w:t>price forming (as per our definition</w:t>
      </w:r>
      <w:r w:rsidR="00A568D3" w:rsidRPr="000744E3">
        <w:t>s</w:t>
      </w:r>
      <w:r w:rsidR="00345CC2" w:rsidRPr="000744E3">
        <w:t xml:space="preserve"> for addressable and price forming</w:t>
      </w:r>
      <w:r w:rsidR="00DC2A3B" w:rsidRPr="000744E3">
        <w:t xml:space="preserve"> in answer to Q36)</w:t>
      </w:r>
      <w:r w:rsidR="00A568D3" w:rsidRPr="000744E3">
        <w:t xml:space="preserve">. </w:t>
      </w:r>
      <w:r w:rsidR="004D3190" w:rsidRPr="000744E3">
        <w:t>The l</w:t>
      </w:r>
      <w:r w:rsidR="00A568D3" w:rsidRPr="000744E3">
        <w:t xml:space="preserve">evel of </w:t>
      </w:r>
      <w:r w:rsidR="00345CC2" w:rsidRPr="000744E3">
        <w:t xml:space="preserve">accessibility of these transactions may be limited to a subset of the market but they are informative for the market as a whole. They should be retained in both post trade transparency and transaction reporting. </w:t>
      </w:r>
    </w:p>
    <w:p w14:paraId="7DBE2584" w14:textId="77777777" w:rsidR="00785AC1" w:rsidRPr="000744E3" w:rsidRDefault="00785AC1" w:rsidP="00785AC1">
      <w:r w:rsidRPr="000744E3">
        <w:t>&lt;ESMA_QUESTION_MSEM_38&gt;</w:t>
      </w:r>
    </w:p>
    <w:p w14:paraId="02B23B7B" w14:textId="77777777" w:rsidR="00785AC1" w:rsidRPr="000744E3" w:rsidRDefault="00785AC1" w:rsidP="00785AC1"/>
    <w:p w14:paraId="0AA0A159" w14:textId="77777777" w:rsidR="00785AC1" w:rsidRPr="000744E3" w:rsidRDefault="00785AC1" w:rsidP="00785AC1">
      <w:pPr>
        <w:pStyle w:val="Questionstyle"/>
        <w:numPr>
          <w:ilvl w:val="0"/>
          <w:numId w:val="1"/>
        </w:numPr>
        <w:tabs>
          <w:tab w:val="clear" w:pos="567"/>
        </w:tabs>
        <w:spacing w:before="120" w:after="120"/>
        <w:ind w:left="851" w:hanging="709"/>
      </w:pPr>
      <w:r w:rsidRPr="000744E3">
        <w:t>Would you consider that some benchmark transactions should be classified as non-addressable and non-price forming? If so, provide a clear description of the case and rationale.</w:t>
      </w:r>
    </w:p>
    <w:p w14:paraId="4F5A87A2" w14:textId="77777777" w:rsidR="00785AC1" w:rsidRPr="000744E3" w:rsidRDefault="00785AC1" w:rsidP="00785AC1">
      <w:r w:rsidRPr="000744E3">
        <w:t>&lt;ESMA_QUESTION_MSEM_39&gt;</w:t>
      </w:r>
    </w:p>
    <w:p w14:paraId="5F123A71" w14:textId="145429EA" w:rsidR="00785AC1" w:rsidRPr="000744E3" w:rsidRDefault="006B390F" w:rsidP="00785AC1">
      <w:r w:rsidRPr="000744E3">
        <w:t xml:space="preserve">As per our answer to </w:t>
      </w:r>
      <w:r w:rsidR="00C17A15" w:rsidRPr="000744E3">
        <w:t xml:space="preserve">Q1 and </w:t>
      </w:r>
      <w:r w:rsidRPr="000744E3">
        <w:t>Q36</w:t>
      </w:r>
      <w:r w:rsidR="00C17A15" w:rsidRPr="000744E3">
        <w:t>, we see benchmark transactions as addressable (i.e. accessible) and price forming. However</w:t>
      </w:r>
      <w:r w:rsidR="004D3190" w:rsidRPr="000744E3">
        <w:t>,</w:t>
      </w:r>
      <w:r w:rsidR="00C17A15" w:rsidRPr="000744E3">
        <w:t xml:space="preserve"> the level of accessibility may be linked to its trading mechanism: a</w:t>
      </w:r>
      <w:r w:rsidR="001C2E75" w:rsidRPr="000744E3">
        <w:t xml:space="preserve"> </w:t>
      </w:r>
      <w:r w:rsidR="00C17A15" w:rsidRPr="000744E3">
        <w:t xml:space="preserve">trajectory cross VWAP </w:t>
      </w:r>
      <w:r w:rsidR="001C2E75" w:rsidRPr="000744E3">
        <w:t xml:space="preserve">execution service is </w:t>
      </w:r>
      <w:r w:rsidR="00C17A15" w:rsidRPr="000744E3">
        <w:t xml:space="preserve">more accessible than a </w:t>
      </w:r>
      <w:r w:rsidR="002F121B" w:rsidRPr="000744E3">
        <w:t xml:space="preserve">voice brokered guaranteed VWAP. </w:t>
      </w:r>
    </w:p>
    <w:p w14:paraId="5958E17B" w14:textId="77777777" w:rsidR="00785AC1" w:rsidRPr="000744E3" w:rsidRDefault="00785AC1" w:rsidP="00785AC1">
      <w:r w:rsidRPr="000744E3">
        <w:t>&lt;ESMA_QUESTION_MSEM_39&gt;</w:t>
      </w:r>
    </w:p>
    <w:p w14:paraId="41CF231F" w14:textId="77777777" w:rsidR="00785AC1" w:rsidRPr="000744E3" w:rsidRDefault="00785AC1" w:rsidP="00785AC1"/>
    <w:p w14:paraId="42832445"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this third part of the table on addressable liquidity and price forming?</w:t>
      </w:r>
    </w:p>
    <w:p w14:paraId="3C1333E6" w14:textId="77777777" w:rsidR="00785AC1" w:rsidRPr="000744E3" w:rsidRDefault="00785AC1" w:rsidP="00785AC1">
      <w:r w:rsidRPr="000744E3">
        <w:t>&lt;ESMA_QUESTION_MSEM_40&gt;</w:t>
      </w:r>
    </w:p>
    <w:p w14:paraId="47BAC74F" w14:textId="04A7BC8A" w:rsidR="00785AC1" w:rsidRPr="000744E3" w:rsidRDefault="00B74C64" w:rsidP="00785AC1">
      <w:r w:rsidRPr="000744E3">
        <w:t>We disagree with the difference made between the RP and LIS waiver. In general</w:t>
      </w:r>
      <w:r w:rsidR="004D3190" w:rsidRPr="000744E3">
        <w:t>,</w:t>
      </w:r>
      <w:r w:rsidRPr="000744E3">
        <w:t xml:space="preserve"> we consider that all executions executed under a waiver should be considered as addressable and price forming. Again</w:t>
      </w:r>
      <w:r w:rsidR="004D3190" w:rsidRPr="000744E3">
        <w:t>,</w:t>
      </w:r>
      <w:r w:rsidRPr="000744E3">
        <w:t xml:space="preserve"> the level of addressability (accessibility) is function of the</w:t>
      </w:r>
      <w:r w:rsidR="00861BF9" w:rsidRPr="000744E3">
        <w:t xml:space="preserve"> mechanism used to </w:t>
      </w:r>
      <w:r w:rsidR="00181669" w:rsidRPr="000744E3">
        <w:t>execute the transaction. If it is on</w:t>
      </w:r>
      <w:r w:rsidR="004D3190" w:rsidRPr="000744E3">
        <w:t>-</w:t>
      </w:r>
      <w:r w:rsidR="00181669" w:rsidRPr="000744E3">
        <w:t>venue, the level of accessibility is likely higher than if the trade is negotiated off</w:t>
      </w:r>
      <w:r w:rsidR="4B9FCEFD" w:rsidRPr="000744E3">
        <w:t>-</w:t>
      </w:r>
      <w:r w:rsidR="00181669" w:rsidRPr="000744E3">
        <w:t>book manually and reported o</w:t>
      </w:r>
      <w:r w:rsidR="001C0DDD" w:rsidRPr="000744E3">
        <w:t>n</w:t>
      </w:r>
      <w:r w:rsidR="00FF6F2D" w:rsidRPr="000744E3">
        <w:t>-</w:t>
      </w:r>
      <w:r w:rsidR="00181669" w:rsidRPr="000744E3">
        <w:t xml:space="preserve">venue. </w:t>
      </w:r>
      <w:r w:rsidR="006402A5" w:rsidRPr="000744E3">
        <w:t xml:space="preserve">We also </w:t>
      </w:r>
      <w:r w:rsidR="00FF6F2D" w:rsidRPr="000744E3">
        <w:t xml:space="preserve">recommend </w:t>
      </w:r>
      <w:r w:rsidR="006402A5" w:rsidRPr="000744E3">
        <w:t xml:space="preserve">that ESMA amend the transaction type “post trade large in scale transactions” by </w:t>
      </w:r>
      <w:r w:rsidR="006036C0" w:rsidRPr="000744E3">
        <w:t xml:space="preserve">“post trade large in scale </w:t>
      </w:r>
      <w:r w:rsidR="00352BA0" w:rsidRPr="000744E3">
        <w:t>deferred</w:t>
      </w:r>
      <w:r w:rsidR="006036C0" w:rsidRPr="000744E3">
        <w:t xml:space="preserve"> </w:t>
      </w:r>
      <w:r w:rsidR="00613A6B" w:rsidRPr="000744E3">
        <w:t xml:space="preserve">transactions” as to not create </w:t>
      </w:r>
      <w:r w:rsidR="00352BA0" w:rsidRPr="000744E3">
        <w:t xml:space="preserve">an overlap between the concept of Large In Scale (LIS) and eligibility for a deferral of post trade transparency. </w:t>
      </w:r>
    </w:p>
    <w:p w14:paraId="637D09D9" w14:textId="77777777" w:rsidR="00785AC1" w:rsidRPr="000744E3" w:rsidRDefault="00785AC1" w:rsidP="00785AC1">
      <w:r w:rsidRPr="000744E3">
        <w:t>&lt;ESMA_QUESTION_MSEM_40&gt;</w:t>
      </w:r>
    </w:p>
    <w:p w14:paraId="4EEFB61A" w14:textId="77777777" w:rsidR="00785AC1" w:rsidRPr="000744E3" w:rsidRDefault="00785AC1" w:rsidP="00785AC1"/>
    <w:p w14:paraId="5D29EF57"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that all transactions without a flag should be considered addressable liquidity and price forming?</w:t>
      </w:r>
    </w:p>
    <w:p w14:paraId="2CCFCC06" w14:textId="77777777" w:rsidR="00785AC1" w:rsidRPr="000744E3" w:rsidRDefault="00785AC1" w:rsidP="00785AC1">
      <w:r w:rsidRPr="000744E3">
        <w:t>&lt;ESMA_QUESTION_MSEM_41&gt;</w:t>
      </w:r>
    </w:p>
    <w:p w14:paraId="3AD2DFD7" w14:textId="5F5449B3" w:rsidR="00785AC1" w:rsidRPr="000744E3" w:rsidRDefault="003526C2" w:rsidP="00785AC1">
      <w:r w:rsidRPr="000744E3">
        <w:t xml:space="preserve">We agree, those trades are likely to be very accessible. </w:t>
      </w:r>
      <w:r w:rsidR="000F21A6" w:rsidRPr="000744E3">
        <w:t xml:space="preserve">We also agree that SDIV and ALGO are descriptive flag that </w:t>
      </w:r>
      <w:r w:rsidR="007B2E20" w:rsidRPr="000744E3">
        <w:t xml:space="preserve">qualify the execution but does not change its nature. </w:t>
      </w:r>
    </w:p>
    <w:p w14:paraId="46E216E4" w14:textId="77777777" w:rsidR="00785AC1" w:rsidRPr="000744E3" w:rsidRDefault="00785AC1" w:rsidP="00785AC1">
      <w:r w:rsidRPr="000744E3">
        <w:t>&lt;ESMA_QUESTION_MSEM_41&gt;</w:t>
      </w:r>
    </w:p>
    <w:p w14:paraId="6A951639" w14:textId="77777777" w:rsidR="00785AC1" w:rsidRPr="000744E3" w:rsidRDefault="00785AC1" w:rsidP="00785AC1"/>
    <w:p w14:paraId="74826A09"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this fourth and last part of the table on addressable liquidity and price forming?</w:t>
      </w:r>
    </w:p>
    <w:p w14:paraId="4A2AD999" w14:textId="77777777" w:rsidR="00785AC1" w:rsidRPr="000744E3" w:rsidRDefault="00785AC1" w:rsidP="00785AC1">
      <w:r w:rsidRPr="000744E3">
        <w:t>&lt;ESMA_QUESTION_MSEM_42&gt;</w:t>
      </w:r>
    </w:p>
    <w:p w14:paraId="68EAA602" w14:textId="30CD983D" w:rsidR="00785AC1" w:rsidRPr="000744E3" w:rsidRDefault="003179C9" w:rsidP="00785AC1">
      <w:r w:rsidRPr="000744E3">
        <w:t>W</w:t>
      </w:r>
      <w:r w:rsidR="00414CF2" w:rsidRPr="000744E3">
        <w:t>e agree</w:t>
      </w:r>
      <w:r w:rsidR="00153657" w:rsidRPr="000744E3">
        <w:t>.</w:t>
      </w:r>
    </w:p>
    <w:p w14:paraId="0CEF9C5B" w14:textId="77777777" w:rsidR="00785AC1" w:rsidRPr="000744E3" w:rsidRDefault="00785AC1" w:rsidP="00785AC1">
      <w:r w:rsidRPr="000744E3">
        <w:t>&lt;ESMA_QUESTION_MSEM_42&gt;</w:t>
      </w:r>
    </w:p>
    <w:p w14:paraId="5F4E0BAD" w14:textId="77777777" w:rsidR="00785AC1" w:rsidRPr="000744E3" w:rsidRDefault="00785AC1" w:rsidP="00785AC1"/>
    <w:p w14:paraId="5022C3AA"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with the approach on the combination of flags in the case of addressable liquidity?</w:t>
      </w:r>
    </w:p>
    <w:p w14:paraId="60B92619" w14:textId="77777777" w:rsidR="00785AC1" w:rsidRPr="000744E3" w:rsidRDefault="00785AC1" w:rsidP="00785AC1">
      <w:r w:rsidRPr="000744E3">
        <w:t>&lt;ESMA_QUESTION_MSEM_43&gt;</w:t>
      </w:r>
    </w:p>
    <w:p w14:paraId="39F78904" w14:textId="168CA849" w:rsidR="00785AC1" w:rsidRPr="000744E3" w:rsidRDefault="003179C9" w:rsidP="00785AC1">
      <w:r w:rsidRPr="000744E3">
        <w:t>W</w:t>
      </w:r>
      <w:r w:rsidR="00A6711A" w:rsidRPr="000744E3">
        <w:t xml:space="preserve">e agree that any transaction combining a flag and NPFT should be considered as </w:t>
      </w:r>
      <w:r w:rsidR="00433781" w:rsidRPr="000744E3">
        <w:t>non-price</w:t>
      </w:r>
      <w:r w:rsidR="00A6711A" w:rsidRPr="000744E3">
        <w:t xml:space="preserve"> forming and </w:t>
      </w:r>
      <w:r w:rsidR="00433781" w:rsidRPr="000744E3">
        <w:t>non-addressable</w:t>
      </w:r>
      <w:r w:rsidR="00153657" w:rsidRPr="000744E3">
        <w:t>.</w:t>
      </w:r>
    </w:p>
    <w:p w14:paraId="29248BD6" w14:textId="4351980F" w:rsidR="00A6711A" w:rsidRPr="000744E3" w:rsidRDefault="00A6711A" w:rsidP="00785AC1">
      <w:r w:rsidRPr="000744E3">
        <w:t xml:space="preserve">We disagree on considering contingent transaction as </w:t>
      </w:r>
      <w:r w:rsidR="007570A5" w:rsidRPr="000744E3">
        <w:t>non-addressable</w:t>
      </w:r>
      <w:r w:rsidRPr="000744E3">
        <w:t xml:space="preserve"> and </w:t>
      </w:r>
      <w:r w:rsidR="007570A5" w:rsidRPr="000744E3">
        <w:t>non-price</w:t>
      </w:r>
      <w:r w:rsidRPr="000744E3">
        <w:t xml:space="preserve"> forming. </w:t>
      </w:r>
    </w:p>
    <w:p w14:paraId="68502290" w14:textId="77777777" w:rsidR="00785AC1" w:rsidRPr="000744E3" w:rsidRDefault="00785AC1" w:rsidP="00785AC1">
      <w:r w:rsidRPr="000744E3">
        <w:t>&lt;ESMA_QUESTION_MSEM_43&gt;</w:t>
      </w:r>
    </w:p>
    <w:p w14:paraId="654ACC6C" w14:textId="77777777" w:rsidR="00785AC1" w:rsidRPr="000744E3" w:rsidRDefault="00785AC1" w:rsidP="00785AC1"/>
    <w:p w14:paraId="01912A79"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agree that intragroup transactions executed by SIs should not constitute addressable liquidity and therefore, could be flagged (i.e. a new flag in RTS 1 could be added to disentangle those transactions)? Do you agree that intragroup transactions executed by SIs should be classified as non-price forming?</w:t>
      </w:r>
    </w:p>
    <w:p w14:paraId="39171243" w14:textId="77777777" w:rsidR="00785AC1" w:rsidRPr="000744E3" w:rsidRDefault="00785AC1" w:rsidP="00785AC1">
      <w:r w:rsidRPr="000744E3">
        <w:t>&lt;ESMA_QUESTION_MSEM_44&gt;</w:t>
      </w:r>
    </w:p>
    <w:p w14:paraId="452477EC" w14:textId="718C6FAE" w:rsidR="00785AC1" w:rsidRPr="000744E3" w:rsidRDefault="003179C9" w:rsidP="00785AC1">
      <w:r w:rsidRPr="000744E3">
        <w:t>W</w:t>
      </w:r>
      <w:r w:rsidR="007570A5" w:rsidRPr="000744E3">
        <w:t xml:space="preserve">e agree those trades should not be addressable as long as the intra group transaction </w:t>
      </w:r>
      <w:r w:rsidR="00957841" w:rsidRPr="000744E3">
        <w:t xml:space="preserve">are defined as trades that do not hold any economic interest and are undertaken for the sole purpose of bookkeeping and accounting. </w:t>
      </w:r>
      <w:r w:rsidR="00C66C8C" w:rsidRPr="000744E3">
        <w:t xml:space="preserve">We would prefer those trades to be removed from post trade transparency and a flag added to the transaction reporting requirement, so ESMA and NCA can monitor the level of intragroup transactions. </w:t>
      </w:r>
    </w:p>
    <w:p w14:paraId="23196709" w14:textId="77777777" w:rsidR="00785AC1" w:rsidRPr="000744E3" w:rsidRDefault="00785AC1" w:rsidP="00785AC1">
      <w:r w:rsidRPr="000744E3">
        <w:t>&lt;ESMA_QUESTION_MSEM_44&gt;</w:t>
      </w:r>
    </w:p>
    <w:p w14:paraId="209296FE" w14:textId="77777777" w:rsidR="00785AC1" w:rsidRPr="000744E3" w:rsidRDefault="00785AC1" w:rsidP="00785AC1"/>
    <w:p w14:paraId="32B75621" w14:textId="77777777" w:rsidR="00785AC1" w:rsidRPr="000744E3" w:rsidRDefault="00785AC1" w:rsidP="00785AC1">
      <w:pPr>
        <w:pStyle w:val="Questionstyle"/>
        <w:numPr>
          <w:ilvl w:val="0"/>
          <w:numId w:val="1"/>
        </w:numPr>
        <w:tabs>
          <w:tab w:val="clear" w:pos="567"/>
        </w:tabs>
        <w:spacing w:before="120" w:after="120"/>
        <w:ind w:left="851" w:hanging="709"/>
      </w:pPr>
      <w:r w:rsidRPr="000744E3">
        <w:t>Do you believe that other transactions should be flagged and excluded from the calculation of addressable liquidity (i.e. a new flag in RTS 1 should be added to disentangle those transactions)?</w:t>
      </w:r>
    </w:p>
    <w:p w14:paraId="3E70113F" w14:textId="77777777" w:rsidR="00785AC1" w:rsidRPr="000744E3" w:rsidRDefault="00785AC1" w:rsidP="00785AC1">
      <w:r w:rsidRPr="000744E3">
        <w:t>&lt;ESMA_QUESTION_MSEM_45&gt;</w:t>
      </w:r>
    </w:p>
    <w:p w14:paraId="6C526EE2" w14:textId="6FCC556F" w:rsidR="00785AC1" w:rsidRPr="000744E3" w:rsidRDefault="003179C9" w:rsidP="00785AC1">
      <w:r w:rsidRPr="000744E3">
        <w:t>W</w:t>
      </w:r>
      <w:r w:rsidR="00230A94" w:rsidRPr="000744E3">
        <w:t xml:space="preserve">e should aim to ideally grant an exemption or at the very least identify </w:t>
      </w:r>
      <w:r w:rsidR="00AA2E51" w:rsidRPr="000744E3">
        <w:t xml:space="preserve">post trade reports that are duplicates of </w:t>
      </w:r>
      <w:r w:rsidR="00F21DC7" w:rsidRPr="000744E3">
        <w:t>reports already published in another jurisdiction. FIX has develope</w:t>
      </w:r>
      <w:r w:rsidRPr="000744E3">
        <w:t>d</w:t>
      </w:r>
      <w:r w:rsidR="00F21DC7" w:rsidRPr="000744E3">
        <w:t xml:space="preserve"> a specific MMT flag “XBDT” to cater for those cases. </w:t>
      </w:r>
    </w:p>
    <w:p w14:paraId="2BBCCF6B" w14:textId="2005DE24" w:rsidR="00785AC1" w:rsidRDefault="00785AC1">
      <w:r w:rsidRPr="000744E3">
        <w:t>&lt;ESMA_QUESTION_MSEM_45&gt;</w:t>
      </w:r>
    </w:p>
    <w:sectPr w:rsidR="00785AC1" w:rsidSect="00785AC1">
      <w:headerReference w:type="default" r:id="rId24"/>
      <w:footerReference w:type="default" r:id="rId25"/>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A10E7" w14:textId="77777777" w:rsidR="0046718C" w:rsidRDefault="0046718C" w:rsidP="003241D7">
      <w:pPr>
        <w:spacing w:after="0" w:line="240" w:lineRule="auto"/>
      </w:pPr>
      <w:r>
        <w:separator/>
      </w:r>
    </w:p>
  </w:endnote>
  <w:endnote w:type="continuationSeparator" w:id="0">
    <w:p w14:paraId="5848F15D" w14:textId="77777777" w:rsidR="0046718C" w:rsidRDefault="0046718C" w:rsidP="0032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024557"/>
      <w:docPartObj>
        <w:docPartGallery w:val="Page Numbers (Bottom of Page)"/>
        <w:docPartUnique/>
      </w:docPartObj>
    </w:sdtPr>
    <w:sdtEndPr>
      <w:rPr>
        <w:noProof/>
      </w:rPr>
    </w:sdtEndPr>
    <w:sdtContent>
      <w:p w14:paraId="7AD406FC" w14:textId="77777777" w:rsidR="00785AC1" w:rsidRDefault="00785AC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30199" w14:textId="77777777" w:rsidR="0046718C" w:rsidRDefault="0046718C" w:rsidP="003241D7">
      <w:pPr>
        <w:spacing w:after="0" w:line="240" w:lineRule="auto"/>
      </w:pPr>
      <w:r>
        <w:separator/>
      </w:r>
    </w:p>
  </w:footnote>
  <w:footnote w:type="continuationSeparator" w:id="0">
    <w:p w14:paraId="0D23956D" w14:textId="77777777" w:rsidR="0046718C" w:rsidRDefault="0046718C" w:rsidP="003241D7">
      <w:pPr>
        <w:spacing w:after="0" w:line="240" w:lineRule="auto"/>
      </w:pPr>
      <w:r>
        <w:continuationSeparator/>
      </w:r>
    </w:p>
  </w:footnote>
  <w:footnote w:id="1">
    <w:p w14:paraId="4BC01FA4" w14:textId="6F9E56B9" w:rsidR="006A1DED" w:rsidRDefault="006A1DED">
      <w:pPr>
        <w:pStyle w:val="FootnoteText"/>
      </w:pPr>
      <w:r>
        <w:rPr>
          <w:rStyle w:val="FootnoteReference"/>
        </w:rPr>
        <w:footnoteRef/>
      </w:r>
      <w:r>
        <w:t xml:space="preserve"> The </w:t>
      </w:r>
      <w:r w:rsidR="006A07CD">
        <w:t xml:space="preserve">market share are expressed taking into account all volumes executed on- and off-venue across the UK and the EU, having removed any NPFT trades.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08D4" w14:textId="77777777" w:rsidR="00785AC1" w:rsidRPr="00DB2FD6" w:rsidRDefault="00785AC1">
    <w:pPr>
      <w:pStyle w:val="Header"/>
      <w:rPr>
        <w:bCs/>
        <w:caps/>
        <w:color w:val="4EA72E" w:themeColor="accent6"/>
        <w:sz w:val="22"/>
        <w:highlight w:val="yellow"/>
      </w:rPr>
    </w:pPr>
    <w:r w:rsidRPr="00941BDF">
      <w:rPr>
        <w:rStyle w:val="ESMAConfidentialRestricted"/>
        <w:noProof/>
        <w:highlight w:val="yellow"/>
      </w:rPr>
      <w:drawing>
        <wp:anchor distT="0" distB="0" distL="114300" distR="114300" simplePos="0" relativeHeight="251658240" behindDoc="0" locked="0" layoutInCell="1" allowOverlap="1" wp14:anchorId="41CBD5B9" wp14:editId="43D2F10D">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t>30 April 2026</w:t>
    </w:r>
  </w:p>
  <w:p w14:paraId="70687937" w14:textId="77777777" w:rsidR="00785AC1" w:rsidRPr="000C70F0" w:rsidRDefault="00785AC1">
    <w:pPr>
      <w:jc w:val="right"/>
      <w:rPr>
        <w:sz w:val="16"/>
        <w:szCs w:val="16"/>
      </w:rPr>
    </w:pPr>
    <w:r w:rsidRPr="00224639">
      <w:rPr>
        <w:sz w:val="16"/>
        <w:szCs w:val="16"/>
      </w:rPr>
      <w:t>ESMA74-1119406008-1622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4735" w14:textId="5FAD9D11" w:rsidR="00785AC1" w:rsidRDefault="00785AC1">
    <w:pPr>
      <w:pStyle w:val="Header"/>
    </w:pPr>
  </w:p>
  <w:p w14:paraId="6A967AAB" w14:textId="77777777" w:rsidR="00785AC1" w:rsidRDefault="00785AC1">
    <w:pPr>
      <w:pStyle w:val="Header"/>
    </w:pPr>
  </w:p>
  <w:p w14:paraId="29ECD7BA" w14:textId="77777777" w:rsidR="00785AC1" w:rsidRPr="0043139E" w:rsidRDefault="00785AC1">
    <w:pPr>
      <w:pStyle w:val="Header"/>
    </w:pPr>
  </w:p>
  <w:p w14:paraId="7E1CB9BB" w14:textId="77777777" w:rsidR="00785AC1" w:rsidRPr="0043139E" w:rsidRDefault="00785AC1">
    <w:pPr>
      <w:pStyle w:val="Header"/>
    </w:pPr>
  </w:p>
  <w:p w14:paraId="2F0E3FDC" w14:textId="77777777" w:rsidR="00785AC1" w:rsidRPr="0043139E" w:rsidRDefault="00785AC1">
    <w:pPr>
      <w:pStyle w:val="Header"/>
      <w:rPr>
        <w:rStyle w:val="ESMARegularuse"/>
        <w:bCs w:val="0"/>
        <w:caps w:val="0"/>
        <w:color w:val="000000" w:themeColor="text1" w:themeShade="80"/>
        <w:sz w:val="16"/>
      </w:rPr>
    </w:pPr>
    <w:r w:rsidRPr="0043139E">
      <w:rPr>
        <w:rStyle w:val="ESMARegularuse"/>
        <w:bCs w:val="0"/>
        <w:caps w:val="0"/>
        <w:noProof/>
        <w:color w:val="000000" w:themeColor="text1" w:themeShade="80"/>
        <w:sz w:val="16"/>
      </w:rPr>
      <w:drawing>
        <wp:anchor distT="0" distB="0" distL="114300" distR="114300" simplePos="0" relativeHeight="251658241" behindDoc="0" locked="0" layoutInCell="1" allowOverlap="1" wp14:anchorId="307E3D69" wp14:editId="7606B829">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0B49763" w14:textId="77777777" w:rsidR="00785AC1" w:rsidRPr="0043139E" w:rsidRDefault="00785AC1">
    <w:pPr>
      <w:pStyle w:val="Header"/>
    </w:pPr>
  </w:p>
  <w:p w14:paraId="3B20A135" w14:textId="77777777" w:rsidR="00785AC1" w:rsidRPr="0043139E" w:rsidRDefault="00785AC1">
    <w:pPr>
      <w:pStyle w:val="Header"/>
    </w:pPr>
  </w:p>
  <w:p w14:paraId="6DD54BD6" w14:textId="77777777" w:rsidR="00785AC1" w:rsidRPr="0043139E" w:rsidRDefault="00785AC1">
    <w:pPr>
      <w:pStyle w:val="Header"/>
    </w:pPr>
  </w:p>
  <w:p w14:paraId="2ACB4BED" w14:textId="77777777" w:rsidR="00785AC1" w:rsidRPr="0043139E" w:rsidRDefault="00785AC1">
    <w:pPr>
      <w:pStyle w:val="Header"/>
    </w:pPr>
  </w:p>
  <w:p w14:paraId="542C8E40" w14:textId="77777777" w:rsidR="00785AC1" w:rsidRPr="0043139E" w:rsidRDefault="00785AC1">
    <w:pPr>
      <w:pStyle w:val="Header"/>
    </w:pPr>
  </w:p>
  <w:p w14:paraId="4C5A0E35" w14:textId="77777777" w:rsidR="00785AC1" w:rsidRPr="0043139E" w:rsidRDefault="00785AC1">
    <w:pPr>
      <w:pStyle w:val="Header"/>
    </w:pPr>
  </w:p>
  <w:p w14:paraId="35DFE2BE" w14:textId="77777777" w:rsidR="00785AC1" w:rsidRDefault="00785AC1">
    <w:pPr>
      <w:pStyle w:val="Header"/>
    </w:pPr>
  </w:p>
  <w:p w14:paraId="690A648B" w14:textId="77777777" w:rsidR="00785AC1" w:rsidRPr="0043139E" w:rsidRDefault="00785AC1">
    <w:pPr>
      <w:pStyle w:val="Header"/>
    </w:pPr>
  </w:p>
  <w:p w14:paraId="4EC01A50" w14:textId="77777777" w:rsidR="00785AC1" w:rsidRPr="00AD0B10" w:rsidRDefault="00785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5C1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0D37"/>
    <w:multiLevelType w:val="multilevel"/>
    <w:tmpl w:val="76B8E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7731BC"/>
    <w:multiLevelType w:val="multilevel"/>
    <w:tmpl w:val="5B2A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35537A"/>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3F07BC"/>
    <w:multiLevelType w:val="hybridMultilevel"/>
    <w:tmpl w:val="E006FE7E"/>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A52232B"/>
    <w:multiLevelType w:val="hybridMultilevel"/>
    <w:tmpl w:val="E474F29A"/>
    <w:lvl w:ilvl="0" w:tplc="91A4A3F4">
      <w:start w:val="1"/>
      <w:numFmt w:val="decimal"/>
      <w:lvlText w:val="Q%1"/>
      <w:lvlJc w:val="left"/>
      <w:pPr>
        <w:ind w:left="9291"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C9A1BBD"/>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CFA58CD"/>
    <w:multiLevelType w:val="multilevel"/>
    <w:tmpl w:val="B95456B6"/>
    <w:lvl w:ilvl="0">
      <w:start w:val="1"/>
      <w:numFmt w:val="lowerLetter"/>
      <w:lvlText w:val="%1)"/>
      <w:lvlJc w:val="left"/>
      <w:pPr>
        <w:ind w:left="360" w:hanging="36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6F38C4"/>
    <w:multiLevelType w:val="multilevel"/>
    <w:tmpl w:val="B95456B6"/>
    <w:lvl w:ilvl="0">
      <w:start w:val="1"/>
      <w:numFmt w:val="lowerLetter"/>
      <w:lvlText w:val="%1)"/>
      <w:lvlJc w:val="left"/>
      <w:pPr>
        <w:ind w:left="360" w:hanging="36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9E4C87"/>
    <w:multiLevelType w:val="multilevel"/>
    <w:tmpl w:val="24507C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EB3EA5"/>
    <w:multiLevelType w:val="hybridMultilevel"/>
    <w:tmpl w:val="5042496C"/>
    <w:lvl w:ilvl="0" w:tplc="954C035C">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D1AF5"/>
    <w:multiLevelType w:val="multilevel"/>
    <w:tmpl w:val="D9202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EA45BB"/>
    <w:multiLevelType w:val="hybridMultilevel"/>
    <w:tmpl w:val="B0DA0C3C"/>
    <w:lvl w:ilvl="0" w:tplc="B790A076">
      <w:start w:val="1"/>
      <w:numFmt w:val="bullet"/>
      <w:lvlText w:val="•"/>
      <w:lvlJc w:val="left"/>
      <w:pPr>
        <w:ind w:left="360" w:hanging="240"/>
      </w:pPr>
      <w:rPr>
        <w:rFonts w:ascii="Calibri" w:eastAsia="Calibri" w:hAnsi="Calibri" w:cs="Calibri"/>
      </w:rPr>
    </w:lvl>
    <w:lvl w:ilvl="1" w:tplc="5FFCC4D4">
      <w:start w:val="1"/>
      <w:numFmt w:val="bullet"/>
      <w:lvlText w:val="◦"/>
      <w:lvlJc w:val="left"/>
      <w:pPr>
        <w:ind w:left="720" w:hanging="240"/>
      </w:pPr>
      <w:rPr>
        <w:rFonts w:ascii="Calibri" w:eastAsia="Calibri" w:hAnsi="Calibri" w:cs="Calibri"/>
      </w:rPr>
    </w:lvl>
    <w:lvl w:ilvl="2" w:tplc="9A0889F4">
      <w:start w:val="1"/>
      <w:numFmt w:val="bullet"/>
      <w:lvlText w:val="▪"/>
      <w:lvlJc w:val="left"/>
      <w:pPr>
        <w:ind w:left="1080" w:hanging="240"/>
      </w:pPr>
      <w:rPr>
        <w:rFonts w:ascii="Calibri" w:eastAsia="Calibri" w:hAnsi="Calibri" w:cs="Calibri"/>
      </w:rPr>
    </w:lvl>
    <w:lvl w:ilvl="3" w:tplc="F04C3A7A">
      <w:numFmt w:val="decimal"/>
      <w:lvlText w:val=""/>
      <w:lvlJc w:val="left"/>
      <w:pPr>
        <w:ind w:left="0" w:firstLine="0"/>
      </w:pPr>
    </w:lvl>
    <w:lvl w:ilvl="4" w:tplc="B9E04C2C">
      <w:numFmt w:val="decimal"/>
      <w:lvlText w:val=""/>
      <w:lvlJc w:val="left"/>
      <w:pPr>
        <w:ind w:left="0" w:firstLine="0"/>
      </w:pPr>
    </w:lvl>
    <w:lvl w:ilvl="5" w:tplc="C54A1BF8">
      <w:numFmt w:val="decimal"/>
      <w:lvlText w:val=""/>
      <w:lvlJc w:val="left"/>
      <w:pPr>
        <w:ind w:left="0" w:firstLine="0"/>
      </w:pPr>
    </w:lvl>
    <w:lvl w:ilvl="6" w:tplc="3E780BE2">
      <w:numFmt w:val="decimal"/>
      <w:lvlText w:val=""/>
      <w:lvlJc w:val="left"/>
      <w:pPr>
        <w:ind w:left="0" w:firstLine="0"/>
      </w:pPr>
    </w:lvl>
    <w:lvl w:ilvl="7" w:tplc="31C0DA1E">
      <w:numFmt w:val="decimal"/>
      <w:lvlText w:val=""/>
      <w:lvlJc w:val="left"/>
      <w:pPr>
        <w:ind w:left="0" w:firstLine="0"/>
      </w:pPr>
    </w:lvl>
    <w:lvl w:ilvl="8" w:tplc="4D3C8BE6">
      <w:numFmt w:val="decimal"/>
      <w:lvlText w:val=""/>
      <w:lvlJc w:val="left"/>
      <w:pPr>
        <w:ind w:left="0" w:firstLine="0"/>
      </w:pPr>
    </w:lvl>
  </w:abstractNum>
  <w:abstractNum w:abstractNumId="13" w15:restartNumberingAfterBreak="0">
    <w:nsid w:val="56973557"/>
    <w:multiLevelType w:val="multilevel"/>
    <w:tmpl w:val="B95456B6"/>
    <w:lvl w:ilvl="0">
      <w:start w:val="1"/>
      <w:numFmt w:val="lowerLetter"/>
      <w:lvlText w:val="%1)"/>
      <w:lvlJc w:val="left"/>
      <w:pPr>
        <w:ind w:left="360" w:hanging="36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11323F"/>
    <w:multiLevelType w:val="multilevel"/>
    <w:tmpl w:val="0809001D"/>
    <w:lvl w:ilvl="0">
      <w:start w:val="1"/>
      <w:numFmt w:val="decimal"/>
      <w:lvlText w:val="%1)"/>
      <w:lvlJc w:val="left"/>
      <w:pPr>
        <w:ind w:left="360" w:hanging="36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4780E20"/>
    <w:multiLevelType w:val="hybridMultilevel"/>
    <w:tmpl w:val="3A6C9898"/>
    <w:lvl w:ilvl="0" w:tplc="954C035C">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F3690"/>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2C2537C"/>
    <w:multiLevelType w:val="hybridMultilevel"/>
    <w:tmpl w:val="55AC2496"/>
    <w:lvl w:ilvl="0" w:tplc="954C035C">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EF0D5D"/>
    <w:multiLevelType w:val="multilevel"/>
    <w:tmpl w:val="93885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5366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8A70212"/>
    <w:multiLevelType w:val="multilevel"/>
    <w:tmpl w:val="0809001D"/>
    <w:lvl w:ilvl="0">
      <w:start w:val="1"/>
      <w:numFmt w:val="decimal"/>
      <w:lvlText w:val="%1)"/>
      <w:lvlJc w:val="left"/>
      <w:pPr>
        <w:ind w:left="360" w:hanging="36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97614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9736400">
    <w:abstractNumId w:val="16"/>
  </w:num>
  <w:num w:numId="3" w16cid:durableId="1597127996">
    <w:abstractNumId w:val="4"/>
  </w:num>
  <w:num w:numId="4" w16cid:durableId="1694303677">
    <w:abstractNumId w:val="12"/>
  </w:num>
  <w:num w:numId="5" w16cid:durableId="1091661070">
    <w:abstractNumId w:val="5"/>
  </w:num>
  <w:num w:numId="6" w16cid:durableId="695885371">
    <w:abstractNumId w:val="3"/>
  </w:num>
  <w:num w:numId="7" w16cid:durableId="1836845395">
    <w:abstractNumId w:val="19"/>
  </w:num>
  <w:num w:numId="8" w16cid:durableId="1203589861">
    <w:abstractNumId w:val="20"/>
  </w:num>
  <w:num w:numId="9" w16cid:durableId="1525679269">
    <w:abstractNumId w:val="14"/>
  </w:num>
  <w:num w:numId="10" w16cid:durableId="1970865088">
    <w:abstractNumId w:val="7"/>
  </w:num>
  <w:num w:numId="11" w16cid:durableId="2010449728">
    <w:abstractNumId w:val="10"/>
  </w:num>
  <w:num w:numId="12" w16cid:durableId="1379357214">
    <w:abstractNumId w:val="6"/>
  </w:num>
  <w:num w:numId="13" w16cid:durableId="417365623">
    <w:abstractNumId w:val="15"/>
  </w:num>
  <w:num w:numId="14" w16cid:durableId="1845850946">
    <w:abstractNumId w:val="17"/>
  </w:num>
  <w:num w:numId="15" w16cid:durableId="305939202">
    <w:abstractNumId w:val="13"/>
  </w:num>
  <w:num w:numId="16" w16cid:durableId="2075615787">
    <w:abstractNumId w:val="8"/>
  </w:num>
  <w:num w:numId="17" w16cid:durableId="1726678832">
    <w:abstractNumId w:val="0"/>
  </w:num>
  <w:num w:numId="18" w16cid:durableId="2103141390">
    <w:abstractNumId w:val="1"/>
  </w:num>
  <w:num w:numId="19" w16cid:durableId="1808009907">
    <w:abstractNumId w:val="11"/>
  </w:num>
  <w:num w:numId="20" w16cid:durableId="2055350641">
    <w:abstractNumId w:val="9"/>
  </w:num>
  <w:num w:numId="21" w16cid:durableId="615717087">
    <w:abstractNumId w:val="18"/>
  </w:num>
  <w:num w:numId="22" w16cid:durableId="443231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AC1"/>
    <w:rsid w:val="00001225"/>
    <w:rsid w:val="00001240"/>
    <w:rsid w:val="00001646"/>
    <w:rsid w:val="0000176D"/>
    <w:rsid w:val="00001CDE"/>
    <w:rsid w:val="00001DD5"/>
    <w:rsid w:val="000028C6"/>
    <w:rsid w:val="00002CF4"/>
    <w:rsid w:val="00003C4C"/>
    <w:rsid w:val="00003DF8"/>
    <w:rsid w:val="00004307"/>
    <w:rsid w:val="0000455D"/>
    <w:rsid w:val="00004607"/>
    <w:rsid w:val="0000489E"/>
    <w:rsid w:val="000048D4"/>
    <w:rsid w:val="00004B47"/>
    <w:rsid w:val="00004F27"/>
    <w:rsid w:val="00005160"/>
    <w:rsid w:val="00005B19"/>
    <w:rsid w:val="00005DA5"/>
    <w:rsid w:val="000067FE"/>
    <w:rsid w:val="00006923"/>
    <w:rsid w:val="00006B10"/>
    <w:rsid w:val="00007109"/>
    <w:rsid w:val="000072B2"/>
    <w:rsid w:val="00010888"/>
    <w:rsid w:val="00010997"/>
    <w:rsid w:val="000114F5"/>
    <w:rsid w:val="00011A40"/>
    <w:rsid w:val="00011DD6"/>
    <w:rsid w:val="00012B7B"/>
    <w:rsid w:val="00012C02"/>
    <w:rsid w:val="00012F30"/>
    <w:rsid w:val="00013289"/>
    <w:rsid w:val="000143BB"/>
    <w:rsid w:val="00014825"/>
    <w:rsid w:val="0001539D"/>
    <w:rsid w:val="00015A26"/>
    <w:rsid w:val="0001660E"/>
    <w:rsid w:val="00016680"/>
    <w:rsid w:val="00016B4B"/>
    <w:rsid w:val="00016C68"/>
    <w:rsid w:val="00016EC1"/>
    <w:rsid w:val="00020366"/>
    <w:rsid w:val="000203B5"/>
    <w:rsid w:val="00020D2B"/>
    <w:rsid w:val="000224B8"/>
    <w:rsid w:val="00022506"/>
    <w:rsid w:val="00022EF5"/>
    <w:rsid w:val="00022F1E"/>
    <w:rsid w:val="00022F9E"/>
    <w:rsid w:val="000235D1"/>
    <w:rsid w:val="00023E38"/>
    <w:rsid w:val="00024123"/>
    <w:rsid w:val="000244A4"/>
    <w:rsid w:val="000248B8"/>
    <w:rsid w:val="00024B3B"/>
    <w:rsid w:val="00024C2B"/>
    <w:rsid w:val="00024CB8"/>
    <w:rsid w:val="0002504F"/>
    <w:rsid w:val="00025612"/>
    <w:rsid w:val="000257D5"/>
    <w:rsid w:val="00025D13"/>
    <w:rsid w:val="00026B41"/>
    <w:rsid w:val="00026BDD"/>
    <w:rsid w:val="00026FE3"/>
    <w:rsid w:val="00027C3F"/>
    <w:rsid w:val="00027D95"/>
    <w:rsid w:val="000301E8"/>
    <w:rsid w:val="00030E77"/>
    <w:rsid w:val="00031035"/>
    <w:rsid w:val="0003120E"/>
    <w:rsid w:val="00031727"/>
    <w:rsid w:val="000324FC"/>
    <w:rsid w:val="00032864"/>
    <w:rsid w:val="000335BA"/>
    <w:rsid w:val="000339F2"/>
    <w:rsid w:val="000348ED"/>
    <w:rsid w:val="00035D8D"/>
    <w:rsid w:val="00035DD8"/>
    <w:rsid w:val="000367B9"/>
    <w:rsid w:val="00036CBF"/>
    <w:rsid w:val="00036DE8"/>
    <w:rsid w:val="0003792B"/>
    <w:rsid w:val="00037E6E"/>
    <w:rsid w:val="000400D7"/>
    <w:rsid w:val="000406B3"/>
    <w:rsid w:val="00040759"/>
    <w:rsid w:val="00040A8B"/>
    <w:rsid w:val="00040B12"/>
    <w:rsid w:val="00040E8E"/>
    <w:rsid w:val="00040FBA"/>
    <w:rsid w:val="000423D4"/>
    <w:rsid w:val="0004289B"/>
    <w:rsid w:val="0004366E"/>
    <w:rsid w:val="00043858"/>
    <w:rsid w:val="00043FA6"/>
    <w:rsid w:val="00044356"/>
    <w:rsid w:val="00044455"/>
    <w:rsid w:val="0004453A"/>
    <w:rsid w:val="000445E4"/>
    <w:rsid w:val="00045056"/>
    <w:rsid w:val="00045A3D"/>
    <w:rsid w:val="00045FC1"/>
    <w:rsid w:val="00046841"/>
    <w:rsid w:val="00046C2B"/>
    <w:rsid w:val="00046CCB"/>
    <w:rsid w:val="00046E75"/>
    <w:rsid w:val="000474E4"/>
    <w:rsid w:val="0004778F"/>
    <w:rsid w:val="0005017E"/>
    <w:rsid w:val="00051149"/>
    <w:rsid w:val="0005170E"/>
    <w:rsid w:val="00052993"/>
    <w:rsid w:val="00052B32"/>
    <w:rsid w:val="0005392C"/>
    <w:rsid w:val="00053C7B"/>
    <w:rsid w:val="00054CEE"/>
    <w:rsid w:val="00054D3B"/>
    <w:rsid w:val="00055373"/>
    <w:rsid w:val="0005642F"/>
    <w:rsid w:val="00056727"/>
    <w:rsid w:val="000569DB"/>
    <w:rsid w:val="00056D7A"/>
    <w:rsid w:val="000570E6"/>
    <w:rsid w:val="000575F2"/>
    <w:rsid w:val="00057C1B"/>
    <w:rsid w:val="0006039B"/>
    <w:rsid w:val="00060406"/>
    <w:rsid w:val="000608DD"/>
    <w:rsid w:val="00060F0B"/>
    <w:rsid w:val="00061780"/>
    <w:rsid w:val="000617A2"/>
    <w:rsid w:val="00063115"/>
    <w:rsid w:val="00064310"/>
    <w:rsid w:val="00065219"/>
    <w:rsid w:val="00065492"/>
    <w:rsid w:val="00065B46"/>
    <w:rsid w:val="000672BE"/>
    <w:rsid w:val="00070C0E"/>
    <w:rsid w:val="00070EE3"/>
    <w:rsid w:val="00071041"/>
    <w:rsid w:val="0007157A"/>
    <w:rsid w:val="0007172B"/>
    <w:rsid w:val="0007179C"/>
    <w:rsid w:val="00071901"/>
    <w:rsid w:val="00071FE6"/>
    <w:rsid w:val="00072F2A"/>
    <w:rsid w:val="00073572"/>
    <w:rsid w:val="000744E3"/>
    <w:rsid w:val="000751CE"/>
    <w:rsid w:val="00075448"/>
    <w:rsid w:val="000756F6"/>
    <w:rsid w:val="00075D57"/>
    <w:rsid w:val="000761EE"/>
    <w:rsid w:val="000763FF"/>
    <w:rsid w:val="000766A9"/>
    <w:rsid w:val="00077408"/>
    <w:rsid w:val="00077CE8"/>
    <w:rsid w:val="00077D80"/>
    <w:rsid w:val="00080238"/>
    <w:rsid w:val="000803C9"/>
    <w:rsid w:val="000805D5"/>
    <w:rsid w:val="00080D1B"/>
    <w:rsid w:val="00080E6F"/>
    <w:rsid w:val="0008259A"/>
    <w:rsid w:val="00082710"/>
    <w:rsid w:val="000837CB"/>
    <w:rsid w:val="00083C01"/>
    <w:rsid w:val="00083D6E"/>
    <w:rsid w:val="000841EF"/>
    <w:rsid w:val="00085865"/>
    <w:rsid w:val="000859DE"/>
    <w:rsid w:val="00086143"/>
    <w:rsid w:val="00086681"/>
    <w:rsid w:val="00086B84"/>
    <w:rsid w:val="00087210"/>
    <w:rsid w:val="000876BF"/>
    <w:rsid w:val="00087890"/>
    <w:rsid w:val="000900BA"/>
    <w:rsid w:val="0009065C"/>
    <w:rsid w:val="00090D07"/>
    <w:rsid w:val="00090F49"/>
    <w:rsid w:val="00091379"/>
    <w:rsid w:val="00092207"/>
    <w:rsid w:val="00092221"/>
    <w:rsid w:val="00092C5C"/>
    <w:rsid w:val="00092CE6"/>
    <w:rsid w:val="000931DC"/>
    <w:rsid w:val="000934AA"/>
    <w:rsid w:val="00093567"/>
    <w:rsid w:val="00093B80"/>
    <w:rsid w:val="00095C02"/>
    <w:rsid w:val="00096473"/>
    <w:rsid w:val="000965D3"/>
    <w:rsid w:val="00096930"/>
    <w:rsid w:val="000969DB"/>
    <w:rsid w:val="00097255"/>
    <w:rsid w:val="00097496"/>
    <w:rsid w:val="00097DBB"/>
    <w:rsid w:val="000A056D"/>
    <w:rsid w:val="000A05F0"/>
    <w:rsid w:val="000A0D7C"/>
    <w:rsid w:val="000A0FDD"/>
    <w:rsid w:val="000A11C3"/>
    <w:rsid w:val="000A1576"/>
    <w:rsid w:val="000A1ACB"/>
    <w:rsid w:val="000A1FA3"/>
    <w:rsid w:val="000A2070"/>
    <w:rsid w:val="000A221B"/>
    <w:rsid w:val="000A28B7"/>
    <w:rsid w:val="000A31FB"/>
    <w:rsid w:val="000A486C"/>
    <w:rsid w:val="000A4D30"/>
    <w:rsid w:val="000A4DBE"/>
    <w:rsid w:val="000A4F4B"/>
    <w:rsid w:val="000A5034"/>
    <w:rsid w:val="000A53C4"/>
    <w:rsid w:val="000A5B08"/>
    <w:rsid w:val="000A5E28"/>
    <w:rsid w:val="000A627A"/>
    <w:rsid w:val="000A6479"/>
    <w:rsid w:val="000A659D"/>
    <w:rsid w:val="000A6616"/>
    <w:rsid w:val="000A6A7B"/>
    <w:rsid w:val="000B00BF"/>
    <w:rsid w:val="000B058C"/>
    <w:rsid w:val="000B07A4"/>
    <w:rsid w:val="000B0933"/>
    <w:rsid w:val="000B1B49"/>
    <w:rsid w:val="000B1F94"/>
    <w:rsid w:val="000B24C2"/>
    <w:rsid w:val="000B346F"/>
    <w:rsid w:val="000B3585"/>
    <w:rsid w:val="000B3A0D"/>
    <w:rsid w:val="000B3A29"/>
    <w:rsid w:val="000B3F86"/>
    <w:rsid w:val="000B4030"/>
    <w:rsid w:val="000B4149"/>
    <w:rsid w:val="000B4CB4"/>
    <w:rsid w:val="000B5491"/>
    <w:rsid w:val="000B60BF"/>
    <w:rsid w:val="000B71A8"/>
    <w:rsid w:val="000B7B0C"/>
    <w:rsid w:val="000C0579"/>
    <w:rsid w:val="000C0B81"/>
    <w:rsid w:val="000C0C06"/>
    <w:rsid w:val="000C1402"/>
    <w:rsid w:val="000C16A4"/>
    <w:rsid w:val="000C186D"/>
    <w:rsid w:val="000C1BCC"/>
    <w:rsid w:val="000C1DCE"/>
    <w:rsid w:val="000C1F7E"/>
    <w:rsid w:val="000C2351"/>
    <w:rsid w:val="000C26C3"/>
    <w:rsid w:val="000C2AED"/>
    <w:rsid w:val="000C3079"/>
    <w:rsid w:val="000C4338"/>
    <w:rsid w:val="000C4588"/>
    <w:rsid w:val="000C5499"/>
    <w:rsid w:val="000C5520"/>
    <w:rsid w:val="000C5692"/>
    <w:rsid w:val="000C5938"/>
    <w:rsid w:val="000C7084"/>
    <w:rsid w:val="000C70FE"/>
    <w:rsid w:val="000C727A"/>
    <w:rsid w:val="000C75E8"/>
    <w:rsid w:val="000D00CF"/>
    <w:rsid w:val="000D0505"/>
    <w:rsid w:val="000D0EBA"/>
    <w:rsid w:val="000D1A8D"/>
    <w:rsid w:val="000D2411"/>
    <w:rsid w:val="000D2571"/>
    <w:rsid w:val="000D2944"/>
    <w:rsid w:val="000D3317"/>
    <w:rsid w:val="000D3ADE"/>
    <w:rsid w:val="000D3EF7"/>
    <w:rsid w:val="000D42B6"/>
    <w:rsid w:val="000D4D2F"/>
    <w:rsid w:val="000D4DA7"/>
    <w:rsid w:val="000D4FC5"/>
    <w:rsid w:val="000D56AE"/>
    <w:rsid w:val="000D5938"/>
    <w:rsid w:val="000D5A42"/>
    <w:rsid w:val="000D5A6A"/>
    <w:rsid w:val="000D5FAD"/>
    <w:rsid w:val="000D756F"/>
    <w:rsid w:val="000D77DD"/>
    <w:rsid w:val="000E004F"/>
    <w:rsid w:val="000E0803"/>
    <w:rsid w:val="000E0EA6"/>
    <w:rsid w:val="000E1090"/>
    <w:rsid w:val="000E13A8"/>
    <w:rsid w:val="000E218F"/>
    <w:rsid w:val="000E259C"/>
    <w:rsid w:val="000E3256"/>
    <w:rsid w:val="000E326B"/>
    <w:rsid w:val="000E39D7"/>
    <w:rsid w:val="000E410E"/>
    <w:rsid w:val="000E448B"/>
    <w:rsid w:val="000E48B0"/>
    <w:rsid w:val="000E4DAD"/>
    <w:rsid w:val="000E5FE2"/>
    <w:rsid w:val="000E6354"/>
    <w:rsid w:val="000E64A5"/>
    <w:rsid w:val="000E738A"/>
    <w:rsid w:val="000F0112"/>
    <w:rsid w:val="000F0A44"/>
    <w:rsid w:val="000F1310"/>
    <w:rsid w:val="000F192C"/>
    <w:rsid w:val="000F21A6"/>
    <w:rsid w:val="000F2C2E"/>
    <w:rsid w:val="000F2D96"/>
    <w:rsid w:val="000F2E0A"/>
    <w:rsid w:val="000F373C"/>
    <w:rsid w:val="000F3F62"/>
    <w:rsid w:val="000F43AA"/>
    <w:rsid w:val="000F443B"/>
    <w:rsid w:val="000F4BE8"/>
    <w:rsid w:val="000F51F0"/>
    <w:rsid w:val="000F577C"/>
    <w:rsid w:val="000F5E50"/>
    <w:rsid w:val="000F7EE1"/>
    <w:rsid w:val="000F7EEC"/>
    <w:rsid w:val="000F7F42"/>
    <w:rsid w:val="0010032D"/>
    <w:rsid w:val="001009E6"/>
    <w:rsid w:val="001022EA"/>
    <w:rsid w:val="00102693"/>
    <w:rsid w:val="00102CBD"/>
    <w:rsid w:val="00103073"/>
    <w:rsid w:val="001033CE"/>
    <w:rsid w:val="0010361F"/>
    <w:rsid w:val="00103BCC"/>
    <w:rsid w:val="00103D47"/>
    <w:rsid w:val="00103E2C"/>
    <w:rsid w:val="0010479A"/>
    <w:rsid w:val="001047BB"/>
    <w:rsid w:val="001047C0"/>
    <w:rsid w:val="00104863"/>
    <w:rsid w:val="0010492F"/>
    <w:rsid w:val="00104CB6"/>
    <w:rsid w:val="0010531D"/>
    <w:rsid w:val="001053FD"/>
    <w:rsid w:val="0010562E"/>
    <w:rsid w:val="001059FD"/>
    <w:rsid w:val="00105CC9"/>
    <w:rsid w:val="00105D51"/>
    <w:rsid w:val="00105ED2"/>
    <w:rsid w:val="00106668"/>
    <w:rsid w:val="00106682"/>
    <w:rsid w:val="00106F02"/>
    <w:rsid w:val="00107766"/>
    <w:rsid w:val="001079BE"/>
    <w:rsid w:val="001101A2"/>
    <w:rsid w:val="001102DD"/>
    <w:rsid w:val="00110D06"/>
    <w:rsid w:val="00110D6E"/>
    <w:rsid w:val="00112219"/>
    <w:rsid w:val="00112FAB"/>
    <w:rsid w:val="001130BC"/>
    <w:rsid w:val="00114057"/>
    <w:rsid w:val="001148B2"/>
    <w:rsid w:val="00115CD2"/>
    <w:rsid w:val="00115E30"/>
    <w:rsid w:val="00116AAE"/>
    <w:rsid w:val="001175F2"/>
    <w:rsid w:val="00117762"/>
    <w:rsid w:val="001178C1"/>
    <w:rsid w:val="00117C2C"/>
    <w:rsid w:val="00120014"/>
    <w:rsid w:val="0012036D"/>
    <w:rsid w:val="0012039D"/>
    <w:rsid w:val="00120B3B"/>
    <w:rsid w:val="00120BB3"/>
    <w:rsid w:val="00120D3A"/>
    <w:rsid w:val="00120FBB"/>
    <w:rsid w:val="00121E66"/>
    <w:rsid w:val="0012260B"/>
    <w:rsid w:val="0012283A"/>
    <w:rsid w:val="001229A9"/>
    <w:rsid w:val="00122BEB"/>
    <w:rsid w:val="00122E2A"/>
    <w:rsid w:val="001237B4"/>
    <w:rsid w:val="00123A2A"/>
    <w:rsid w:val="00123AD9"/>
    <w:rsid w:val="00123BA3"/>
    <w:rsid w:val="00123DA6"/>
    <w:rsid w:val="00123FBB"/>
    <w:rsid w:val="00126565"/>
    <w:rsid w:val="00126623"/>
    <w:rsid w:val="001268D6"/>
    <w:rsid w:val="00127E01"/>
    <w:rsid w:val="00127E3D"/>
    <w:rsid w:val="001306AD"/>
    <w:rsid w:val="00130F87"/>
    <w:rsid w:val="001318CF"/>
    <w:rsid w:val="0013223E"/>
    <w:rsid w:val="00133A7A"/>
    <w:rsid w:val="00133AE4"/>
    <w:rsid w:val="00133BD4"/>
    <w:rsid w:val="001344E5"/>
    <w:rsid w:val="00135009"/>
    <w:rsid w:val="00135D00"/>
    <w:rsid w:val="001360FD"/>
    <w:rsid w:val="0013631D"/>
    <w:rsid w:val="001366F3"/>
    <w:rsid w:val="00136C58"/>
    <w:rsid w:val="00136D2F"/>
    <w:rsid w:val="001372A4"/>
    <w:rsid w:val="00137942"/>
    <w:rsid w:val="00137DAB"/>
    <w:rsid w:val="00140303"/>
    <w:rsid w:val="00140543"/>
    <w:rsid w:val="0014085E"/>
    <w:rsid w:val="001408AA"/>
    <w:rsid w:val="00140963"/>
    <w:rsid w:val="00142218"/>
    <w:rsid w:val="001433AB"/>
    <w:rsid w:val="00143683"/>
    <w:rsid w:val="0014377E"/>
    <w:rsid w:val="00143BB2"/>
    <w:rsid w:val="00143F6D"/>
    <w:rsid w:val="001441E3"/>
    <w:rsid w:val="00144C39"/>
    <w:rsid w:val="00145110"/>
    <w:rsid w:val="001453DB"/>
    <w:rsid w:val="00145412"/>
    <w:rsid w:val="0014584F"/>
    <w:rsid w:val="00145906"/>
    <w:rsid w:val="00145ABD"/>
    <w:rsid w:val="00146319"/>
    <w:rsid w:val="001463AE"/>
    <w:rsid w:val="00146A8F"/>
    <w:rsid w:val="00147773"/>
    <w:rsid w:val="00147A71"/>
    <w:rsid w:val="00147EA6"/>
    <w:rsid w:val="00147EFA"/>
    <w:rsid w:val="001501B5"/>
    <w:rsid w:val="00150DAB"/>
    <w:rsid w:val="00151044"/>
    <w:rsid w:val="00151704"/>
    <w:rsid w:val="00151B00"/>
    <w:rsid w:val="00151E4C"/>
    <w:rsid w:val="00152704"/>
    <w:rsid w:val="00152C5D"/>
    <w:rsid w:val="00152D48"/>
    <w:rsid w:val="00153657"/>
    <w:rsid w:val="001550BB"/>
    <w:rsid w:val="001552BA"/>
    <w:rsid w:val="001552C6"/>
    <w:rsid w:val="00155488"/>
    <w:rsid w:val="00155FE2"/>
    <w:rsid w:val="00156B71"/>
    <w:rsid w:val="001579F7"/>
    <w:rsid w:val="00157CEE"/>
    <w:rsid w:val="00160EA4"/>
    <w:rsid w:val="0016210D"/>
    <w:rsid w:val="001623D3"/>
    <w:rsid w:val="00162B31"/>
    <w:rsid w:val="001631C4"/>
    <w:rsid w:val="0016346C"/>
    <w:rsid w:val="00163851"/>
    <w:rsid w:val="00163975"/>
    <w:rsid w:val="00164A79"/>
    <w:rsid w:val="00164D24"/>
    <w:rsid w:val="0016505C"/>
    <w:rsid w:val="00165321"/>
    <w:rsid w:val="0016582C"/>
    <w:rsid w:val="00165A0D"/>
    <w:rsid w:val="00165B57"/>
    <w:rsid w:val="001669FC"/>
    <w:rsid w:val="00166B2D"/>
    <w:rsid w:val="00166E68"/>
    <w:rsid w:val="00171003"/>
    <w:rsid w:val="00171D8F"/>
    <w:rsid w:val="0017241E"/>
    <w:rsid w:val="0017250E"/>
    <w:rsid w:val="001726C7"/>
    <w:rsid w:val="00172872"/>
    <w:rsid w:val="00172F1A"/>
    <w:rsid w:val="00173195"/>
    <w:rsid w:val="00173347"/>
    <w:rsid w:val="00173561"/>
    <w:rsid w:val="00174038"/>
    <w:rsid w:val="0017445E"/>
    <w:rsid w:val="001748F0"/>
    <w:rsid w:val="00174C5E"/>
    <w:rsid w:val="00174CC3"/>
    <w:rsid w:val="00174CED"/>
    <w:rsid w:val="001752FC"/>
    <w:rsid w:val="0017547F"/>
    <w:rsid w:val="001757D5"/>
    <w:rsid w:val="001757F7"/>
    <w:rsid w:val="0017593D"/>
    <w:rsid w:val="00176084"/>
    <w:rsid w:val="0017623E"/>
    <w:rsid w:val="00176A42"/>
    <w:rsid w:val="00177208"/>
    <w:rsid w:val="00177A07"/>
    <w:rsid w:val="00177D19"/>
    <w:rsid w:val="001802A2"/>
    <w:rsid w:val="00180CA3"/>
    <w:rsid w:val="00181046"/>
    <w:rsid w:val="00181669"/>
    <w:rsid w:val="001816DC"/>
    <w:rsid w:val="00181ACC"/>
    <w:rsid w:val="00181EF3"/>
    <w:rsid w:val="00181F25"/>
    <w:rsid w:val="00182980"/>
    <w:rsid w:val="0018300C"/>
    <w:rsid w:val="00183326"/>
    <w:rsid w:val="00183433"/>
    <w:rsid w:val="00184130"/>
    <w:rsid w:val="00184389"/>
    <w:rsid w:val="001843BD"/>
    <w:rsid w:val="00184D26"/>
    <w:rsid w:val="00184DAE"/>
    <w:rsid w:val="00185313"/>
    <w:rsid w:val="001862A2"/>
    <w:rsid w:val="001865EE"/>
    <w:rsid w:val="001911F8"/>
    <w:rsid w:val="001922B5"/>
    <w:rsid w:val="001926D2"/>
    <w:rsid w:val="00192765"/>
    <w:rsid w:val="001928B4"/>
    <w:rsid w:val="00193106"/>
    <w:rsid w:val="0019380D"/>
    <w:rsid w:val="00193D76"/>
    <w:rsid w:val="0019421A"/>
    <w:rsid w:val="001942C6"/>
    <w:rsid w:val="00194387"/>
    <w:rsid w:val="00194646"/>
    <w:rsid w:val="00195048"/>
    <w:rsid w:val="001956E3"/>
    <w:rsid w:val="001957CD"/>
    <w:rsid w:val="00195B60"/>
    <w:rsid w:val="00195BAB"/>
    <w:rsid w:val="00196268"/>
    <w:rsid w:val="00196AA2"/>
    <w:rsid w:val="0019714D"/>
    <w:rsid w:val="00197551"/>
    <w:rsid w:val="00197E3E"/>
    <w:rsid w:val="001A039A"/>
    <w:rsid w:val="001A0D67"/>
    <w:rsid w:val="001A1148"/>
    <w:rsid w:val="001A12BD"/>
    <w:rsid w:val="001A23DB"/>
    <w:rsid w:val="001A2456"/>
    <w:rsid w:val="001A2B00"/>
    <w:rsid w:val="001A2ECE"/>
    <w:rsid w:val="001A327A"/>
    <w:rsid w:val="001A3302"/>
    <w:rsid w:val="001A460F"/>
    <w:rsid w:val="001A55EF"/>
    <w:rsid w:val="001A574A"/>
    <w:rsid w:val="001A5A72"/>
    <w:rsid w:val="001A649B"/>
    <w:rsid w:val="001A67DE"/>
    <w:rsid w:val="001A6F5A"/>
    <w:rsid w:val="001A7634"/>
    <w:rsid w:val="001A79B9"/>
    <w:rsid w:val="001B077C"/>
    <w:rsid w:val="001B2A76"/>
    <w:rsid w:val="001B302C"/>
    <w:rsid w:val="001B391E"/>
    <w:rsid w:val="001B3FBF"/>
    <w:rsid w:val="001B4B32"/>
    <w:rsid w:val="001B534F"/>
    <w:rsid w:val="001B600B"/>
    <w:rsid w:val="001B619B"/>
    <w:rsid w:val="001B635A"/>
    <w:rsid w:val="001B6417"/>
    <w:rsid w:val="001B6E9D"/>
    <w:rsid w:val="001B7E73"/>
    <w:rsid w:val="001C0DDD"/>
    <w:rsid w:val="001C10D9"/>
    <w:rsid w:val="001C1DB5"/>
    <w:rsid w:val="001C22D3"/>
    <w:rsid w:val="001C2E75"/>
    <w:rsid w:val="001C34BE"/>
    <w:rsid w:val="001C3D09"/>
    <w:rsid w:val="001C3F41"/>
    <w:rsid w:val="001C421E"/>
    <w:rsid w:val="001C4E5C"/>
    <w:rsid w:val="001C505E"/>
    <w:rsid w:val="001C5931"/>
    <w:rsid w:val="001C5F5B"/>
    <w:rsid w:val="001C62AF"/>
    <w:rsid w:val="001C687F"/>
    <w:rsid w:val="001C6C22"/>
    <w:rsid w:val="001C7ABC"/>
    <w:rsid w:val="001C7CF8"/>
    <w:rsid w:val="001C7D89"/>
    <w:rsid w:val="001C7ED8"/>
    <w:rsid w:val="001D0131"/>
    <w:rsid w:val="001D016C"/>
    <w:rsid w:val="001D0376"/>
    <w:rsid w:val="001D12BA"/>
    <w:rsid w:val="001D15E2"/>
    <w:rsid w:val="001D2111"/>
    <w:rsid w:val="001D2ABE"/>
    <w:rsid w:val="001D2AC2"/>
    <w:rsid w:val="001D2BD0"/>
    <w:rsid w:val="001D2BF2"/>
    <w:rsid w:val="001D2CF4"/>
    <w:rsid w:val="001D3231"/>
    <w:rsid w:val="001D323F"/>
    <w:rsid w:val="001D4480"/>
    <w:rsid w:val="001D4632"/>
    <w:rsid w:val="001D6B29"/>
    <w:rsid w:val="001D72AA"/>
    <w:rsid w:val="001D77C2"/>
    <w:rsid w:val="001D795F"/>
    <w:rsid w:val="001D7A0A"/>
    <w:rsid w:val="001E03EB"/>
    <w:rsid w:val="001E04FF"/>
    <w:rsid w:val="001E050E"/>
    <w:rsid w:val="001E0A27"/>
    <w:rsid w:val="001E14FD"/>
    <w:rsid w:val="001E184B"/>
    <w:rsid w:val="001E2099"/>
    <w:rsid w:val="001E25DD"/>
    <w:rsid w:val="001E33AA"/>
    <w:rsid w:val="001E4213"/>
    <w:rsid w:val="001E48BC"/>
    <w:rsid w:val="001E4C74"/>
    <w:rsid w:val="001E5651"/>
    <w:rsid w:val="001E5AAA"/>
    <w:rsid w:val="001E5CA1"/>
    <w:rsid w:val="001E63ED"/>
    <w:rsid w:val="001E6894"/>
    <w:rsid w:val="001E6BC3"/>
    <w:rsid w:val="001E7664"/>
    <w:rsid w:val="001E7AE5"/>
    <w:rsid w:val="001F02CE"/>
    <w:rsid w:val="001F147D"/>
    <w:rsid w:val="001F15B4"/>
    <w:rsid w:val="001F2E4E"/>
    <w:rsid w:val="001F35A1"/>
    <w:rsid w:val="001F4089"/>
    <w:rsid w:val="001F4410"/>
    <w:rsid w:val="001F4448"/>
    <w:rsid w:val="001F45D4"/>
    <w:rsid w:val="001F4920"/>
    <w:rsid w:val="001F4AC3"/>
    <w:rsid w:val="001F5254"/>
    <w:rsid w:val="001F5284"/>
    <w:rsid w:val="001F563B"/>
    <w:rsid w:val="001F57E4"/>
    <w:rsid w:val="001F582E"/>
    <w:rsid w:val="001F68FF"/>
    <w:rsid w:val="001F7261"/>
    <w:rsid w:val="001F7CB8"/>
    <w:rsid w:val="001F7F55"/>
    <w:rsid w:val="00200156"/>
    <w:rsid w:val="00200753"/>
    <w:rsid w:val="00200E31"/>
    <w:rsid w:val="00201614"/>
    <w:rsid w:val="00201776"/>
    <w:rsid w:val="002020CA"/>
    <w:rsid w:val="00202941"/>
    <w:rsid w:val="0020295B"/>
    <w:rsid w:val="00202BAC"/>
    <w:rsid w:val="00203013"/>
    <w:rsid w:val="0020304D"/>
    <w:rsid w:val="002033E7"/>
    <w:rsid w:val="002047C5"/>
    <w:rsid w:val="00206116"/>
    <w:rsid w:val="0020623D"/>
    <w:rsid w:val="002063F4"/>
    <w:rsid w:val="002068A5"/>
    <w:rsid w:val="00206A39"/>
    <w:rsid w:val="00207FE6"/>
    <w:rsid w:val="00210672"/>
    <w:rsid w:val="002106F8"/>
    <w:rsid w:val="00210E97"/>
    <w:rsid w:val="00210F8B"/>
    <w:rsid w:val="00211C09"/>
    <w:rsid w:val="002125AF"/>
    <w:rsid w:val="002132B4"/>
    <w:rsid w:val="00213400"/>
    <w:rsid w:val="0021362D"/>
    <w:rsid w:val="002141C3"/>
    <w:rsid w:val="002141F9"/>
    <w:rsid w:val="0021494E"/>
    <w:rsid w:val="00214AFE"/>
    <w:rsid w:val="00214DAF"/>
    <w:rsid w:val="00214DDD"/>
    <w:rsid w:val="0021568F"/>
    <w:rsid w:val="0021598A"/>
    <w:rsid w:val="00216844"/>
    <w:rsid w:val="00216E4A"/>
    <w:rsid w:val="0021732A"/>
    <w:rsid w:val="002174EC"/>
    <w:rsid w:val="00217C4E"/>
    <w:rsid w:val="002207D9"/>
    <w:rsid w:val="00220952"/>
    <w:rsid w:val="00220B3A"/>
    <w:rsid w:val="00220F23"/>
    <w:rsid w:val="0022114C"/>
    <w:rsid w:val="002212EF"/>
    <w:rsid w:val="002214A2"/>
    <w:rsid w:val="00221BFD"/>
    <w:rsid w:val="00221FEE"/>
    <w:rsid w:val="0022454D"/>
    <w:rsid w:val="0022525F"/>
    <w:rsid w:val="00226064"/>
    <w:rsid w:val="0022612D"/>
    <w:rsid w:val="00226176"/>
    <w:rsid w:val="00226AB1"/>
    <w:rsid w:val="00226ECB"/>
    <w:rsid w:val="0022708D"/>
    <w:rsid w:val="002271DC"/>
    <w:rsid w:val="00227421"/>
    <w:rsid w:val="00227AF5"/>
    <w:rsid w:val="0023080A"/>
    <w:rsid w:val="00230A94"/>
    <w:rsid w:val="00230DAC"/>
    <w:rsid w:val="002318A6"/>
    <w:rsid w:val="002318B4"/>
    <w:rsid w:val="00231F4B"/>
    <w:rsid w:val="00231FE0"/>
    <w:rsid w:val="002324DE"/>
    <w:rsid w:val="0023286E"/>
    <w:rsid w:val="00232895"/>
    <w:rsid w:val="00232DD5"/>
    <w:rsid w:val="00233A55"/>
    <w:rsid w:val="00234801"/>
    <w:rsid w:val="002352E5"/>
    <w:rsid w:val="00235399"/>
    <w:rsid w:val="00235760"/>
    <w:rsid w:val="00235A9E"/>
    <w:rsid w:val="00235B89"/>
    <w:rsid w:val="00235CDF"/>
    <w:rsid w:val="00235FA7"/>
    <w:rsid w:val="00236E6C"/>
    <w:rsid w:val="00236F70"/>
    <w:rsid w:val="00236FA1"/>
    <w:rsid w:val="002407DC"/>
    <w:rsid w:val="00241A97"/>
    <w:rsid w:val="00241EEC"/>
    <w:rsid w:val="00242D37"/>
    <w:rsid w:val="00244290"/>
    <w:rsid w:val="00244CF2"/>
    <w:rsid w:val="0024550E"/>
    <w:rsid w:val="00246833"/>
    <w:rsid w:val="00246C61"/>
    <w:rsid w:val="002477AA"/>
    <w:rsid w:val="002508DB"/>
    <w:rsid w:val="0025115A"/>
    <w:rsid w:val="00251333"/>
    <w:rsid w:val="00251624"/>
    <w:rsid w:val="002520EC"/>
    <w:rsid w:val="00252551"/>
    <w:rsid w:val="00253281"/>
    <w:rsid w:val="002533C9"/>
    <w:rsid w:val="0025493D"/>
    <w:rsid w:val="002560E8"/>
    <w:rsid w:val="002563E3"/>
    <w:rsid w:val="002564A2"/>
    <w:rsid w:val="0025672F"/>
    <w:rsid w:val="002568B4"/>
    <w:rsid w:val="002575D5"/>
    <w:rsid w:val="00260489"/>
    <w:rsid w:val="00260E4E"/>
    <w:rsid w:val="00260F29"/>
    <w:rsid w:val="00262D95"/>
    <w:rsid w:val="00262F27"/>
    <w:rsid w:val="00263909"/>
    <w:rsid w:val="00264FCB"/>
    <w:rsid w:val="002656DA"/>
    <w:rsid w:val="00265B19"/>
    <w:rsid w:val="00266CE9"/>
    <w:rsid w:val="00266F57"/>
    <w:rsid w:val="00266F97"/>
    <w:rsid w:val="00267164"/>
    <w:rsid w:val="002674EF"/>
    <w:rsid w:val="0026753C"/>
    <w:rsid w:val="00267E7A"/>
    <w:rsid w:val="00270205"/>
    <w:rsid w:val="002702AC"/>
    <w:rsid w:val="00270958"/>
    <w:rsid w:val="002712B7"/>
    <w:rsid w:val="00271710"/>
    <w:rsid w:val="00271A7B"/>
    <w:rsid w:val="00272095"/>
    <w:rsid w:val="002727D0"/>
    <w:rsid w:val="00272C35"/>
    <w:rsid w:val="002735BC"/>
    <w:rsid w:val="00273A57"/>
    <w:rsid w:val="00273DA9"/>
    <w:rsid w:val="00273E2D"/>
    <w:rsid w:val="00275A58"/>
    <w:rsid w:val="00275B30"/>
    <w:rsid w:val="00275B6F"/>
    <w:rsid w:val="00275C7E"/>
    <w:rsid w:val="0027638B"/>
    <w:rsid w:val="002764C8"/>
    <w:rsid w:val="00276EC2"/>
    <w:rsid w:val="002779F1"/>
    <w:rsid w:val="002804CF"/>
    <w:rsid w:val="00280843"/>
    <w:rsid w:val="00280AFC"/>
    <w:rsid w:val="00281334"/>
    <w:rsid w:val="00281714"/>
    <w:rsid w:val="00281F90"/>
    <w:rsid w:val="00282076"/>
    <w:rsid w:val="00282346"/>
    <w:rsid w:val="00282488"/>
    <w:rsid w:val="002827BE"/>
    <w:rsid w:val="00282F63"/>
    <w:rsid w:val="0028307C"/>
    <w:rsid w:val="00283972"/>
    <w:rsid w:val="00283B32"/>
    <w:rsid w:val="00283CD0"/>
    <w:rsid w:val="00283E7B"/>
    <w:rsid w:val="0028439E"/>
    <w:rsid w:val="002845EE"/>
    <w:rsid w:val="00284758"/>
    <w:rsid w:val="00285C5D"/>
    <w:rsid w:val="00285D9D"/>
    <w:rsid w:val="002860D0"/>
    <w:rsid w:val="0028697F"/>
    <w:rsid w:val="00286D73"/>
    <w:rsid w:val="00286F06"/>
    <w:rsid w:val="00287120"/>
    <w:rsid w:val="00287B6B"/>
    <w:rsid w:val="00287D55"/>
    <w:rsid w:val="0029037B"/>
    <w:rsid w:val="002916DA"/>
    <w:rsid w:val="00291944"/>
    <w:rsid w:val="002919DA"/>
    <w:rsid w:val="00291B48"/>
    <w:rsid w:val="00291BC0"/>
    <w:rsid w:val="00291E80"/>
    <w:rsid w:val="002928DF"/>
    <w:rsid w:val="00292907"/>
    <w:rsid w:val="00292C96"/>
    <w:rsid w:val="0029395D"/>
    <w:rsid w:val="00293F73"/>
    <w:rsid w:val="0029452C"/>
    <w:rsid w:val="00294782"/>
    <w:rsid w:val="00294E82"/>
    <w:rsid w:val="00295283"/>
    <w:rsid w:val="002964C9"/>
    <w:rsid w:val="00296846"/>
    <w:rsid w:val="00296F77"/>
    <w:rsid w:val="00297191"/>
    <w:rsid w:val="00297654"/>
    <w:rsid w:val="002A0489"/>
    <w:rsid w:val="002A072A"/>
    <w:rsid w:val="002A12C4"/>
    <w:rsid w:val="002A158D"/>
    <w:rsid w:val="002A1973"/>
    <w:rsid w:val="002A2AC4"/>
    <w:rsid w:val="002A2C02"/>
    <w:rsid w:val="002A2D42"/>
    <w:rsid w:val="002A3718"/>
    <w:rsid w:val="002A421A"/>
    <w:rsid w:val="002A501E"/>
    <w:rsid w:val="002A54B2"/>
    <w:rsid w:val="002A55B2"/>
    <w:rsid w:val="002A5C76"/>
    <w:rsid w:val="002A67B9"/>
    <w:rsid w:val="002A6AA1"/>
    <w:rsid w:val="002A71E8"/>
    <w:rsid w:val="002A724B"/>
    <w:rsid w:val="002B0221"/>
    <w:rsid w:val="002B077A"/>
    <w:rsid w:val="002B0C6E"/>
    <w:rsid w:val="002B11B4"/>
    <w:rsid w:val="002B1255"/>
    <w:rsid w:val="002B12EA"/>
    <w:rsid w:val="002B1719"/>
    <w:rsid w:val="002B1A97"/>
    <w:rsid w:val="002B1B93"/>
    <w:rsid w:val="002B25CB"/>
    <w:rsid w:val="002B328B"/>
    <w:rsid w:val="002B345A"/>
    <w:rsid w:val="002B34EB"/>
    <w:rsid w:val="002B396F"/>
    <w:rsid w:val="002B3CD7"/>
    <w:rsid w:val="002B3F64"/>
    <w:rsid w:val="002B41E5"/>
    <w:rsid w:val="002B5276"/>
    <w:rsid w:val="002B5911"/>
    <w:rsid w:val="002B62CE"/>
    <w:rsid w:val="002B667E"/>
    <w:rsid w:val="002B6E19"/>
    <w:rsid w:val="002B74D3"/>
    <w:rsid w:val="002B7A75"/>
    <w:rsid w:val="002B7B0A"/>
    <w:rsid w:val="002B7F26"/>
    <w:rsid w:val="002C0062"/>
    <w:rsid w:val="002C02E6"/>
    <w:rsid w:val="002C030D"/>
    <w:rsid w:val="002C03A6"/>
    <w:rsid w:val="002C074B"/>
    <w:rsid w:val="002C0CBE"/>
    <w:rsid w:val="002C11CC"/>
    <w:rsid w:val="002C1660"/>
    <w:rsid w:val="002C1BAC"/>
    <w:rsid w:val="002C1C29"/>
    <w:rsid w:val="002C2093"/>
    <w:rsid w:val="002C259E"/>
    <w:rsid w:val="002C2962"/>
    <w:rsid w:val="002C29CA"/>
    <w:rsid w:val="002C2B6C"/>
    <w:rsid w:val="002C2FD6"/>
    <w:rsid w:val="002C35B9"/>
    <w:rsid w:val="002C4860"/>
    <w:rsid w:val="002C514A"/>
    <w:rsid w:val="002C525F"/>
    <w:rsid w:val="002C54F8"/>
    <w:rsid w:val="002C55F2"/>
    <w:rsid w:val="002C655E"/>
    <w:rsid w:val="002C67B5"/>
    <w:rsid w:val="002C6A7E"/>
    <w:rsid w:val="002C6A7F"/>
    <w:rsid w:val="002C70B3"/>
    <w:rsid w:val="002C70D0"/>
    <w:rsid w:val="002C720E"/>
    <w:rsid w:val="002C7C5C"/>
    <w:rsid w:val="002C7F24"/>
    <w:rsid w:val="002D02B9"/>
    <w:rsid w:val="002D1341"/>
    <w:rsid w:val="002D14DC"/>
    <w:rsid w:val="002D16FE"/>
    <w:rsid w:val="002D191C"/>
    <w:rsid w:val="002D1ABE"/>
    <w:rsid w:val="002D1FC6"/>
    <w:rsid w:val="002D355D"/>
    <w:rsid w:val="002D3786"/>
    <w:rsid w:val="002D3DBF"/>
    <w:rsid w:val="002D4507"/>
    <w:rsid w:val="002D4EDA"/>
    <w:rsid w:val="002D58A1"/>
    <w:rsid w:val="002D61D9"/>
    <w:rsid w:val="002D65DB"/>
    <w:rsid w:val="002D7F96"/>
    <w:rsid w:val="002E025E"/>
    <w:rsid w:val="002E0327"/>
    <w:rsid w:val="002E145F"/>
    <w:rsid w:val="002E2486"/>
    <w:rsid w:val="002E333D"/>
    <w:rsid w:val="002E3696"/>
    <w:rsid w:val="002E3FCB"/>
    <w:rsid w:val="002E4304"/>
    <w:rsid w:val="002E495E"/>
    <w:rsid w:val="002E49F2"/>
    <w:rsid w:val="002E523F"/>
    <w:rsid w:val="002E5287"/>
    <w:rsid w:val="002E548D"/>
    <w:rsid w:val="002E63B7"/>
    <w:rsid w:val="002E67C3"/>
    <w:rsid w:val="002E6877"/>
    <w:rsid w:val="002E6CE1"/>
    <w:rsid w:val="002E7780"/>
    <w:rsid w:val="002E78D4"/>
    <w:rsid w:val="002F084E"/>
    <w:rsid w:val="002F0C84"/>
    <w:rsid w:val="002F121B"/>
    <w:rsid w:val="002F1BE2"/>
    <w:rsid w:val="002F1DC5"/>
    <w:rsid w:val="002F1F0A"/>
    <w:rsid w:val="002F231C"/>
    <w:rsid w:val="002F2CFE"/>
    <w:rsid w:val="002F30BF"/>
    <w:rsid w:val="002F39D0"/>
    <w:rsid w:val="002F3ECC"/>
    <w:rsid w:val="002F40FE"/>
    <w:rsid w:val="002F4BBA"/>
    <w:rsid w:val="002F610C"/>
    <w:rsid w:val="002F6557"/>
    <w:rsid w:val="002F688B"/>
    <w:rsid w:val="002F693C"/>
    <w:rsid w:val="002F6C49"/>
    <w:rsid w:val="002F72E4"/>
    <w:rsid w:val="002F7459"/>
    <w:rsid w:val="002F795E"/>
    <w:rsid w:val="00301400"/>
    <w:rsid w:val="00301741"/>
    <w:rsid w:val="00301874"/>
    <w:rsid w:val="00301B81"/>
    <w:rsid w:val="00301C26"/>
    <w:rsid w:val="0030203E"/>
    <w:rsid w:val="0030306A"/>
    <w:rsid w:val="00303690"/>
    <w:rsid w:val="00303A5E"/>
    <w:rsid w:val="00303B01"/>
    <w:rsid w:val="00303C5C"/>
    <w:rsid w:val="00303CFD"/>
    <w:rsid w:val="00304352"/>
    <w:rsid w:val="0030459D"/>
    <w:rsid w:val="003048B3"/>
    <w:rsid w:val="003052B1"/>
    <w:rsid w:val="0030658F"/>
    <w:rsid w:val="003065DB"/>
    <w:rsid w:val="00306DEE"/>
    <w:rsid w:val="003070B1"/>
    <w:rsid w:val="0030730B"/>
    <w:rsid w:val="003079AD"/>
    <w:rsid w:val="003079CE"/>
    <w:rsid w:val="00307E9B"/>
    <w:rsid w:val="003101AF"/>
    <w:rsid w:val="003105B1"/>
    <w:rsid w:val="00310630"/>
    <w:rsid w:val="00310737"/>
    <w:rsid w:val="003112C6"/>
    <w:rsid w:val="00311737"/>
    <w:rsid w:val="00311790"/>
    <w:rsid w:val="00311970"/>
    <w:rsid w:val="00311E21"/>
    <w:rsid w:val="00311E22"/>
    <w:rsid w:val="00311EEB"/>
    <w:rsid w:val="00313C51"/>
    <w:rsid w:val="003158C7"/>
    <w:rsid w:val="00315986"/>
    <w:rsid w:val="00315DAA"/>
    <w:rsid w:val="00315F08"/>
    <w:rsid w:val="0031644D"/>
    <w:rsid w:val="00316CFA"/>
    <w:rsid w:val="00317149"/>
    <w:rsid w:val="003179C9"/>
    <w:rsid w:val="0032048A"/>
    <w:rsid w:val="00321220"/>
    <w:rsid w:val="00321264"/>
    <w:rsid w:val="003224B6"/>
    <w:rsid w:val="00322807"/>
    <w:rsid w:val="00322B64"/>
    <w:rsid w:val="00323792"/>
    <w:rsid w:val="00323D70"/>
    <w:rsid w:val="003241BC"/>
    <w:rsid w:val="003241D7"/>
    <w:rsid w:val="00324AB6"/>
    <w:rsid w:val="00324ACA"/>
    <w:rsid w:val="003254A9"/>
    <w:rsid w:val="003259C0"/>
    <w:rsid w:val="00326BE2"/>
    <w:rsid w:val="00326DFF"/>
    <w:rsid w:val="00327223"/>
    <w:rsid w:val="00327514"/>
    <w:rsid w:val="00327A13"/>
    <w:rsid w:val="003301FB"/>
    <w:rsid w:val="003303A6"/>
    <w:rsid w:val="00330E33"/>
    <w:rsid w:val="003316F7"/>
    <w:rsid w:val="0033188C"/>
    <w:rsid w:val="00331A4F"/>
    <w:rsid w:val="003323CC"/>
    <w:rsid w:val="0033262E"/>
    <w:rsid w:val="00333345"/>
    <w:rsid w:val="00333632"/>
    <w:rsid w:val="003339DC"/>
    <w:rsid w:val="00333CA5"/>
    <w:rsid w:val="00333D13"/>
    <w:rsid w:val="00334C24"/>
    <w:rsid w:val="00335118"/>
    <w:rsid w:val="003358B5"/>
    <w:rsid w:val="003359AB"/>
    <w:rsid w:val="00335AD1"/>
    <w:rsid w:val="00336158"/>
    <w:rsid w:val="00336645"/>
    <w:rsid w:val="00337148"/>
    <w:rsid w:val="00337151"/>
    <w:rsid w:val="00340248"/>
    <w:rsid w:val="0034066A"/>
    <w:rsid w:val="003412E0"/>
    <w:rsid w:val="003413DC"/>
    <w:rsid w:val="003414DE"/>
    <w:rsid w:val="0034165D"/>
    <w:rsid w:val="00341820"/>
    <w:rsid w:val="0034298A"/>
    <w:rsid w:val="003430EA"/>
    <w:rsid w:val="00343929"/>
    <w:rsid w:val="00344391"/>
    <w:rsid w:val="003448E5"/>
    <w:rsid w:val="00344983"/>
    <w:rsid w:val="00345809"/>
    <w:rsid w:val="00345899"/>
    <w:rsid w:val="00345CC2"/>
    <w:rsid w:val="0034629C"/>
    <w:rsid w:val="00347584"/>
    <w:rsid w:val="00347593"/>
    <w:rsid w:val="003504B1"/>
    <w:rsid w:val="00350557"/>
    <w:rsid w:val="003509F8"/>
    <w:rsid w:val="00350B77"/>
    <w:rsid w:val="00350E80"/>
    <w:rsid w:val="003510E8"/>
    <w:rsid w:val="00351D00"/>
    <w:rsid w:val="00351FC0"/>
    <w:rsid w:val="00351FF9"/>
    <w:rsid w:val="00352212"/>
    <w:rsid w:val="003526C2"/>
    <w:rsid w:val="00352BA0"/>
    <w:rsid w:val="00352BCA"/>
    <w:rsid w:val="00352D95"/>
    <w:rsid w:val="00352E2D"/>
    <w:rsid w:val="00352F1E"/>
    <w:rsid w:val="00353024"/>
    <w:rsid w:val="003531A7"/>
    <w:rsid w:val="00353688"/>
    <w:rsid w:val="0035385D"/>
    <w:rsid w:val="00353862"/>
    <w:rsid w:val="00353C68"/>
    <w:rsid w:val="00354009"/>
    <w:rsid w:val="00354066"/>
    <w:rsid w:val="003542B7"/>
    <w:rsid w:val="0035485E"/>
    <w:rsid w:val="00354F88"/>
    <w:rsid w:val="003552F5"/>
    <w:rsid w:val="00355B8E"/>
    <w:rsid w:val="00355E8F"/>
    <w:rsid w:val="0035671D"/>
    <w:rsid w:val="00356B3B"/>
    <w:rsid w:val="00356E61"/>
    <w:rsid w:val="00357106"/>
    <w:rsid w:val="0036074E"/>
    <w:rsid w:val="0036185F"/>
    <w:rsid w:val="00362530"/>
    <w:rsid w:val="00362C4B"/>
    <w:rsid w:val="00363698"/>
    <w:rsid w:val="003637F9"/>
    <w:rsid w:val="00363E47"/>
    <w:rsid w:val="00363FA8"/>
    <w:rsid w:val="00363FE3"/>
    <w:rsid w:val="00364121"/>
    <w:rsid w:val="00364A49"/>
    <w:rsid w:val="00365C00"/>
    <w:rsid w:val="00367219"/>
    <w:rsid w:val="003677D9"/>
    <w:rsid w:val="003700DC"/>
    <w:rsid w:val="003703C6"/>
    <w:rsid w:val="00371347"/>
    <w:rsid w:val="0037153B"/>
    <w:rsid w:val="00371EA1"/>
    <w:rsid w:val="00371FD5"/>
    <w:rsid w:val="003732FB"/>
    <w:rsid w:val="00373408"/>
    <w:rsid w:val="0037348C"/>
    <w:rsid w:val="00374263"/>
    <w:rsid w:val="003744FF"/>
    <w:rsid w:val="00374D6F"/>
    <w:rsid w:val="00375353"/>
    <w:rsid w:val="003753FE"/>
    <w:rsid w:val="00375E3F"/>
    <w:rsid w:val="003770BD"/>
    <w:rsid w:val="0038050A"/>
    <w:rsid w:val="00380B88"/>
    <w:rsid w:val="00381121"/>
    <w:rsid w:val="00381DD9"/>
    <w:rsid w:val="00382369"/>
    <w:rsid w:val="003829BF"/>
    <w:rsid w:val="00382AE3"/>
    <w:rsid w:val="003842DC"/>
    <w:rsid w:val="00384399"/>
    <w:rsid w:val="00384422"/>
    <w:rsid w:val="003848DC"/>
    <w:rsid w:val="00384938"/>
    <w:rsid w:val="00385520"/>
    <w:rsid w:val="00385A78"/>
    <w:rsid w:val="003864C0"/>
    <w:rsid w:val="003868CB"/>
    <w:rsid w:val="00386A4C"/>
    <w:rsid w:val="00386AAC"/>
    <w:rsid w:val="00386F68"/>
    <w:rsid w:val="00387B41"/>
    <w:rsid w:val="00387EB7"/>
    <w:rsid w:val="00387F73"/>
    <w:rsid w:val="00390255"/>
    <w:rsid w:val="003905D3"/>
    <w:rsid w:val="00390A4F"/>
    <w:rsid w:val="003911B1"/>
    <w:rsid w:val="00391D87"/>
    <w:rsid w:val="00391F4C"/>
    <w:rsid w:val="0039210C"/>
    <w:rsid w:val="0039237D"/>
    <w:rsid w:val="003926AC"/>
    <w:rsid w:val="0039294B"/>
    <w:rsid w:val="00392C16"/>
    <w:rsid w:val="00392D77"/>
    <w:rsid w:val="003934F6"/>
    <w:rsid w:val="00394535"/>
    <w:rsid w:val="00394D6F"/>
    <w:rsid w:val="003952D8"/>
    <w:rsid w:val="00395A93"/>
    <w:rsid w:val="00396386"/>
    <w:rsid w:val="003972DF"/>
    <w:rsid w:val="003976E0"/>
    <w:rsid w:val="003A0A99"/>
    <w:rsid w:val="003A0B18"/>
    <w:rsid w:val="003A127F"/>
    <w:rsid w:val="003A19F9"/>
    <w:rsid w:val="003A1AE2"/>
    <w:rsid w:val="003A2C90"/>
    <w:rsid w:val="003A3961"/>
    <w:rsid w:val="003A4DB5"/>
    <w:rsid w:val="003A5895"/>
    <w:rsid w:val="003A590F"/>
    <w:rsid w:val="003A640F"/>
    <w:rsid w:val="003A6E90"/>
    <w:rsid w:val="003A7DC3"/>
    <w:rsid w:val="003A7EFD"/>
    <w:rsid w:val="003B038E"/>
    <w:rsid w:val="003B0396"/>
    <w:rsid w:val="003B064D"/>
    <w:rsid w:val="003B0ADC"/>
    <w:rsid w:val="003B1461"/>
    <w:rsid w:val="003B1482"/>
    <w:rsid w:val="003B1707"/>
    <w:rsid w:val="003B1741"/>
    <w:rsid w:val="003B1E89"/>
    <w:rsid w:val="003B42AE"/>
    <w:rsid w:val="003B4361"/>
    <w:rsid w:val="003B4483"/>
    <w:rsid w:val="003B4A8A"/>
    <w:rsid w:val="003B4C5B"/>
    <w:rsid w:val="003B5354"/>
    <w:rsid w:val="003B553A"/>
    <w:rsid w:val="003B5977"/>
    <w:rsid w:val="003B5AEA"/>
    <w:rsid w:val="003B6071"/>
    <w:rsid w:val="003B6825"/>
    <w:rsid w:val="003B6DDE"/>
    <w:rsid w:val="003B6FEB"/>
    <w:rsid w:val="003B710F"/>
    <w:rsid w:val="003B71D4"/>
    <w:rsid w:val="003B7717"/>
    <w:rsid w:val="003B7D08"/>
    <w:rsid w:val="003C0452"/>
    <w:rsid w:val="003C06FD"/>
    <w:rsid w:val="003C08C1"/>
    <w:rsid w:val="003C1084"/>
    <w:rsid w:val="003C10A3"/>
    <w:rsid w:val="003C125C"/>
    <w:rsid w:val="003C130D"/>
    <w:rsid w:val="003C13C7"/>
    <w:rsid w:val="003C19E7"/>
    <w:rsid w:val="003C1BF1"/>
    <w:rsid w:val="003C1CF8"/>
    <w:rsid w:val="003C1DA7"/>
    <w:rsid w:val="003C2237"/>
    <w:rsid w:val="003C245C"/>
    <w:rsid w:val="003C33A4"/>
    <w:rsid w:val="003C34A7"/>
    <w:rsid w:val="003C44E6"/>
    <w:rsid w:val="003C45C8"/>
    <w:rsid w:val="003C49F2"/>
    <w:rsid w:val="003C4EF1"/>
    <w:rsid w:val="003C50FD"/>
    <w:rsid w:val="003C516F"/>
    <w:rsid w:val="003C657A"/>
    <w:rsid w:val="003C6A7A"/>
    <w:rsid w:val="003C7131"/>
    <w:rsid w:val="003C72A8"/>
    <w:rsid w:val="003C74AB"/>
    <w:rsid w:val="003D0B3A"/>
    <w:rsid w:val="003D0F64"/>
    <w:rsid w:val="003D1795"/>
    <w:rsid w:val="003D2188"/>
    <w:rsid w:val="003D24D8"/>
    <w:rsid w:val="003D27B2"/>
    <w:rsid w:val="003D283C"/>
    <w:rsid w:val="003D30C5"/>
    <w:rsid w:val="003D37A2"/>
    <w:rsid w:val="003D3CED"/>
    <w:rsid w:val="003D3E40"/>
    <w:rsid w:val="003D3EEA"/>
    <w:rsid w:val="003D4895"/>
    <w:rsid w:val="003D4D39"/>
    <w:rsid w:val="003D4F3D"/>
    <w:rsid w:val="003D5E8E"/>
    <w:rsid w:val="003D5EC6"/>
    <w:rsid w:val="003D6544"/>
    <w:rsid w:val="003D65D5"/>
    <w:rsid w:val="003D66EB"/>
    <w:rsid w:val="003E0A58"/>
    <w:rsid w:val="003E245A"/>
    <w:rsid w:val="003E2768"/>
    <w:rsid w:val="003E2974"/>
    <w:rsid w:val="003E2DB1"/>
    <w:rsid w:val="003E32B5"/>
    <w:rsid w:val="003E39DE"/>
    <w:rsid w:val="003E3D13"/>
    <w:rsid w:val="003E5010"/>
    <w:rsid w:val="003E505B"/>
    <w:rsid w:val="003E558A"/>
    <w:rsid w:val="003E5B7C"/>
    <w:rsid w:val="003E5CA9"/>
    <w:rsid w:val="003E600F"/>
    <w:rsid w:val="003E692C"/>
    <w:rsid w:val="003E6AC7"/>
    <w:rsid w:val="003E7A70"/>
    <w:rsid w:val="003E7A84"/>
    <w:rsid w:val="003F1044"/>
    <w:rsid w:val="003F121F"/>
    <w:rsid w:val="003F1380"/>
    <w:rsid w:val="003F199E"/>
    <w:rsid w:val="003F230C"/>
    <w:rsid w:val="003F233A"/>
    <w:rsid w:val="003F279E"/>
    <w:rsid w:val="003F2935"/>
    <w:rsid w:val="003F29C1"/>
    <w:rsid w:val="003F37A2"/>
    <w:rsid w:val="003F3BFD"/>
    <w:rsid w:val="003F3D19"/>
    <w:rsid w:val="003F40AE"/>
    <w:rsid w:val="003F473C"/>
    <w:rsid w:val="003F4D05"/>
    <w:rsid w:val="003F64BB"/>
    <w:rsid w:val="003F6600"/>
    <w:rsid w:val="003F7883"/>
    <w:rsid w:val="003F7EC2"/>
    <w:rsid w:val="004007F2"/>
    <w:rsid w:val="00401A19"/>
    <w:rsid w:val="00401F25"/>
    <w:rsid w:val="004021C8"/>
    <w:rsid w:val="0040234B"/>
    <w:rsid w:val="0040241A"/>
    <w:rsid w:val="00402C0C"/>
    <w:rsid w:val="00402FBD"/>
    <w:rsid w:val="0040343C"/>
    <w:rsid w:val="0040364A"/>
    <w:rsid w:val="00404205"/>
    <w:rsid w:val="0040424D"/>
    <w:rsid w:val="004042D3"/>
    <w:rsid w:val="0040538D"/>
    <w:rsid w:val="0040553E"/>
    <w:rsid w:val="00405617"/>
    <w:rsid w:val="00405C37"/>
    <w:rsid w:val="0040627C"/>
    <w:rsid w:val="0040696D"/>
    <w:rsid w:val="00406C88"/>
    <w:rsid w:val="00407109"/>
    <w:rsid w:val="00407D3D"/>
    <w:rsid w:val="00407E79"/>
    <w:rsid w:val="00410F67"/>
    <w:rsid w:val="0041170E"/>
    <w:rsid w:val="00411CC0"/>
    <w:rsid w:val="00412145"/>
    <w:rsid w:val="004122E6"/>
    <w:rsid w:val="004124E7"/>
    <w:rsid w:val="004128E1"/>
    <w:rsid w:val="00412D40"/>
    <w:rsid w:val="00413FF5"/>
    <w:rsid w:val="00414320"/>
    <w:rsid w:val="004144D8"/>
    <w:rsid w:val="004147E5"/>
    <w:rsid w:val="00414B4D"/>
    <w:rsid w:val="00414CF2"/>
    <w:rsid w:val="004172A1"/>
    <w:rsid w:val="00417963"/>
    <w:rsid w:val="00417D53"/>
    <w:rsid w:val="004203F7"/>
    <w:rsid w:val="004204B0"/>
    <w:rsid w:val="004205DB"/>
    <w:rsid w:val="004217D3"/>
    <w:rsid w:val="00422922"/>
    <w:rsid w:val="00423318"/>
    <w:rsid w:val="00423DD6"/>
    <w:rsid w:val="0042472F"/>
    <w:rsid w:val="00424753"/>
    <w:rsid w:val="00424ED2"/>
    <w:rsid w:val="00425115"/>
    <w:rsid w:val="004265D1"/>
    <w:rsid w:val="00427947"/>
    <w:rsid w:val="00427D33"/>
    <w:rsid w:val="00430298"/>
    <w:rsid w:val="00430544"/>
    <w:rsid w:val="004330C8"/>
    <w:rsid w:val="004332BA"/>
    <w:rsid w:val="00433457"/>
    <w:rsid w:val="00433544"/>
    <w:rsid w:val="00433781"/>
    <w:rsid w:val="00433C6C"/>
    <w:rsid w:val="00433ECA"/>
    <w:rsid w:val="00434AEA"/>
    <w:rsid w:val="00434CFA"/>
    <w:rsid w:val="004368EE"/>
    <w:rsid w:val="0043727E"/>
    <w:rsid w:val="004376FC"/>
    <w:rsid w:val="00437B52"/>
    <w:rsid w:val="00437F2E"/>
    <w:rsid w:val="004400A4"/>
    <w:rsid w:val="00440B21"/>
    <w:rsid w:val="00440F8D"/>
    <w:rsid w:val="004416E8"/>
    <w:rsid w:val="0044202A"/>
    <w:rsid w:val="00442DFA"/>
    <w:rsid w:val="00442E52"/>
    <w:rsid w:val="00443007"/>
    <w:rsid w:val="00443858"/>
    <w:rsid w:val="00443D01"/>
    <w:rsid w:val="00444353"/>
    <w:rsid w:val="0044555A"/>
    <w:rsid w:val="004455FA"/>
    <w:rsid w:val="00445AAF"/>
    <w:rsid w:val="00446554"/>
    <w:rsid w:val="004466F3"/>
    <w:rsid w:val="004474C0"/>
    <w:rsid w:val="00447A10"/>
    <w:rsid w:val="004502E8"/>
    <w:rsid w:val="00450E50"/>
    <w:rsid w:val="004518A2"/>
    <w:rsid w:val="00452206"/>
    <w:rsid w:val="0045383B"/>
    <w:rsid w:val="00453BF0"/>
    <w:rsid w:val="00453E34"/>
    <w:rsid w:val="004543BD"/>
    <w:rsid w:val="004551EE"/>
    <w:rsid w:val="00455F68"/>
    <w:rsid w:val="004566E2"/>
    <w:rsid w:val="004573DB"/>
    <w:rsid w:val="00457B28"/>
    <w:rsid w:val="00457F65"/>
    <w:rsid w:val="004601EF"/>
    <w:rsid w:val="00460450"/>
    <w:rsid w:val="00460D4E"/>
    <w:rsid w:val="00460E66"/>
    <w:rsid w:val="00461A4F"/>
    <w:rsid w:val="00461E55"/>
    <w:rsid w:val="004623E8"/>
    <w:rsid w:val="0046248D"/>
    <w:rsid w:val="004634B4"/>
    <w:rsid w:val="00464771"/>
    <w:rsid w:val="004647EC"/>
    <w:rsid w:val="00465181"/>
    <w:rsid w:val="00465D56"/>
    <w:rsid w:val="00466550"/>
    <w:rsid w:val="00466909"/>
    <w:rsid w:val="0046695B"/>
    <w:rsid w:val="00466BEF"/>
    <w:rsid w:val="00466E91"/>
    <w:rsid w:val="0046718C"/>
    <w:rsid w:val="00467579"/>
    <w:rsid w:val="004676F4"/>
    <w:rsid w:val="004679E2"/>
    <w:rsid w:val="00467CE6"/>
    <w:rsid w:val="00470C9B"/>
    <w:rsid w:val="00471293"/>
    <w:rsid w:val="004719E0"/>
    <w:rsid w:val="00471E0A"/>
    <w:rsid w:val="0047212E"/>
    <w:rsid w:val="0047244E"/>
    <w:rsid w:val="0047291A"/>
    <w:rsid w:val="00473CA1"/>
    <w:rsid w:val="00473F84"/>
    <w:rsid w:val="00474C4A"/>
    <w:rsid w:val="00475D63"/>
    <w:rsid w:val="00475E7D"/>
    <w:rsid w:val="004761FD"/>
    <w:rsid w:val="00477557"/>
    <w:rsid w:val="00477B8D"/>
    <w:rsid w:val="00477BBD"/>
    <w:rsid w:val="0048026E"/>
    <w:rsid w:val="0048029E"/>
    <w:rsid w:val="004802B8"/>
    <w:rsid w:val="00480BDC"/>
    <w:rsid w:val="00480DDB"/>
    <w:rsid w:val="00481690"/>
    <w:rsid w:val="0048205C"/>
    <w:rsid w:val="0048216B"/>
    <w:rsid w:val="004825E0"/>
    <w:rsid w:val="00482E28"/>
    <w:rsid w:val="00482E9F"/>
    <w:rsid w:val="004830B9"/>
    <w:rsid w:val="0048433F"/>
    <w:rsid w:val="004843A1"/>
    <w:rsid w:val="00484516"/>
    <w:rsid w:val="00484D97"/>
    <w:rsid w:val="00484DDA"/>
    <w:rsid w:val="004854E5"/>
    <w:rsid w:val="0048585E"/>
    <w:rsid w:val="00485BF2"/>
    <w:rsid w:val="00485C67"/>
    <w:rsid w:val="00485D4A"/>
    <w:rsid w:val="00486708"/>
    <w:rsid w:val="004870E6"/>
    <w:rsid w:val="00487A12"/>
    <w:rsid w:val="0049059F"/>
    <w:rsid w:val="00490632"/>
    <w:rsid w:val="004917B9"/>
    <w:rsid w:val="00491BA2"/>
    <w:rsid w:val="00491CAB"/>
    <w:rsid w:val="00492446"/>
    <w:rsid w:val="00492A75"/>
    <w:rsid w:val="00492E27"/>
    <w:rsid w:val="00493554"/>
    <w:rsid w:val="00494498"/>
    <w:rsid w:val="00494501"/>
    <w:rsid w:val="004945E1"/>
    <w:rsid w:val="00495392"/>
    <w:rsid w:val="00495632"/>
    <w:rsid w:val="004956D0"/>
    <w:rsid w:val="00495736"/>
    <w:rsid w:val="00495B30"/>
    <w:rsid w:val="004960F6"/>
    <w:rsid w:val="0049716E"/>
    <w:rsid w:val="00497EEB"/>
    <w:rsid w:val="004A0360"/>
    <w:rsid w:val="004A08A1"/>
    <w:rsid w:val="004A0F2D"/>
    <w:rsid w:val="004A1B5C"/>
    <w:rsid w:val="004A2961"/>
    <w:rsid w:val="004A2C86"/>
    <w:rsid w:val="004A4F75"/>
    <w:rsid w:val="004A5700"/>
    <w:rsid w:val="004A5727"/>
    <w:rsid w:val="004A6F12"/>
    <w:rsid w:val="004A78D4"/>
    <w:rsid w:val="004B03EF"/>
    <w:rsid w:val="004B0AFD"/>
    <w:rsid w:val="004B10CB"/>
    <w:rsid w:val="004B275F"/>
    <w:rsid w:val="004B3DB0"/>
    <w:rsid w:val="004B51DB"/>
    <w:rsid w:val="004B55D8"/>
    <w:rsid w:val="004B5E09"/>
    <w:rsid w:val="004B6170"/>
    <w:rsid w:val="004B666A"/>
    <w:rsid w:val="004B67A7"/>
    <w:rsid w:val="004B6E8E"/>
    <w:rsid w:val="004B70F5"/>
    <w:rsid w:val="004B7917"/>
    <w:rsid w:val="004B7D8C"/>
    <w:rsid w:val="004B7E7C"/>
    <w:rsid w:val="004C0BED"/>
    <w:rsid w:val="004C0D71"/>
    <w:rsid w:val="004C17EE"/>
    <w:rsid w:val="004C1AA9"/>
    <w:rsid w:val="004C1E4B"/>
    <w:rsid w:val="004C1EB4"/>
    <w:rsid w:val="004C2A82"/>
    <w:rsid w:val="004C2BEA"/>
    <w:rsid w:val="004C39B7"/>
    <w:rsid w:val="004C3EDC"/>
    <w:rsid w:val="004C55F0"/>
    <w:rsid w:val="004C5DC5"/>
    <w:rsid w:val="004C5FAC"/>
    <w:rsid w:val="004C6204"/>
    <w:rsid w:val="004C66FB"/>
    <w:rsid w:val="004C704F"/>
    <w:rsid w:val="004C70B7"/>
    <w:rsid w:val="004C77D0"/>
    <w:rsid w:val="004C7C99"/>
    <w:rsid w:val="004D0301"/>
    <w:rsid w:val="004D0785"/>
    <w:rsid w:val="004D0A1D"/>
    <w:rsid w:val="004D11EE"/>
    <w:rsid w:val="004D155B"/>
    <w:rsid w:val="004D3190"/>
    <w:rsid w:val="004D325C"/>
    <w:rsid w:val="004D3384"/>
    <w:rsid w:val="004D3896"/>
    <w:rsid w:val="004D3D88"/>
    <w:rsid w:val="004D3D99"/>
    <w:rsid w:val="004D40CB"/>
    <w:rsid w:val="004D4570"/>
    <w:rsid w:val="004D4F5F"/>
    <w:rsid w:val="004D503C"/>
    <w:rsid w:val="004D5A5D"/>
    <w:rsid w:val="004D6128"/>
    <w:rsid w:val="004D6860"/>
    <w:rsid w:val="004D6923"/>
    <w:rsid w:val="004D6CEB"/>
    <w:rsid w:val="004D6EAE"/>
    <w:rsid w:val="004D704A"/>
    <w:rsid w:val="004D78EF"/>
    <w:rsid w:val="004D790C"/>
    <w:rsid w:val="004E0055"/>
    <w:rsid w:val="004E0674"/>
    <w:rsid w:val="004E0CBF"/>
    <w:rsid w:val="004E1251"/>
    <w:rsid w:val="004E19E6"/>
    <w:rsid w:val="004E1B19"/>
    <w:rsid w:val="004E1C0A"/>
    <w:rsid w:val="004E1FBE"/>
    <w:rsid w:val="004E2AA7"/>
    <w:rsid w:val="004E2C78"/>
    <w:rsid w:val="004E35F8"/>
    <w:rsid w:val="004E3A70"/>
    <w:rsid w:val="004E453B"/>
    <w:rsid w:val="004E4662"/>
    <w:rsid w:val="004E4790"/>
    <w:rsid w:val="004E49F8"/>
    <w:rsid w:val="004E4A72"/>
    <w:rsid w:val="004E53F8"/>
    <w:rsid w:val="004E5491"/>
    <w:rsid w:val="004E5BDD"/>
    <w:rsid w:val="004E6093"/>
    <w:rsid w:val="004E637A"/>
    <w:rsid w:val="004E63B5"/>
    <w:rsid w:val="004E660C"/>
    <w:rsid w:val="004E6F97"/>
    <w:rsid w:val="004E71EE"/>
    <w:rsid w:val="004E7242"/>
    <w:rsid w:val="004E7EE4"/>
    <w:rsid w:val="004E7EF2"/>
    <w:rsid w:val="004F01A5"/>
    <w:rsid w:val="004F0BCD"/>
    <w:rsid w:val="004F107C"/>
    <w:rsid w:val="004F133F"/>
    <w:rsid w:val="004F16AF"/>
    <w:rsid w:val="004F2070"/>
    <w:rsid w:val="004F220B"/>
    <w:rsid w:val="004F2D61"/>
    <w:rsid w:val="004F2E65"/>
    <w:rsid w:val="004F32EE"/>
    <w:rsid w:val="004F39B5"/>
    <w:rsid w:val="004F498E"/>
    <w:rsid w:val="004F4CDF"/>
    <w:rsid w:val="004F4F28"/>
    <w:rsid w:val="004F519B"/>
    <w:rsid w:val="004F545A"/>
    <w:rsid w:val="004F571A"/>
    <w:rsid w:val="004F5DC7"/>
    <w:rsid w:val="004F60B6"/>
    <w:rsid w:val="004F78E7"/>
    <w:rsid w:val="00500FDF"/>
    <w:rsid w:val="00501B65"/>
    <w:rsid w:val="005025C6"/>
    <w:rsid w:val="005031AA"/>
    <w:rsid w:val="0050354A"/>
    <w:rsid w:val="0050383D"/>
    <w:rsid w:val="00504470"/>
    <w:rsid w:val="00504B0F"/>
    <w:rsid w:val="00504C1F"/>
    <w:rsid w:val="0050502C"/>
    <w:rsid w:val="0050582A"/>
    <w:rsid w:val="00505AF9"/>
    <w:rsid w:val="00506874"/>
    <w:rsid w:val="00506A72"/>
    <w:rsid w:val="005075A4"/>
    <w:rsid w:val="0050792B"/>
    <w:rsid w:val="005104F8"/>
    <w:rsid w:val="00510FBB"/>
    <w:rsid w:val="00511867"/>
    <w:rsid w:val="005126E8"/>
    <w:rsid w:val="00512B5D"/>
    <w:rsid w:val="00512E6D"/>
    <w:rsid w:val="0051307E"/>
    <w:rsid w:val="00514C65"/>
    <w:rsid w:val="00515141"/>
    <w:rsid w:val="005156CF"/>
    <w:rsid w:val="0051633E"/>
    <w:rsid w:val="0051676C"/>
    <w:rsid w:val="005172F2"/>
    <w:rsid w:val="00517F3D"/>
    <w:rsid w:val="00520845"/>
    <w:rsid w:val="00520BAA"/>
    <w:rsid w:val="00520F6F"/>
    <w:rsid w:val="00521D35"/>
    <w:rsid w:val="00522CD2"/>
    <w:rsid w:val="005231E3"/>
    <w:rsid w:val="005233E7"/>
    <w:rsid w:val="005239DA"/>
    <w:rsid w:val="0052519A"/>
    <w:rsid w:val="00525530"/>
    <w:rsid w:val="00525BB2"/>
    <w:rsid w:val="00525C51"/>
    <w:rsid w:val="005270F8"/>
    <w:rsid w:val="00527151"/>
    <w:rsid w:val="005271AA"/>
    <w:rsid w:val="00530545"/>
    <w:rsid w:val="00530EEA"/>
    <w:rsid w:val="00531FF3"/>
    <w:rsid w:val="005322B3"/>
    <w:rsid w:val="00532803"/>
    <w:rsid w:val="00532820"/>
    <w:rsid w:val="00532FF4"/>
    <w:rsid w:val="00533684"/>
    <w:rsid w:val="00533AEE"/>
    <w:rsid w:val="00533B54"/>
    <w:rsid w:val="00533ED0"/>
    <w:rsid w:val="0053415B"/>
    <w:rsid w:val="0053437F"/>
    <w:rsid w:val="00534990"/>
    <w:rsid w:val="00535073"/>
    <w:rsid w:val="00536601"/>
    <w:rsid w:val="00536CFC"/>
    <w:rsid w:val="0053739B"/>
    <w:rsid w:val="005379C9"/>
    <w:rsid w:val="00537BA3"/>
    <w:rsid w:val="00537EC3"/>
    <w:rsid w:val="0054038F"/>
    <w:rsid w:val="00540DA9"/>
    <w:rsid w:val="0054217D"/>
    <w:rsid w:val="00542308"/>
    <w:rsid w:val="00542656"/>
    <w:rsid w:val="00542829"/>
    <w:rsid w:val="00542B8F"/>
    <w:rsid w:val="00544F47"/>
    <w:rsid w:val="0054543F"/>
    <w:rsid w:val="0054545A"/>
    <w:rsid w:val="00545874"/>
    <w:rsid w:val="00545951"/>
    <w:rsid w:val="00545B46"/>
    <w:rsid w:val="00546164"/>
    <w:rsid w:val="00546205"/>
    <w:rsid w:val="005465C1"/>
    <w:rsid w:val="00546C4A"/>
    <w:rsid w:val="00546FAC"/>
    <w:rsid w:val="00547A86"/>
    <w:rsid w:val="00547C28"/>
    <w:rsid w:val="00547E69"/>
    <w:rsid w:val="00550B17"/>
    <w:rsid w:val="00551B62"/>
    <w:rsid w:val="005521D2"/>
    <w:rsid w:val="005522CF"/>
    <w:rsid w:val="0055268C"/>
    <w:rsid w:val="00553143"/>
    <w:rsid w:val="0055375E"/>
    <w:rsid w:val="00555F39"/>
    <w:rsid w:val="00556B54"/>
    <w:rsid w:val="0055746C"/>
    <w:rsid w:val="00557A07"/>
    <w:rsid w:val="00557EF9"/>
    <w:rsid w:val="00557F39"/>
    <w:rsid w:val="00560F25"/>
    <w:rsid w:val="00561C8C"/>
    <w:rsid w:val="0056206F"/>
    <w:rsid w:val="005621F1"/>
    <w:rsid w:val="00562207"/>
    <w:rsid w:val="00562874"/>
    <w:rsid w:val="005628F3"/>
    <w:rsid w:val="00562E63"/>
    <w:rsid w:val="005633E0"/>
    <w:rsid w:val="005634E1"/>
    <w:rsid w:val="00563777"/>
    <w:rsid w:val="005656EF"/>
    <w:rsid w:val="00566B77"/>
    <w:rsid w:val="00567B61"/>
    <w:rsid w:val="005702EA"/>
    <w:rsid w:val="0057037C"/>
    <w:rsid w:val="00570642"/>
    <w:rsid w:val="00570B77"/>
    <w:rsid w:val="005712CE"/>
    <w:rsid w:val="005712DB"/>
    <w:rsid w:val="0057264D"/>
    <w:rsid w:val="0057290B"/>
    <w:rsid w:val="00572C9D"/>
    <w:rsid w:val="00572EE9"/>
    <w:rsid w:val="0057359B"/>
    <w:rsid w:val="005735D4"/>
    <w:rsid w:val="005743D0"/>
    <w:rsid w:val="00574C4D"/>
    <w:rsid w:val="00574C57"/>
    <w:rsid w:val="00575474"/>
    <w:rsid w:val="0057594F"/>
    <w:rsid w:val="005765AE"/>
    <w:rsid w:val="00576D1B"/>
    <w:rsid w:val="0057721B"/>
    <w:rsid w:val="005772BA"/>
    <w:rsid w:val="00577482"/>
    <w:rsid w:val="00577E93"/>
    <w:rsid w:val="00580CCF"/>
    <w:rsid w:val="00580EC7"/>
    <w:rsid w:val="00582D13"/>
    <w:rsid w:val="0058321B"/>
    <w:rsid w:val="005832A7"/>
    <w:rsid w:val="00583FFB"/>
    <w:rsid w:val="0058433E"/>
    <w:rsid w:val="005849C3"/>
    <w:rsid w:val="00584C08"/>
    <w:rsid w:val="00585391"/>
    <w:rsid w:val="00585C37"/>
    <w:rsid w:val="00585E1B"/>
    <w:rsid w:val="00585F70"/>
    <w:rsid w:val="005871F6"/>
    <w:rsid w:val="00587394"/>
    <w:rsid w:val="00587C9A"/>
    <w:rsid w:val="0059008F"/>
    <w:rsid w:val="005904EC"/>
    <w:rsid w:val="0059258C"/>
    <w:rsid w:val="0059343F"/>
    <w:rsid w:val="00593598"/>
    <w:rsid w:val="00593C81"/>
    <w:rsid w:val="00593F4B"/>
    <w:rsid w:val="00594D9F"/>
    <w:rsid w:val="00594E67"/>
    <w:rsid w:val="00594E83"/>
    <w:rsid w:val="00595E84"/>
    <w:rsid w:val="00596926"/>
    <w:rsid w:val="00597381"/>
    <w:rsid w:val="005974C8"/>
    <w:rsid w:val="00597E3F"/>
    <w:rsid w:val="005A0943"/>
    <w:rsid w:val="005A0FA1"/>
    <w:rsid w:val="005A150B"/>
    <w:rsid w:val="005A16C9"/>
    <w:rsid w:val="005A1FD8"/>
    <w:rsid w:val="005A22F5"/>
    <w:rsid w:val="005A2313"/>
    <w:rsid w:val="005A2E5D"/>
    <w:rsid w:val="005A2F38"/>
    <w:rsid w:val="005A3829"/>
    <w:rsid w:val="005A3A14"/>
    <w:rsid w:val="005A4076"/>
    <w:rsid w:val="005A45FB"/>
    <w:rsid w:val="005A4FA6"/>
    <w:rsid w:val="005A5AC2"/>
    <w:rsid w:val="005A5E72"/>
    <w:rsid w:val="005A641D"/>
    <w:rsid w:val="005A6998"/>
    <w:rsid w:val="005A6BB3"/>
    <w:rsid w:val="005A6EA8"/>
    <w:rsid w:val="005A7D14"/>
    <w:rsid w:val="005A7D54"/>
    <w:rsid w:val="005A7F97"/>
    <w:rsid w:val="005B0037"/>
    <w:rsid w:val="005B0175"/>
    <w:rsid w:val="005B0375"/>
    <w:rsid w:val="005B05AD"/>
    <w:rsid w:val="005B0D5F"/>
    <w:rsid w:val="005B0E93"/>
    <w:rsid w:val="005B12B7"/>
    <w:rsid w:val="005B1300"/>
    <w:rsid w:val="005B1624"/>
    <w:rsid w:val="005B2021"/>
    <w:rsid w:val="005B22F0"/>
    <w:rsid w:val="005B2766"/>
    <w:rsid w:val="005B287F"/>
    <w:rsid w:val="005B289D"/>
    <w:rsid w:val="005B2A51"/>
    <w:rsid w:val="005B2C97"/>
    <w:rsid w:val="005B3452"/>
    <w:rsid w:val="005B3646"/>
    <w:rsid w:val="005B41E0"/>
    <w:rsid w:val="005B44FF"/>
    <w:rsid w:val="005B4603"/>
    <w:rsid w:val="005B5625"/>
    <w:rsid w:val="005B66AE"/>
    <w:rsid w:val="005B6AFF"/>
    <w:rsid w:val="005B6F37"/>
    <w:rsid w:val="005B7015"/>
    <w:rsid w:val="005B7378"/>
    <w:rsid w:val="005B7EA3"/>
    <w:rsid w:val="005C05AC"/>
    <w:rsid w:val="005C19F3"/>
    <w:rsid w:val="005C1B4E"/>
    <w:rsid w:val="005C32DD"/>
    <w:rsid w:val="005C3561"/>
    <w:rsid w:val="005C3586"/>
    <w:rsid w:val="005C3973"/>
    <w:rsid w:val="005C45EA"/>
    <w:rsid w:val="005C4694"/>
    <w:rsid w:val="005C4D2C"/>
    <w:rsid w:val="005C50C8"/>
    <w:rsid w:val="005C552D"/>
    <w:rsid w:val="005C5BB8"/>
    <w:rsid w:val="005C5E12"/>
    <w:rsid w:val="005C6268"/>
    <w:rsid w:val="005C65D1"/>
    <w:rsid w:val="005C74F7"/>
    <w:rsid w:val="005C7E81"/>
    <w:rsid w:val="005C7F42"/>
    <w:rsid w:val="005D117A"/>
    <w:rsid w:val="005D146D"/>
    <w:rsid w:val="005D22EA"/>
    <w:rsid w:val="005D3B4B"/>
    <w:rsid w:val="005D3BB9"/>
    <w:rsid w:val="005D4D4D"/>
    <w:rsid w:val="005D642B"/>
    <w:rsid w:val="005D706D"/>
    <w:rsid w:val="005D743E"/>
    <w:rsid w:val="005D782B"/>
    <w:rsid w:val="005D7C43"/>
    <w:rsid w:val="005D7EB1"/>
    <w:rsid w:val="005E08B7"/>
    <w:rsid w:val="005E1499"/>
    <w:rsid w:val="005E1D45"/>
    <w:rsid w:val="005E2FA8"/>
    <w:rsid w:val="005E3751"/>
    <w:rsid w:val="005E3B25"/>
    <w:rsid w:val="005E5365"/>
    <w:rsid w:val="005E5749"/>
    <w:rsid w:val="005E5C01"/>
    <w:rsid w:val="005E6962"/>
    <w:rsid w:val="005E6F34"/>
    <w:rsid w:val="005E7EAF"/>
    <w:rsid w:val="005E7F24"/>
    <w:rsid w:val="005E7F75"/>
    <w:rsid w:val="005F0053"/>
    <w:rsid w:val="005F0F90"/>
    <w:rsid w:val="005F155B"/>
    <w:rsid w:val="005F2031"/>
    <w:rsid w:val="005F3992"/>
    <w:rsid w:val="005F4465"/>
    <w:rsid w:val="005F46CE"/>
    <w:rsid w:val="005F4AB9"/>
    <w:rsid w:val="005F4C4D"/>
    <w:rsid w:val="005F5704"/>
    <w:rsid w:val="005F59E3"/>
    <w:rsid w:val="005F5C81"/>
    <w:rsid w:val="005F6778"/>
    <w:rsid w:val="005F6ABB"/>
    <w:rsid w:val="005F6DB9"/>
    <w:rsid w:val="005F6E46"/>
    <w:rsid w:val="005F6EDA"/>
    <w:rsid w:val="005F78FC"/>
    <w:rsid w:val="005F7B5E"/>
    <w:rsid w:val="005F7F9C"/>
    <w:rsid w:val="005F7FD1"/>
    <w:rsid w:val="005F7FEC"/>
    <w:rsid w:val="006007CE"/>
    <w:rsid w:val="00600974"/>
    <w:rsid w:val="00600C05"/>
    <w:rsid w:val="00600EDE"/>
    <w:rsid w:val="00600F73"/>
    <w:rsid w:val="006011A6"/>
    <w:rsid w:val="00601242"/>
    <w:rsid w:val="006018CA"/>
    <w:rsid w:val="0060241D"/>
    <w:rsid w:val="006028B2"/>
    <w:rsid w:val="00602EFC"/>
    <w:rsid w:val="0060309C"/>
    <w:rsid w:val="006036C0"/>
    <w:rsid w:val="00603939"/>
    <w:rsid w:val="00603C98"/>
    <w:rsid w:val="00603EA8"/>
    <w:rsid w:val="00604700"/>
    <w:rsid w:val="00605070"/>
    <w:rsid w:val="006054C2"/>
    <w:rsid w:val="00605E95"/>
    <w:rsid w:val="0060657C"/>
    <w:rsid w:val="00606EE9"/>
    <w:rsid w:val="00607195"/>
    <w:rsid w:val="006072FE"/>
    <w:rsid w:val="00610175"/>
    <w:rsid w:val="00610D13"/>
    <w:rsid w:val="00611323"/>
    <w:rsid w:val="006114D0"/>
    <w:rsid w:val="006115D4"/>
    <w:rsid w:val="00613152"/>
    <w:rsid w:val="00613187"/>
    <w:rsid w:val="00613716"/>
    <w:rsid w:val="0061385F"/>
    <w:rsid w:val="00613A6B"/>
    <w:rsid w:val="006144E3"/>
    <w:rsid w:val="006145FE"/>
    <w:rsid w:val="00614A63"/>
    <w:rsid w:val="00614BD3"/>
    <w:rsid w:val="00615C16"/>
    <w:rsid w:val="00616226"/>
    <w:rsid w:val="006169C5"/>
    <w:rsid w:val="00617390"/>
    <w:rsid w:val="00617421"/>
    <w:rsid w:val="006177BD"/>
    <w:rsid w:val="00617D27"/>
    <w:rsid w:val="00617D2D"/>
    <w:rsid w:val="00617F96"/>
    <w:rsid w:val="0062018F"/>
    <w:rsid w:val="006211BB"/>
    <w:rsid w:val="00621B34"/>
    <w:rsid w:val="00621BD3"/>
    <w:rsid w:val="00622AC7"/>
    <w:rsid w:val="00622FF7"/>
    <w:rsid w:val="0062308D"/>
    <w:rsid w:val="00623721"/>
    <w:rsid w:val="0062399E"/>
    <w:rsid w:val="006242DD"/>
    <w:rsid w:val="00624A3C"/>
    <w:rsid w:val="00624DFC"/>
    <w:rsid w:val="00625075"/>
    <w:rsid w:val="006255F0"/>
    <w:rsid w:val="00625B80"/>
    <w:rsid w:val="006263CD"/>
    <w:rsid w:val="006277C1"/>
    <w:rsid w:val="006278C6"/>
    <w:rsid w:val="00627FF3"/>
    <w:rsid w:val="006301D4"/>
    <w:rsid w:val="0063139E"/>
    <w:rsid w:val="00631430"/>
    <w:rsid w:val="006314AD"/>
    <w:rsid w:val="0063271C"/>
    <w:rsid w:val="00633594"/>
    <w:rsid w:val="00633AB4"/>
    <w:rsid w:val="00634075"/>
    <w:rsid w:val="00634716"/>
    <w:rsid w:val="00634960"/>
    <w:rsid w:val="00634DA3"/>
    <w:rsid w:val="00634E78"/>
    <w:rsid w:val="006354ED"/>
    <w:rsid w:val="006354FA"/>
    <w:rsid w:val="00635AA0"/>
    <w:rsid w:val="00635DEA"/>
    <w:rsid w:val="0063775B"/>
    <w:rsid w:val="00637EE9"/>
    <w:rsid w:val="006402A5"/>
    <w:rsid w:val="00640A5A"/>
    <w:rsid w:val="0064124B"/>
    <w:rsid w:val="006415A6"/>
    <w:rsid w:val="00641AA6"/>
    <w:rsid w:val="006422BF"/>
    <w:rsid w:val="00642E2F"/>
    <w:rsid w:val="00642E34"/>
    <w:rsid w:val="006441BF"/>
    <w:rsid w:val="00644A10"/>
    <w:rsid w:val="00644CBD"/>
    <w:rsid w:val="00644CEA"/>
    <w:rsid w:val="00645F96"/>
    <w:rsid w:val="0064616C"/>
    <w:rsid w:val="00646206"/>
    <w:rsid w:val="00646F69"/>
    <w:rsid w:val="00647A86"/>
    <w:rsid w:val="00647ACD"/>
    <w:rsid w:val="00651184"/>
    <w:rsid w:val="00652080"/>
    <w:rsid w:val="006532C8"/>
    <w:rsid w:val="00654B62"/>
    <w:rsid w:val="00655784"/>
    <w:rsid w:val="0065672F"/>
    <w:rsid w:val="006574FC"/>
    <w:rsid w:val="00657702"/>
    <w:rsid w:val="00657ECF"/>
    <w:rsid w:val="006600BE"/>
    <w:rsid w:val="006618C7"/>
    <w:rsid w:val="006620C4"/>
    <w:rsid w:val="006626EC"/>
    <w:rsid w:val="006627FE"/>
    <w:rsid w:val="006637BF"/>
    <w:rsid w:val="00664EAF"/>
    <w:rsid w:val="00665B9D"/>
    <w:rsid w:val="00665FA8"/>
    <w:rsid w:val="00667E62"/>
    <w:rsid w:val="0067090E"/>
    <w:rsid w:val="00670B4F"/>
    <w:rsid w:val="00671210"/>
    <w:rsid w:val="00671305"/>
    <w:rsid w:val="00671D94"/>
    <w:rsid w:val="00672399"/>
    <w:rsid w:val="0067248A"/>
    <w:rsid w:val="006729A4"/>
    <w:rsid w:val="00672C30"/>
    <w:rsid w:val="00672D0D"/>
    <w:rsid w:val="006735E1"/>
    <w:rsid w:val="00673DD0"/>
    <w:rsid w:val="00673EB2"/>
    <w:rsid w:val="00675440"/>
    <w:rsid w:val="0067546E"/>
    <w:rsid w:val="006754DC"/>
    <w:rsid w:val="00675FBB"/>
    <w:rsid w:val="006777ED"/>
    <w:rsid w:val="00677ED3"/>
    <w:rsid w:val="006803C8"/>
    <w:rsid w:val="006804B5"/>
    <w:rsid w:val="00680B0D"/>
    <w:rsid w:val="00680B3B"/>
    <w:rsid w:val="00680B65"/>
    <w:rsid w:val="0068108A"/>
    <w:rsid w:val="006817B5"/>
    <w:rsid w:val="00681FA4"/>
    <w:rsid w:val="00683B8D"/>
    <w:rsid w:val="00683D03"/>
    <w:rsid w:val="0068597A"/>
    <w:rsid w:val="00685C1B"/>
    <w:rsid w:val="00686659"/>
    <w:rsid w:val="00686E93"/>
    <w:rsid w:val="006871A2"/>
    <w:rsid w:val="006878E3"/>
    <w:rsid w:val="00691198"/>
    <w:rsid w:val="006915F1"/>
    <w:rsid w:val="00691E4D"/>
    <w:rsid w:val="00691E91"/>
    <w:rsid w:val="00692105"/>
    <w:rsid w:val="0069221E"/>
    <w:rsid w:val="00692245"/>
    <w:rsid w:val="0069229A"/>
    <w:rsid w:val="006927C7"/>
    <w:rsid w:val="00693527"/>
    <w:rsid w:val="00693E2C"/>
    <w:rsid w:val="00693EEE"/>
    <w:rsid w:val="00694D62"/>
    <w:rsid w:val="0069525F"/>
    <w:rsid w:val="00695E38"/>
    <w:rsid w:val="006966F4"/>
    <w:rsid w:val="0069694A"/>
    <w:rsid w:val="00696AC4"/>
    <w:rsid w:val="00697B4A"/>
    <w:rsid w:val="00697EAE"/>
    <w:rsid w:val="006A02A8"/>
    <w:rsid w:val="006A07CD"/>
    <w:rsid w:val="006A0B7D"/>
    <w:rsid w:val="006A0EB7"/>
    <w:rsid w:val="006A1CB8"/>
    <w:rsid w:val="006A1DED"/>
    <w:rsid w:val="006A1EBF"/>
    <w:rsid w:val="006A2039"/>
    <w:rsid w:val="006A2089"/>
    <w:rsid w:val="006A2312"/>
    <w:rsid w:val="006A289B"/>
    <w:rsid w:val="006A3262"/>
    <w:rsid w:val="006A34AB"/>
    <w:rsid w:val="006A361C"/>
    <w:rsid w:val="006A613B"/>
    <w:rsid w:val="006A6E3D"/>
    <w:rsid w:val="006B0664"/>
    <w:rsid w:val="006B1609"/>
    <w:rsid w:val="006B17C0"/>
    <w:rsid w:val="006B1FEE"/>
    <w:rsid w:val="006B2586"/>
    <w:rsid w:val="006B335E"/>
    <w:rsid w:val="006B35FE"/>
    <w:rsid w:val="006B390F"/>
    <w:rsid w:val="006B3B47"/>
    <w:rsid w:val="006B4FEF"/>
    <w:rsid w:val="006B56D1"/>
    <w:rsid w:val="006B5E3E"/>
    <w:rsid w:val="006B6145"/>
    <w:rsid w:val="006C0977"/>
    <w:rsid w:val="006C0B40"/>
    <w:rsid w:val="006C0F3B"/>
    <w:rsid w:val="006C1B85"/>
    <w:rsid w:val="006C26DA"/>
    <w:rsid w:val="006C2C1A"/>
    <w:rsid w:val="006C381C"/>
    <w:rsid w:val="006C3891"/>
    <w:rsid w:val="006C38A7"/>
    <w:rsid w:val="006C3D5B"/>
    <w:rsid w:val="006C3D94"/>
    <w:rsid w:val="006C4CC0"/>
    <w:rsid w:val="006C5154"/>
    <w:rsid w:val="006C5487"/>
    <w:rsid w:val="006C5557"/>
    <w:rsid w:val="006C560A"/>
    <w:rsid w:val="006C5611"/>
    <w:rsid w:val="006C629E"/>
    <w:rsid w:val="006C6764"/>
    <w:rsid w:val="006C67F1"/>
    <w:rsid w:val="006C6872"/>
    <w:rsid w:val="006C6C5F"/>
    <w:rsid w:val="006C7111"/>
    <w:rsid w:val="006C7139"/>
    <w:rsid w:val="006C78D0"/>
    <w:rsid w:val="006C7E4C"/>
    <w:rsid w:val="006D0141"/>
    <w:rsid w:val="006D07A0"/>
    <w:rsid w:val="006D0AE1"/>
    <w:rsid w:val="006D0C21"/>
    <w:rsid w:val="006D0CF6"/>
    <w:rsid w:val="006D12AB"/>
    <w:rsid w:val="006D142B"/>
    <w:rsid w:val="006D1E24"/>
    <w:rsid w:val="006D3729"/>
    <w:rsid w:val="006D49DC"/>
    <w:rsid w:val="006D5068"/>
    <w:rsid w:val="006D51A7"/>
    <w:rsid w:val="006D6B23"/>
    <w:rsid w:val="006D6C6F"/>
    <w:rsid w:val="006D71C7"/>
    <w:rsid w:val="006D755D"/>
    <w:rsid w:val="006D79B0"/>
    <w:rsid w:val="006E015C"/>
    <w:rsid w:val="006E05F4"/>
    <w:rsid w:val="006E0606"/>
    <w:rsid w:val="006E0CBF"/>
    <w:rsid w:val="006E187E"/>
    <w:rsid w:val="006E1F34"/>
    <w:rsid w:val="006E27C1"/>
    <w:rsid w:val="006E2FE2"/>
    <w:rsid w:val="006E343A"/>
    <w:rsid w:val="006E3642"/>
    <w:rsid w:val="006E3CB4"/>
    <w:rsid w:val="006E4A22"/>
    <w:rsid w:val="006E4C36"/>
    <w:rsid w:val="006E72D2"/>
    <w:rsid w:val="006F00F8"/>
    <w:rsid w:val="006F02D8"/>
    <w:rsid w:val="006F13E6"/>
    <w:rsid w:val="006F1C72"/>
    <w:rsid w:val="006F1E20"/>
    <w:rsid w:val="006F1E2E"/>
    <w:rsid w:val="006F1EBF"/>
    <w:rsid w:val="006F2460"/>
    <w:rsid w:val="006F2686"/>
    <w:rsid w:val="006F36E4"/>
    <w:rsid w:val="006F4589"/>
    <w:rsid w:val="006F46FD"/>
    <w:rsid w:val="006F4A83"/>
    <w:rsid w:val="006F4C20"/>
    <w:rsid w:val="006F5FA5"/>
    <w:rsid w:val="006F6488"/>
    <w:rsid w:val="006F6B8F"/>
    <w:rsid w:val="006F6E39"/>
    <w:rsid w:val="006F7294"/>
    <w:rsid w:val="007002FA"/>
    <w:rsid w:val="00700A00"/>
    <w:rsid w:val="00700C3C"/>
    <w:rsid w:val="007014F9"/>
    <w:rsid w:val="0070196E"/>
    <w:rsid w:val="007027AC"/>
    <w:rsid w:val="00702952"/>
    <w:rsid w:val="007031D6"/>
    <w:rsid w:val="007043BD"/>
    <w:rsid w:val="00704945"/>
    <w:rsid w:val="00705E11"/>
    <w:rsid w:val="00706A4D"/>
    <w:rsid w:val="00706F75"/>
    <w:rsid w:val="007071EC"/>
    <w:rsid w:val="00707CE2"/>
    <w:rsid w:val="00707D41"/>
    <w:rsid w:val="00707E41"/>
    <w:rsid w:val="00710387"/>
    <w:rsid w:val="00710ECE"/>
    <w:rsid w:val="00710F5E"/>
    <w:rsid w:val="00711564"/>
    <w:rsid w:val="0071173F"/>
    <w:rsid w:val="00711828"/>
    <w:rsid w:val="0071199D"/>
    <w:rsid w:val="007122CC"/>
    <w:rsid w:val="00712549"/>
    <w:rsid w:val="00713199"/>
    <w:rsid w:val="0071375C"/>
    <w:rsid w:val="0071383E"/>
    <w:rsid w:val="00713BE1"/>
    <w:rsid w:val="00713EC2"/>
    <w:rsid w:val="00713F62"/>
    <w:rsid w:val="00714143"/>
    <w:rsid w:val="007142F7"/>
    <w:rsid w:val="00715054"/>
    <w:rsid w:val="007151FE"/>
    <w:rsid w:val="0071549C"/>
    <w:rsid w:val="007155F1"/>
    <w:rsid w:val="00715D3D"/>
    <w:rsid w:val="00715EF4"/>
    <w:rsid w:val="007164F9"/>
    <w:rsid w:val="007165AA"/>
    <w:rsid w:val="00716ED9"/>
    <w:rsid w:val="007178E4"/>
    <w:rsid w:val="00717AE7"/>
    <w:rsid w:val="00717B76"/>
    <w:rsid w:val="00717BA4"/>
    <w:rsid w:val="00717EC2"/>
    <w:rsid w:val="00720B36"/>
    <w:rsid w:val="007212EE"/>
    <w:rsid w:val="00722217"/>
    <w:rsid w:val="00722595"/>
    <w:rsid w:val="007227BF"/>
    <w:rsid w:val="00724B49"/>
    <w:rsid w:val="00724D0D"/>
    <w:rsid w:val="00725335"/>
    <w:rsid w:val="00725BB1"/>
    <w:rsid w:val="00725FFA"/>
    <w:rsid w:val="0072605F"/>
    <w:rsid w:val="007263A5"/>
    <w:rsid w:val="0072665B"/>
    <w:rsid w:val="007272D6"/>
    <w:rsid w:val="00727581"/>
    <w:rsid w:val="007278A9"/>
    <w:rsid w:val="00727F50"/>
    <w:rsid w:val="00730AF1"/>
    <w:rsid w:val="00730B81"/>
    <w:rsid w:val="00730C51"/>
    <w:rsid w:val="007310A5"/>
    <w:rsid w:val="007318F1"/>
    <w:rsid w:val="00732CBB"/>
    <w:rsid w:val="007336D8"/>
    <w:rsid w:val="00734B14"/>
    <w:rsid w:val="00734BB0"/>
    <w:rsid w:val="0073571F"/>
    <w:rsid w:val="00735B34"/>
    <w:rsid w:val="00735DD6"/>
    <w:rsid w:val="00735FAA"/>
    <w:rsid w:val="00736074"/>
    <w:rsid w:val="007361FD"/>
    <w:rsid w:val="007370B2"/>
    <w:rsid w:val="00737360"/>
    <w:rsid w:val="00740251"/>
    <w:rsid w:val="00740C5C"/>
    <w:rsid w:val="00740EC4"/>
    <w:rsid w:val="00741015"/>
    <w:rsid w:val="00741211"/>
    <w:rsid w:val="007413A9"/>
    <w:rsid w:val="00741E9D"/>
    <w:rsid w:val="007421D7"/>
    <w:rsid w:val="007428FB"/>
    <w:rsid w:val="00742D67"/>
    <w:rsid w:val="00742F6D"/>
    <w:rsid w:val="00743183"/>
    <w:rsid w:val="007437E9"/>
    <w:rsid w:val="007441D6"/>
    <w:rsid w:val="00744879"/>
    <w:rsid w:val="00745708"/>
    <w:rsid w:val="00745759"/>
    <w:rsid w:val="007467A9"/>
    <w:rsid w:val="00747BC6"/>
    <w:rsid w:val="00747BCB"/>
    <w:rsid w:val="00747C28"/>
    <w:rsid w:val="007500BD"/>
    <w:rsid w:val="00750E78"/>
    <w:rsid w:val="0075101B"/>
    <w:rsid w:val="0075156A"/>
    <w:rsid w:val="00752102"/>
    <w:rsid w:val="00752FB4"/>
    <w:rsid w:val="0075339D"/>
    <w:rsid w:val="00753D74"/>
    <w:rsid w:val="00754338"/>
    <w:rsid w:val="00754693"/>
    <w:rsid w:val="00754944"/>
    <w:rsid w:val="00754C81"/>
    <w:rsid w:val="00754CC5"/>
    <w:rsid w:val="00754FED"/>
    <w:rsid w:val="007553E8"/>
    <w:rsid w:val="00755411"/>
    <w:rsid w:val="00755A45"/>
    <w:rsid w:val="00755AD1"/>
    <w:rsid w:val="00755B9A"/>
    <w:rsid w:val="00756C6E"/>
    <w:rsid w:val="007570A5"/>
    <w:rsid w:val="007571DA"/>
    <w:rsid w:val="007572C8"/>
    <w:rsid w:val="007573C6"/>
    <w:rsid w:val="007575B6"/>
    <w:rsid w:val="007578DF"/>
    <w:rsid w:val="007578E5"/>
    <w:rsid w:val="00757B58"/>
    <w:rsid w:val="00757F55"/>
    <w:rsid w:val="007605CF"/>
    <w:rsid w:val="0076087C"/>
    <w:rsid w:val="00760AAA"/>
    <w:rsid w:val="00760D7E"/>
    <w:rsid w:val="0076182B"/>
    <w:rsid w:val="00761BBF"/>
    <w:rsid w:val="007621E1"/>
    <w:rsid w:val="007625EB"/>
    <w:rsid w:val="00762B58"/>
    <w:rsid w:val="00762DE0"/>
    <w:rsid w:val="0076372C"/>
    <w:rsid w:val="00763D65"/>
    <w:rsid w:val="0076463A"/>
    <w:rsid w:val="00764F13"/>
    <w:rsid w:val="0076535A"/>
    <w:rsid w:val="0076578B"/>
    <w:rsid w:val="007659DA"/>
    <w:rsid w:val="00765B20"/>
    <w:rsid w:val="00765BBC"/>
    <w:rsid w:val="007661C9"/>
    <w:rsid w:val="00766783"/>
    <w:rsid w:val="007675DA"/>
    <w:rsid w:val="0076772E"/>
    <w:rsid w:val="00767D68"/>
    <w:rsid w:val="0077024E"/>
    <w:rsid w:val="00770547"/>
    <w:rsid w:val="0077062D"/>
    <w:rsid w:val="0077077A"/>
    <w:rsid w:val="00770793"/>
    <w:rsid w:val="007708F0"/>
    <w:rsid w:val="00770BDD"/>
    <w:rsid w:val="00770BFA"/>
    <w:rsid w:val="0077101D"/>
    <w:rsid w:val="00771609"/>
    <w:rsid w:val="007718EC"/>
    <w:rsid w:val="007719D7"/>
    <w:rsid w:val="00771CF6"/>
    <w:rsid w:val="0077279F"/>
    <w:rsid w:val="00775438"/>
    <w:rsid w:val="00775B4B"/>
    <w:rsid w:val="00776292"/>
    <w:rsid w:val="007762CC"/>
    <w:rsid w:val="00776485"/>
    <w:rsid w:val="00780177"/>
    <w:rsid w:val="00780C4C"/>
    <w:rsid w:val="0078114A"/>
    <w:rsid w:val="00781A67"/>
    <w:rsid w:val="007821E1"/>
    <w:rsid w:val="00782204"/>
    <w:rsid w:val="007826F1"/>
    <w:rsid w:val="0078385C"/>
    <w:rsid w:val="00784970"/>
    <w:rsid w:val="00784F70"/>
    <w:rsid w:val="00785AC1"/>
    <w:rsid w:val="00785F73"/>
    <w:rsid w:val="007860A0"/>
    <w:rsid w:val="007865CA"/>
    <w:rsid w:val="00786E13"/>
    <w:rsid w:val="00787705"/>
    <w:rsid w:val="007902F6"/>
    <w:rsid w:val="007914B7"/>
    <w:rsid w:val="007917FD"/>
    <w:rsid w:val="00791927"/>
    <w:rsid w:val="00791C9C"/>
    <w:rsid w:val="00792C38"/>
    <w:rsid w:val="00792DB5"/>
    <w:rsid w:val="00792E17"/>
    <w:rsid w:val="00793090"/>
    <w:rsid w:val="00793A92"/>
    <w:rsid w:val="00793E46"/>
    <w:rsid w:val="0079420E"/>
    <w:rsid w:val="00794485"/>
    <w:rsid w:val="007950CB"/>
    <w:rsid w:val="00795B25"/>
    <w:rsid w:val="00795CCC"/>
    <w:rsid w:val="007969E5"/>
    <w:rsid w:val="007A0372"/>
    <w:rsid w:val="007A0AA8"/>
    <w:rsid w:val="007A0D17"/>
    <w:rsid w:val="007A0F40"/>
    <w:rsid w:val="007A0FFE"/>
    <w:rsid w:val="007A168E"/>
    <w:rsid w:val="007A1AEB"/>
    <w:rsid w:val="007A2AC7"/>
    <w:rsid w:val="007A2C5C"/>
    <w:rsid w:val="007A39F8"/>
    <w:rsid w:val="007A432F"/>
    <w:rsid w:val="007A4AC9"/>
    <w:rsid w:val="007A53C4"/>
    <w:rsid w:val="007A54D9"/>
    <w:rsid w:val="007A655A"/>
    <w:rsid w:val="007A6771"/>
    <w:rsid w:val="007A6E5B"/>
    <w:rsid w:val="007A7AEE"/>
    <w:rsid w:val="007B028E"/>
    <w:rsid w:val="007B0662"/>
    <w:rsid w:val="007B0D18"/>
    <w:rsid w:val="007B0D71"/>
    <w:rsid w:val="007B1036"/>
    <w:rsid w:val="007B1207"/>
    <w:rsid w:val="007B1499"/>
    <w:rsid w:val="007B1970"/>
    <w:rsid w:val="007B19E9"/>
    <w:rsid w:val="007B2B2D"/>
    <w:rsid w:val="007B2E20"/>
    <w:rsid w:val="007B4F85"/>
    <w:rsid w:val="007B56F0"/>
    <w:rsid w:val="007B5B1A"/>
    <w:rsid w:val="007B662A"/>
    <w:rsid w:val="007B6761"/>
    <w:rsid w:val="007B6AA2"/>
    <w:rsid w:val="007C221C"/>
    <w:rsid w:val="007C286C"/>
    <w:rsid w:val="007C28D6"/>
    <w:rsid w:val="007C322A"/>
    <w:rsid w:val="007C32F5"/>
    <w:rsid w:val="007C3655"/>
    <w:rsid w:val="007C3889"/>
    <w:rsid w:val="007C3E57"/>
    <w:rsid w:val="007C4DC6"/>
    <w:rsid w:val="007C5242"/>
    <w:rsid w:val="007C5944"/>
    <w:rsid w:val="007C5AD8"/>
    <w:rsid w:val="007C5B40"/>
    <w:rsid w:val="007C5D8B"/>
    <w:rsid w:val="007C62E4"/>
    <w:rsid w:val="007C72C4"/>
    <w:rsid w:val="007C7C15"/>
    <w:rsid w:val="007C7D28"/>
    <w:rsid w:val="007D08EA"/>
    <w:rsid w:val="007D1686"/>
    <w:rsid w:val="007D1CB0"/>
    <w:rsid w:val="007D1CF0"/>
    <w:rsid w:val="007D1FEA"/>
    <w:rsid w:val="007D2C55"/>
    <w:rsid w:val="007D2D9A"/>
    <w:rsid w:val="007D2F47"/>
    <w:rsid w:val="007D35E0"/>
    <w:rsid w:val="007D4449"/>
    <w:rsid w:val="007D493D"/>
    <w:rsid w:val="007D49DF"/>
    <w:rsid w:val="007D4AD9"/>
    <w:rsid w:val="007D50AE"/>
    <w:rsid w:val="007D596B"/>
    <w:rsid w:val="007D6951"/>
    <w:rsid w:val="007D759C"/>
    <w:rsid w:val="007E1CB6"/>
    <w:rsid w:val="007E2008"/>
    <w:rsid w:val="007E22A7"/>
    <w:rsid w:val="007E334A"/>
    <w:rsid w:val="007E37B2"/>
    <w:rsid w:val="007E4368"/>
    <w:rsid w:val="007E45E7"/>
    <w:rsid w:val="007E46B2"/>
    <w:rsid w:val="007E46D8"/>
    <w:rsid w:val="007E4CBD"/>
    <w:rsid w:val="007E4E4B"/>
    <w:rsid w:val="007E53E7"/>
    <w:rsid w:val="007E583B"/>
    <w:rsid w:val="007E5D90"/>
    <w:rsid w:val="007E6696"/>
    <w:rsid w:val="007E691D"/>
    <w:rsid w:val="007E69B5"/>
    <w:rsid w:val="007E6C0B"/>
    <w:rsid w:val="007E6EDF"/>
    <w:rsid w:val="007E7082"/>
    <w:rsid w:val="007E7360"/>
    <w:rsid w:val="007E760E"/>
    <w:rsid w:val="007E7800"/>
    <w:rsid w:val="007F0583"/>
    <w:rsid w:val="007F0FDD"/>
    <w:rsid w:val="007F1346"/>
    <w:rsid w:val="007F1ECA"/>
    <w:rsid w:val="007F2778"/>
    <w:rsid w:val="007F2795"/>
    <w:rsid w:val="007F35AD"/>
    <w:rsid w:val="007F37F1"/>
    <w:rsid w:val="007F3A05"/>
    <w:rsid w:val="007F403D"/>
    <w:rsid w:val="007F40D8"/>
    <w:rsid w:val="007F4C1F"/>
    <w:rsid w:val="007F4D06"/>
    <w:rsid w:val="007F4F13"/>
    <w:rsid w:val="007F5E21"/>
    <w:rsid w:val="007F6B77"/>
    <w:rsid w:val="007F6CEA"/>
    <w:rsid w:val="007F73C0"/>
    <w:rsid w:val="007F73C7"/>
    <w:rsid w:val="007F7ECF"/>
    <w:rsid w:val="0080006E"/>
    <w:rsid w:val="008003B5"/>
    <w:rsid w:val="008006D3"/>
    <w:rsid w:val="00800D52"/>
    <w:rsid w:val="00800E66"/>
    <w:rsid w:val="008010D1"/>
    <w:rsid w:val="0080164B"/>
    <w:rsid w:val="008018BB"/>
    <w:rsid w:val="00801AE8"/>
    <w:rsid w:val="008028A4"/>
    <w:rsid w:val="008028F3"/>
    <w:rsid w:val="00802A32"/>
    <w:rsid w:val="00802ACC"/>
    <w:rsid w:val="00803997"/>
    <w:rsid w:val="0080445C"/>
    <w:rsid w:val="00804462"/>
    <w:rsid w:val="00804A37"/>
    <w:rsid w:val="00805039"/>
    <w:rsid w:val="0080543F"/>
    <w:rsid w:val="008066ED"/>
    <w:rsid w:val="008074F4"/>
    <w:rsid w:val="008102CD"/>
    <w:rsid w:val="00810892"/>
    <w:rsid w:val="008113A5"/>
    <w:rsid w:val="008118B4"/>
    <w:rsid w:val="00811E9D"/>
    <w:rsid w:val="00811F90"/>
    <w:rsid w:val="0081269D"/>
    <w:rsid w:val="0081354C"/>
    <w:rsid w:val="008135D0"/>
    <w:rsid w:val="00813742"/>
    <w:rsid w:val="008137A6"/>
    <w:rsid w:val="00813E9E"/>
    <w:rsid w:val="008143FA"/>
    <w:rsid w:val="00815077"/>
    <w:rsid w:val="00815126"/>
    <w:rsid w:val="00815943"/>
    <w:rsid w:val="00816AC4"/>
    <w:rsid w:val="0081701E"/>
    <w:rsid w:val="008170EC"/>
    <w:rsid w:val="008173A6"/>
    <w:rsid w:val="00817C26"/>
    <w:rsid w:val="00820224"/>
    <w:rsid w:val="00820692"/>
    <w:rsid w:val="008209BF"/>
    <w:rsid w:val="0082170D"/>
    <w:rsid w:val="00821BA0"/>
    <w:rsid w:val="008231C3"/>
    <w:rsid w:val="00823628"/>
    <w:rsid w:val="00823C20"/>
    <w:rsid w:val="00824140"/>
    <w:rsid w:val="00824765"/>
    <w:rsid w:val="00824DDA"/>
    <w:rsid w:val="008254D3"/>
    <w:rsid w:val="00825E48"/>
    <w:rsid w:val="0082686A"/>
    <w:rsid w:val="008269A8"/>
    <w:rsid w:val="00826EF4"/>
    <w:rsid w:val="0082726A"/>
    <w:rsid w:val="00827F68"/>
    <w:rsid w:val="00830A20"/>
    <w:rsid w:val="0083152C"/>
    <w:rsid w:val="00832B51"/>
    <w:rsid w:val="008333D9"/>
    <w:rsid w:val="00833DFD"/>
    <w:rsid w:val="00834533"/>
    <w:rsid w:val="00834C43"/>
    <w:rsid w:val="0083577E"/>
    <w:rsid w:val="00835C83"/>
    <w:rsid w:val="00835D0B"/>
    <w:rsid w:val="00835DE6"/>
    <w:rsid w:val="00836442"/>
    <w:rsid w:val="0083673D"/>
    <w:rsid w:val="00836EF6"/>
    <w:rsid w:val="00836FEB"/>
    <w:rsid w:val="008373D4"/>
    <w:rsid w:val="00837DAA"/>
    <w:rsid w:val="0084018A"/>
    <w:rsid w:val="00840DDD"/>
    <w:rsid w:val="00841209"/>
    <w:rsid w:val="008415C0"/>
    <w:rsid w:val="00842ADF"/>
    <w:rsid w:val="00842CE7"/>
    <w:rsid w:val="00842FCC"/>
    <w:rsid w:val="0084310E"/>
    <w:rsid w:val="00843344"/>
    <w:rsid w:val="008433B7"/>
    <w:rsid w:val="00843794"/>
    <w:rsid w:val="008437EC"/>
    <w:rsid w:val="008438B0"/>
    <w:rsid w:val="00843904"/>
    <w:rsid w:val="00843BA9"/>
    <w:rsid w:val="008448BE"/>
    <w:rsid w:val="00844A85"/>
    <w:rsid w:val="00844E93"/>
    <w:rsid w:val="00845F5D"/>
    <w:rsid w:val="00846371"/>
    <w:rsid w:val="00846791"/>
    <w:rsid w:val="00846BD3"/>
    <w:rsid w:val="00846C1F"/>
    <w:rsid w:val="008510E5"/>
    <w:rsid w:val="00851902"/>
    <w:rsid w:val="00852D6E"/>
    <w:rsid w:val="00852E54"/>
    <w:rsid w:val="008531AF"/>
    <w:rsid w:val="008532A4"/>
    <w:rsid w:val="0085398D"/>
    <w:rsid w:val="00853ECD"/>
    <w:rsid w:val="00854007"/>
    <w:rsid w:val="008544E1"/>
    <w:rsid w:val="008552E6"/>
    <w:rsid w:val="008552EF"/>
    <w:rsid w:val="008554DB"/>
    <w:rsid w:val="00855BAA"/>
    <w:rsid w:val="0085601A"/>
    <w:rsid w:val="0085654B"/>
    <w:rsid w:val="008566F9"/>
    <w:rsid w:val="00856729"/>
    <w:rsid w:val="00856E61"/>
    <w:rsid w:val="00857005"/>
    <w:rsid w:val="00857177"/>
    <w:rsid w:val="00860BDC"/>
    <w:rsid w:val="00860DB6"/>
    <w:rsid w:val="00861A54"/>
    <w:rsid w:val="00861BF9"/>
    <w:rsid w:val="00861E23"/>
    <w:rsid w:val="00861F70"/>
    <w:rsid w:val="00862CE1"/>
    <w:rsid w:val="008631E5"/>
    <w:rsid w:val="008633AC"/>
    <w:rsid w:val="008638F2"/>
    <w:rsid w:val="00863D3E"/>
    <w:rsid w:val="008644BD"/>
    <w:rsid w:val="008652F0"/>
    <w:rsid w:val="0086551D"/>
    <w:rsid w:val="008655F8"/>
    <w:rsid w:val="00865628"/>
    <w:rsid w:val="00865D45"/>
    <w:rsid w:val="008669DE"/>
    <w:rsid w:val="00866CA6"/>
    <w:rsid w:val="00866CC2"/>
    <w:rsid w:val="008674D9"/>
    <w:rsid w:val="008709DC"/>
    <w:rsid w:val="00870B4F"/>
    <w:rsid w:val="0087162A"/>
    <w:rsid w:val="0087187B"/>
    <w:rsid w:val="00871A2A"/>
    <w:rsid w:val="00871B66"/>
    <w:rsid w:val="008720D3"/>
    <w:rsid w:val="008722C0"/>
    <w:rsid w:val="008727C4"/>
    <w:rsid w:val="00872E29"/>
    <w:rsid w:val="0087399E"/>
    <w:rsid w:val="00873A5D"/>
    <w:rsid w:val="00873AD2"/>
    <w:rsid w:val="00874175"/>
    <w:rsid w:val="008744C9"/>
    <w:rsid w:val="00874918"/>
    <w:rsid w:val="0087634B"/>
    <w:rsid w:val="00876716"/>
    <w:rsid w:val="00876908"/>
    <w:rsid w:val="00876E82"/>
    <w:rsid w:val="00876F54"/>
    <w:rsid w:val="0087721C"/>
    <w:rsid w:val="00880042"/>
    <w:rsid w:val="00880137"/>
    <w:rsid w:val="008804DA"/>
    <w:rsid w:val="00880659"/>
    <w:rsid w:val="00880E82"/>
    <w:rsid w:val="0088109E"/>
    <w:rsid w:val="0088132B"/>
    <w:rsid w:val="0088139D"/>
    <w:rsid w:val="00881A48"/>
    <w:rsid w:val="00881ACC"/>
    <w:rsid w:val="00881BEB"/>
    <w:rsid w:val="008821D3"/>
    <w:rsid w:val="0088280A"/>
    <w:rsid w:val="008829A4"/>
    <w:rsid w:val="00882C12"/>
    <w:rsid w:val="00882D03"/>
    <w:rsid w:val="00883AAF"/>
    <w:rsid w:val="008849E9"/>
    <w:rsid w:val="00885086"/>
    <w:rsid w:val="0088530E"/>
    <w:rsid w:val="008856E6"/>
    <w:rsid w:val="00885DC9"/>
    <w:rsid w:val="00886031"/>
    <w:rsid w:val="00886487"/>
    <w:rsid w:val="00886BC6"/>
    <w:rsid w:val="00891164"/>
    <w:rsid w:val="00891225"/>
    <w:rsid w:val="0089256A"/>
    <w:rsid w:val="008925B8"/>
    <w:rsid w:val="00892BC3"/>
    <w:rsid w:val="00892E80"/>
    <w:rsid w:val="00893145"/>
    <w:rsid w:val="008931D4"/>
    <w:rsid w:val="00893786"/>
    <w:rsid w:val="00893AAE"/>
    <w:rsid w:val="00893F30"/>
    <w:rsid w:val="008940B0"/>
    <w:rsid w:val="00894A97"/>
    <w:rsid w:val="00894D81"/>
    <w:rsid w:val="0089546C"/>
    <w:rsid w:val="00895908"/>
    <w:rsid w:val="00895BEB"/>
    <w:rsid w:val="0089635D"/>
    <w:rsid w:val="00896921"/>
    <w:rsid w:val="00896AF5"/>
    <w:rsid w:val="00896DA0"/>
    <w:rsid w:val="00897C73"/>
    <w:rsid w:val="00897E33"/>
    <w:rsid w:val="00897FCC"/>
    <w:rsid w:val="008A01E2"/>
    <w:rsid w:val="008A02A8"/>
    <w:rsid w:val="008A02EE"/>
    <w:rsid w:val="008A0E70"/>
    <w:rsid w:val="008A151C"/>
    <w:rsid w:val="008A174B"/>
    <w:rsid w:val="008A1F7D"/>
    <w:rsid w:val="008A2450"/>
    <w:rsid w:val="008A2622"/>
    <w:rsid w:val="008A2C7F"/>
    <w:rsid w:val="008A3246"/>
    <w:rsid w:val="008A3292"/>
    <w:rsid w:val="008A36FB"/>
    <w:rsid w:val="008A3A4F"/>
    <w:rsid w:val="008A40CA"/>
    <w:rsid w:val="008A4495"/>
    <w:rsid w:val="008A5694"/>
    <w:rsid w:val="008A5B88"/>
    <w:rsid w:val="008A6020"/>
    <w:rsid w:val="008A65B8"/>
    <w:rsid w:val="008A7942"/>
    <w:rsid w:val="008B00F2"/>
    <w:rsid w:val="008B019C"/>
    <w:rsid w:val="008B13EA"/>
    <w:rsid w:val="008B15D7"/>
    <w:rsid w:val="008B1836"/>
    <w:rsid w:val="008B1C9A"/>
    <w:rsid w:val="008B285F"/>
    <w:rsid w:val="008B306A"/>
    <w:rsid w:val="008B318E"/>
    <w:rsid w:val="008B445B"/>
    <w:rsid w:val="008B4467"/>
    <w:rsid w:val="008B4613"/>
    <w:rsid w:val="008B4D24"/>
    <w:rsid w:val="008B62AB"/>
    <w:rsid w:val="008B6C64"/>
    <w:rsid w:val="008B73B1"/>
    <w:rsid w:val="008B746B"/>
    <w:rsid w:val="008B76C5"/>
    <w:rsid w:val="008B7B3F"/>
    <w:rsid w:val="008B7BE2"/>
    <w:rsid w:val="008B7C7D"/>
    <w:rsid w:val="008B7EC3"/>
    <w:rsid w:val="008C0345"/>
    <w:rsid w:val="008C11E1"/>
    <w:rsid w:val="008C15CD"/>
    <w:rsid w:val="008C2729"/>
    <w:rsid w:val="008C2C3E"/>
    <w:rsid w:val="008C318C"/>
    <w:rsid w:val="008C3408"/>
    <w:rsid w:val="008C3619"/>
    <w:rsid w:val="008C376E"/>
    <w:rsid w:val="008C3C43"/>
    <w:rsid w:val="008C3E2A"/>
    <w:rsid w:val="008C4449"/>
    <w:rsid w:val="008C45AF"/>
    <w:rsid w:val="008C4748"/>
    <w:rsid w:val="008C616A"/>
    <w:rsid w:val="008C6320"/>
    <w:rsid w:val="008C687E"/>
    <w:rsid w:val="008C6962"/>
    <w:rsid w:val="008C6EF6"/>
    <w:rsid w:val="008C761A"/>
    <w:rsid w:val="008C7D89"/>
    <w:rsid w:val="008D0222"/>
    <w:rsid w:val="008D09B1"/>
    <w:rsid w:val="008D0B9D"/>
    <w:rsid w:val="008D1B6A"/>
    <w:rsid w:val="008D2D32"/>
    <w:rsid w:val="008D2E76"/>
    <w:rsid w:val="008D319A"/>
    <w:rsid w:val="008D3BB2"/>
    <w:rsid w:val="008D3E15"/>
    <w:rsid w:val="008D41A3"/>
    <w:rsid w:val="008D4623"/>
    <w:rsid w:val="008D47DE"/>
    <w:rsid w:val="008D4A89"/>
    <w:rsid w:val="008D4EAB"/>
    <w:rsid w:val="008D5A87"/>
    <w:rsid w:val="008D5C3B"/>
    <w:rsid w:val="008D7234"/>
    <w:rsid w:val="008D7594"/>
    <w:rsid w:val="008D7A79"/>
    <w:rsid w:val="008E0A0B"/>
    <w:rsid w:val="008E0E90"/>
    <w:rsid w:val="008E0FBE"/>
    <w:rsid w:val="008E160A"/>
    <w:rsid w:val="008E1D3C"/>
    <w:rsid w:val="008E1D51"/>
    <w:rsid w:val="008E20A6"/>
    <w:rsid w:val="008E2622"/>
    <w:rsid w:val="008E27DA"/>
    <w:rsid w:val="008E3691"/>
    <w:rsid w:val="008E3771"/>
    <w:rsid w:val="008E3B11"/>
    <w:rsid w:val="008E56B2"/>
    <w:rsid w:val="008E56C6"/>
    <w:rsid w:val="008E5B64"/>
    <w:rsid w:val="008E5FC7"/>
    <w:rsid w:val="008E68E1"/>
    <w:rsid w:val="008E7084"/>
    <w:rsid w:val="008E7515"/>
    <w:rsid w:val="008E7A25"/>
    <w:rsid w:val="008F01F6"/>
    <w:rsid w:val="008F0F23"/>
    <w:rsid w:val="008F15A9"/>
    <w:rsid w:val="008F1879"/>
    <w:rsid w:val="008F1D08"/>
    <w:rsid w:val="008F2953"/>
    <w:rsid w:val="008F2BE0"/>
    <w:rsid w:val="008F34C9"/>
    <w:rsid w:val="008F3CDF"/>
    <w:rsid w:val="008F4ECE"/>
    <w:rsid w:val="008F51B4"/>
    <w:rsid w:val="008F713C"/>
    <w:rsid w:val="008F732E"/>
    <w:rsid w:val="008F78BA"/>
    <w:rsid w:val="008F79D0"/>
    <w:rsid w:val="008F7A18"/>
    <w:rsid w:val="009006AE"/>
    <w:rsid w:val="00900798"/>
    <w:rsid w:val="00900817"/>
    <w:rsid w:val="009015EB"/>
    <w:rsid w:val="00901E0E"/>
    <w:rsid w:val="009020DF"/>
    <w:rsid w:val="00902C36"/>
    <w:rsid w:val="00903171"/>
    <w:rsid w:val="00903999"/>
    <w:rsid w:val="00903EAA"/>
    <w:rsid w:val="00903FF6"/>
    <w:rsid w:val="0090425F"/>
    <w:rsid w:val="0090463F"/>
    <w:rsid w:val="0090466B"/>
    <w:rsid w:val="00904B05"/>
    <w:rsid w:val="00906739"/>
    <w:rsid w:val="00906F5A"/>
    <w:rsid w:val="009078BB"/>
    <w:rsid w:val="009101B4"/>
    <w:rsid w:val="00913183"/>
    <w:rsid w:val="009136BE"/>
    <w:rsid w:val="00913B4D"/>
    <w:rsid w:val="00913CA4"/>
    <w:rsid w:val="00913E44"/>
    <w:rsid w:val="00914BD5"/>
    <w:rsid w:val="00915177"/>
    <w:rsid w:val="00915310"/>
    <w:rsid w:val="00915407"/>
    <w:rsid w:val="009158AE"/>
    <w:rsid w:val="00915D5E"/>
    <w:rsid w:val="00915EDF"/>
    <w:rsid w:val="0091693D"/>
    <w:rsid w:val="00916DA1"/>
    <w:rsid w:val="009175F7"/>
    <w:rsid w:val="009179EF"/>
    <w:rsid w:val="009202AF"/>
    <w:rsid w:val="0092085C"/>
    <w:rsid w:val="00920BD3"/>
    <w:rsid w:val="00920FAC"/>
    <w:rsid w:val="00921050"/>
    <w:rsid w:val="009223B3"/>
    <w:rsid w:val="00922DD4"/>
    <w:rsid w:val="00922ECD"/>
    <w:rsid w:val="009247EE"/>
    <w:rsid w:val="009255AD"/>
    <w:rsid w:val="009261E4"/>
    <w:rsid w:val="00926403"/>
    <w:rsid w:val="00926CFD"/>
    <w:rsid w:val="00926EDC"/>
    <w:rsid w:val="00926EE1"/>
    <w:rsid w:val="00927331"/>
    <w:rsid w:val="009274ED"/>
    <w:rsid w:val="00930097"/>
    <w:rsid w:val="00930309"/>
    <w:rsid w:val="009304E3"/>
    <w:rsid w:val="009325A1"/>
    <w:rsid w:val="00932A0A"/>
    <w:rsid w:val="0093338E"/>
    <w:rsid w:val="009339C0"/>
    <w:rsid w:val="009348C5"/>
    <w:rsid w:val="00935EC1"/>
    <w:rsid w:val="00936063"/>
    <w:rsid w:val="0093626D"/>
    <w:rsid w:val="009370E1"/>
    <w:rsid w:val="009371EC"/>
    <w:rsid w:val="0093771C"/>
    <w:rsid w:val="00937835"/>
    <w:rsid w:val="009408CC"/>
    <w:rsid w:val="00940B9E"/>
    <w:rsid w:val="00940F86"/>
    <w:rsid w:val="00941BD5"/>
    <w:rsid w:val="00942895"/>
    <w:rsid w:val="00942E32"/>
    <w:rsid w:val="009432A0"/>
    <w:rsid w:val="00943AE3"/>
    <w:rsid w:val="009440B9"/>
    <w:rsid w:val="0094419A"/>
    <w:rsid w:val="00944C62"/>
    <w:rsid w:val="00944E04"/>
    <w:rsid w:val="0094586A"/>
    <w:rsid w:val="0094632B"/>
    <w:rsid w:val="0094672F"/>
    <w:rsid w:val="00946BD6"/>
    <w:rsid w:val="00947057"/>
    <w:rsid w:val="009470FC"/>
    <w:rsid w:val="009471B5"/>
    <w:rsid w:val="00947587"/>
    <w:rsid w:val="00950117"/>
    <w:rsid w:val="009508E4"/>
    <w:rsid w:val="009512C1"/>
    <w:rsid w:val="00951D2C"/>
    <w:rsid w:val="00951F3A"/>
    <w:rsid w:val="009524B8"/>
    <w:rsid w:val="00952EEC"/>
    <w:rsid w:val="00953280"/>
    <w:rsid w:val="00953EF1"/>
    <w:rsid w:val="00954401"/>
    <w:rsid w:val="00954779"/>
    <w:rsid w:val="00955459"/>
    <w:rsid w:val="00955BBA"/>
    <w:rsid w:val="00955E9E"/>
    <w:rsid w:val="009568E3"/>
    <w:rsid w:val="00957171"/>
    <w:rsid w:val="009577CE"/>
    <w:rsid w:val="00957841"/>
    <w:rsid w:val="009606D4"/>
    <w:rsid w:val="009607E4"/>
    <w:rsid w:val="00961B88"/>
    <w:rsid w:val="00961DB3"/>
    <w:rsid w:val="00962361"/>
    <w:rsid w:val="0096258D"/>
    <w:rsid w:val="00963360"/>
    <w:rsid w:val="009639AF"/>
    <w:rsid w:val="00964001"/>
    <w:rsid w:val="00964723"/>
    <w:rsid w:val="00964730"/>
    <w:rsid w:val="00964912"/>
    <w:rsid w:val="0096535E"/>
    <w:rsid w:val="0096587E"/>
    <w:rsid w:val="00965B03"/>
    <w:rsid w:val="00966DA8"/>
    <w:rsid w:val="00967529"/>
    <w:rsid w:val="009678A5"/>
    <w:rsid w:val="00967E35"/>
    <w:rsid w:val="00967F92"/>
    <w:rsid w:val="00970363"/>
    <w:rsid w:val="009706F5"/>
    <w:rsid w:val="00970EE9"/>
    <w:rsid w:val="0097175E"/>
    <w:rsid w:val="0097312B"/>
    <w:rsid w:val="00973879"/>
    <w:rsid w:val="00973FBD"/>
    <w:rsid w:val="00974959"/>
    <w:rsid w:val="009759DF"/>
    <w:rsid w:val="00976202"/>
    <w:rsid w:val="00977138"/>
    <w:rsid w:val="0098040B"/>
    <w:rsid w:val="00980536"/>
    <w:rsid w:val="00980DC1"/>
    <w:rsid w:val="00981212"/>
    <w:rsid w:val="00981278"/>
    <w:rsid w:val="00981505"/>
    <w:rsid w:val="0098227F"/>
    <w:rsid w:val="00982799"/>
    <w:rsid w:val="009836C0"/>
    <w:rsid w:val="00983770"/>
    <w:rsid w:val="009839EF"/>
    <w:rsid w:val="009839F7"/>
    <w:rsid w:val="00984A10"/>
    <w:rsid w:val="009853EB"/>
    <w:rsid w:val="00985ACE"/>
    <w:rsid w:val="00986BA8"/>
    <w:rsid w:val="00986D6C"/>
    <w:rsid w:val="00987082"/>
    <w:rsid w:val="00987DAB"/>
    <w:rsid w:val="009904F8"/>
    <w:rsid w:val="0099053E"/>
    <w:rsid w:val="009909FF"/>
    <w:rsid w:val="00990D86"/>
    <w:rsid w:val="00990E4E"/>
    <w:rsid w:val="0099147F"/>
    <w:rsid w:val="009918F0"/>
    <w:rsid w:val="00991FD5"/>
    <w:rsid w:val="00992042"/>
    <w:rsid w:val="00992679"/>
    <w:rsid w:val="00993BAA"/>
    <w:rsid w:val="00993C68"/>
    <w:rsid w:val="00994667"/>
    <w:rsid w:val="0099558A"/>
    <w:rsid w:val="009956B4"/>
    <w:rsid w:val="00995766"/>
    <w:rsid w:val="00995E9C"/>
    <w:rsid w:val="00996317"/>
    <w:rsid w:val="009963A8"/>
    <w:rsid w:val="009965E6"/>
    <w:rsid w:val="00996EAF"/>
    <w:rsid w:val="00997646"/>
    <w:rsid w:val="0099768F"/>
    <w:rsid w:val="009A01C0"/>
    <w:rsid w:val="009A029D"/>
    <w:rsid w:val="009A0657"/>
    <w:rsid w:val="009A087D"/>
    <w:rsid w:val="009A1835"/>
    <w:rsid w:val="009A18CB"/>
    <w:rsid w:val="009A20DC"/>
    <w:rsid w:val="009A2EEE"/>
    <w:rsid w:val="009A2F7C"/>
    <w:rsid w:val="009A31E1"/>
    <w:rsid w:val="009A3203"/>
    <w:rsid w:val="009A34F9"/>
    <w:rsid w:val="009A3AB8"/>
    <w:rsid w:val="009A409E"/>
    <w:rsid w:val="009A4129"/>
    <w:rsid w:val="009A436D"/>
    <w:rsid w:val="009A4D10"/>
    <w:rsid w:val="009A5835"/>
    <w:rsid w:val="009A58BD"/>
    <w:rsid w:val="009A594A"/>
    <w:rsid w:val="009A62E8"/>
    <w:rsid w:val="009A6C89"/>
    <w:rsid w:val="009A6DA7"/>
    <w:rsid w:val="009A7366"/>
    <w:rsid w:val="009A7587"/>
    <w:rsid w:val="009A7939"/>
    <w:rsid w:val="009B074A"/>
    <w:rsid w:val="009B0B06"/>
    <w:rsid w:val="009B15BA"/>
    <w:rsid w:val="009B19B4"/>
    <w:rsid w:val="009B1C1C"/>
    <w:rsid w:val="009B20B1"/>
    <w:rsid w:val="009B2336"/>
    <w:rsid w:val="009B34D1"/>
    <w:rsid w:val="009B3CCE"/>
    <w:rsid w:val="009B41F3"/>
    <w:rsid w:val="009B530F"/>
    <w:rsid w:val="009B5701"/>
    <w:rsid w:val="009B5B7A"/>
    <w:rsid w:val="009B6276"/>
    <w:rsid w:val="009B6D92"/>
    <w:rsid w:val="009B70F0"/>
    <w:rsid w:val="009B71E0"/>
    <w:rsid w:val="009B736A"/>
    <w:rsid w:val="009B74AC"/>
    <w:rsid w:val="009C071D"/>
    <w:rsid w:val="009C08B6"/>
    <w:rsid w:val="009C098D"/>
    <w:rsid w:val="009C0A79"/>
    <w:rsid w:val="009C1997"/>
    <w:rsid w:val="009C2144"/>
    <w:rsid w:val="009C262F"/>
    <w:rsid w:val="009C3118"/>
    <w:rsid w:val="009C3CEA"/>
    <w:rsid w:val="009C47C6"/>
    <w:rsid w:val="009C50F0"/>
    <w:rsid w:val="009C67B9"/>
    <w:rsid w:val="009C6BEE"/>
    <w:rsid w:val="009C6E69"/>
    <w:rsid w:val="009C7F87"/>
    <w:rsid w:val="009D0383"/>
    <w:rsid w:val="009D0B49"/>
    <w:rsid w:val="009D0C15"/>
    <w:rsid w:val="009D1648"/>
    <w:rsid w:val="009D188E"/>
    <w:rsid w:val="009D18EB"/>
    <w:rsid w:val="009D2B3F"/>
    <w:rsid w:val="009D2B6E"/>
    <w:rsid w:val="009D2B8A"/>
    <w:rsid w:val="009D398B"/>
    <w:rsid w:val="009D3A6F"/>
    <w:rsid w:val="009D3B78"/>
    <w:rsid w:val="009D4146"/>
    <w:rsid w:val="009D495E"/>
    <w:rsid w:val="009D611E"/>
    <w:rsid w:val="009D7002"/>
    <w:rsid w:val="009E032D"/>
    <w:rsid w:val="009E0332"/>
    <w:rsid w:val="009E1C31"/>
    <w:rsid w:val="009E20B0"/>
    <w:rsid w:val="009E231E"/>
    <w:rsid w:val="009E3C4E"/>
    <w:rsid w:val="009E41C0"/>
    <w:rsid w:val="009E444D"/>
    <w:rsid w:val="009E44B8"/>
    <w:rsid w:val="009E455F"/>
    <w:rsid w:val="009E4889"/>
    <w:rsid w:val="009E5427"/>
    <w:rsid w:val="009E5722"/>
    <w:rsid w:val="009E64CB"/>
    <w:rsid w:val="009E6F9C"/>
    <w:rsid w:val="009E785D"/>
    <w:rsid w:val="009F0768"/>
    <w:rsid w:val="009F0DB3"/>
    <w:rsid w:val="009F10FF"/>
    <w:rsid w:val="009F198E"/>
    <w:rsid w:val="009F21E5"/>
    <w:rsid w:val="009F27A5"/>
    <w:rsid w:val="009F2DF1"/>
    <w:rsid w:val="009F365E"/>
    <w:rsid w:val="009F36C5"/>
    <w:rsid w:val="009F3954"/>
    <w:rsid w:val="009F44F8"/>
    <w:rsid w:val="009F4B7F"/>
    <w:rsid w:val="009F59B9"/>
    <w:rsid w:val="009F5A8A"/>
    <w:rsid w:val="009F5A8C"/>
    <w:rsid w:val="009F61DA"/>
    <w:rsid w:val="009F6A1F"/>
    <w:rsid w:val="009F72B8"/>
    <w:rsid w:val="009F7811"/>
    <w:rsid w:val="00A007D2"/>
    <w:rsid w:val="00A00E58"/>
    <w:rsid w:val="00A017A8"/>
    <w:rsid w:val="00A01AAB"/>
    <w:rsid w:val="00A01F40"/>
    <w:rsid w:val="00A023F9"/>
    <w:rsid w:val="00A0260A"/>
    <w:rsid w:val="00A03386"/>
    <w:rsid w:val="00A03F48"/>
    <w:rsid w:val="00A04B54"/>
    <w:rsid w:val="00A04CB9"/>
    <w:rsid w:val="00A05461"/>
    <w:rsid w:val="00A06205"/>
    <w:rsid w:val="00A063D7"/>
    <w:rsid w:val="00A06545"/>
    <w:rsid w:val="00A06D77"/>
    <w:rsid w:val="00A06E69"/>
    <w:rsid w:val="00A07427"/>
    <w:rsid w:val="00A076C0"/>
    <w:rsid w:val="00A077B9"/>
    <w:rsid w:val="00A1001A"/>
    <w:rsid w:val="00A109E0"/>
    <w:rsid w:val="00A13808"/>
    <w:rsid w:val="00A13E75"/>
    <w:rsid w:val="00A13F3B"/>
    <w:rsid w:val="00A14BCE"/>
    <w:rsid w:val="00A15703"/>
    <w:rsid w:val="00A15830"/>
    <w:rsid w:val="00A1723F"/>
    <w:rsid w:val="00A20032"/>
    <w:rsid w:val="00A201D8"/>
    <w:rsid w:val="00A20A5F"/>
    <w:rsid w:val="00A20D29"/>
    <w:rsid w:val="00A210B8"/>
    <w:rsid w:val="00A21116"/>
    <w:rsid w:val="00A21F63"/>
    <w:rsid w:val="00A21FB9"/>
    <w:rsid w:val="00A22C1B"/>
    <w:rsid w:val="00A235AA"/>
    <w:rsid w:val="00A2383D"/>
    <w:rsid w:val="00A23CA5"/>
    <w:rsid w:val="00A23D1F"/>
    <w:rsid w:val="00A23D72"/>
    <w:rsid w:val="00A23DB8"/>
    <w:rsid w:val="00A2483B"/>
    <w:rsid w:val="00A248EA"/>
    <w:rsid w:val="00A24900"/>
    <w:rsid w:val="00A2680A"/>
    <w:rsid w:val="00A268AD"/>
    <w:rsid w:val="00A30019"/>
    <w:rsid w:val="00A3068F"/>
    <w:rsid w:val="00A31DAA"/>
    <w:rsid w:val="00A31E90"/>
    <w:rsid w:val="00A321F3"/>
    <w:rsid w:val="00A3256E"/>
    <w:rsid w:val="00A331F7"/>
    <w:rsid w:val="00A33273"/>
    <w:rsid w:val="00A33493"/>
    <w:rsid w:val="00A33A1B"/>
    <w:rsid w:val="00A33C20"/>
    <w:rsid w:val="00A34A64"/>
    <w:rsid w:val="00A34BB3"/>
    <w:rsid w:val="00A35A02"/>
    <w:rsid w:val="00A35B56"/>
    <w:rsid w:val="00A35FE4"/>
    <w:rsid w:val="00A36475"/>
    <w:rsid w:val="00A36585"/>
    <w:rsid w:val="00A3687E"/>
    <w:rsid w:val="00A3691F"/>
    <w:rsid w:val="00A36AEB"/>
    <w:rsid w:val="00A36BE5"/>
    <w:rsid w:val="00A37D89"/>
    <w:rsid w:val="00A403AD"/>
    <w:rsid w:val="00A40AE3"/>
    <w:rsid w:val="00A40CED"/>
    <w:rsid w:val="00A41A66"/>
    <w:rsid w:val="00A41AD1"/>
    <w:rsid w:val="00A41DA2"/>
    <w:rsid w:val="00A4241F"/>
    <w:rsid w:val="00A42EDA"/>
    <w:rsid w:val="00A439F7"/>
    <w:rsid w:val="00A43A6F"/>
    <w:rsid w:val="00A43BD1"/>
    <w:rsid w:val="00A43D46"/>
    <w:rsid w:val="00A43E7B"/>
    <w:rsid w:val="00A4423A"/>
    <w:rsid w:val="00A44808"/>
    <w:rsid w:val="00A449EA"/>
    <w:rsid w:val="00A45A3E"/>
    <w:rsid w:val="00A46004"/>
    <w:rsid w:val="00A46DA1"/>
    <w:rsid w:val="00A47372"/>
    <w:rsid w:val="00A47F7A"/>
    <w:rsid w:val="00A515C3"/>
    <w:rsid w:val="00A522B1"/>
    <w:rsid w:val="00A52BD3"/>
    <w:rsid w:val="00A53234"/>
    <w:rsid w:val="00A54521"/>
    <w:rsid w:val="00A5460E"/>
    <w:rsid w:val="00A54BBF"/>
    <w:rsid w:val="00A54C54"/>
    <w:rsid w:val="00A558DB"/>
    <w:rsid w:val="00A55A22"/>
    <w:rsid w:val="00A55B41"/>
    <w:rsid w:val="00A55FB7"/>
    <w:rsid w:val="00A5638B"/>
    <w:rsid w:val="00A56392"/>
    <w:rsid w:val="00A5673B"/>
    <w:rsid w:val="00A568D3"/>
    <w:rsid w:val="00A573B8"/>
    <w:rsid w:val="00A579C8"/>
    <w:rsid w:val="00A57BFA"/>
    <w:rsid w:val="00A57F10"/>
    <w:rsid w:val="00A600FE"/>
    <w:rsid w:val="00A603BB"/>
    <w:rsid w:val="00A605F0"/>
    <w:rsid w:val="00A60900"/>
    <w:rsid w:val="00A613E4"/>
    <w:rsid w:val="00A61552"/>
    <w:rsid w:val="00A622E9"/>
    <w:rsid w:val="00A626AA"/>
    <w:rsid w:val="00A62DDD"/>
    <w:rsid w:val="00A62E3C"/>
    <w:rsid w:val="00A6312B"/>
    <w:rsid w:val="00A6469C"/>
    <w:rsid w:val="00A64A08"/>
    <w:rsid w:val="00A64C77"/>
    <w:rsid w:val="00A6566B"/>
    <w:rsid w:val="00A65803"/>
    <w:rsid w:val="00A66270"/>
    <w:rsid w:val="00A66BDA"/>
    <w:rsid w:val="00A6711A"/>
    <w:rsid w:val="00A67188"/>
    <w:rsid w:val="00A67640"/>
    <w:rsid w:val="00A6785D"/>
    <w:rsid w:val="00A67B34"/>
    <w:rsid w:val="00A7002C"/>
    <w:rsid w:val="00A70D98"/>
    <w:rsid w:val="00A717B9"/>
    <w:rsid w:val="00A72B3A"/>
    <w:rsid w:val="00A7310D"/>
    <w:rsid w:val="00A7356A"/>
    <w:rsid w:val="00A73BDC"/>
    <w:rsid w:val="00A73FF1"/>
    <w:rsid w:val="00A74201"/>
    <w:rsid w:val="00A74286"/>
    <w:rsid w:val="00A756FB"/>
    <w:rsid w:val="00A75AAB"/>
    <w:rsid w:val="00A75C84"/>
    <w:rsid w:val="00A75F66"/>
    <w:rsid w:val="00A75F85"/>
    <w:rsid w:val="00A76765"/>
    <w:rsid w:val="00A76F30"/>
    <w:rsid w:val="00A773FB"/>
    <w:rsid w:val="00A809F3"/>
    <w:rsid w:val="00A80AEE"/>
    <w:rsid w:val="00A80B59"/>
    <w:rsid w:val="00A80EE9"/>
    <w:rsid w:val="00A81140"/>
    <w:rsid w:val="00A822ED"/>
    <w:rsid w:val="00A82646"/>
    <w:rsid w:val="00A82D68"/>
    <w:rsid w:val="00A831BF"/>
    <w:rsid w:val="00A832E4"/>
    <w:rsid w:val="00A83A40"/>
    <w:rsid w:val="00A8432C"/>
    <w:rsid w:val="00A855A5"/>
    <w:rsid w:val="00A8593F"/>
    <w:rsid w:val="00A85F3F"/>
    <w:rsid w:val="00A86164"/>
    <w:rsid w:val="00A86557"/>
    <w:rsid w:val="00A8686A"/>
    <w:rsid w:val="00A87BEB"/>
    <w:rsid w:val="00A87FAA"/>
    <w:rsid w:val="00A9095A"/>
    <w:rsid w:val="00A90CB8"/>
    <w:rsid w:val="00A90F35"/>
    <w:rsid w:val="00A9229D"/>
    <w:rsid w:val="00A927C0"/>
    <w:rsid w:val="00A9356D"/>
    <w:rsid w:val="00A93ACA"/>
    <w:rsid w:val="00A93CD5"/>
    <w:rsid w:val="00A945D7"/>
    <w:rsid w:val="00A945F3"/>
    <w:rsid w:val="00A949BB"/>
    <w:rsid w:val="00A94B36"/>
    <w:rsid w:val="00A94DD8"/>
    <w:rsid w:val="00A954A5"/>
    <w:rsid w:val="00A9575F"/>
    <w:rsid w:val="00A96A53"/>
    <w:rsid w:val="00A97639"/>
    <w:rsid w:val="00A976F1"/>
    <w:rsid w:val="00A97B5D"/>
    <w:rsid w:val="00A97EBB"/>
    <w:rsid w:val="00AA01B8"/>
    <w:rsid w:val="00AA0200"/>
    <w:rsid w:val="00AA051C"/>
    <w:rsid w:val="00AA0592"/>
    <w:rsid w:val="00AA0D7B"/>
    <w:rsid w:val="00AA0F52"/>
    <w:rsid w:val="00AA1091"/>
    <w:rsid w:val="00AA123D"/>
    <w:rsid w:val="00AA13B3"/>
    <w:rsid w:val="00AA1ECD"/>
    <w:rsid w:val="00AA287A"/>
    <w:rsid w:val="00AA2E51"/>
    <w:rsid w:val="00AA31B6"/>
    <w:rsid w:val="00AA3284"/>
    <w:rsid w:val="00AA32D5"/>
    <w:rsid w:val="00AA3307"/>
    <w:rsid w:val="00AA3B6C"/>
    <w:rsid w:val="00AA3EA7"/>
    <w:rsid w:val="00AA5679"/>
    <w:rsid w:val="00AA579F"/>
    <w:rsid w:val="00AA624F"/>
    <w:rsid w:val="00AA68F9"/>
    <w:rsid w:val="00AA705E"/>
    <w:rsid w:val="00AA774D"/>
    <w:rsid w:val="00AA7980"/>
    <w:rsid w:val="00AB01B4"/>
    <w:rsid w:val="00AB02EE"/>
    <w:rsid w:val="00AB0DF5"/>
    <w:rsid w:val="00AB1A40"/>
    <w:rsid w:val="00AB2494"/>
    <w:rsid w:val="00AB2881"/>
    <w:rsid w:val="00AB3583"/>
    <w:rsid w:val="00AB3E01"/>
    <w:rsid w:val="00AB40C8"/>
    <w:rsid w:val="00AB4338"/>
    <w:rsid w:val="00AB4AAD"/>
    <w:rsid w:val="00AB4EBE"/>
    <w:rsid w:val="00AB5050"/>
    <w:rsid w:val="00AB5680"/>
    <w:rsid w:val="00AB6C36"/>
    <w:rsid w:val="00AB74AD"/>
    <w:rsid w:val="00AB786E"/>
    <w:rsid w:val="00AB78F2"/>
    <w:rsid w:val="00AB7F8D"/>
    <w:rsid w:val="00AC1A4C"/>
    <w:rsid w:val="00AC1AB1"/>
    <w:rsid w:val="00AC25B8"/>
    <w:rsid w:val="00AC278B"/>
    <w:rsid w:val="00AC2A80"/>
    <w:rsid w:val="00AC2DBE"/>
    <w:rsid w:val="00AC355F"/>
    <w:rsid w:val="00AC4AD0"/>
    <w:rsid w:val="00AC5A5C"/>
    <w:rsid w:val="00AC5CF3"/>
    <w:rsid w:val="00AC6484"/>
    <w:rsid w:val="00AC6E74"/>
    <w:rsid w:val="00AD001B"/>
    <w:rsid w:val="00AD023A"/>
    <w:rsid w:val="00AD0E7C"/>
    <w:rsid w:val="00AD16D7"/>
    <w:rsid w:val="00AD16FC"/>
    <w:rsid w:val="00AD1AC8"/>
    <w:rsid w:val="00AD2043"/>
    <w:rsid w:val="00AD231F"/>
    <w:rsid w:val="00AD2AAD"/>
    <w:rsid w:val="00AD3AEF"/>
    <w:rsid w:val="00AD4B31"/>
    <w:rsid w:val="00AD6C31"/>
    <w:rsid w:val="00AD7109"/>
    <w:rsid w:val="00AD78E7"/>
    <w:rsid w:val="00AE0752"/>
    <w:rsid w:val="00AE07A0"/>
    <w:rsid w:val="00AE0A09"/>
    <w:rsid w:val="00AE0BC4"/>
    <w:rsid w:val="00AE0F43"/>
    <w:rsid w:val="00AE0FA9"/>
    <w:rsid w:val="00AE13EA"/>
    <w:rsid w:val="00AE2B05"/>
    <w:rsid w:val="00AE2B92"/>
    <w:rsid w:val="00AE2FA8"/>
    <w:rsid w:val="00AE36DF"/>
    <w:rsid w:val="00AE3A28"/>
    <w:rsid w:val="00AE3A7A"/>
    <w:rsid w:val="00AE3EE6"/>
    <w:rsid w:val="00AE413E"/>
    <w:rsid w:val="00AE4154"/>
    <w:rsid w:val="00AE445B"/>
    <w:rsid w:val="00AE4692"/>
    <w:rsid w:val="00AE4CAD"/>
    <w:rsid w:val="00AE51BF"/>
    <w:rsid w:val="00AE593E"/>
    <w:rsid w:val="00AE62A8"/>
    <w:rsid w:val="00AE62B0"/>
    <w:rsid w:val="00AE65D3"/>
    <w:rsid w:val="00AE6726"/>
    <w:rsid w:val="00AE6EC2"/>
    <w:rsid w:val="00AE7099"/>
    <w:rsid w:val="00AE7DE0"/>
    <w:rsid w:val="00AE7F61"/>
    <w:rsid w:val="00AF057E"/>
    <w:rsid w:val="00AF062B"/>
    <w:rsid w:val="00AF0BC0"/>
    <w:rsid w:val="00AF0DD6"/>
    <w:rsid w:val="00AF0FE8"/>
    <w:rsid w:val="00AF26FC"/>
    <w:rsid w:val="00AF2921"/>
    <w:rsid w:val="00AF29D9"/>
    <w:rsid w:val="00AF2BC7"/>
    <w:rsid w:val="00AF3CE7"/>
    <w:rsid w:val="00AF3DAA"/>
    <w:rsid w:val="00AF400B"/>
    <w:rsid w:val="00AF41AD"/>
    <w:rsid w:val="00AF4872"/>
    <w:rsid w:val="00AF4C36"/>
    <w:rsid w:val="00AF533A"/>
    <w:rsid w:val="00AF60D9"/>
    <w:rsid w:val="00AF632C"/>
    <w:rsid w:val="00AF73F0"/>
    <w:rsid w:val="00AF7BB0"/>
    <w:rsid w:val="00B0024B"/>
    <w:rsid w:val="00B00726"/>
    <w:rsid w:val="00B00B8B"/>
    <w:rsid w:val="00B01052"/>
    <w:rsid w:val="00B0193B"/>
    <w:rsid w:val="00B020D7"/>
    <w:rsid w:val="00B02379"/>
    <w:rsid w:val="00B0288F"/>
    <w:rsid w:val="00B02CFE"/>
    <w:rsid w:val="00B03548"/>
    <w:rsid w:val="00B0368C"/>
    <w:rsid w:val="00B0380A"/>
    <w:rsid w:val="00B04B8D"/>
    <w:rsid w:val="00B051AB"/>
    <w:rsid w:val="00B053F0"/>
    <w:rsid w:val="00B05581"/>
    <w:rsid w:val="00B0568E"/>
    <w:rsid w:val="00B06A03"/>
    <w:rsid w:val="00B075A3"/>
    <w:rsid w:val="00B0DADF"/>
    <w:rsid w:val="00B10D0E"/>
    <w:rsid w:val="00B11574"/>
    <w:rsid w:val="00B11E4E"/>
    <w:rsid w:val="00B12186"/>
    <w:rsid w:val="00B12501"/>
    <w:rsid w:val="00B12541"/>
    <w:rsid w:val="00B129A2"/>
    <w:rsid w:val="00B12FDA"/>
    <w:rsid w:val="00B1300D"/>
    <w:rsid w:val="00B13615"/>
    <w:rsid w:val="00B136DB"/>
    <w:rsid w:val="00B13CA4"/>
    <w:rsid w:val="00B14069"/>
    <w:rsid w:val="00B1456F"/>
    <w:rsid w:val="00B148B4"/>
    <w:rsid w:val="00B153F4"/>
    <w:rsid w:val="00B1543B"/>
    <w:rsid w:val="00B155C1"/>
    <w:rsid w:val="00B16D19"/>
    <w:rsid w:val="00B17DD3"/>
    <w:rsid w:val="00B17E3D"/>
    <w:rsid w:val="00B205B6"/>
    <w:rsid w:val="00B2098C"/>
    <w:rsid w:val="00B20C5F"/>
    <w:rsid w:val="00B21177"/>
    <w:rsid w:val="00B211D1"/>
    <w:rsid w:val="00B21565"/>
    <w:rsid w:val="00B215DE"/>
    <w:rsid w:val="00B217D3"/>
    <w:rsid w:val="00B21DA7"/>
    <w:rsid w:val="00B21DFA"/>
    <w:rsid w:val="00B2248E"/>
    <w:rsid w:val="00B22A9B"/>
    <w:rsid w:val="00B238F4"/>
    <w:rsid w:val="00B23D03"/>
    <w:rsid w:val="00B2487E"/>
    <w:rsid w:val="00B24B81"/>
    <w:rsid w:val="00B253A8"/>
    <w:rsid w:val="00B2617E"/>
    <w:rsid w:val="00B26765"/>
    <w:rsid w:val="00B2704E"/>
    <w:rsid w:val="00B2718B"/>
    <w:rsid w:val="00B27586"/>
    <w:rsid w:val="00B27BB0"/>
    <w:rsid w:val="00B27D86"/>
    <w:rsid w:val="00B300DE"/>
    <w:rsid w:val="00B31CFF"/>
    <w:rsid w:val="00B32612"/>
    <w:rsid w:val="00B330CA"/>
    <w:rsid w:val="00B33C04"/>
    <w:rsid w:val="00B33F1D"/>
    <w:rsid w:val="00B34A62"/>
    <w:rsid w:val="00B34ECB"/>
    <w:rsid w:val="00B35785"/>
    <w:rsid w:val="00B35A55"/>
    <w:rsid w:val="00B35D6C"/>
    <w:rsid w:val="00B35EDD"/>
    <w:rsid w:val="00B368C9"/>
    <w:rsid w:val="00B36E31"/>
    <w:rsid w:val="00B37014"/>
    <w:rsid w:val="00B370B7"/>
    <w:rsid w:val="00B37308"/>
    <w:rsid w:val="00B37D22"/>
    <w:rsid w:val="00B40018"/>
    <w:rsid w:val="00B401ED"/>
    <w:rsid w:val="00B415C5"/>
    <w:rsid w:val="00B42932"/>
    <w:rsid w:val="00B429E0"/>
    <w:rsid w:val="00B42A23"/>
    <w:rsid w:val="00B42D00"/>
    <w:rsid w:val="00B434B8"/>
    <w:rsid w:val="00B43C3A"/>
    <w:rsid w:val="00B4435C"/>
    <w:rsid w:val="00B446A1"/>
    <w:rsid w:val="00B45C8A"/>
    <w:rsid w:val="00B45CEF"/>
    <w:rsid w:val="00B473F0"/>
    <w:rsid w:val="00B47495"/>
    <w:rsid w:val="00B47584"/>
    <w:rsid w:val="00B47D98"/>
    <w:rsid w:val="00B514E3"/>
    <w:rsid w:val="00B52537"/>
    <w:rsid w:val="00B5283B"/>
    <w:rsid w:val="00B52896"/>
    <w:rsid w:val="00B550E8"/>
    <w:rsid w:val="00B55AB0"/>
    <w:rsid w:val="00B55DF5"/>
    <w:rsid w:val="00B578A2"/>
    <w:rsid w:val="00B627D7"/>
    <w:rsid w:val="00B62C1C"/>
    <w:rsid w:val="00B6359B"/>
    <w:rsid w:val="00B63E37"/>
    <w:rsid w:val="00B64E43"/>
    <w:rsid w:val="00B65B62"/>
    <w:rsid w:val="00B65D01"/>
    <w:rsid w:val="00B65EC9"/>
    <w:rsid w:val="00B65FB4"/>
    <w:rsid w:val="00B669C4"/>
    <w:rsid w:val="00B66ABD"/>
    <w:rsid w:val="00B67068"/>
    <w:rsid w:val="00B6736D"/>
    <w:rsid w:val="00B705B0"/>
    <w:rsid w:val="00B70AB0"/>
    <w:rsid w:val="00B70C13"/>
    <w:rsid w:val="00B70F76"/>
    <w:rsid w:val="00B711E7"/>
    <w:rsid w:val="00B713E9"/>
    <w:rsid w:val="00B7153E"/>
    <w:rsid w:val="00B71C9E"/>
    <w:rsid w:val="00B73126"/>
    <w:rsid w:val="00B73377"/>
    <w:rsid w:val="00B74C64"/>
    <w:rsid w:val="00B7545D"/>
    <w:rsid w:val="00B756DC"/>
    <w:rsid w:val="00B7611C"/>
    <w:rsid w:val="00B765D6"/>
    <w:rsid w:val="00B76873"/>
    <w:rsid w:val="00B77568"/>
    <w:rsid w:val="00B77EE3"/>
    <w:rsid w:val="00B807DA"/>
    <w:rsid w:val="00B809D9"/>
    <w:rsid w:val="00B80C55"/>
    <w:rsid w:val="00B817F0"/>
    <w:rsid w:val="00B81947"/>
    <w:rsid w:val="00B81ED0"/>
    <w:rsid w:val="00B82029"/>
    <w:rsid w:val="00B82169"/>
    <w:rsid w:val="00B825C7"/>
    <w:rsid w:val="00B83A9C"/>
    <w:rsid w:val="00B83B1F"/>
    <w:rsid w:val="00B83C51"/>
    <w:rsid w:val="00B83D5B"/>
    <w:rsid w:val="00B8401D"/>
    <w:rsid w:val="00B843B5"/>
    <w:rsid w:val="00B84A34"/>
    <w:rsid w:val="00B84A60"/>
    <w:rsid w:val="00B8500F"/>
    <w:rsid w:val="00B85D46"/>
    <w:rsid w:val="00B85E8D"/>
    <w:rsid w:val="00B85EA4"/>
    <w:rsid w:val="00B86615"/>
    <w:rsid w:val="00B86B5A"/>
    <w:rsid w:val="00B8723E"/>
    <w:rsid w:val="00B876CF"/>
    <w:rsid w:val="00B877AC"/>
    <w:rsid w:val="00B87F58"/>
    <w:rsid w:val="00B9103C"/>
    <w:rsid w:val="00B9109D"/>
    <w:rsid w:val="00B9172C"/>
    <w:rsid w:val="00B91C3C"/>
    <w:rsid w:val="00B92C70"/>
    <w:rsid w:val="00B92CB3"/>
    <w:rsid w:val="00B92DA9"/>
    <w:rsid w:val="00B93466"/>
    <w:rsid w:val="00B93549"/>
    <w:rsid w:val="00B93ECA"/>
    <w:rsid w:val="00B93FF8"/>
    <w:rsid w:val="00B94290"/>
    <w:rsid w:val="00B948FC"/>
    <w:rsid w:val="00B94AD7"/>
    <w:rsid w:val="00B95290"/>
    <w:rsid w:val="00B95BBB"/>
    <w:rsid w:val="00B96136"/>
    <w:rsid w:val="00B967FD"/>
    <w:rsid w:val="00B96839"/>
    <w:rsid w:val="00B97F28"/>
    <w:rsid w:val="00BA0032"/>
    <w:rsid w:val="00BA0056"/>
    <w:rsid w:val="00BA0AC8"/>
    <w:rsid w:val="00BA1294"/>
    <w:rsid w:val="00BA28B9"/>
    <w:rsid w:val="00BA3228"/>
    <w:rsid w:val="00BA3542"/>
    <w:rsid w:val="00BA406D"/>
    <w:rsid w:val="00BA43CA"/>
    <w:rsid w:val="00BA4768"/>
    <w:rsid w:val="00BA4A8C"/>
    <w:rsid w:val="00BA4D78"/>
    <w:rsid w:val="00BA5350"/>
    <w:rsid w:val="00BA6141"/>
    <w:rsid w:val="00BA6418"/>
    <w:rsid w:val="00BA7373"/>
    <w:rsid w:val="00BA77BB"/>
    <w:rsid w:val="00BA7E2A"/>
    <w:rsid w:val="00BB0239"/>
    <w:rsid w:val="00BB050A"/>
    <w:rsid w:val="00BB0680"/>
    <w:rsid w:val="00BB0BF5"/>
    <w:rsid w:val="00BB13C9"/>
    <w:rsid w:val="00BB1500"/>
    <w:rsid w:val="00BB177A"/>
    <w:rsid w:val="00BB2AD0"/>
    <w:rsid w:val="00BB2BA7"/>
    <w:rsid w:val="00BB2BA8"/>
    <w:rsid w:val="00BB31BF"/>
    <w:rsid w:val="00BB31C2"/>
    <w:rsid w:val="00BB34B7"/>
    <w:rsid w:val="00BB378B"/>
    <w:rsid w:val="00BB37E6"/>
    <w:rsid w:val="00BB399C"/>
    <w:rsid w:val="00BB3DEF"/>
    <w:rsid w:val="00BB3E81"/>
    <w:rsid w:val="00BB44E9"/>
    <w:rsid w:val="00BB4954"/>
    <w:rsid w:val="00BB5D70"/>
    <w:rsid w:val="00BB5D98"/>
    <w:rsid w:val="00BB61B3"/>
    <w:rsid w:val="00BB656F"/>
    <w:rsid w:val="00BB65FB"/>
    <w:rsid w:val="00BB7200"/>
    <w:rsid w:val="00BB739B"/>
    <w:rsid w:val="00BB7493"/>
    <w:rsid w:val="00BB78B0"/>
    <w:rsid w:val="00BB7CE8"/>
    <w:rsid w:val="00BB7FF3"/>
    <w:rsid w:val="00BC011A"/>
    <w:rsid w:val="00BC036D"/>
    <w:rsid w:val="00BC074A"/>
    <w:rsid w:val="00BC0B7A"/>
    <w:rsid w:val="00BC0BF8"/>
    <w:rsid w:val="00BC166B"/>
    <w:rsid w:val="00BC1A06"/>
    <w:rsid w:val="00BC1E72"/>
    <w:rsid w:val="00BC2D87"/>
    <w:rsid w:val="00BC2DE6"/>
    <w:rsid w:val="00BC30A8"/>
    <w:rsid w:val="00BC32F7"/>
    <w:rsid w:val="00BC4BFB"/>
    <w:rsid w:val="00BC4E3A"/>
    <w:rsid w:val="00BC4E6C"/>
    <w:rsid w:val="00BC5FFF"/>
    <w:rsid w:val="00BC6293"/>
    <w:rsid w:val="00BC678B"/>
    <w:rsid w:val="00BC6965"/>
    <w:rsid w:val="00BC6F3D"/>
    <w:rsid w:val="00BC73CB"/>
    <w:rsid w:val="00BC76B6"/>
    <w:rsid w:val="00BD05B6"/>
    <w:rsid w:val="00BD08DB"/>
    <w:rsid w:val="00BD0C90"/>
    <w:rsid w:val="00BD0F9A"/>
    <w:rsid w:val="00BD1102"/>
    <w:rsid w:val="00BD24A2"/>
    <w:rsid w:val="00BD3168"/>
    <w:rsid w:val="00BD322A"/>
    <w:rsid w:val="00BD383E"/>
    <w:rsid w:val="00BD3B37"/>
    <w:rsid w:val="00BD4218"/>
    <w:rsid w:val="00BD4234"/>
    <w:rsid w:val="00BD4320"/>
    <w:rsid w:val="00BD43EF"/>
    <w:rsid w:val="00BD4F29"/>
    <w:rsid w:val="00BD4FF2"/>
    <w:rsid w:val="00BD569A"/>
    <w:rsid w:val="00BD5B94"/>
    <w:rsid w:val="00BD5D9F"/>
    <w:rsid w:val="00BD6D25"/>
    <w:rsid w:val="00BD70C5"/>
    <w:rsid w:val="00BE0047"/>
    <w:rsid w:val="00BE0B0A"/>
    <w:rsid w:val="00BE1672"/>
    <w:rsid w:val="00BE21E4"/>
    <w:rsid w:val="00BE234C"/>
    <w:rsid w:val="00BE2F4B"/>
    <w:rsid w:val="00BE3300"/>
    <w:rsid w:val="00BE33FE"/>
    <w:rsid w:val="00BE3B6E"/>
    <w:rsid w:val="00BE3C7E"/>
    <w:rsid w:val="00BE3F60"/>
    <w:rsid w:val="00BE4631"/>
    <w:rsid w:val="00BE47AA"/>
    <w:rsid w:val="00BE53A1"/>
    <w:rsid w:val="00BE6027"/>
    <w:rsid w:val="00BE7657"/>
    <w:rsid w:val="00BE7D55"/>
    <w:rsid w:val="00BF0891"/>
    <w:rsid w:val="00BF0BEE"/>
    <w:rsid w:val="00BF1618"/>
    <w:rsid w:val="00BF19A4"/>
    <w:rsid w:val="00BF2274"/>
    <w:rsid w:val="00BF22EE"/>
    <w:rsid w:val="00BF2679"/>
    <w:rsid w:val="00BF3C6A"/>
    <w:rsid w:val="00BF3CD5"/>
    <w:rsid w:val="00BF3E1C"/>
    <w:rsid w:val="00BF3EF5"/>
    <w:rsid w:val="00BF3FDE"/>
    <w:rsid w:val="00BF4925"/>
    <w:rsid w:val="00BF4F09"/>
    <w:rsid w:val="00BF5A9E"/>
    <w:rsid w:val="00BF5BD6"/>
    <w:rsid w:val="00BF5E04"/>
    <w:rsid w:val="00BF5E55"/>
    <w:rsid w:val="00BF5F5B"/>
    <w:rsid w:val="00BF71F4"/>
    <w:rsid w:val="00BF735E"/>
    <w:rsid w:val="00BF7748"/>
    <w:rsid w:val="00BF7A23"/>
    <w:rsid w:val="00BF7CCD"/>
    <w:rsid w:val="00BF7D23"/>
    <w:rsid w:val="00C00054"/>
    <w:rsid w:val="00C0037C"/>
    <w:rsid w:val="00C00846"/>
    <w:rsid w:val="00C008CE"/>
    <w:rsid w:val="00C00BB7"/>
    <w:rsid w:val="00C01806"/>
    <w:rsid w:val="00C01913"/>
    <w:rsid w:val="00C01A7F"/>
    <w:rsid w:val="00C0217E"/>
    <w:rsid w:val="00C0274F"/>
    <w:rsid w:val="00C03521"/>
    <w:rsid w:val="00C0464D"/>
    <w:rsid w:val="00C047CA"/>
    <w:rsid w:val="00C04A92"/>
    <w:rsid w:val="00C04CF3"/>
    <w:rsid w:val="00C05574"/>
    <w:rsid w:val="00C057ED"/>
    <w:rsid w:val="00C05926"/>
    <w:rsid w:val="00C05A4C"/>
    <w:rsid w:val="00C05BC2"/>
    <w:rsid w:val="00C0621D"/>
    <w:rsid w:val="00C06694"/>
    <w:rsid w:val="00C0715B"/>
    <w:rsid w:val="00C07DD3"/>
    <w:rsid w:val="00C105E8"/>
    <w:rsid w:val="00C111A4"/>
    <w:rsid w:val="00C123A2"/>
    <w:rsid w:val="00C126CF"/>
    <w:rsid w:val="00C12E83"/>
    <w:rsid w:val="00C13582"/>
    <w:rsid w:val="00C13655"/>
    <w:rsid w:val="00C13F67"/>
    <w:rsid w:val="00C141A5"/>
    <w:rsid w:val="00C14937"/>
    <w:rsid w:val="00C14B81"/>
    <w:rsid w:val="00C151BD"/>
    <w:rsid w:val="00C1530F"/>
    <w:rsid w:val="00C15E74"/>
    <w:rsid w:val="00C16878"/>
    <w:rsid w:val="00C16DAC"/>
    <w:rsid w:val="00C17810"/>
    <w:rsid w:val="00C17A15"/>
    <w:rsid w:val="00C17B19"/>
    <w:rsid w:val="00C20576"/>
    <w:rsid w:val="00C207D2"/>
    <w:rsid w:val="00C21333"/>
    <w:rsid w:val="00C21AE5"/>
    <w:rsid w:val="00C21C45"/>
    <w:rsid w:val="00C220B9"/>
    <w:rsid w:val="00C22253"/>
    <w:rsid w:val="00C223E0"/>
    <w:rsid w:val="00C22830"/>
    <w:rsid w:val="00C22A48"/>
    <w:rsid w:val="00C231CB"/>
    <w:rsid w:val="00C23217"/>
    <w:rsid w:val="00C25526"/>
    <w:rsid w:val="00C25579"/>
    <w:rsid w:val="00C25E33"/>
    <w:rsid w:val="00C26BEE"/>
    <w:rsid w:val="00C277EA"/>
    <w:rsid w:val="00C278CC"/>
    <w:rsid w:val="00C30021"/>
    <w:rsid w:val="00C303D4"/>
    <w:rsid w:val="00C30E2B"/>
    <w:rsid w:val="00C31291"/>
    <w:rsid w:val="00C313DC"/>
    <w:rsid w:val="00C31AF7"/>
    <w:rsid w:val="00C31F88"/>
    <w:rsid w:val="00C329C9"/>
    <w:rsid w:val="00C33F6D"/>
    <w:rsid w:val="00C341D7"/>
    <w:rsid w:val="00C35542"/>
    <w:rsid w:val="00C356FF"/>
    <w:rsid w:val="00C35A69"/>
    <w:rsid w:val="00C3606F"/>
    <w:rsid w:val="00C369BE"/>
    <w:rsid w:val="00C40117"/>
    <w:rsid w:val="00C40D4B"/>
    <w:rsid w:val="00C40FE9"/>
    <w:rsid w:val="00C41991"/>
    <w:rsid w:val="00C41BF0"/>
    <w:rsid w:val="00C420D3"/>
    <w:rsid w:val="00C424C1"/>
    <w:rsid w:val="00C425A5"/>
    <w:rsid w:val="00C42725"/>
    <w:rsid w:val="00C43059"/>
    <w:rsid w:val="00C4331B"/>
    <w:rsid w:val="00C44BF3"/>
    <w:rsid w:val="00C44F1B"/>
    <w:rsid w:val="00C4586B"/>
    <w:rsid w:val="00C45B17"/>
    <w:rsid w:val="00C45ED7"/>
    <w:rsid w:val="00C46188"/>
    <w:rsid w:val="00C467F4"/>
    <w:rsid w:val="00C473F0"/>
    <w:rsid w:val="00C500A3"/>
    <w:rsid w:val="00C50398"/>
    <w:rsid w:val="00C512A6"/>
    <w:rsid w:val="00C51DBE"/>
    <w:rsid w:val="00C51FF8"/>
    <w:rsid w:val="00C52644"/>
    <w:rsid w:val="00C527BF"/>
    <w:rsid w:val="00C52810"/>
    <w:rsid w:val="00C5298C"/>
    <w:rsid w:val="00C53ECC"/>
    <w:rsid w:val="00C55107"/>
    <w:rsid w:val="00C5593D"/>
    <w:rsid w:val="00C56756"/>
    <w:rsid w:val="00C574A0"/>
    <w:rsid w:val="00C6046A"/>
    <w:rsid w:val="00C60B15"/>
    <w:rsid w:val="00C60B83"/>
    <w:rsid w:val="00C60CB5"/>
    <w:rsid w:val="00C62082"/>
    <w:rsid w:val="00C62304"/>
    <w:rsid w:val="00C6303E"/>
    <w:rsid w:val="00C63C24"/>
    <w:rsid w:val="00C63C87"/>
    <w:rsid w:val="00C64024"/>
    <w:rsid w:val="00C64075"/>
    <w:rsid w:val="00C64427"/>
    <w:rsid w:val="00C64CB0"/>
    <w:rsid w:val="00C64D25"/>
    <w:rsid w:val="00C65869"/>
    <w:rsid w:val="00C66C7D"/>
    <w:rsid w:val="00C66C8C"/>
    <w:rsid w:val="00C66E3B"/>
    <w:rsid w:val="00C66F5E"/>
    <w:rsid w:val="00C679AE"/>
    <w:rsid w:val="00C67E46"/>
    <w:rsid w:val="00C67FB7"/>
    <w:rsid w:val="00C7014E"/>
    <w:rsid w:val="00C70303"/>
    <w:rsid w:val="00C70876"/>
    <w:rsid w:val="00C710FE"/>
    <w:rsid w:val="00C71756"/>
    <w:rsid w:val="00C71AC3"/>
    <w:rsid w:val="00C71B21"/>
    <w:rsid w:val="00C72132"/>
    <w:rsid w:val="00C72791"/>
    <w:rsid w:val="00C7368B"/>
    <w:rsid w:val="00C74510"/>
    <w:rsid w:val="00C7475A"/>
    <w:rsid w:val="00C75315"/>
    <w:rsid w:val="00C758B9"/>
    <w:rsid w:val="00C75CCC"/>
    <w:rsid w:val="00C76824"/>
    <w:rsid w:val="00C8017A"/>
    <w:rsid w:val="00C80A90"/>
    <w:rsid w:val="00C81B54"/>
    <w:rsid w:val="00C81DBD"/>
    <w:rsid w:val="00C82141"/>
    <w:rsid w:val="00C824C6"/>
    <w:rsid w:val="00C8264A"/>
    <w:rsid w:val="00C8292A"/>
    <w:rsid w:val="00C833C4"/>
    <w:rsid w:val="00C83699"/>
    <w:rsid w:val="00C83789"/>
    <w:rsid w:val="00C8391B"/>
    <w:rsid w:val="00C83DA4"/>
    <w:rsid w:val="00C8430C"/>
    <w:rsid w:val="00C85238"/>
    <w:rsid w:val="00C85326"/>
    <w:rsid w:val="00C857BB"/>
    <w:rsid w:val="00C85E16"/>
    <w:rsid w:val="00C8644D"/>
    <w:rsid w:val="00C8646D"/>
    <w:rsid w:val="00C864E3"/>
    <w:rsid w:val="00C865BE"/>
    <w:rsid w:val="00C866C0"/>
    <w:rsid w:val="00C87F19"/>
    <w:rsid w:val="00C90C2A"/>
    <w:rsid w:val="00C913D6"/>
    <w:rsid w:val="00C91423"/>
    <w:rsid w:val="00C915EA"/>
    <w:rsid w:val="00C91634"/>
    <w:rsid w:val="00C917D9"/>
    <w:rsid w:val="00C919AD"/>
    <w:rsid w:val="00C923FA"/>
    <w:rsid w:val="00C92805"/>
    <w:rsid w:val="00C92903"/>
    <w:rsid w:val="00C92B13"/>
    <w:rsid w:val="00C943A6"/>
    <w:rsid w:val="00C94905"/>
    <w:rsid w:val="00C95ECF"/>
    <w:rsid w:val="00C9614C"/>
    <w:rsid w:val="00C96E07"/>
    <w:rsid w:val="00C97635"/>
    <w:rsid w:val="00C97A5B"/>
    <w:rsid w:val="00C97ECA"/>
    <w:rsid w:val="00CA2494"/>
    <w:rsid w:val="00CA2CE2"/>
    <w:rsid w:val="00CA2DED"/>
    <w:rsid w:val="00CA34E7"/>
    <w:rsid w:val="00CA394C"/>
    <w:rsid w:val="00CA3CCC"/>
    <w:rsid w:val="00CA3E47"/>
    <w:rsid w:val="00CA4264"/>
    <w:rsid w:val="00CA468C"/>
    <w:rsid w:val="00CA4895"/>
    <w:rsid w:val="00CA54EA"/>
    <w:rsid w:val="00CA5AFF"/>
    <w:rsid w:val="00CA5DA5"/>
    <w:rsid w:val="00CA607E"/>
    <w:rsid w:val="00CA6CC7"/>
    <w:rsid w:val="00CA77F2"/>
    <w:rsid w:val="00CB0128"/>
    <w:rsid w:val="00CB0591"/>
    <w:rsid w:val="00CB0B38"/>
    <w:rsid w:val="00CB1410"/>
    <w:rsid w:val="00CB1F4F"/>
    <w:rsid w:val="00CB2278"/>
    <w:rsid w:val="00CB24A3"/>
    <w:rsid w:val="00CB2712"/>
    <w:rsid w:val="00CB3FB9"/>
    <w:rsid w:val="00CB4D04"/>
    <w:rsid w:val="00CB5324"/>
    <w:rsid w:val="00CB5F29"/>
    <w:rsid w:val="00CB61A4"/>
    <w:rsid w:val="00CB61EA"/>
    <w:rsid w:val="00CB632E"/>
    <w:rsid w:val="00CB6A0B"/>
    <w:rsid w:val="00CB6DA4"/>
    <w:rsid w:val="00CB6EC6"/>
    <w:rsid w:val="00CB78F7"/>
    <w:rsid w:val="00CB7E46"/>
    <w:rsid w:val="00CC00C4"/>
    <w:rsid w:val="00CC0605"/>
    <w:rsid w:val="00CC1D9C"/>
    <w:rsid w:val="00CC2187"/>
    <w:rsid w:val="00CC3A1D"/>
    <w:rsid w:val="00CC3B73"/>
    <w:rsid w:val="00CC4396"/>
    <w:rsid w:val="00CC48A8"/>
    <w:rsid w:val="00CC4E4A"/>
    <w:rsid w:val="00CC4EE8"/>
    <w:rsid w:val="00CC6004"/>
    <w:rsid w:val="00CC66C0"/>
    <w:rsid w:val="00CC68C8"/>
    <w:rsid w:val="00CC7088"/>
    <w:rsid w:val="00CC7102"/>
    <w:rsid w:val="00CC7746"/>
    <w:rsid w:val="00CC7C89"/>
    <w:rsid w:val="00CD0DBD"/>
    <w:rsid w:val="00CD0ED0"/>
    <w:rsid w:val="00CD1010"/>
    <w:rsid w:val="00CD11B8"/>
    <w:rsid w:val="00CD17DA"/>
    <w:rsid w:val="00CD1A58"/>
    <w:rsid w:val="00CD1B34"/>
    <w:rsid w:val="00CD20B6"/>
    <w:rsid w:val="00CD2E04"/>
    <w:rsid w:val="00CD2F7D"/>
    <w:rsid w:val="00CD3CB2"/>
    <w:rsid w:val="00CD4EE0"/>
    <w:rsid w:val="00CD53B6"/>
    <w:rsid w:val="00CD630C"/>
    <w:rsid w:val="00CD6946"/>
    <w:rsid w:val="00CD6E7B"/>
    <w:rsid w:val="00CD7656"/>
    <w:rsid w:val="00CD7BFB"/>
    <w:rsid w:val="00CD7FB5"/>
    <w:rsid w:val="00CE00D0"/>
    <w:rsid w:val="00CE0450"/>
    <w:rsid w:val="00CE0870"/>
    <w:rsid w:val="00CE092F"/>
    <w:rsid w:val="00CE180D"/>
    <w:rsid w:val="00CE1B4C"/>
    <w:rsid w:val="00CE264F"/>
    <w:rsid w:val="00CE2671"/>
    <w:rsid w:val="00CE26F3"/>
    <w:rsid w:val="00CE2926"/>
    <w:rsid w:val="00CE2A73"/>
    <w:rsid w:val="00CE4CA0"/>
    <w:rsid w:val="00CE4CF2"/>
    <w:rsid w:val="00CE4DE2"/>
    <w:rsid w:val="00CE512A"/>
    <w:rsid w:val="00CE5E63"/>
    <w:rsid w:val="00CE6BC2"/>
    <w:rsid w:val="00CE6E9A"/>
    <w:rsid w:val="00CE73D5"/>
    <w:rsid w:val="00CE79F8"/>
    <w:rsid w:val="00CF004D"/>
    <w:rsid w:val="00CF060A"/>
    <w:rsid w:val="00CF08B8"/>
    <w:rsid w:val="00CF08FD"/>
    <w:rsid w:val="00CF16C4"/>
    <w:rsid w:val="00CF2639"/>
    <w:rsid w:val="00CF3666"/>
    <w:rsid w:val="00CF3F5C"/>
    <w:rsid w:val="00CF44F9"/>
    <w:rsid w:val="00CF5066"/>
    <w:rsid w:val="00CF71F9"/>
    <w:rsid w:val="00CF73A1"/>
    <w:rsid w:val="00D0027F"/>
    <w:rsid w:val="00D003AB"/>
    <w:rsid w:val="00D005C1"/>
    <w:rsid w:val="00D00652"/>
    <w:rsid w:val="00D01470"/>
    <w:rsid w:val="00D01DA6"/>
    <w:rsid w:val="00D01E78"/>
    <w:rsid w:val="00D02277"/>
    <w:rsid w:val="00D0250C"/>
    <w:rsid w:val="00D02A63"/>
    <w:rsid w:val="00D02C71"/>
    <w:rsid w:val="00D02FF5"/>
    <w:rsid w:val="00D031E9"/>
    <w:rsid w:val="00D0392F"/>
    <w:rsid w:val="00D0488B"/>
    <w:rsid w:val="00D054B0"/>
    <w:rsid w:val="00D05A74"/>
    <w:rsid w:val="00D065D5"/>
    <w:rsid w:val="00D06B58"/>
    <w:rsid w:val="00D06BBA"/>
    <w:rsid w:val="00D07959"/>
    <w:rsid w:val="00D10083"/>
    <w:rsid w:val="00D11274"/>
    <w:rsid w:val="00D11287"/>
    <w:rsid w:val="00D11293"/>
    <w:rsid w:val="00D114AB"/>
    <w:rsid w:val="00D12387"/>
    <w:rsid w:val="00D12878"/>
    <w:rsid w:val="00D12962"/>
    <w:rsid w:val="00D136BF"/>
    <w:rsid w:val="00D1392C"/>
    <w:rsid w:val="00D14200"/>
    <w:rsid w:val="00D1568E"/>
    <w:rsid w:val="00D15958"/>
    <w:rsid w:val="00D16257"/>
    <w:rsid w:val="00D16706"/>
    <w:rsid w:val="00D16A56"/>
    <w:rsid w:val="00D174F3"/>
    <w:rsid w:val="00D17F84"/>
    <w:rsid w:val="00D1AD2F"/>
    <w:rsid w:val="00D2005B"/>
    <w:rsid w:val="00D206A3"/>
    <w:rsid w:val="00D21C39"/>
    <w:rsid w:val="00D2211E"/>
    <w:rsid w:val="00D228DB"/>
    <w:rsid w:val="00D232B0"/>
    <w:rsid w:val="00D23688"/>
    <w:rsid w:val="00D242D8"/>
    <w:rsid w:val="00D2468A"/>
    <w:rsid w:val="00D24923"/>
    <w:rsid w:val="00D24ABE"/>
    <w:rsid w:val="00D24B05"/>
    <w:rsid w:val="00D24EE3"/>
    <w:rsid w:val="00D259F8"/>
    <w:rsid w:val="00D261D4"/>
    <w:rsid w:val="00D268B6"/>
    <w:rsid w:val="00D2694E"/>
    <w:rsid w:val="00D269FD"/>
    <w:rsid w:val="00D279F0"/>
    <w:rsid w:val="00D27E6E"/>
    <w:rsid w:val="00D3026B"/>
    <w:rsid w:val="00D30520"/>
    <w:rsid w:val="00D3067B"/>
    <w:rsid w:val="00D30B06"/>
    <w:rsid w:val="00D30C81"/>
    <w:rsid w:val="00D3201A"/>
    <w:rsid w:val="00D32739"/>
    <w:rsid w:val="00D32B1C"/>
    <w:rsid w:val="00D3386D"/>
    <w:rsid w:val="00D33DEF"/>
    <w:rsid w:val="00D3425D"/>
    <w:rsid w:val="00D34719"/>
    <w:rsid w:val="00D34CE8"/>
    <w:rsid w:val="00D34E14"/>
    <w:rsid w:val="00D35408"/>
    <w:rsid w:val="00D3546E"/>
    <w:rsid w:val="00D355DE"/>
    <w:rsid w:val="00D35DB2"/>
    <w:rsid w:val="00D35E78"/>
    <w:rsid w:val="00D362CB"/>
    <w:rsid w:val="00D368CD"/>
    <w:rsid w:val="00D36A6D"/>
    <w:rsid w:val="00D36B63"/>
    <w:rsid w:val="00D36CD0"/>
    <w:rsid w:val="00D37DCF"/>
    <w:rsid w:val="00D4085E"/>
    <w:rsid w:val="00D41459"/>
    <w:rsid w:val="00D4255A"/>
    <w:rsid w:val="00D42718"/>
    <w:rsid w:val="00D427EB"/>
    <w:rsid w:val="00D43098"/>
    <w:rsid w:val="00D43453"/>
    <w:rsid w:val="00D437B8"/>
    <w:rsid w:val="00D43BC0"/>
    <w:rsid w:val="00D43CF3"/>
    <w:rsid w:val="00D44286"/>
    <w:rsid w:val="00D44546"/>
    <w:rsid w:val="00D44685"/>
    <w:rsid w:val="00D454E0"/>
    <w:rsid w:val="00D45689"/>
    <w:rsid w:val="00D45A43"/>
    <w:rsid w:val="00D45D1A"/>
    <w:rsid w:val="00D463E7"/>
    <w:rsid w:val="00D4650C"/>
    <w:rsid w:val="00D470BB"/>
    <w:rsid w:val="00D474B9"/>
    <w:rsid w:val="00D474D8"/>
    <w:rsid w:val="00D47AC8"/>
    <w:rsid w:val="00D47B55"/>
    <w:rsid w:val="00D501D8"/>
    <w:rsid w:val="00D504D5"/>
    <w:rsid w:val="00D50704"/>
    <w:rsid w:val="00D507E9"/>
    <w:rsid w:val="00D50DA6"/>
    <w:rsid w:val="00D511F3"/>
    <w:rsid w:val="00D51432"/>
    <w:rsid w:val="00D5171E"/>
    <w:rsid w:val="00D51A51"/>
    <w:rsid w:val="00D52404"/>
    <w:rsid w:val="00D528A4"/>
    <w:rsid w:val="00D529E2"/>
    <w:rsid w:val="00D53014"/>
    <w:rsid w:val="00D53377"/>
    <w:rsid w:val="00D537A8"/>
    <w:rsid w:val="00D5398C"/>
    <w:rsid w:val="00D53B39"/>
    <w:rsid w:val="00D53F8E"/>
    <w:rsid w:val="00D55087"/>
    <w:rsid w:val="00D5550B"/>
    <w:rsid w:val="00D5568B"/>
    <w:rsid w:val="00D558BA"/>
    <w:rsid w:val="00D559B0"/>
    <w:rsid w:val="00D56107"/>
    <w:rsid w:val="00D56A8D"/>
    <w:rsid w:val="00D571EF"/>
    <w:rsid w:val="00D5758C"/>
    <w:rsid w:val="00D60917"/>
    <w:rsid w:val="00D63129"/>
    <w:rsid w:val="00D63B5A"/>
    <w:rsid w:val="00D63E12"/>
    <w:rsid w:val="00D64FF7"/>
    <w:rsid w:val="00D65678"/>
    <w:rsid w:val="00D65E35"/>
    <w:rsid w:val="00D7047B"/>
    <w:rsid w:val="00D706D2"/>
    <w:rsid w:val="00D71B29"/>
    <w:rsid w:val="00D723BB"/>
    <w:rsid w:val="00D7494E"/>
    <w:rsid w:val="00D74C32"/>
    <w:rsid w:val="00D74F7D"/>
    <w:rsid w:val="00D753AC"/>
    <w:rsid w:val="00D754BD"/>
    <w:rsid w:val="00D75804"/>
    <w:rsid w:val="00D75E67"/>
    <w:rsid w:val="00D76435"/>
    <w:rsid w:val="00D77048"/>
    <w:rsid w:val="00D772CA"/>
    <w:rsid w:val="00D77703"/>
    <w:rsid w:val="00D810CA"/>
    <w:rsid w:val="00D815D4"/>
    <w:rsid w:val="00D815E4"/>
    <w:rsid w:val="00D81CBB"/>
    <w:rsid w:val="00D82A58"/>
    <w:rsid w:val="00D82E6A"/>
    <w:rsid w:val="00D832EB"/>
    <w:rsid w:val="00D8359D"/>
    <w:rsid w:val="00D838CC"/>
    <w:rsid w:val="00D83C4A"/>
    <w:rsid w:val="00D83EE0"/>
    <w:rsid w:val="00D84780"/>
    <w:rsid w:val="00D85192"/>
    <w:rsid w:val="00D85CFE"/>
    <w:rsid w:val="00D86AF4"/>
    <w:rsid w:val="00D86E4D"/>
    <w:rsid w:val="00D8744E"/>
    <w:rsid w:val="00D87AD1"/>
    <w:rsid w:val="00D87D22"/>
    <w:rsid w:val="00D900EC"/>
    <w:rsid w:val="00D903F3"/>
    <w:rsid w:val="00D90C05"/>
    <w:rsid w:val="00D90DE8"/>
    <w:rsid w:val="00D9115B"/>
    <w:rsid w:val="00D91303"/>
    <w:rsid w:val="00D92135"/>
    <w:rsid w:val="00D922C1"/>
    <w:rsid w:val="00D92645"/>
    <w:rsid w:val="00D92A73"/>
    <w:rsid w:val="00D92CDA"/>
    <w:rsid w:val="00D92F1E"/>
    <w:rsid w:val="00D93C48"/>
    <w:rsid w:val="00D93CF9"/>
    <w:rsid w:val="00D94350"/>
    <w:rsid w:val="00D94F80"/>
    <w:rsid w:val="00D95850"/>
    <w:rsid w:val="00D95F6B"/>
    <w:rsid w:val="00D96312"/>
    <w:rsid w:val="00D979BF"/>
    <w:rsid w:val="00DA0089"/>
    <w:rsid w:val="00DA03D3"/>
    <w:rsid w:val="00DA0879"/>
    <w:rsid w:val="00DA0F50"/>
    <w:rsid w:val="00DA1D33"/>
    <w:rsid w:val="00DA203E"/>
    <w:rsid w:val="00DA20D2"/>
    <w:rsid w:val="00DA21B6"/>
    <w:rsid w:val="00DA22DB"/>
    <w:rsid w:val="00DA25CE"/>
    <w:rsid w:val="00DA31C4"/>
    <w:rsid w:val="00DA3FAB"/>
    <w:rsid w:val="00DA4137"/>
    <w:rsid w:val="00DA4345"/>
    <w:rsid w:val="00DA4761"/>
    <w:rsid w:val="00DA47F0"/>
    <w:rsid w:val="00DA53AF"/>
    <w:rsid w:val="00DA5407"/>
    <w:rsid w:val="00DA5CAB"/>
    <w:rsid w:val="00DA65CC"/>
    <w:rsid w:val="00DA717C"/>
    <w:rsid w:val="00DB0272"/>
    <w:rsid w:val="00DB03C5"/>
    <w:rsid w:val="00DB03D8"/>
    <w:rsid w:val="00DB0540"/>
    <w:rsid w:val="00DB06FC"/>
    <w:rsid w:val="00DB0C47"/>
    <w:rsid w:val="00DB15DF"/>
    <w:rsid w:val="00DB1D24"/>
    <w:rsid w:val="00DB1E0A"/>
    <w:rsid w:val="00DB34CC"/>
    <w:rsid w:val="00DB36AD"/>
    <w:rsid w:val="00DB3B4A"/>
    <w:rsid w:val="00DB3CF8"/>
    <w:rsid w:val="00DB417D"/>
    <w:rsid w:val="00DB4AD0"/>
    <w:rsid w:val="00DB529D"/>
    <w:rsid w:val="00DB5A19"/>
    <w:rsid w:val="00DB5C4B"/>
    <w:rsid w:val="00DB65BE"/>
    <w:rsid w:val="00DB68B9"/>
    <w:rsid w:val="00DB6EA0"/>
    <w:rsid w:val="00DB7055"/>
    <w:rsid w:val="00DB741F"/>
    <w:rsid w:val="00DB7B16"/>
    <w:rsid w:val="00DB7E2F"/>
    <w:rsid w:val="00DB7E86"/>
    <w:rsid w:val="00DC13D3"/>
    <w:rsid w:val="00DC1453"/>
    <w:rsid w:val="00DC14F8"/>
    <w:rsid w:val="00DC214A"/>
    <w:rsid w:val="00DC27F8"/>
    <w:rsid w:val="00DC2A3B"/>
    <w:rsid w:val="00DC2F4B"/>
    <w:rsid w:val="00DC3534"/>
    <w:rsid w:val="00DC359B"/>
    <w:rsid w:val="00DC3CC8"/>
    <w:rsid w:val="00DC3E1C"/>
    <w:rsid w:val="00DC4760"/>
    <w:rsid w:val="00DC4EE6"/>
    <w:rsid w:val="00DC5018"/>
    <w:rsid w:val="00DC57C4"/>
    <w:rsid w:val="00DC6066"/>
    <w:rsid w:val="00DC62FD"/>
    <w:rsid w:val="00DC76A1"/>
    <w:rsid w:val="00DD044A"/>
    <w:rsid w:val="00DD08E3"/>
    <w:rsid w:val="00DD0D9C"/>
    <w:rsid w:val="00DD186C"/>
    <w:rsid w:val="00DD1881"/>
    <w:rsid w:val="00DD19E7"/>
    <w:rsid w:val="00DD2387"/>
    <w:rsid w:val="00DD33AE"/>
    <w:rsid w:val="00DD3D78"/>
    <w:rsid w:val="00DD438F"/>
    <w:rsid w:val="00DD4794"/>
    <w:rsid w:val="00DD591E"/>
    <w:rsid w:val="00DD5DFF"/>
    <w:rsid w:val="00DD76AB"/>
    <w:rsid w:val="00DE038B"/>
    <w:rsid w:val="00DE042C"/>
    <w:rsid w:val="00DE0601"/>
    <w:rsid w:val="00DE0885"/>
    <w:rsid w:val="00DE0A63"/>
    <w:rsid w:val="00DE14CA"/>
    <w:rsid w:val="00DE2790"/>
    <w:rsid w:val="00DE27B6"/>
    <w:rsid w:val="00DE3CEB"/>
    <w:rsid w:val="00DE4BBA"/>
    <w:rsid w:val="00DE4C45"/>
    <w:rsid w:val="00DE5C28"/>
    <w:rsid w:val="00DE5EDA"/>
    <w:rsid w:val="00DE6DEE"/>
    <w:rsid w:val="00DE6E57"/>
    <w:rsid w:val="00DE6F80"/>
    <w:rsid w:val="00DE7DD5"/>
    <w:rsid w:val="00DF17E9"/>
    <w:rsid w:val="00DF1B6F"/>
    <w:rsid w:val="00DF20CA"/>
    <w:rsid w:val="00DF2AB4"/>
    <w:rsid w:val="00DF2ACC"/>
    <w:rsid w:val="00DF2FE0"/>
    <w:rsid w:val="00DF3B1A"/>
    <w:rsid w:val="00DF3EE4"/>
    <w:rsid w:val="00DF40A5"/>
    <w:rsid w:val="00DF4C54"/>
    <w:rsid w:val="00DF4D87"/>
    <w:rsid w:val="00DF519A"/>
    <w:rsid w:val="00DF5AC3"/>
    <w:rsid w:val="00DF5C90"/>
    <w:rsid w:val="00DF5FF4"/>
    <w:rsid w:val="00DF6B6E"/>
    <w:rsid w:val="00DF76E9"/>
    <w:rsid w:val="00DF7AFD"/>
    <w:rsid w:val="00E00117"/>
    <w:rsid w:val="00E00232"/>
    <w:rsid w:val="00E00A54"/>
    <w:rsid w:val="00E010A8"/>
    <w:rsid w:val="00E0187F"/>
    <w:rsid w:val="00E019D0"/>
    <w:rsid w:val="00E022F8"/>
    <w:rsid w:val="00E02696"/>
    <w:rsid w:val="00E02905"/>
    <w:rsid w:val="00E029A8"/>
    <w:rsid w:val="00E03527"/>
    <w:rsid w:val="00E0357B"/>
    <w:rsid w:val="00E04523"/>
    <w:rsid w:val="00E052FC"/>
    <w:rsid w:val="00E0589C"/>
    <w:rsid w:val="00E0641E"/>
    <w:rsid w:val="00E06949"/>
    <w:rsid w:val="00E06D0D"/>
    <w:rsid w:val="00E07904"/>
    <w:rsid w:val="00E104D2"/>
    <w:rsid w:val="00E108C0"/>
    <w:rsid w:val="00E10B94"/>
    <w:rsid w:val="00E129FF"/>
    <w:rsid w:val="00E13898"/>
    <w:rsid w:val="00E13DEF"/>
    <w:rsid w:val="00E1454F"/>
    <w:rsid w:val="00E1513D"/>
    <w:rsid w:val="00E15321"/>
    <w:rsid w:val="00E15D77"/>
    <w:rsid w:val="00E16249"/>
    <w:rsid w:val="00E167F0"/>
    <w:rsid w:val="00E16955"/>
    <w:rsid w:val="00E16D25"/>
    <w:rsid w:val="00E16F32"/>
    <w:rsid w:val="00E203D0"/>
    <w:rsid w:val="00E219B3"/>
    <w:rsid w:val="00E21AFC"/>
    <w:rsid w:val="00E225C1"/>
    <w:rsid w:val="00E22668"/>
    <w:rsid w:val="00E22A7A"/>
    <w:rsid w:val="00E22EBA"/>
    <w:rsid w:val="00E22FA2"/>
    <w:rsid w:val="00E2338F"/>
    <w:rsid w:val="00E24129"/>
    <w:rsid w:val="00E24865"/>
    <w:rsid w:val="00E24CCE"/>
    <w:rsid w:val="00E24CE2"/>
    <w:rsid w:val="00E25B27"/>
    <w:rsid w:val="00E26136"/>
    <w:rsid w:val="00E275A6"/>
    <w:rsid w:val="00E27F4F"/>
    <w:rsid w:val="00E312CD"/>
    <w:rsid w:val="00E31524"/>
    <w:rsid w:val="00E315AE"/>
    <w:rsid w:val="00E31A4A"/>
    <w:rsid w:val="00E3219D"/>
    <w:rsid w:val="00E326E5"/>
    <w:rsid w:val="00E32898"/>
    <w:rsid w:val="00E32BA3"/>
    <w:rsid w:val="00E33412"/>
    <w:rsid w:val="00E33449"/>
    <w:rsid w:val="00E33B09"/>
    <w:rsid w:val="00E34309"/>
    <w:rsid w:val="00E34B6D"/>
    <w:rsid w:val="00E36730"/>
    <w:rsid w:val="00E36798"/>
    <w:rsid w:val="00E37263"/>
    <w:rsid w:val="00E378A1"/>
    <w:rsid w:val="00E37989"/>
    <w:rsid w:val="00E407CF"/>
    <w:rsid w:val="00E40EE4"/>
    <w:rsid w:val="00E419AA"/>
    <w:rsid w:val="00E41B5D"/>
    <w:rsid w:val="00E41C0F"/>
    <w:rsid w:val="00E427AF"/>
    <w:rsid w:val="00E42836"/>
    <w:rsid w:val="00E4351D"/>
    <w:rsid w:val="00E438A1"/>
    <w:rsid w:val="00E43D00"/>
    <w:rsid w:val="00E451E6"/>
    <w:rsid w:val="00E45488"/>
    <w:rsid w:val="00E457DC"/>
    <w:rsid w:val="00E45B2E"/>
    <w:rsid w:val="00E471E6"/>
    <w:rsid w:val="00E474EB"/>
    <w:rsid w:val="00E475CC"/>
    <w:rsid w:val="00E475EF"/>
    <w:rsid w:val="00E475F9"/>
    <w:rsid w:val="00E47ABB"/>
    <w:rsid w:val="00E47CC5"/>
    <w:rsid w:val="00E501ED"/>
    <w:rsid w:val="00E50A62"/>
    <w:rsid w:val="00E50D90"/>
    <w:rsid w:val="00E511C3"/>
    <w:rsid w:val="00E51B8A"/>
    <w:rsid w:val="00E51C14"/>
    <w:rsid w:val="00E520DF"/>
    <w:rsid w:val="00E5264B"/>
    <w:rsid w:val="00E52A1E"/>
    <w:rsid w:val="00E52F4E"/>
    <w:rsid w:val="00E53331"/>
    <w:rsid w:val="00E53646"/>
    <w:rsid w:val="00E53D28"/>
    <w:rsid w:val="00E53F90"/>
    <w:rsid w:val="00E54120"/>
    <w:rsid w:val="00E543BE"/>
    <w:rsid w:val="00E54646"/>
    <w:rsid w:val="00E54FD7"/>
    <w:rsid w:val="00E55CF7"/>
    <w:rsid w:val="00E55E12"/>
    <w:rsid w:val="00E56331"/>
    <w:rsid w:val="00E56456"/>
    <w:rsid w:val="00E56A51"/>
    <w:rsid w:val="00E56D54"/>
    <w:rsid w:val="00E56D80"/>
    <w:rsid w:val="00E5774D"/>
    <w:rsid w:val="00E5783F"/>
    <w:rsid w:val="00E57EE6"/>
    <w:rsid w:val="00E6098B"/>
    <w:rsid w:val="00E60B7F"/>
    <w:rsid w:val="00E61D57"/>
    <w:rsid w:val="00E62720"/>
    <w:rsid w:val="00E62BB6"/>
    <w:rsid w:val="00E63218"/>
    <w:rsid w:val="00E632BF"/>
    <w:rsid w:val="00E634D1"/>
    <w:rsid w:val="00E6368E"/>
    <w:rsid w:val="00E63B36"/>
    <w:rsid w:val="00E641D7"/>
    <w:rsid w:val="00E647A3"/>
    <w:rsid w:val="00E64BB1"/>
    <w:rsid w:val="00E65872"/>
    <w:rsid w:val="00E662C7"/>
    <w:rsid w:val="00E6698E"/>
    <w:rsid w:val="00E66A7C"/>
    <w:rsid w:val="00E67484"/>
    <w:rsid w:val="00E67670"/>
    <w:rsid w:val="00E701FE"/>
    <w:rsid w:val="00E71466"/>
    <w:rsid w:val="00E72117"/>
    <w:rsid w:val="00E72AC0"/>
    <w:rsid w:val="00E72B90"/>
    <w:rsid w:val="00E73349"/>
    <w:rsid w:val="00E735DF"/>
    <w:rsid w:val="00E7482F"/>
    <w:rsid w:val="00E758E2"/>
    <w:rsid w:val="00E75ABD"/>
    <w:rsid w:val="00E75C17"/>
    <w:rsid w:val="00E75F31"/>
    <w:rsid w:val="00E76785"/>
    <w:rsid w:val="00E775B2"/>
    <w:rsid w:val="00E77913"/>
    <w:rsid w:val="00E80D36"/>
    <w:rsid w:val="00E80E2E"/>
    <w:rsid w:val="00E80ED5"/>
    <w:rsid w:val="00E80F93"/>
    <w:rsid w:val="00E81207"/>
    <w:rsid w:val="00E816B9"/>
    <w:rsid w:val="00E817D2"/>
    <w:rsid w:val="00E8255A"/>
    <w:rsid w:val="00E8293C"/>
    <w:rsid w:val="00E82CD6"/>
    <w:rsid w:val="00E82D85"/>
    <w:rsid w:val="00E82F92"/>
    <w:rsid w:val="00E83AC6"/>
    <w:rsid w:val="00E85277"/>
    <w:rsid w:val="00E85DB4"/>
    <w:rsid w:val="00E85E39"/>
    <w:rsid w:val="00E873B8"/>
    <w:rsid w:val="00E87CB1"/>
    <w:rsid w:val="00E907FF"/>
    <w:rsid w:val="00E911C4"/>
    <w:rsid w:val="00E91259"/>
    <w:rsid w:val="00E9145F"/>
    <w:rsid w:val="00E91472"/>
    <w:rsid w:val="00E915DE"/>
    <w:rsid w:val="00E9188D"/>
    <w:rsid w:val="00E91D83"/>
    <w:rsid w:val="00E929A1"/>
    <w:rsid w:val="00E92D71"/>
    <w:rsid w:val="00E9305C"/>
    <w:rsid w:val="00E93B62"/>
    <w:rsid w:val="00E9538B"/>
    <w:rsid w:val="00E95960"/>
    <w:rsid w:val="00E96634"/>
    <w:rsid w:val="00E966A5"/>
    <w:rsid w:val="00E97A72"/>
    <w:rsid w:val="00EA0148"/>
    <w:rsid w:val="00EA0D3B"/>
    <w:rsid w:val="00EA1242"/>
    <w:rsid w:val="00EA1A61"/>
    <w:rsid w:val="00EA2142"/>
    <w:rsid w:val="00EA25D3"/>
    <w:rsid w:val="00EA363D"/>
    <w:rsid w:val="00EA3F04"/>
    <w:rsid w:val="00EA4A08"/>
    <w:rsid w:val="00EA4D89"/>
    <w:rsid w:val="00EA53D4"/>
    <w:rsid w:val="00EA56F9"/>
    <w:rsid w:val="00EA5BB0"/>
    <w:rsid w:val="00EA62B0"/>
    <w:rsid w:val="00EA6603"/>
    <w:rsid w:val="00EA6637"/>
    <w:rsid w:val="00EA77B6"/>
    <w:rsid w:val="00EA7855"/>
    <w:rsid w:val="00EB0115"/>
    <w:rsid w:val="00EB0A9D"/>
    <w:rsid w:val="00EB0AA2"/>
    <w:rsid w:val="00EB0FCC"/>
    <w:rsid w:val="00EB16E3"/>
    <w:rsid w:val="00EB1D35"/>
    <w:rsid w:val="00EB257F"/>
    <w:rsid w:val="00EB2A8C"/>
    <w:rsid w:val="00EB2C87"/>
    <w:rsid w:val="00EB2D28"/>
    <w:rsid w:val="00EB30D6"/>
    <w:rsid w:val="00EB3714"/>
    <w:rsid w:val="00EB3852"/>
    <w:rsid w:val="00EB4B3F"/>
    <w:rsid w:val="00EB4EFE"/>
    <w:rsid w:val="00EB63F6"/>
    <w:rsid w:val="00EB6596"/>
    <w:rsid w:val="00EB688D"/>
    <w:rsid w:val="00EB742E"/>
    <w:rsid w:val="00EC0177"/>
    <w:rsid w:val="00EC0A30"/>
    <w:rsid w:val="00EC0B26"/>
    <w:rsid w:val="00EC121D"/>
    <w:rsid w:val="00EC1EC2"/>
    <w:rsid w:val="00EC230A"/>
    <w:rsid w:val="00EC3CDB"/>
    <w:rsid w:val="00EC3DB2"/>
    <w:rsid w:val="00EC4696"/>
    <w:rsid w:val="00EC4D35"/>
    <w:rsid w:val="00EC5105"/>
    <w:rsid w:val="00EC5376"/>
    <w:rsid w:val="00EC54C6"/>
    <w:rsid w:val="00EC56CF"/>
    <w:rsid w:val="00EC573A"/>
    <w:rsid w:val="00EC643C"/>
    <w:rsid w:val="00EC6C75"/>
    <w:rsid w:val="00EC76B8"/>
    <w:rsid w:val="00EC780F"/>
    <w:rsid w:val="00EC7FE8"/>
    <w:rsid w:val="00ED0326"/>
    <w:rsid w:val="00ED03B0"/>
    <w:rsid w:val="00ED13A8"/>
    <w:rsid w:val="00ED168E"/>
    <w:rsid w:val="00ED1D9A"/>
    <w:rsid w:val="00ED1E8A"/>
    <w:rsid w:val="00ED20BC"/>
    <w:rsid w:val="00ED25B2"/>
    <w:rsid w:val="00ED2754"/>
    <w:rsid w:val="00ED2DB3"/>
    <w:rsid w:val="00ED2EF4"/>
    <w:rsid w:val="00ED40D0"/>
    <w:rsid w:val="00ED4332"/>
    <w:rsid w:val="00ED4DF6"/>
    <w:rsid w:val="00ED5DF7"/>
    <w:rsid w:val="00ED6B10"/>
    <w:rsid w:val="00ED7DAE"/>
    <w:rsid w:val="00EE004E"/>
    <w:rsid w:val="00EE00CA"/>
    <w:rsid w:val="00EE0373"/>
    <w:rsid w:val="00EE170C"/>
    <w:rsid w:val="00EE17D5"/>
    <w:rsid w:val="00EE22DC"/>
    <w:rsid w:val="00EE232C"/>
    <w:rsid w:val="00EE26B1"/>
    <w:rsid w:val="00EE394E"/>
    <w:rsid w:val="00EE512F"/>
    <w:rsid w:val="00EE51C0"/>
    <w:rsid w:val="00EE6100"/>
    <w:rsid w:val="00EE6C35"/>
    <w:rsid w:val="00EE6D98"/>
    <w:rsid w:val="00EE78B6"/>
    <w:rsid w:val="00EE7EBC"/>
    <w:rsid w:val="00EF0400"/>
    <w:rsid w:val="00EF058F"/>
    <w:rsid w:val="00EF11E4"/>
    <w:rsid w:val="00EF14FA"/>
    <w:rsid w:val="00EF150C"/>
    <w:rsid w:val="00EF180C"/>
    <w:rsid w:val="00EF1BBD"/>
    <w:rsid w:val="00EF1FC3"/>
    <w:rsid w:val="00EF21AE"/>
    <w:rsid w:val="00EF262C"/>
    <w:rsid w:val="00EF2957"/>
    <w:rsid w:val="00EF2AFD"/>
    <w:rsid w:val="00EF36AB"/>
    <w:rsid w:val="00EF3A9B"/>
    <w:rsid w:val="00EF4678"/>
    <w:rsid w:val="00EF5109"/>
    <w:rsid w:val="00EF5245"/>
    <w:rsid w:val="00EF57AD"/>
    <w:rsid w:val="00EF58DA"/>
    <w:rsid w:val="00EF61CA"/>
    <w:rsid w:val="00EF635C"/>
    <w:rsid w:val="00EF6ABA"/>
    <w:rsid w:val="00EF72D0"/>
    <w:rsid w:val="00EF79EB"/>
    <w:rsid w:val="00F0055F"/>
    <w:rsid w:val="00F00677"/>
    <w:rsid w:val="00F00B49"/>
    <w:rsid w:val="00F023CC"/>
    <w:rsid w:val="00F02AA8"/>
    <w:rsid w:val="00F02ADF"/>
    <w:rsid w:val="00F030C4"/>
    <w:rsid w:val="00F03682"/>
    <w:rsid w:val="00F03B0F"/>
    <w:rsid w:val="00F0401C"/>
    <w:rsid w:val="00F043EA"/>
    <w:rsid w:val="00F0461C"/>
    <w:rsid w:val="00F04AF6"/>
    <w:rsid w:val="00F0593A"/>
    <w:rsid w:val="00F05E44"/>
    <w:rsid w:val="00F0671C"/>
    <w:rsid w:val="00F07808"/>
    <w:rsid w:val="00F07EB7"/>
    <w:rsid w:val="00F1040A"/>
    <w:rsid w:val="00F108DE"/>
    <w:rsid w:val="00F10B4F"/>
    <w:rsid w:val="00F10E74"/>
    <w:rsid w:val="00F11111"/>
    <w:rsid w:val="00F111CF"/>
    <w:rsid w:val="00F11398"/>
    <w:rsid w:val="00F11C40"/>
    <w:rsid w:val="00F12216"/>
    <w:rsid w:val="00F1335D"/>
    <w:rsid w:val="00F144CE"/>
    <w:rsid w:val="00F145AD"/>
    <w:rsid w:val="00F151EB"/>
    <w:rsid w:val="00F153CA"/>
    <w:rsid w:val="00F158E8"/>
    <w:rsid w:val="00F16488"/>
    <w:rsid w:val="00F16593"/>
    <w:rsid w:val="00F1661A"/>
    <w:rsid w:val="00F17054"/>
    <w:rsid w:val="00F1758D"/>
    <w:rsid w:val="00F206D0"/>
    <w:rsid w:val="00F20817"/>
    <w:rsid w:val="00F20DB0"/>
    <w:rsid w:val="00F21562"/>
    <w:rsid w:val="00F21C51"/>
    <w:rsid w:val="00F21CE2"/>
    <w:rsid w:val="00F21DC7"/>
    <w:rsid w:val="00F21F0D"/>
    <w:rsid w:val="00F22407"/>
    <w:rsid w:val="00F22849"/>
    <w:rsid w:val="00F234B0"/>
    <w:rsid w:val="00F2363E"/>
    <w:rsid w:val="00F237F2"/>
    <w:rsid w:val="00F24539"/>
    <w:rsid w:val="00F2484F"/>
    <w:rsid w:val="00F24A18"/>
    <w:rsid w:val="00F24AC2"/>
    <w:rsid w:val="00F2546D"/>
    <w:rsid w:val="00F25641"/>
    <w:rsid w:val="00F26BB6"/>
    <w:rsid w:val="00F26F9F"/>
    <w:rsid w:val="00F27418"/>
    <w:rsid w:val="00F2747A"/>
    <w:rsid w:val="00F277B9"/>
    <w:rsid w:val="00F27D72"/>
    <w:rsid w:val="00F311D4"/>
    <w:rsid w:val="00F31793"/>
    <w:rsid w:val="00F31C56"/>
    <w:rsid w:val="00F31D24"/>
    <w:rsid w:val="00F3206C"/>
    <w:rsid w:val="00F32345"/>
    <w:rsid w:val="00F3326D"/>
    <w:rsid w:val="00F34258"/>
    <w:rsid w:val="00F34661"/>
    <w:rsid w:val="00F35A29"/>
    <w:rsid w:val="00F36861"/>
    <w:rsid w:val="00F36D0E"/>
    <w:rsid w:val="00F36F3F"/>
    <w:rsid w:val="00F402A9"/>
    <w:rsid w:val="00F406B7"/>
    <w:rsid w:val="00F413A2"/>
    <w:rsid w:val="00F41940"/>
    <w:rsid w:val="00F41B23"/>
    <w:rsid w:val="00F422A3"/>
    <w:rsid w:val="00F427D0"/>
    <w:rsid w:val="00F42AD1"/>
    <w:rsid w:val="00F43234"/>
    <w:rsid w:val="00F43C1A"/>
    <w:rsid w:val="00F445C1"/>
    <w:rsid w:val="00F44E4E"/>
    <w:rsid w:val="00F45D5F"/>
    <w:rsid w:val="00F4618A"/>
    <w:rsid w:val="00F46469"/>
    <w:rsid w:val="00F4661E"/>
    <w:rsid w:val="00F46AE3"/>
    <w:rsid w:val="00F47586"/>
    <w:rsid w:val="00F47D03"/>
    <w:rsid w:val="00F50E1A"/>
    <w:rsid w:val="00F51FEF"/>
    <w:rsid w:val="00F5236B"/>
    <w:rsid w:val="00F52860"/>
    <w:rsid w:val="00F52D8F"/>
    <w:rsid w:val="00F531A2"/>
    <w:rsid w:val="00F538EE"/>
    <w:rsid w:val="00F5390E"/>
    <w:rsid w:val="00F53DDA"/>
    <w:rsid w:val="00F54003"/>
    <w:rsid w:val="00F55A25"/>
    <w:rsid w:val="00F55D68"/>
    <w:rsid w:val="00F564F1"/>
    <w:rsid w:val="00F56C4D"/>
    <w:rsid w:val="00F5766E"/>
    <w:rsid w:val="00F577B3"/>
    <w:rsid w:val="00F5792E"/>
    <w:rsid w:val="00F579D5"/>
    <w:rsid w:val="00F57E5F"/>
    <w:rsid w:val="00F605DE"/>
    <w:rsid w:val="00F60626"/>
    <w:rsid w:val="00F609BD"/>
    <w:rsid w:val="00F60D69"/>
    <w:rsid w:val="00F60E89"/>
    <w:rsid w:val="00F60FAE"/>
    <w:rsid w:val="00F61275"/>
    <w:rsid w:val="00F61458"/>
    <w:rsid w:val="00F617A4"/>
    <w:rsid w:val="00F61AAC"/>
    <w:rsid w:val="00F61BDC"/>
    <w:rsid w:val="00F61C0D"/>
    <w:rsid w:val="00F621BD"/>
    <w:rsid w:val="00F62F8D"/>
    <w:rsid w:val="00F633D9"/>
    <w:rsid w:val="00F637D8"/>
    <w:rsid w:val="00F63BA6"/>
    <w:rsid w:val="00F64690"/>
    <w:rsid w:val="00F64778"/>
    <w:rsid w:val="00F6489E"/>
    <w:rsid w:val="00F64DBD"/>
    <w:rsid w:val="00F655B2"/>
    <w:rsid w:val="00F65607"/>
    <w:rsid w:val="00F65A31"/>
    <w:rsid w:val="00F662D6"/>
    <w:rsid w:val="00F66668"/>
    <w:rsid w:val="00F6680B"/>
    <w:rsid w:val="00F6693F"/>
    <w:rsid w:val="00F674BA"/>
    <w:rsid w:val="00F67679"/>
    <w:rsid w:val="00F67A9F"/>
    <w:rsid w:val="00F702A0"/>
    <w:rsid w:val="00F71E16"/>
    <w:rsid w:val="00F728F8"/>
    <w:rsid w:val="00F73E36"/>
    <w:rsid w:val="00F73F6E"/>
    <w:rsid w:val="00F7480F"/>
    <w:rsid w:val="00F74EF0"/>
    <w:rsid w:val="00F75180"/>
    <w:rsid w:val="00F7590B"/>
    <w:rsid w:val="00F760E5"/>
    <w:rsid w:val="00F762E9"/>
    <w:rsid w:val="00F76570"/>
    <w:rsid w:val="00F768DC"/>
    <w:rsid w:val="00F77D42"/>
    <w:rsid w:val="00F807FD"/>
    <w:rsid w:val="00F80A29"/>
    <w:rsid w:val="00F810D2"/>
    <w:rsid w:val="00F81842"/>
    <w:rsid w:val="00F81F4C"/>
    <w:rsid w:val="00F82515"/>
    <w:rsid w:val="00F8272D"/>
    <w:rsid w:val="00F829C7"/>
    <w:rsid w:val="00F83856"/>
    <w:rsid w:val="00F83CF5"/>
    <w:rsid w:val="00F84306"/>
    <w:rsid w:val="00F849AF"/>
    <w:rsid w:val="00F84CD0"/>
    <w:rsid w:val="00F8527B"/>
    <w:rsid w:val="00F858E6"/>
    <w:rsid w:val="00F859F4"/>
    <w:rsid w:val="00F86F72"/>
    <w:rsid w:val="00F87466"/>
    <w:rsid w:val="00F87666"/>
    <w:rsid w:val="00F878E6"/>
    <w:rsid w:val="00F90C2E"/>
    <w:rsid w:val="00F92B89"/>
    <w:rsid w:val="00F9307B"/>
    <w:rsid w:val="00F94112"/>
    <w:rsid w:val="00F945DC"/>
    <w:rsid w:val="00F95F7C"/>
    <w:rsid w:val="00F964CD"/>
    <w:rsid w:val="00F975A5"/>
    <w:rsid w:val="00F97B47"/>
    <w:rsid w:val="00FA003B"/>
    <w:rsid w:val="00FA04B1"/>
    <w:rsid w:val="00FA07A8"/>
    <w:rsid w:val="00FA112E"/>
    <w:rsid w:val="00FA12BE"/>
    <w:rsid w:val="00FA1723"/>
    <w:rsid w:val="00FA199E"/>
    <w:rsid w:val="00FA21C0"/>
    <w:rsid w:val="00FA226A"/>
    <w:rsid w:val="00FA2E72"/>
    <w:rsid w:val="00FA2FFE"/>
    <w:rsid w:val="00FA32FF"/>
    <w:rsid w:val="00FA36EA"/>
    <w:rsid w:val="00FA3BF8"/>
    <w:rsid w:val="00FA3CF2"/>
    <w:rsid w:val="00FA42AA"/>
    <w:rsid w:val="00FA46A5"/>
    <w:rsid w:val="00FA4A29"/>
    <w:rsid w:val="00FA4FEE"/>
    <w:rsid w:val="00FA5552"/>
    <w:rsid w:val="00FA5BA8"/>
    <w:rsid w:val="00FA5E70"/>
    <w:rsid w:val="00FA6449"/>
    <w:rsid w:val="00FA708E"/>
    <w:rsid w:val="00FA70AC"/>
    <w:rsid w:val="00FA70D9"/>
    <w:rsid w:val="00FA721D"/>
    <w:rsid w:val="00FA7D16"/>
    <w:rsid w:val="00FB0B44"/>
    <w:rsid w:val="00FB0D90"/>
    <w:rsid w:val="00FB1536"/>
    <w:rsid w:val="00FB19F0"/>
    <w:rsid w:val="00FB209E"/>
    <w:rsid w:val="00FB21DA"/>
    <w:rsid w:val="00FB2ADB"/>
    <w:rsid w:val="00FB2B0F"/>
    <w:rsid w:val="00FB2D82"/>
    <w:rsid w:val="00FB2F2D"/>
    <w:rsid w:val="00FB3C6D"/>
    <w:rsid w:val="00FB42D0"/>
    <w:rsid w:val="00FB4964"/>
    <w:rsid w:val="00FB4D76"/>
    <w:rsid w:val="00FB502B"/>
    <w:rsid w:val="00FB57E7"/>
    <w:rsid w:val="00FB5B4E"/>
    <w:rsid w:val="00FB63B0"/>
    <w:rsid w:val="00FB6C46"/>
    <w:rsid w:val="00FB6F54"/>
    <w:rsid w:val="00FB72E1"/>
    <w:rsid w:val="00FB734D"/>
    <w:rsid w:val="00FB75C3"/>
    <w:rsid w:val="00FB76AA"/>
    <w:rsid w:val="00FC05FE"/>
    <w:rsid w:val="00FC072E"/>
    <w:rsid w:val="00FC09BB"/>
    <w:rsid w:val="00FC0A4E"/>
    <w:rsid w:val="00FC0BC6"/>
    <w:rsid w:val="00FC0BCC"/>
    <w:rsid w:val="00FC12FD"/>
    <w:rsid w:val="00FC17D5"/>
    <w:rsid w:val="00FC1A6A"/>
    <w:rsid w:val="00FC254F"/>
    <w:rsid w:val="00FC31FD"/>
    <w:rsid w:val="00FC340A"/>
    <w:rsid w:val="00FC377B"/>
    <w:rsid w:val="00FC3986"/>
    <w:rsid w:val="00FC39E7"/>
    <w:rsid w:val="00FC435F"/>
    <w:rsid w:val="00FC44DB"/>
    <w:rsid w:val="00FC4782"/>
    <w:rsid w:val="00FC4AE9"/>
    <w:rsid w:val="00FC4F37"/>
    <w:rsid w:val="00FC51BF"/>
    <w:rsid w:val="00FC52A3"/>
    <w:rsid w:val="00FC5BA4"/>
    <w:rsid w:val="00FC6064"/>
    <w:rsid w:val="00FC6379"/>
    <w:rsid w:val="00FC63A9"/>
    <w:rsid w:val="00FC6B8F"/>
    <w:rsid w:val="00FC7334"/>
    <w:rsid w:val="00FC78B8"/>
    <w:rsid w:val="00FC79E6"/>
    <w:rsid w:val="00FC7F0A"/>
    <w:rsid w:val="00FD013E"/>
    <w:rsid w:val="00FD0A58"/>
    <w:rsid w:val="00FD0B1B"/>
    <w:rsid w:val="00FD0C7F"/>
    <w:rsid w:val="00FD1741"/>
    <w:rsid w:val="00FD2E97"/>
    <w:rsid w:val="00FD2F88"/>
    <w:rsid w:val="00FD33EC"/>
    <w:rsid w:val="00FD3D49"/>
    <w:rsid w:val="00FD418B"/>
    <w:rsid w:val="00FD4242"/>
    <w:rsid w:val="00FD47E8"/>
    <w:rsid w:val="00FD48BC"/>
    <w:rsid w:val="00FD4E02"/>
    <w:rsid w:val="00FD51D7"/>
    <w:rsid w:val="00FD530F"/>
    <w:rsid w:val="00FD6788"/>
    <w:rsid w:val="00FD6F58"/>
    <w:rsid w:val="00FD733E"/>
    <w:rsid w:val="00FD7763"/>
    <w:rsid w:val="00FD7853"/>
    <w:rsid w:val="00FD7E0F"/>
    <w:rsid w:val="00FD7EA2"/>
    <w:rsid w:val="00FE0965"/>
    <w:rsid w:val="00FE0A3C"/>
    <w:rsid w:val="00FE0B5C"/>
    <w:rsid w:val="00FE0FC4"/>
    <w:rsid w:val="00FE102A"/>
    <w:rsid w:val="00FE157B"/>
    <w:rsid w:val="00FE16F2"/>
    <w:rsid w:val="00FE197E"/>
    <w:rsid w:val="00FE1B61"/>
    <w:rsid w:val="00FE2624"/>
    <w:rsid w:val="00FE2B11"/>
    <w:rsid w:val="00FE313C"/>
    <w:rsid w:val="00FE38D6"/>
    <w:rsid w:val="00FE3DDF"/>
    <w:rsid w:val="00FE3E46"/>
    <w:rsid w:val="00FE428B"/>
    <w:rsid w:val="00FE4534"/>
    <w:rsid w:val="00FE45C3"/>
    <w:rsid w:val="00FE5C39"/>
    <w:rsid w:val="00FE609A"/>
    <w:rsid w:val="00FE60CB"/>
    <w:rsid w:val="00FE61DE"/>
    <w:rsid w:val="00FE6260"/>
    <w:rsid w:val="00FE6CDB"/>
    <w:rsid w:val="00FE7431"/>
    <w:rsid w:val="00FE7E4C"/>
    <w:rsid w:val="00FF0094"/>
    <w:rsid w:val="00FF0483"/>
    <w:rsid w:val="00FF0C03"/>
    <w:rsid w:val="00FF0E8C"/>
    <w:rsid w:val="00FF163D"/>
    <w:rsid w:val="00FF17FE"/>
    <w:rsid w:val="00FF2A58"/>
    <w:rsid w:val="00FF3278"/>
    <w:rsid w:val="00FF36E5"/>
    <w:rsid w:val="00FF43E0"/>
    <w:rsid w:val="00FF44FB"/>
    <w:rsid w:val="00FF4A4C"/>
    <w:rsid w:val="00FF4C9E"/>
    <w:rsid w:val="00FF5311"/>
    <w:rsid w:val="00FF6251"/>
    <w:rsid w:val="00FF67C6"/>
    <w:rsid w:val="00FF6B54"/>
    <w:rsid w:val="00FF6E6B"/>
    <w:rsid w:val="00FF6F2D"/>
    <w:rsid w:val="016531BF"/>
    <w:rsid w:val="0170FD14"/>
    <w:rsid w:val="01FCE05B"/>
    <w:rsid w:val="023F9A21"/>
    <w:rsid w:val="0270017B"/>
    <w:rsid w:val="02F15E05"/>
    <w:rsid w:val="0369EC9D"/>
    <w:rsid w:val="0387DE11"/>
    <w:rsid w:val="039B310E"/>
    <w:rsid w:val="03BD6D5A"/>
    <w:rsid w:val="04031298"/>
    <w:rsid w:val="0484D553"/>
    <w:rsid w:val="048CD3DB"/>
    <w:rsid w:val="0513F4A5"/>
    <w:rsid w:val="0534F0B8"/>
    <w:rsid w:val="053526EA"/>
    <w:rsid w:val="053BA027"/>
    <w:rsid w:val="054891F7"/>
    <w:rsid w:val="05609667"/>
    <w:rsid w:val="06303076"/>
    <w:rsid w:val="06506715"/>
    <w:rsid w:val="06C873AE"/>
    <w:rsid w:val="071EE35A"/>
    <w:rsid w:val="07554D75"/>
    <w:rsid w:val="07AAA061"/>
    <w:rsid w:val="07B384F2"/>
    <w:rsid w:val="07BEFEDA"/>
    <w:rsid w:val="07D731BD"/>
    <w:rsid w:val="082DB43C"/>
    <w:rsid w:val="086D002B"/>
    <w:rsid w:val="08E22AE4"/>
    <w:rsid w:val="09CFED00"/>
    <w:rsid w:val="09E6D9BD"/>
    <w:rsid w:val="0A2DED6F"/>
    <w:rsid w:val="0A6C7C18"/>
    <w:rsid w:val="0B5090BD"/>
    <w:rsid w:val="0B5FF6B1"/>
    <w:rsid w:val="0C0ED223"/>
    <w:rsid w:val="0C18E0A2"/>
    <w:rsid w:val="0CE1ED8C"/>
    <w:rsid w:val="0D2369FE"/>
    <w:rsid w:val="0D5420D9"/>
    <w:rsid w:val="0D6A180B"/>
    <w:rsid w:val="0D90A279"/>
    <w:rsid w:val="0DB00C23"/>
    <w:rsid w:val="0DCE18AE"/>
    <w:rsid w:val="0E08DE5B"/>
    <w:rsid w:val="0E1E1C35"/>
    <w:rsid w:val="0F13906A"/>
    <w:rsid w:val="0FA1D5C3"/>
    <w:rsid w:val="100DF0B5"/>
    <w:rsid w:val="10928B4E"/>
    <w:rsid w:val="123F1E34"/>
    <w:rsid w:val="136C986D"/>
    <w:rsid w:val="13A05D6B"/>
    <w:rsid w:val="13C2EC49"/>
    <w:rsid w:val="13CCF2B7"/>
    <w:rsid w:val="13DFD5A6"/>
    <w:rsid w:val="13F9A693"/>
    <w:rsid w:val="148D30DF"/>
    <w:rsid w:val="149C74D4"/>
    <w:rsid w:val="14BDBAB5"/>
    <w:rsid w:val="14BF6146"/>
    <w:rsid w:val="15070292"/>
    <w:rsid w:val="159F4D3C"/>
    <w:rsid w:val="15BF3E41"/>
    <w:rsid w:val="162FFBAD"/>
    <w:rsid w:val="1633B6F9"/>
    <w:rsid w:val="165ADF8D"/>
    <w:rsid w:val="167666DC"/>
    <w:rsid w:val="16891206"/>
    <w:rsid w:val="1690C241"/>
    <w:rsid w:val="1708A980"/>
    <w:rsid w:val="174AE265"/>
    <w:rsid w:val="17E90305"/>
    <w:rsid w:val="17EF94FD"/>
    <w:rsid w:val="1870DB36"/>
    <w:rsid w:val="18B2EE34"/>
    <w:rsid w:val="18C38427"/>
    <w:rsid w:val="19055274"/>
    <w:rsid w:val="193F7C33"/>
    <w:rsid w:val="1942BD3C"/>
    <w:rsid w:val="19C5301D"/>
    <w:rsid w:val="1A406C12"/>
    <w:rsid w:val="1B467F67"/>
    <w:rsid w:val="1B4BFC7B"/>
    <w:rsid w:val="1B65253E"/>
    <w:rsid w:val="1B760068"/>
    <w:rsid w:val="1BD30CA0"/>
    <w:rsid w:val="1BECDBC9"/>
    <w:rsid w:val="1D36CB34"/>
    <w:rsid w:val="1DDC9D95"/>
    <w:rsid w:val="1DFFA163"/>
    <w:rsid w:val="1E3BBED1"/>
    <w:rsid w:val="1E476ACA"/>
    <w:rsid w:val="1F1AAB4D"/>
    <w:rsid w:val="1F2C2BCF"/>
    <w:rsid w:val="1FFD6D4D"/>
    <w:rsid w:val="201EEC93"/>
    <w:rsid w:val="20208977"/>
    <w:rsid w:val="20332169"/>
    <w:rsid w:val="204D62C1"/>
    <w:rsid w:val="20987863"/>
    <w:rsid w:val="209C6A85"/>
    <w:rsid w:val="20B33C58"/>
    <w:rsid w:val="20CCF747"/>
    <w:rsid w:val="20E01E33"/>
    <w:rsid w:val="20FD26FB"/>
    <w:rsid w:val="21398B3E"/>
    <w:rsid w:val="21891490"/>
    <w:rsid w:val="2199E611"/>
    <w:rsid w:val="219C5131"/>
    <w:rsid w:val="21C9C461"/>
    <w:rsid w:val="21E852DB"/>
    <w:rsid w:val="22340FCB"/>
    <w:rsid w:val="2307D7C4"/>
    <w:rsid w:val="23424EC0"/>
    <w:rsid w:val="234C383D"/>
    <w:rsid w:val="23A76760"/>
    <w:rsid w:val="25024834"/>
    <w:rsid w:val="258283AC"/>
    <w:rsid w:val="261F77CC"/>
    <w:rsid w:val="2639480B"/>
    <w:rsid w:val="272A342C"/>
    <w:rsid w:val="273E6C88"/>
    <w:rsid w:val="27958826"/>
    <w:rsid w:val="27CC0932"/>
    <w:rsid w:val="281E488D"/>
    <w:rsid w:val="2919461F"/>
    <w:rsid w:val="299371EF"/>
    <w:rsid w:val="29EF0B3F"/>
    <w:rsid w:val="29F48173"/>
    <w:rsid w:val="2A5242B6"/>
    <w:rsid w:val="2B121604"/>
    <w:rsid w:val="2BA871BC"/>
    <w:rsid w:val="2BB833E1"/>
    <w:rsid w:val="2C273653"/>
    <w:rsid w:val="2C77A0DC"/>
    <w:rsid w:val="2D4EEC21"/>
    <w:rsid w:val="2F5EDB0A"/>
    <w:rsid w:val="30350BC1"/>
    <w:rsid w:val="306EA95A"/>
    <w:rsid w:val="311D1C5B"/>
    <w:rsid w:val="314DD8D0"/>
    <w:rsid w:val="31701E48"/>
    <w:rsid w:val="3208FFB4"/>
    <w:rsid w:val="329637B9"/>
    <w:rsid w:val="32B2CF92"/>
    <w:rsid w:val="32B4B472"/>
    <w:rsid w:val="32BE0C41"/>
    <w:rsid w:val="32EC4431"/>
    <w:rsid w:val="32EC779D"/>
    <w:rsid w:val="330849DA"/>
    <w:rsid w:val="3412B9F9"/>
    <w:rsid w:val="34F5BA86"/>
    <w:rsid w:val="354EEC5E"/>
    <w:rsid w:val="366649F1"/>
    <w:rsid w:val="36A5701E"/>
    <w:rsid w:val="36DCF0CA"/>
    <w:rsid w:val="36F5B863"/>
    <w:rsid w:val="372546A4"/>
    <w:rsid w:val="37B3FB48"/>
    <w:rsid w:val="37C226E5"/>
    <w:rsid w:val="37EDD564"/>
    <w:rsid w:val="37FC1C99"/>
    <w:rsid w:val="382926D1"/>
    <w:rsid w:val="389A93F0"/>
    <w:rsid w:val="38BA7CD7"/>
    <w:rsid w:val="39450D2B"/>
    <w:rsid w:val="39518047"/>
    <w:rsid w:val="39925BED"/>
    <w:rsid w:val="3A285663"/>
    <w:rsid w:val="3B4568E4"/>
    <w:rsid w:val="3B52D849"/>
    <w:rsid w:val="3BB5BA47"/>
    <w:rsid w:val="3C024A3B"/>
    <w:rsid w:val="3C0CC145"/>
    <w:rsid w:val="3C86A082"/>
    <w:rsid w:val="3D443A1C"/>
    <w:rsid w:val="3DBAE044"/>
    <w:rsid w:val="3DDFB580"/>
    <w:rsid w:val="3E3840D3"/>
    <w:rsid w:val="3E459B32"/>
    <w:rsid w:val="3E480CEC"/>
    <w:rsid w:val="3EE01812"/>
    <w:rsid w:val="3EE79B99"/>
    <w:rsid w:val="3EF58103"/>
    <w:rsid w:val="3EFAD8D7"/>
    <w:rsid w:val="3F50E331"/>
    <w:rsid w:val="3F52E1FA"/>
    <w:rsid w:val="3F54F136"/>
    <w:rsid w:val="3FAE9620"/>
    <w:rsid w:val="4045F3A0"/>
    <w:rsid w:val="4116B701"/>
    <w:rsid w:val="411ADC95"/>
    <w:rsid w:val="412092CE"/>
    <w:rsid w:val="41A256BF"/>
    <w:rsid w:val="423F3798"/>
    <w:rsid w:val="4366F740"/>
    <w:rsid w:val="43C8F611"/>
    <w:rsid w:val="43E5E3C0"/>
    <w:rsid w:val="445F4444"/>
    <w:rsid w:val="4482993A"/>
    <w:rsid w:val="44A23AC0"/>
    <w:rsid w:val="44A83674"/>
    <w:rsid w:val="45A63E17"/>
    <w:rsid w:val="45DA010A"/>
    <w:rsid w:val="467F81BE"/>
    <w:rsid w:val="46A8C9DE"/>
    <w:rsid w:val="46CE29E1"/>
    <w:rsid w:val="4835B8F9"/>
    <w:rsid w:val="4887AC29"/>
    <w:rsid w:val="48B16A45"/>
    <w:rsid w:val="48F15BB4"/>
    <w:rsid w:val="48F4DCED"/>
    <w:rsid w:val="4975717F"/>
    <w:rsid w:val="49E9F5B8"/>
    <w:rsid w:val="49EA9842"/>
    <w:rsid w:val="4A2D4B38"/>
    <w:rsid w:val="4B0ECC52"/>
    <w:rsid w:val="4B5EC085"/>
    <w:rsid w:val="4B9FCEFD"/>
    <w:rsid w:val="4C1A68EC"/>
    <w:rsid w:val="4C6D166C"/>
    <w:rsid w:val="4C7590D7"/>
    <w:rsid w:val="4C880027"/>
    <w:rsid w:val="4C961361"/>
    <w:rsid w:val="4CB0200A"/>
    <w:rsid w:val="4D502973"/>
    <w:rsid w:val="4D65C746"/>
    <w:rsid w:val="4D9C8EA4"/>
    <w:rsid w:val="4DA0199C"/>
    <w:rsid w:val="4DBC2729"/>
    <w:rsid w:val="4DCA2925"/>
    <w:rsid w:val="4E2379AF"/>
    <w:rsid w:val="4E3A915D"/>
    <w:rsid w:val="4E5B5D1C"/>
    <w:rsid w:val="4F0647EC"/>
    <w:rsid w:val="4F30F8A5"/>
    <w:rsid w:val="50DD8D96"/>
    <w:rsid w:val="521C6A8F"/>
    <w:rsid w:val="5220F70A"/>
    <w:rsid w:val="5225345B"/>
    <w:rsid w:val="52CC681F"/>
    <w:rsid w:val="538B935A"/>
    <w:rsid w:val="538EA46B"/>
    <w:rsid w:val="54599254"/>
    <w:rsid w:val="546F5BC1"/>
    <w:rsid w:val="55A762A9"/>
    <w:rsid w:val="55C50513"/>
    <w:rsid w:val="5608FC13"/>
    <w:rsid w:val="5616C058"/>
    <w:rsid w:val="5635261D"/>
    <w:rsid w:val="56BE014E"/>
    <w:rsid w:val="57793A82"/>
    <w:rsid w:val="578D314D"/>
    <w:rsid w:val="585636FC"/>
    <w:rsid w:val="58F035A7"/>
    <w:rsid w:val="590F48AD"/>
    <w:rsid w:val="59369DCC"/>
    <w:rsid w:val="593FFD99"/>
    <w:rsid w:val="59AC25CD"/>
    <w:rsid w:val="59D7F7C4"/>
    <w:rsid w:val="59FDD132"/>
    <w:rsid w:val="5A1674A6"/>
    <w:rsid w:val="5A4E091B"/>
    <w:rsid w:val="5A6F051A"/>
    <w:rsid w:val="5A9F3E62"/>
    <w:rsid w:val="5B79BEAC"/>
    <w:rsid w:val="5BA2E3E9"/>
    <w:rsid w:val="5BB0C857"/>
    <w:rsid w:val="5CE77E10"/>
    <w:rsid w:val="5D1C207D"/>
    <w:rsid w:val="5D23DD3C"/>
    <w:rsid w:val="5D7CCDD7"/>
    <w:rsid w:val="5DA44F83"/>
    <w:rsid w:val="5E6519D6"/>
    <w:rsid w:val="5E65372A"/>
    <w:rsid w:val="5FADF3FD"/>
    <w:rsid w:val="5FD073D2"/>
    <w:rsid w:val="60103DDC"/>
    <w:rsid w:val="6017FEC3"/>
    <w:rsid w:val="60205592"/>
    <w:rsid w:val="605F5C65"/>
    <w:rsid w:val="607F7E4E"/>
    <w:rsid w:val="60F34A26"/>
    <w:rsid w:val="6108FA69"/>
    <w:rsid w:val="612EB458"/>
    <w:rsid w:val="6130485C"/>
    <w:rsid w:val="61BA339A"/>
    <w:rsid w:val="6214CD6E"/>
    <w:rsid w:val="623445E0"/>
    <w:rsid w:val="628753E8"/>
    <w:rsid w:val="62906592"/>
    <w:rsid w:val="62DEA201"/>
    <w:rsid w:val="63032B2A"/>
    <w:rsid w:val="636B5813"/>
    <w:rsid w:val="63C70D09"/>
    <w:rsid w:val="63DA648D"/>
    <w:rsid w:val="6429A6CA"/>
    <w:rsid w:val="64A9CE71"/>
    <w:rsid w:val="6574103A"/>
    <w:rsid w:val="658ED6EA"/>
    <w:rsid w:val="65F6D218"/>
    <w:rsid w:val="65FFDA2E"/>
    <w:rsid w:val="66F1B6E7"/>
    <w:rsid w:val="6719EF59"/>
    <w:rsid w:val="671D573E"/>
    <w:rsid w:val="673F578B"/>
    <w:rsid w:val="6796836F"/>
    <w:rsid w:val="67E9D8C3"/>
    <w:rsid w:val="67EB7DAC"/>
    <w:rsid w:val="68114D7C"/>
    <w:rsid w:val="6858799A"/>
    <w:rsid w:val="687BB0A3"/>
    <w:rsid w:val="694B4B2D"/>
    <w:rsid w:val="6980A30D"/>
    <w:rsid w:val="69A0FD66"/>
    <w:rsid w:val="6A1ED1C6"/>
    <w:rsid w:val="6A32008E"/>
    <w:rsid w:val="6A8FA896"/>
    <w:rsid w:val="6AA8E2B4"/>
    <w:rsid w:val="6BFE4C4B"/>
    <w:rsid w:val="6C0843AC"/>
    <w:rsid w:val="6CA2A69B"/>
    <w:rsid w:val="6CB36BA3"/>
    <w:rsid w:val="6CD6F8C0"/>
    <w:rsid w:val="6CDD375A"/>
    <w:rsid w:val="6D1851CE"/>
    <w:rsid w:val="6D3E507D"/>
    <w:rsid w:val="6D754B0D"/>
    <w:rsid w:val="6D843FDD"/>
    <w:rsid w:val="6DC25142"/>
    <w:rsid w:val="6EBD5264"/>
    <w:rsid w:val="6FC7653F"/>
    <w:rsid w:val="70950977"/>
    <w:rsid w:val="712553AD"/>
    <w:rsid w:val="71818EE4"/>
    <w:rsid w:val="71B2E433"/>
    <w:rsid w:val="71CFE2BA"/>
    <w:rsid w:val="71ED119C"/>
    <w:rsid w:val="728C35C5"/>
    <w:rsid w:val="730E3794"/>
    <w:rsid w:val="7359DFA7"/>
    <w:rsid w:val="735C444A"/>
    <w:rsid w:val="73AE3F0C"/>
    <w:rsid w:val="7440DCB6"/>
    <w:rsid w:val="74C4849B"/>
    <w:rsid w:val="74F07CF4"/>
    <w:rsid w:val="75B808EF"/>
    <w:rsid w:val="75C68B9E"/>
    <w:rsid w:val="771BC5A9"/>
    <w:rsid w:val="7871E5B7"/>
    <w:rsid w:val="789AE778"/>
    <w:rsid w:val="78FA4CC7"/>
    <w:rsid w:val="791A32F1"/>
    <w:rsid w:val="792A2E55"/>
    <w:rsid w:val="79437246"/>
    <w:rsid w:val="7973D3DE"/>
    <w:rsid w:val="7A534E48"/>
    <w:rsid w:val="7A9BF908"/>
    <w:rsid w:val="7B082B20"/>
    <w:rsid w:val="7B25F364"/>
    <w:rsid w:val="7B370815"/>
    <w:rsid w:val="7B37B139"/>
    <w:rsid w:val="7BCD1C34"/>
    <w:rsid w:val="7CB89C14"/>
    <w:rsid w:val="7CCB35C0"/>
    <w:rsid w:val="7D57727F"/>
    <w:rsid w:val="7D61A5FE"/>
    <w:rsid w:val="7E00B7D7"/>
    <w:rsid w:val="7E129580"/>
    <w:rsid w:val="7E1588AF"/>
    <w:rsid w:val="7EB7E808"/>
    <w:rsid w:val="7EEC2F42"/>
    <w:rsid w:val="7EFC673B"/>
    <w:rsid w:val="7F077335"/>
    <w:rsid w:val="7F680DCC"/>
    <w:rsid w:val="7F9581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CCE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AC1"/>
    <w:pPr>
      <w:spacing w:after="250" w:line="276" w:lineRule="auto"/>
      <w:jc w:val="both"/>
    </w:pPr>
    <w:rPr>
      <w:rFonts w:eastAsiaTheme="minorEastAsia"/>
      <w:color w:val="1A1A1A" w:themeColor="background1" w:themeShade="1A"/>
      <w:kern w:val="0"/>
      <w:sz w:val="22"/>
      <w:szCs w:val="20"/>
      <w14:ligatures w14:val="none"/>
    </w:rPr>
  </w:style>
  <w:style w:type="paragraph" w:styleId="Heading1">
    <w:name w:val="heading 1"/>
    <w:basedOn w:val="Normal"/>
    <w:next w:val="Normal"/>
    <w:link w:val="Heading1Char"/>
    <w:uiPriority w:val="9"/>
    <w:qFormat/>
    <w:rsid w:val="00785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5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5A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85A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5A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5A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A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A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A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A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5A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5A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5A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5A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5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AC1"/>
    <w:rPr>
      <w:rFonts w:eastAsiaTheme="majorEastAsia" w:cstheme="majorBidi"/>
      <w:color w:val="272727" w:themeColor="text1" w:themeTint="D8"/>
    </w:rPr>
  </w:style>
  <w:style w:type="paragraph" w:styleId="Title">
    <w:name w:val="Title"/>
    <w:basedOn w:val="Normal"/>
    <w:next w:val="Normal"/>
    <w:link w:val="TitleChar"/>
    <w:uiPriority w:val="10"/>
    <w:qFormat/>
    <w:rsid w:val="00785A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A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A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AC1"/>
    <w:pPr>
      <w:spacing w:before="160"/>
      <w:jc w:val="center"/>
    </w:pPr>
    <w:rPr>
      <w:i/>
      <w:iCs/>
      <w:color w:val="404040" w:themeColor="text1" w:themeTint="BF"/>
    </w:rPr>
  </w:style>
  <w:style w:type="character" w:customStyle="1" w:styleId="QuoteChar">
    <w:name w:val="Quote Char"/>
    <w:basedOn w:val="DefaultParagraphFont"/>
    <w:link w:val="Quote"/>
    <w:uiPriority w:val="29"/>
    <w:rsid w:val="00785AC1"/>
    <w:rPr>
      <w:i/>
      <w:iCs/>
      <w:color w:val="404040" w:themeColor="text1" w:themeTint="BF"/>
    </w:rPr>
  </w:style>
  <w:style w:type="paragraph" w:styleId="ListParagraph">
    <w:name w:val="List Paragraph"/>
    <w:aliases w:val="Paragraphe EI,Paragraphe de liste1,EC"/>
    <w:basedOn w:val="Normal"/>
    <w:link w:val="ListParagraphChar"/>
    <w:uiPriority w:val="34"/>
    <w:qFormat/>
    <w:rsid w:val="00785AC1"/>
    <w:pPr>
      <w:ind w:left="720"/>
      <w:contextualSpacing/>
    </w:pPr>
  </w:style>
  <w:style w:type="character" w:styleId="IntenseEmphasis">
    <w:name w:val="Intense Emphasis"/>
    <w:basedOn w:val="DefaultParagraphFont"/>
    <w:uiPriority w:val="21"/>
    <w:qFormat/>
    <w:rsid w:val="00785AC1"/>
    <w:rPr>
      <w:i/>
      <w:iCs/>
      <w:color w:val="0F4761" w:themeColor="accent1" w:themeShade="BF"/>
    </w:rPr>
  </w:style>
  <w:style w:type="paragraph" w:styleId="IntenseQuote">
    <w:name w:val="Intense Quote"/>
    <w:basedOn w:val="Normal"/>
    <w:next w:val="Normal"/>
    <w:link w:val="IntenseQuoteChar"/>
    <w:uiPriority w:val="30"/>
    <w:qFormat/>
    <w:rsid w:val="00785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5AC1"/>
    <w:rPr>
      <w:i/>
      <w:iCs/>
      <w:color w:val="0F4761" w:themeColor="accent1" w:themeShade="BF"/>
    </w:rPr>
  </w:style>
  <w:style w:type="character" w:styleId="IntenseReference">
    <w:name w:val="Intense Reference"/>
    <w:basedOn w:val="DefaultParagraphFont"/>
    <w:uiPriority w:val="32"/>
    <w:qFormat/>
    <w:rsid w:val="00785AC1"/>
    <w:rPr>
      <w:b/>
      <w:bCs/>
      <w:smallCaps/>
      <w:color w:val="0F4761" w:themeColor="accent1" w:themeShade="BF"/>
      <w:spacing w:val="5"/>
    </w:rPr>
  </w:style>
  <w:style w:type="paragraph" w:styleId="Header">
    <w:name w:val="header"/>
    <w:basedOn w:val="Normal"/>
    <w:link w:val="HeaderChar"/>
    <w:unhideWhenUsed/>
    <w:qFormat/>
    <w:rsid w:val="00785AC1"/>
    <w:pPr>
      <w:tabs>
        <w:tab w:val="center" w:pos="4513"/>
        <w:tab w:val="right" w:pos="9026"/>
      </w:tabs>
      <w:spacing w:after="0" w:line="240" w:lineRule="auto"/>
      <w:jc w:val="right"/>
    </w:pPr>
    <w:rPr>
      <w:color w:val="000000" w:themeColor="text1" w:themeShade="80"/>
      <w:sz w:val="16"/>
    </w:rPr>
  </w:style>
  <w:style w:type="character" w:customStyle="1" w:styleId="HeaderChar">
    <w:name w:val="Header Char"/>
    <w:basedOn w:val="DefaultParagraphFont"/>
    <w:link w:val="Header"/>
    <w:rsid w:val="00785AC1"/>
    <w:rPr>
      <w:rFonts w:eastAsiaTheme="minorEastAsia"/>
      <w:color w:val="000000" w:themeColor="text1" w:themeShade="80"/>
      <w:kern w:val="0"/>
      <w:sz w:val="16"/>
      <w:szCs w:val="20"/>
      <w14:ligatures w14:val="none"/>
    </w:rPr>
  </w:style>
  <w:style w:type="paragraph" w:styleId="Footer">
    <w:name w:val="footer"/>
    <w:basedOn w:val="Normal"/>
    <w:link w:val="FooterChar"/>
    <w:uiPriority w:val="99"/>
    <w:unhideWhenUsed/>
    <w:qFormat/>
    <w:rsid w:val="00785AC1"/>
    <w:pPr>
      <w:tabs>
        <w:tab w:val="center" w:pos="4536"/>
        <w:tab w:val="right" w:pos="9072"/>
      </w:tabs>
      <w:spacing w:line="240" w:lineRule="auto"/>
      <w:jc w:val="left"/>
    </w:pPr>
    <w:rPr>
      <w:color w:val="000000" w:themeColor="text1" w:themeShade="80"/>
      <w:sz w:val="16"/>
    </w:rPr>
  </w:style>
  <w:style w:type="character" w:customStyle="1" w:styleId="FooterChar">
    <w:name w:val="Footer Char"/>
    <w:basedOn w:val="DefaultParagraphFont"/>
    <w:link w:val="Footer"/>
    <w:uiPriority w:val="99"/>
    <w:rsid w:val="00785AC1"/>
    <w:rPr>
      <w:rFonts w:eastAsiaTheme="minorEastAsia"/>
      <w:color w:val="000000" w:themeColor="text1" w:themeShade="80"/>
      <w:kern w:val="0"/>
      <w:sz w:val="16"/>
      <w:szCs w:val="20"/>
      <w14:ligatures w14:val="none"/>
    </w:rPr>
  </w:style>
  <w:style w:type="character" w:styleId="Hyperlink">
    <w:name w:val="Hyperlink"/>
    <w:basedOn w:val="DefaultParagraphFont"/>
    <w:uiPriority w:val="99"/>
    <w:unhideWhenUsed/>
    <w:qFormat/>
    <w:rsid w:val="00785AC1"/>
    <w:rPr>
      <w:color w:val="0A1D30" w:themeColor="text2" w:themeShade="BF"/>
      <w:u w:val="single"/>
    </w:rPr>
  </w:style>
  <w:style w:type="paragraph" w:customStyle="1" w:styleId="Questionstyle">
    <w:name w:val="Question style"/>
    <w:basedOn w:val="Normal"/>
    <w:next w:val="Normal"/>
    <w:link w:val="QuestionstyleChar"/>
    <w:autoRedefine/>
    <w:qFormat/>
    <w:rsid w:val="00785AC1"/>
    <w:pPr>
      <w:tabs>
        <w:tab w:val="left" w:pos="567"/>
      </w:tabs>
      <w:ind w:hanging="360"/>
      <w:contextualSpacing/>
    </w:pPr>
    <w:rPr>
      <w:b/>
    </w:rPr>
  </w:style>
  <w:style w:type="character" w:customStyle="1" w:styleId="QuestionstyleChar">
    <w:name w:val="Question style Char"/>
    <w:basedOn w:val="DefaultParagraphFont"/>
    <w:link w:val="Questionstyle"/>
    <w:rsid w:val="00785AC1"/>
    <w:rPr>
      <w:rFonts w:eastAsiaTheme="minorEastAsia"/>
      <w:b/>
      <w:color w:val="1A1A1A" w:themeColor="background1" w:themeShade="1A"/>
      <w:kern w:val="0"/>
      <w:sz w:val="22"/>
      <w:szCs w:val="20"/>
      <w14:ligatures w14:val="none"/>
    </w:rPr>
  </w:style>
  <w:style w:type="table" w:styleId="TableGrid">
    <w:name w:val="Table Grid"/>
    <w:basedOn w:val="TableNormal"/>
    <w:uiPriority w:val="39"/>
    <w:rsid w:val="00785AC1"/>
    <w:pPr>
      <w:spacing w:after="0" w:line="240" w:lineRule="auto"/>
    </w:pPr>
    <w:rPr>
      <w:rFonts w:eastAsiaTheme="minorEastAsia"/>
      <w:kern w:val="0"/>
      <w:sz w:val="20"/>
      <w:szCs w:val="20"/>
      <w:lang w:val="nl-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5AC1"/>
    <w:rPr>
      <w:sz w:val="16"/>
      <w:szCs w:val="16"/>
    </w:rPr>
  </w:style>
  <w:style w:type="paragraph" w:styleId="CommentText">
    <w:name w:val="annotation text"/>
    <w:basedOn w:val="Normal"/>
    <w:link w:val="CommentTextChar"/>
    <w:uiPriority w:val="99"/>
    <w:unhideWhenUsed/>
    <w:rsid w:val="00785AC1"/>
    <w:pPr>
      <w:spacing w:line="240" w:lineRule="auto"/>
    </w:pPr>
    <w:rPr>
      <w:sz w:val="20"/>
    </w:rPr>
  </w:style>
  <w:style w:type="character" w:customStyle="1" w:styleId="CommentTextChar">
    <w:name w:val="Comment Text Char"/>
    <w:basedOn w:val="DefaultParagraphFont"/>
    <w:link w:val="CommentText"/>
    <w:uiPriority w:val="99"/>
    <w:rsid w:val="00785AC1"/>
    <w:rPr>
      <w:rFonts w:eastAsiaTheme="minorEastAsia"/>
      <w:color w:val="1A1A1A" w:themeColor="background1" w:themeShade="1A"/>
      <w:kern w:val="0"/>
      <w:sz w:val="20"/>
      <w:szCs w:val="20"/>
      <w14:ligatures w14:val="none"/>
    </w:rPr>
  </w:style>
  <w:style w:type="character" w:customStyle="1" w:styleId="ESMAConfidentialRestricted">
    <w:name w:val="ESMA Confidential/Restricted"/>
    <w:basedOn w:val="Strong"/>
    <w:uiPriority w:val="1"/>
    <w:qFormat/>
    <w:rsid w:val="00785AC1"/>
    <w:rPr>
      <w:b w:val="0"/>
      <w:bCs/>
      <w:caps/>
      <w:smallCaps w:val="0"/>
      <w:color w:val="4EA72E" w:themeColor="accent6"/>
      <w:sz w:val="22"/>
    </w:rPr>
  </w:style>
  <w:style w:type="character" w:customStyle="1" w:styleId="ESMARegularuse">
    <w:name w:val="ESMA Regular use"/>
    <w:basedOn w:val="ESMAConfidentialRestricted"/>
    <w:uiPriority w:val="1"/>
    <w:qFormat/>
    <w:rsid w:val="00785AC1"/>
    <w:rPr>
      <w:b w:val="0"/>
      <w:bCs/>
      <w:caps/>
      <w:smallCaps w:val="0"/>
      <w:color w:val="0E2841" w:themeColor="text2"/>
      <w:sz w:val="22"/>
    </w:rPr>
  </w:style>
  <w:style w:type="character" w:customStyle="1" w:styleId="ListParagraphChar">
    <w:name w:val="List Paragraph Char"/>
    <w:aliases w:val="Paragraphe EI Char,Paragraphe de liste1 Char,EC Char"/>
    <w:link w:val="ListParagraph"/>
    <w:uiPriority w:val="34"/>
    <w:locked/>
    <w:rsid w:val="00785AC1"/>
  </w:style>
  <w:style w:type="character" w:customStyle="1" w:styleId="normaltextrun">
    <w:name w:val="normaltextrun"/>
    <w:basedOn w:val="DefaultParagraphFont"/>
    <w:rsid w:val="00785AC1"/>
  </w:style>
  <w:style w:type="character" w:styleId="Strong">
    <w:name w:val="Strong"/>
    <w:basedOn w:val="DefaultParagraphFont"/>
    <w:uiPriority w:val="22"/>
    <w:qFormat/>
    <w:rsid w:val="00785AC1"/>
    <w:rPr>
      <w:b/>
      <w:bCs/>
    </w:rPr>
  </w:style>
  <w:style w:type="paragraph" w:styleId="Revision">
    <w:name w:val="Revision"/>
    <w:hidden/>
    <w:uiPriority w:val="99"/>
    <w:semiHidden/>
    <w:rsid w:val="001E63ED"/>
    <w:pPr>
      <w:spacing w:after="0" w:line="240" w:lineRule="auto"/>
    </w:pPr>
    <w:rPr>
      <w:rFonts w:eastAsiaTheme="minorEastAsia"/>
      <w:color w:val="1A1A1A" w:themeColor="background1" w:themeShade="1A"/>
      <w:kern w:val="0"/>
      <w:sz w:val="22"/>
      <w:szCs w:val="20"/>
      <w14:ligatures w14:val="none"/>
    </w:rPr>
  </w:style>
  <w:style w:type="paragraph" w:styleId="Caption">
    <w:name w:val="caption"/>
    <w:basedOn w:val="Normal"/>
    <w:next w:val="Normal"/>
    <w:uiPriority w:val="35"/>
    <w:unhideWhenUsed/>
    <w:qFormat/>
    <w:rsid w:val="00DE0885"/>
    <w:pPr>
      <w:spacing w:after="200" w:line="240" w:lineRule="auto"/>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5A7F97"/>
    <w:rPr>
      <w:b/>
      <w:bCs/>
    </w:rPr>
  </w:style>
  <w:style w:type="character" w:customStyle="1" w:styleId="CommentSubjectChar">
    <w:name w:val="Comment Subject Char"/>
    <w:basedOn w:val="CommentTextChar"/>
    <w:link w:val="CommentSubject"/>
    <w:uiPriority w:val="99"/>
    <w:semiHidden/>
    <w:rsid w:val="005A7F97"/>
    <w:rPr>
      <w:rFonts w:eastAsiaTheme="minorEastAsia"/>
      <w:b/>
      <w:bCs/>
      <w:color w:val="1A1A1A" w:themeColor="background1" w:themeShade="1A"/>
      <w:kern w:val="0"/>
      <w:sz w:val="20"/>
      <w:szCs w:val="20"/>
      <w14:ligatures w14:val="none"/>
    </w:rPr>
  </w:style>
  <w:style w:type="paragraph" w:styleId="NormalWeb">
    <w:name w:val="Normal (Web)"/>
    <w:basedOn w:val="Normal"/>
    <w:uiPriority w:val="99"/>
    <w:semiHidden/>
    <w:unhideWhenUsed/>
    <w:rsid w:val="003070B1"/>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Mention">
    <w:name w:val="Mention"/>
    <w:basedOn w:val="DefaultParagraphFont"/>
    <w:uiPriority w:val="99"/>
    <w:unhideWhenUsed/>
    <w:rsid w:val="00E15321"/>
    <w:rPr>
      <w:color w:val="2B579A"/>
      <w:shd w:val="clear" w:color="auto" w:fill="E1DFDD"/>
    </w:rPr>
  </w:style>
  <w:style w:type="character" w:styleId="UnresolvedMention">
    <w:name w:val="Unresolved Mention"/>
    <w:basedOn w:val="DefaultParagraphFont"/>
    <w:uiPriority w:val="99"/>
    <w:semiHidden/>
    <w:unhideWhenUsed/>
    <w:rsid w:val="000B24C2"/>
    <w:rPr>
      <w:color w:val="605E5C"/>
      <w:shd w:val="clear" w:color="auto" w:fill="E1DFDD"/>
    </w:rPr>
  </w:style>
  <w:style w:type="paragraph" w:styleId="ListBullet">
    <w:name w:val="List Bullet"/>
    <w:basedOn w:val="Normal"/>
    <w:uiPriority w:val="99"/>
    <w:unhideWhenUsed/>
    <w:rsid w:val="00D10083"/>
    <w:pPr>
      <w:numPr>
        <w:numId w:val="17"/>
      </w:numPr>
      <w:contextualSpacing/>
    </w:pPr>
  </w:style>
  <w:style w:type="paragraph" w:styleId="FootnoteText">
    <w:name w:val="footnote text"/>
    <w:basedOn w:val="Normal"/>
    <w:link w:val="FootnoteTextChar"/>
    <w:uiPriority w:val="99"/>
    <w:semiHidden/>
    <w:unhideWhenUsed/>
    <w:rsid w:val="00820224"/>
    <w:pPr>
      <w:spacing w:after="0" w:line="240" w:lineRule="auto"/>
    </w:pPr>
    <w:rPr>
      <w:sz w:val="20"/>
    </w:rPr>
  </w:style>
  <w:style w:type="character" w:customStyle="1" w:styleId="FootnoteTextChar">
    <w:name w:val="Footnote Text Char"/>
    <w:basedOn w:val="DefaultParagraphFont"/>
    <w:link w:val="FootnoteText"/>
    <w:uiPriority w:val="99"/>
    <w:semiHidden/>
    <w:rsid w:val="00820224"/>
    <w:rPr>
      <w:rFonts w:eastAsiaTheme="minorEastAsia"/>
      <w:color w:val="1A1A1A" w:themeColor="background1" w:themeShade="1A"/>
      <w:kern w:val="0"/>
      <w:sz w:val="20"/>
      <w:szCs w:val="20"/>
      <w14:ligatures w14:val="none"/>
    </w:rPr>
  </w:style>
  <w:style w:type="character" w:styleId="FootnoteReference">
    <w:name w:val="footnote reference"/>
    <w:basedOn w:val="DefaultParagraphFont"/>
    <w:uiPriority w:val="99"/>
    <w:semiHidden/>
    <w:unhideWhenUsed/>
    <w:rsid w:val="00820224"/>
    <w:rPr>
      <w:vertAlign w:val="superscript"/>
    </w:rPr>
  </w:style>
  <w:style w:type="character" w:customStyle="1" w:styleId="cf01">
    <w:name w:val="cf01"/>
    <w:basedOn w:val="DefaultParagraphFont"/>
    <w:rsid w:val="00E022F8"/>
    <w:rPr>
      <w:rFonts w:ascii="Segoe UI" w:hAnsi="Segoe UI" w:cs="Segoe UI" w:hint="default"/>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sma.europa.eu/about-esma/data-protectio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esma.europa.eu" TargetMode="External"/><Relationship Id="rId23" Type="http://schemas.openxmlformats.org/officeDocument/2006/relationships/hyperlink" Target="https://www.fia.org/sites/default/files/2024-04/FIA%20EPTA%20Insights%20-%20Mind%20Transparency%20Gap%20paper_FINAL.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ma.europa.eu"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[Book3]Sheet3!PivotTable13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2022</a:t>
            </a:r>
            <a:r>
              <a:rPr lang="en-GB" baseline="0"/>
              <a:t> Q1 - 2025 Q4 </a:t>
            </a:r>
            <a:r>
              <a:rPr lang="en-GB"/>
              <a:t>Time</a:t>
            </a:r>
            <a:r>
              <a:rPr lang="en-GB" baseline="0"/>
              <a:t> Weighted Average Spreads across the Primaries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rgbClr val="FF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6">
                <a:lumMod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rgbClr val="FF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6">
                <a:lumMod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rgbClr val="FF000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6">
                <a:lumMod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Sheet3!$B$3:$B$4</c:f>
              <c:strCache>
                <c:ptCount val="1"/>
                <c:pt idx="0">
                  <c:v>XAMS</c:v>
                </c:pt>
              </c:strCache>
            </c:strRef>
          </c:tx>
          <c:spPr>
            <a:ln w="28575" cap="rnd">
              <a:solidFill>
                <a:schemeClr val="accent1"/>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Sheet3!$B$5:$B$25</c:f>
              <c:numCache>
                <c:formatCode>_(* #,##0.00_);_(* \(#,##0.00\);_(* "-"??_);_(@_)</c:formatCode>
                <c:ptCount val="16"/>
                <c:pt idx="0">
                  <c:v>3.9068572663309502</c:v>
                </c:pt>
                <c:pt idx="1">
                  <c:v>3.9988091451804997</c:v>
                </c:pt>
                <c:pt idx="2">
                  <c:v>3.8046063521237596</c:v>
                </c:pt>
                <c:pt idx="3">
                  <c:v>3.4971339127759435</c:v>
                </c:pt>
                <c:pt idx="4">
                  <c:v>3.1729980391328101</c:v>
                </c:pt>
                <c:pt idx="5">
                  <c:v>3.4158164957565398</c:v>
                </c:pt>
                <c:pt idx="6">
                  <c:v>3.3702131816923266</c:v>
                </c:pt>
                <c:pt idx="7">
                  <c:v>3.6266838040988163</c:v>
                </c:pt>
                <c:pt idx="8">
                  <c:v>3.42021266300307</c:v>
                </c:pt>
                <c:pt idx="9">
                  <c:v>4.0832934298396237</c:v>
                </c:pt>
                <c:pt idx="10">
                  <c:v>3.7972624725034962</c:v>
                </c:pt>
                <c:pt idx="11">
                  <c:v>3.75274708714967</c:v>
                </c:pt>
                <c:pt idx="12">
                  <c:v>3.4375266567756468</c:v>
                </c:pt>
                <c:pt idx="13">
                  <c:v>3.8182356625736795</c:v>
                </c:pt>
                <c:pt idx="14">
                  <c:v>3.8146094835568931</c:v>
                </c:pt>
                <c:pt idx="15">
                  <c:v>3.9812038737974191</c:v>
                </c:pt>
              </c:numCache>
            </c:numRef>
          </c:val>
          <c:smooth val="0"/>
          <c:extLst>
            <c:ext xmlns:c16="http://schemas.microsoft.com/office/drawing/2014/chart" uri="{C3380CC4-5D6E-409C-BE32-E72D297353CC}">
              <c16:uniqueId val="{00000000-06B4-4776-8775-583EE1773E74}"/>
            </c:ext>
          </c:extLst>
        </c:ser>
        <c:ser>
          <c:idx val="1"/>
          <c:order val="1"/>
          <c:tx>
            <c:strRef>
              <c:f>Sheet3!$C$3:$C$4</c:f>
              <c:strCache>
                <c:ptCount val="1"/>
                <c:pt idx="0">
                  <c:v>XETR</c:v>
                </c:pt>
              </c:strCache>
            </c:strRef>
          </c:tx>
          <c:spPr>
            <a:ln w="28575" cap="rnd">
              <a:solidFill>
                <a:schemeClr val="accent2"/>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Sheet3!$C$5:$C$25</c:f>
              <c:numCache>
                <c:formatCode>_(* #,##0.00_);_(* \(#,##0.00\);_(* "-"??_);_(@_)</c:formatCode>
                <c:ptCount val="16"/>
                <c:pt idx="0">
                  <c:v>3.7536900961161366</c:v>
                </c:pt>
                <c:pt idx="1">
                  <c:v>4.1870005364161367</c:v>
                </c:pt>
                <c:pt idx="2">
                  <c:v>4.5814613741054471</c:v>
                </c:pt>
                <c:pt idx="3">
                  <c:v>4.3892279016440368</c:v>
                </c:pt>
                <c:pt idx="4">
                  <c:v>4.2036839825764938</c:v>
                </c:pt>
                <c:pt idx="5">
                  <c:v>4.0634160580135799</c:v>
                </c:pt>
                <c:pt idx="6">
                  <c:v>3.9875575760394999</c:v>
                </c:pt>
                <c:pt idx="7">
                  <c:v>4.2512555027331231</c:v>
                </c:pt>
                <c:pt idx="8">
                  <c:v>4.147481456885</c:v>
                </c:pt>
                <c:pt idx="9">
                  <c:v>4.7930350487368472</c:v>
                </c:pt>
                <c:pt idx="10">
                  <c:v>4.6175695688089364</c:v>
                </c:pt>
                <c:pt idx="11">
                  <c:v>4.5109134304059362</c:v>
                </c:pt>
                <c:pt idx="12">
                  <c:v>4.8133135337626731</c:v>
                </c:pt>
                <c:pt idx="13">
                  <c:v>4.9807539629638926</c:v>
                </c:pt>
                <c:pt idx="14">
                  <c:v>4.8658236482050006</c:v>
                </c:pt>
                <c:pt idx="15">
                  <c:v>5.4503802846540532</c:v>
                </c:pt>
              </c:numCache>
            </c:numRef>
          </c:val>
          <c:smooth val="0"/>
          <c:extLst>
            <c:ext xmlns:c16="http://schemas.microsoft.com/office/drawing/2014/chart" uri="{C3380CC4-5D6E-409C-BE32-E72D297353CC}">
              <c16:uniqueId val="{00000001-06B4-4776-8775-583EE1773E74}"/>
            </c:ext>
          </c:extLst>
        </c:ser>
        <c:ser>
          <c:idx val="2"/>
          <c:order val="2"/>
          <c:tx>
            <c:strRef>
              <c:f>Sheet3!$D$3:$D$4</c:f>
              <c:strCache>
                <c:ptCount val="1"/>
                <c:pt idx="0">
                  <c:v>XLON</c:v>
                </c:pt>
              </c:strCache>
            </c:strRef>
          </c:tx>
          <c:spPr>
            <a:ln w="28575" cap="rnd">
              <a:solidFill>
                <a:srgbClr val="FF0000"/>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Sheet3!$D$5:$D$25</c:f>
              <c:numCache>
                <c:formatCode>_(* #,##0.00_);_(* \(#,##0.00\);_(* "-"??_);_(@_)</c:formatCode>
                <c:ptCount val="16"/>
                <c:pt idx="0">
                  <c:v>5.2136631719105173</c:v>
                </c:pt>
                <c:pt idx="1">
                  <c:v>4.9024561862001033</c:v>
                </c:pt>
                <c:pt idx="2">
                  <c:v>5.3522735351569892</c:v>
                </c:pt>
                <c:pt idx="3">
                  <c:v>5.3800984821642865</c:v>
                </c:pt>
                <c:pt idx="4">
                  <c:v>5.0809710108561825</c:v>
                </c:pt>
                <c:pt idx="5">
                  <c:v>5.1099805148168667</c:v>
                </c:pt>
                <c:pt idx="6">
                  <c:v>5.2575981736061399</c:v>
                </c:pt>
                <c:pt idx="7">
                  <c:v>5.223835649811253</c:v>
                </c:pt>
                <c:pt idx="8">
                  <c:v>4.9929167163968771</c:v>
                </c:pt>
                <c:pt idx="9">
                  <c:v>5.3465535567696376</c:v>
                </c:pt>
                <c:pt idx="10">
                  <c:v>5.3532182938258757</c:v>
                </c:pt>
                <c:pt idx="11">
                  <c:v>5.1503405046252562</c:v>
                </c:pt>
                <c:pt idx="12">
                  <c:v>5.1254446335259827</c:v>
                </c:pt>
                <c:pt idx="13">
                  <c:v>5.4841794653580571</c:v>
                </c:pt>
                <c:pt idx="14">
                  <c:v>5.3726012514190939</c:v>
                </c:pt>
                <c:pt idx="15">
                  <c:v>5.6771022445782728</c:v>
                </c:pt>
              </c:numCache>
            </c:numRef>
          </c:val>
          <c:smooth val="0"/>
          <c:extLst>
            <c:ext xmlns:c16="http://schemas.microsoft.com/office/drawing/2014/chart" uri="{C3380CC4-5D6E-409C-BE32-E72D297353CC}">
              <c16:uniqueId val="{00000002-06B4-4776-8775-583EE1773E74}"/>
            </c:ext>
          </c:extLst>
        </c:ser>
        <c:ser>
          <c:idx val="3"/>
          <c:order val="3"/>
          <c:tx>
            <c:strRef>
              <c:f>Sheet3!$E$3:$E$4</c:f>
              <c:strCache>
                <c:ptCount val="1"/>
                <c:pt idx="0">
                  <c:v>XMIL</c:v>
                </c:pt>
              </c:strCache>
            </c:strRef>
          </c:tx>
          <c:spPr>
            <a:ln w="28575" cap="rnd">
              <a:solidFill>
                <a:schemeClr val="accent4"/>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Sheet3!$E$5:$E$25</c:f>
              <c:numCache>
                <c:formatCode>_(* #,##0.00_);_(* \(#,##0.00\);_(* "-"??_);_(@_)</c:formatCode>
                <c:ptCount val="16"/>
                <c:pt idx="0">
                  <c:v>4.7696569573380367</c:v>
                </c:pt>
                <c:pt idx="1">
                  <c:v>5.1993950446512232</c:v>
                </c:pt>
                <c:pt idx="2">
                  <c:v>5.2988825408473268</c:v>
                </c:pt>
                <c:pt idx="3">
                  <c:v>5.1911606477980099</c:v>
                </c:pt>
                <c:pt idx="4">
                  <c:v>4.9141008439230731</c:v>
                </c:pt>
                <c:pt idx="5">
                  <c:v>4.0697373033330306</c:v>
                </c:pt>
                <c:pt idx="6">
                  <c:v>3.9223910663068065</c:v>
                </c:pt>
                <c:pt idx="7">
                  <c:v>4.3314405790967205</c:v>
                </c:pt>
                <c:pt idx="8">
                  <c:v>4.2433717212121929</c:v>
                </c:pt>
                <c:pt idx="9">
                  <c:v>4.2955979669404529</c:v>
                </c:pt>
                <c:pt idx="10">
                  <c:v>4.2315998175862193</c:v>
                </c:pt>
                <c:pt idx="11">
                  <c:v>4.1383019978321007</c:v>
                </c:pt>
                <c:pt idx="12">
                  <c:v>3.9903073344084201</c:v>
                </c:pt>
                <c:pt idx="13">
                  <c:v>4.3652571925487962</c:v>
                </c:pt>
                <c:pt idx="14">
                  <c:v>4.1027610690510672</c:v>
                </c:pt>
                <c:pt idx="15">
                  <c:v>4.272618820116743</c:v>
                </c:pt>
              </c:numCache>
            </c:numRef>
          </c:val>
          <c:smooth val="0"/>
          <c:extLst>
            <c:ext xmlns:c16="http://schemas.microsoft.com/office/drawing/2014/chart" uri="{C3380CC4-5D6E-409C-BE32-E72D297353CC}">
              <c16:uniqueId val="{00000003-06B4-4776-8775-583EE1773E74}"/>
            </c:ext>
          </c:extLst>
        </c:ser>
        <c:ser>
          <c:idx val="4"/>
          <c:order val="4"/>
          <c:tx>
            <c:strRef>
              <c:f>Sheet3!$F$3:$F$4</c:f>
              <c:strCache>
                <c:ptCount val="1"/>
                <c:pt idx="0">
                  <c:v>XPAR</c:v>
                </c:pt>
              </c:strCache>
            </c:strRef>
          </c:tx>
          <c:spPr>
            <a:ln w="28575" cap="rnd">
              <a:solidFill>
                <a:schemeClr val="accent5"/>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Sheet3!$F$5:$F$25</c:f>
              <c:numCache>
                <c:formatCode>_(* #,##0.00_);_(* \(#,##0.00\);_(* "-"??_);_(@_)</c:formatCode>
                <c:ptCount val="16"/>
                <c:pt idx="0">
                  <c:v>3.2278946064287868</c:v>
                </c:pt>
                <c:pt idx="1">
                  <c:v>3.5048861674277298</c:v>
                </c:pt>
                <c:pt idx="2">
                  <c:v>3.4388061423067438</c:v>
                </c:pt>
                <c:pt idx="3">
                  <c:v>3.1019044344893332</c:v>
                </c:pt>
                <c:pt idx="4">
                  <c:v>2.8624347413970033</c:v>
                </c:pt>
                <c:pt idx="5">
                  <c:v>2.9732701119829099</c:v>
                </c:pt>
                <c:pt idx="6">
                  <c:v>2.9140577396262937</c:v>
                </c:pt>
                <c:pt idx="7">
                  <c:v>3.0353061782984398</c:v>
                </c:pt>
                <c:pt idx="8">
                  <c:v>3.1135451463536032</c:v>
                </c:pt>
                <c:pt idx="9">
                  <c:v>4.0164841163840732</c:v>
                </c:pt>
                <c:pt idx="10">
                  <c:v>3.7765983678588135</c:v>
                </c:pt>
                <c:pt idx="11">
                  <c:v>3.8169732060312698</c:v>
                </c:pt>
                <c:pt idx="12">
                  <c:v>3.6296653601989761</c:v>
                </c:pt>
                <c:pt idx="13">
                  <c:v>3.7787487300558666</c:v>
                </c:pt>
                <c:pt idx="14">
                  <c:v>3.7114920261817832</c:v>
                </c:pt>
                <c:pt idx="15">
                  <c:v>4.000008700396914</c:v>
                </c:pt>
              </c:numCache>
            </c:numRef>
          </c:val>
          <c:smooth val="0"/>
          <c:extLst>
            <c:ext xmlns:c16="http://schemas.microsoft.com/office/drawing/2014/chart" uri="{C3380CC4-5D6E-409C-BE32-E72D297353CC}">
              <c16:uniqueId val="{00000004-06B4-4776-8775-583EE1773E74}"/>
            </c:ext>
          </c:extLst>
        </c:ser>
        <c:ser>
          <c:idx val="5"/>
          <c:order val="5"/>
          <c:tx>
            <c:strRef>
              <c:f>Sheet3!$G$3:$G$4</c:f>
              <c:strCache>
                <c:ptCount val="1"/>
                <c:pt idx="0">
                  <c:v>XSWX</c:v>
                </c:pt>
              </c:strCache>
            </c:strRef>
          </c:tx>
          <c:spPr>
            <a:ln w="28575" cap="rnd">
              <a:solidFill>
                <a:schemeClr val="accent6">
                  <a:lumMod val="50000"/>
                </a:schemeClr>
              </a:solidFill>
              <a:round/>
            </a:ln>
            <a:effectLst/>
          </c:spPr>
          <c:marker>
            <c:symbol val="none"/>
          </c:marker>
          <c:cat>
            <c:multiLvlStrRef>
              <c:f>Sheet3!$A$5:$A$25</c:f>
              <c:multiLvlStrCache>
                <c:ptCount val="16"/>
                <c:lvl>
                  <c:pt idx="0">
                    <c:v>Qtr1</c:v>
                  </c:pt>
                  <c:pt idx="1">
                    <c:v>Qtr2</c:v>
                  </c:pt>
                  <c:pt idx="2">
                    <c:v>Qtr3</c:v>
                  </c:pt>
                  <c:pt idx="3">
                    <c:v>Qtr4</c:v>
                  </c:pt>
                  <c:pt idx="4">
                    <c:v>Qtr1</c:v>
                  </c:pt>
                  <c:pt idx="5">
                    <c:v>Qtr2</c:v>
                  </c:pt>
                  <c:pt idx="6">
                    <c:v>Qtr3</c:v>
                  </c:pt>
                  <c:pt idx="7">
                    <c:v>Qtr4</c:v>
                  </c:pt>
                  <c:pt idx="8">
                    <c:v>Qtr1</c:v>
                  </c:pt>
                  <c:pt idx="9">
                    <c:v>Qtr2</c:v>
                  </c:pt>
                  <c:pt idx="10">
                    <c:v>Qtr3</c:v>
                  </c:pt>
                  <c:pt idx="11">
                    <c:v>Qtr4</c:v>
                  </c:pt>
                  <c:pt idx="12">
                    <c:v>Qtr1</c:v>
                  </c:pt>
                  <c:pt idx="13">
                    <c:v>Qtr2</c:v>
                  </c:pt>
                  <c:pt idx="14">
                    <c:v>Qtr3</c:v>
                  </c:pt>
                  <c:pt idx="15">
                    <c:v>Qtr4</c:v>
                  </c:pt>
                </c:lvl>
                <c:lvl>
                  <c:pt idx="0">
                    <c:v>2022</c:v>
                  </c:pt>
                  <c:pt idx="4">
                    <c:v>2023</c:v>
                  </c:pt>
                  <c:pt idx="8">
                    <c:v>2024</c:v>
                  </c:pt>
                  <c:pt idx="12">
                    <c:v>2025</c:v>
                  </c:pt>
                </c:lvl>
              </c:multiLvlStrCache>
            </c:multiLvlStrRef>
          </c:cat>
          <c:val>
            <c:numRef>
              <c:f>Sheet3!$G$5:$G$25</c:f>
              <c:numCache>
                <c:formatCode>_(* #,##0.00_);_(* \(#,##0.00\);_(* "-"??_);_(@_)</c:formatCode>
                <c:ptCount val="16"/>
                <c:pt idx="0">
                  <c:v>3.6686970533611536</c:v>
                </c:pt>
                <c:pt idx="1">
                  <c:v>3.5725562355292504</c:v>
                </c:pt>
                <c:pt idx="2">
                  <c:v>4.0955980847830098</c:v>
                </c:pt>
                <c:pt idx="3">
                  <c:v>3.9000643394158097</c:v>
                </c:pt>
                <c:pt idx="4">
                  <c:v>3.5349979325643197</c:v>
                </c:pt>
                <c:pt idx="5">
                  <c:v>3.4591400715606366</c:v>
                </c:pt>
                <c:pt idx="6">
                  <c:v>3.9721026573482003</c:v>
                </c:pt>
                <c:pt idx="7">
                  <c:v>3.9911466137671829</c:v>
                </c:pt>
                <c:pt idx="8">
                  <c:v>3.6301456180159337</c:v>
                </c:pt>
                <c:pt idx="9">
                  <c:v>4.0182672168338529</c:v>
                </c:pt>
                <c:pt idx="10">
                  <c:v>4.3059353804618929</c:v>
                </c:pt>
                <c:pt idx="11">
                  <c:v>4.8139460624775436</c:v>
                </c:pt>
                <c:pt idx="12">
                  <c:v>3.9163532992534029</c:v>
                </c:pt>
                <c:pt idx="13">
                  <c:v>4.1376836891745734</c:v>
                </c:pt>
                <c:pt idx="14">
                  <c:v>4.0448851679725797</c:v>
                </c:pt>
                <c:pt idx="15">
                  <c:v>4.4594297290894529</c:v>
                </c:pt>
              </c:numCache>
            </c:numRef>
          </c:val>
          <c:smooth val="0"/>
          <c:extLst>
            <c:ext xmlns:c16="http://schemas.microsoft.com/office/drawing/2014/chart" uri="{C3380CC4-5D6E-409C-BE32-E72D297353CC}">
              <c16:uniqueId val="{00000005-06B4-4776-8775-583EE1773E74}"/>
            </c:ext>
          </c:extLst>
        </c:ser>
        <c:dLbls>
          <c:showLegendKey val="0"/>
          <c:showVal val="0"/>
          <c:showCatName val="0"/>
          <c:showSerName val="0"/>
          <c:showPercent val="0"/>
          <c:showBubbleSize val="0"/>
        </c:dLbls>
        <c:smooth val="0"/>
        <c:axId val="1880571456"/>
        <c:axId val="1880577216"/>
      </c:lineChart>
      <c:catAx>
        <c:axId val="18805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577216"/>
        <c:crosses val="autoZero"/>
        <c:auto val="1"/>
        <c:lblAlgn val="ctr"/>
        <c:lblOffset val="100"/>
        <c:noMultiLvlLbl val="0"/>
      </c:catAx>
      <c:valAx>
        <c:axId val="1880577216"/>
        <c:scaling>
          <c:orientation val="minMax"/>
          <c:max val="6"/>
          <c:min val="2"/>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571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DFE2843E0D45EDA4864712FBB3E7B8"/>
        <w:category>
          <w:name w:val="General"/>
          <w:gallery w:val="placeholder"/>
        </w:category>
        <w:types>
          <w:type w:val="bbPlcHdr"/>
        </w:types>
        <w:behaviors>
          <w:behavior w:val="content"/>
        </w:behaviors>
        <w:guid w:val="{81B35EC2-E3D9-493E-B667-843739FF60A1}"/>
      </w:docPartPr>
      <w:docPartBody>
        <w:p w:rsidR="008B1558" w:rsidRDefault="00BE1672" w:rsidP="00BE1672">
          <w:pPr>
            <w:pStyle w:val="C8DFE2843E0D45EDA4864712FBB3E7B8"/>
          </w:pPr>
          <w:r w:rsidRPr="00DA1A90">
            <w:rPr>
              <w:rStyle w:val="PlaceholderText"/>
            </w:rPr>
            <w:t>Click or tap here to enter text.</w:t>
          </w:r>
        </w:p>
      </w:docPartBody>
    </w:docPart>
    <w:docPart>
      <w:docPartPr>
        <w:name w:val="42012DE1DC2040729CB52F38FDDD7FDB"/>
        <w:category>
          <w:name w:val="General"/>
          <w:gallery w:val="placeholder"/>
        </w:category>
        <w:types>
          <w:type w:val="bbPlcHdr"/>
        </w:types>
        <w:behaviors>
          <w:behavior w:val="content"/>
        </w:behaviors>
        <w:guid w:val="{5146845E-0578-40B2-985C-0B9BF575E31E}"/>
      </w:docPartPr>
      <w:docPartBody>
        <w:p w:rsidR="008B1558" w:rsidRDefault="00BE1672" w:rsidP="00BE1672">
          <w:pPr>
            <w:pStyle w:val="42012DE1DC2040729CB52F38FDDD7FDB"/>
          </w:pPr>
          <w:r w:rsidRPr="00DA1A90">
            <w:rPr>
              <w:rStyle w:val="PlaceholderText"/>
            </w:rPr>
            <w:t>Choose an item.</w:t>
          </w:r>
        </w:p>
      </w:docPartBody>
    </w:docPart>
    <w:docPart>
      <w:docPartPr>
        <w:name w:val="190E0FA6D266444EBB503B8A33AEA059"/>
        <w:category>
          <w:name w:val="General"/>
          <w:gallery w:val="placeholder"/>
        </w:category>
        <w:types>
          <w:type w:val="bbPlcHdr"/>
        </w:types>
        <w:behaviors>
          <w:behavior w:val="content"/>
        </w:behaviors>
        <w:guid w:val="{DA0F2620-CE49-402E-889B-3312D2021AE7}"/>
      </w:docPartPr>
      <w:docPartBody>
        <w:p w:rsidR="008B1558" w:rsidRDefault="00BE1672" w:rsidP="00BE1672">
          <w:pPr>
            <w:pStyle w:val="190E0FA6D266444EBB503B8A33AEA059"/>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72"/>
    <w:rsid w:val="001137E8"/>
    <w:rsid w:val="002A5C76"/>
    <w:rsid w:val="003E21F8"/>
    <w:rsid w:val="004040C9"/>
    <w:rsid w:val="0040786C"/>
    <w:rsid w:val="00495E4D"/>
    <w:rsid w:val="0054505B"/>
    <w:rsid w:val="00545951"/>
    <w:rsid w:val="00600EDE"/>
    <w:rsid w:val="0064233C"/>
    <w:rsid w:val="006527E2"/>
    <w:rsid w:val="00881ACC"/>
    <w:rsid w:val="008B1558"/>
    <w:rsid w:val="00B0568E"/>
    <w:rsid w:val="00B461B5"/>
    <w:rsid w:val="00BB5D70"/>
    <w:rsid w:val="00BE1672"/>
    <w:rsid w:val="00C07E32"/>
    <w:rsid w:val="00C97635"/>
    <w:rsid w:val="00CB61A4"/>
    <w:rsid w:val="00CD2B49"/>
    <w:rsid w:val="00CF46FF"/>
    <w:rsid w:val="00D4255A"/>
    <w:rsid w:val="00D8359D"/>
    <w:rsid w:val="00E07131"/>
    <w:rsid w:val="00E43525"/>
    <w:rsid w:val="00EA4A08"/>
    <w:rsid w:val="00EF3A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672"/>
    <w:rPr>
      <w:color w:val="808080"/>
    </w:rPr>
  </w:style>
  <w:style w:type="paragraph" w:customStyle="1" w:styleId="C8DFE2843E0D45EDA4864712FBB3E7B8">
    <w:name w:val="C8DFE2843E0D45EDA4864712FBB3E7B8"/>
    <w:rsid w:val="00BE1672"/>
  </w:style>
  <w:style w:type="paragraph" w:customStyle="1" w:styleId="42012DE1DC2040729CB52F38FDDD7FDB">
    <w:name w:val="42012DE1DC2040729CB52F38FDDD7FDB"/>
    <w:rsid w:val="00BE1672"/>
  </w:style>
  <w:style w:type="paragraph" w:customStyle="1" w:styleId="190E0FA6D266444EBB503B8A33AEA059">
    <w:name w:val="190E0FA6D266444EBB503B8A33AEA059"/>
    <w:rsid w:val="00BE1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6117CED48D3D4CBD0FB704D6484950" ma:contentTypeVersion="19" ma:contentTypeDescription="Create a new document." ma:contentTypeScope="" ma:versionID="63af3c17327327b136b2c2faa93cd5e5">
  <xsd:schema xmlns:xsd="http://www.w3.org/2001/XMLSchema" xmlns:xs="http://www.w3.org/2001/XMLSchema" xmlns:p="http://schemas.microsoft.com/office/2006/metadata/properties" xmlns:ns2="f71c27bb-1db3-4467-bca5-0aee81417cec" xmlns:ns3="775e9fb5-4f01-411f-a7a6-52d05c4935b4" targetNamespace="http://schemas.microsoft.com/office/2006/metadata/properties" ma:root="true" ma:fieldsID="3864c080bac3504a6d85663255839dcd" ns2:_="" ns3:_="">
    <xsd:import namespace="f71c27bb-1db3-4467-bca5-0aee81417cec"/>
    <xsd:import namespace="775e9fb5-4f01-411f-a7a6-52d05c4935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pic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c27bb-1db3-4467-bca5-0aee81417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icID" ma:index="21" nillable="true" ma:displayName="picID" ma:format="Dropdown" ma:internalName="pic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4c0ae18-fba6-44a5-a955-6e50b82f9f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e9fb5-4f01-411f-a7a6-52d05c4935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0793a3b-79fe-42fa-bb40-aaad2f3d177f}" ma:internalName="TaxCatchAll" ma:showField="CatchAllData" ma:web="775e9fb5-4f01-411f-a7a6-52d05c493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cID xmlns="f71c27bb-1db3-4467-bca5-0aee81417cec" xsi:nil="true"/>
    <lcf76f155ced4ddcb4097134ff3c332f xmlns="f71c27bb-1db3-4467-bca5-0aee81417cec">
      <Terms xmlns="http://schemas.microsoft.com/office/infopath/2007/PartnerControls"/>
    </lcf76f155ced4ddcb4097134ff3c332f>
    <TaxCatchAll xmlns="775e9fb5-4f01-411f-a7a6-52d05c4935b4" xsi:nil="true"/>
  </documentManagement>
</p:properties>
</file>

<file path=customXml/itemProps1.xml><?xml version="1.0" encoding="utf-8"?>
<ds:datastoreItem xmlns:ds="http://schemas.openxmlformats.org/officeDocument/2006/customXml" ds:itemID="{98B0FA61-17FD-4D94-ADAA-6994B561A301}">
  <ds:schemaRefs>
    <ds:schemaRef ds:uri="http://schemas.microsoft.com/sharepoint/v3/contenttype/forms"/>
  </ds:schemaRefs>
</ds:datastoreItem>
</file>

<file path=customXml/itemProps2.xml><?xml version="1.0" encoding="utf-8"?>
<ds:datastoreItem xmlns:ds="http://schemas.openxmlformats.org/officeDocument/2006/customXml" ds:itemID="{8425D9C3-890F-4D7A-96FF-DAF59B36C603}">
  <ds:schemaRefs>
    <ds:schemaRef ds:uri="http://schemas.openxmlformats.org/officeDocument/2006/bibliography"/>
  </ds:schemaRefs>
</ds:datastoreItem>
</file>

<file path=customXml/itemProps3.xml><?xml version="1.0" encoding="utf-8"?>
<ds:datastoreItem xmlns:ds="http://schemas.openxmlformats.org/officeDocument/2006/customXml" ds:itemID="{63BDB1D7-E93F-4A65-B1DE-B69505EB2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c27bb-1db3-4467-bca5-0aee81417cec"/>
    <ds:schemaRef ds:uri="775e9fb5-4f01-411f-a7a6-52d05c493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A5BEC-CB2F-454E-AAEC-DA2FE4594A32}">
  <ds:schemaRefs>
    <ds:schemaRef ds:uri="http://schemas.microsoft.com/office/2006/metadata/properties"/>
    <ds:schemaRef ds:uri="http://schemas.microsoft.com/office/infopath/2007/PartnerControls"/>
    <ds:schemaRef ds:uri="f71c27bb-1db3-4467-bca5-0aee81417cec"/>
    <ds:schemaRef ds:uri="775e9fb5-4f01-411f-a7a6-52d05c4935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14984</Words>
  <Characters>85409</Characters>
  <Application>Microsoft Office Word</Application>
  <DocSecurity>4</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100193</CharactersWithSpaces>
  <SharedDoc>false</SharedDoc>
  <HLinks>
    <vt:vector size="24" baseType="variant">
      <vt:variant>
        <vt:i4>2818052</vt:i4>
      </vt:variant>
      <vt:variant>
        <vt:i4>33</vt:i4>
      </vt:variant>
      <vt:variant>
        <vt:i4>0</vt:i4>
      </vt:variant>
      <vt:variant>
        <vt:i4>5</vt:i4>
      </vt:variant>
      <vt:variant>
        <vt:lpwstr>https://www.fia.org/sites/default/files/2024-04/FIA EPTA Insights - Mind Transparency Gap paper_FINAL.pdf</vt:lpwstr>
      </vt:variant>
      <vt:variant>
        <vt:lpwstr/>
      </vt:variant>
      <vt:variant>
        <vt:i4>5898318</vt:i4>
      </vt:variant>
      <vt:variant>
        <vt:i4>6</vt:i4>
      </vt:variant>
      <vt:variant>
        <vt:i4>0</vt:i4>
      </vt:variant>
      <vt:variant>
        <vt:i4>5</vt:i4>
      </vt:variant>
      <vt:variant>
        <vt:lpwstr>https://www.esma.europa.eu/about-esma/data-protection</vt:lpwstr>
      </vt:variant>
      <vt:variant>
        <vt:lpwstr/>
      </vt: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2026-06-30T01:46:00Z</dcterms:created>
  <dcterms:modified xsi:type="dcterms:W3CDTF">2026-06-29T17:59:00Z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0x0101000B6117CED48D3D4CBD0FB704D6484950</vt:lpwstr>
  </property>
</Properties>
</file>