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re"/>
            <w:tabs>
              <w:tab w:val="center" w:pos="4536"/>
            </w:tabs>
          </w:pPr>
          <w:r>
            <w:t xml:space="preserve">Reply </w:t>
          </w:r>
          <w:r w:rsidR="00DD03DC">
            <w:t>F</w:t>
          </w:r>
          <w:r>
            <w:t>orm</w:t>
          </w:r>
          <w:r w:rsidR="00FA1BF6">
            <w:tab/>
          </w:r>
        </w:p>
        <w:p w14:paraId="031F2108" w14:textId="042F6D9B" w:rsidR="007E7997" w:rsidRPr="00C01571" w:rsidRDefault="005B1C75" w:rsidP="00D77369">
          <w:pPr>
            <w:pStyle w:val="Sous-titr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2BD8828D" w:rsidR="00E40D2C" w:rsidRPr="00557BD2" w:rsidRDefault="00AA2A1B">
                <w:r>
                  <w:t>AFG</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3DE61DF2" w:rsidR="00E40D2C" w:rsidRDefault="00AA2A1B">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65065B90" w:rsidR="002262FA" w:rsidRDefault="00AA2A1B"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7B9F0CA1" w:rsidR="00E40D2C" w:rsidRPr="00557BD2" w:rsidRDefault="00AA2A1B">
                <w:r>
                  <w:t>France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itre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1FB47640" w14:textId="5C7CD3F6" w:rsidR="00AA2A1B" w:rsidRDefault="00AA2A1B" w:rsidP="00AA2A1B">
      <w:pPr>
        <w:pStyle w:val="AFGTextecourant"/>
        <w:spacing w:before="0" w:line="240" w:lineRule="atLeast"/>
        <w:ind w:left="0"/>
        <w:jc w:val="both"/>
        <w:rPr>
          <w:lang w:val="en-GB"/>
        </w:rPr>
      </w:pPr>
      <w:permStart w:id="1150511936" w:edGrp="everyone"/>
      <w:r>
        <w:rPr>
          <w:lang w:val="en-GB"/>
        </w:rPr>
        <w:t xml:space="preserve">Preliminary </w:t>
      </w:r>
      <w:proofErr w:type="gramStart"/>
      <w:r>
        <w:rPr>
          <w:lang w:val="en-GB"/>
        </w:rPr>
        <w:t>remarks :</w:t>
      </w:r>
      <w:proofErr w:type="gramEnd"/>
      <w:r>
        <w:rPr>
          <w:lang w:val="en-GB"/>
        </w:rPr>
        <w:t xml:space="preserve"> </w:t>
      </w:r>
      <w:r w:rsidRPr="008C18D6">
        <w:rPr>
          <w:lang w:val="en-GB"/>
        </w:rPr>
        <w:t xml:space="preserve">AFG thanks ESMA for the opportunity to contribute to the reflection on current trends in equity market structure and their potential impact on </w:t>
      </w:r>
      <w:r>
        <w:rPr>
          <w:lang w:val="en-GB"/>
        </w:rPr>
        <w:t xml:space="preserve">trading </w:t>
      </w:r>
      <w:r w:rsidR="007A4331">
        <w:rPr>
          <w:lang w:val="en-GB"/>
        </w:rPr>
        <w:t>behaviour</w:t>
      </w:r>
      <w:r>
        <w:rPr>
          <w:lang w:val="en-GB"/>
        </w:rPr>
        <w:t xml:space="preserve"> and </w:t>
      </w:r>
      <w:r w:rsidRPr="008C18D6">
        <w:rPr>
          <w:lang w:val="en-GB"/>
        </w:rPr>
        <w:t xml:space="preserve">price formation. </w:t>
      </w:r>
    </w:p>
    <w:p w14:paraId="69292F2B" w14:textId="77777777" w:rsidR="00AA2A1B" w:rsidRDefault="00AA2A1B" w:rsidP="00AA2A1B">
      <w:pPr>
        <w:pStyle w:val="AFGTextecourant"/>
        <w:spacing w:before="0" w:line="240" w:lineRule="atLeast"/>
        <w:ind w:left="0"/>
        <w:jc w:val="both"/>
        <w:rPr>
          <w:lang w:val="en-GB"/>
        </w:rPr>
      </w:pPr>
    </w:p>
    <w:p w14:paraId="6C036E1E" w14:textId="77777777" w:rsidR="00AA2A1B" w:rsidRDefault="00AA2A1B" w:rsidP="00AA2A1B">
      <w:pPr>
        <w:pStyle w:val="AFGTextecourant"/>
        <w:spacing w:before="0" w:line="240" w:lineRule="atLeast"/>
        <w:ind w:left="0"/>
        <w:jc w:val="both"/>
        <w:rPr>
          <w:lang w:val="en-GB"/>
        </w:rPr>
      </w:pPr>
      <w:r w:rsidRPr="008C18D6">
        <w:rPr>
          <w:lang w:val="en-GB"/>
        </w:rPr>
        <w:t xml:space="preserve">We welcome ESMA’s pragmatic and evidence-based approach, which </w:t>
      </w:r>
      <w:r>
        <w:rPr>
          <w:lang w:val="en-GB"/>
        </w:rPr>
        <w:t xml:space="preserve">bases this </w:t>
      </w:r>
      <w:r w:rsidRPr="008C18D6">
        <w:rPr>
          <w:lang w:val="en-GB"/>
        </w:rPr>
        <w:t>Call for Evidence</w:t>
      </w:r>
      <w:r>
        <w:rPr>
          <w:lang w:val="en-GB"/>
        </w:rPr>
        <w:t xml:space="preserve"> (</w:t>
      </w:r>
      <w:proofErr w:type="spellStart"/>
      <w:r>
        <w:rPr>
          <w:lang w:val="en-GB"/>
        </w:rPr>
        <w:t>CfE</w:t>
      </w:r>
      <w:proofErr w:type="spellEnd"/>
      <w:r>
        <w:rPr>
          <w:lang w:val="en-GB"/>
        </w:rPr>
        <w:t>)</w:t>
      </w:r>
      <w:r w:rsidRPr="008C18D6">
        <w:rPr>
          <w:lang w:val="en-GB"/>
        </w:rPr>
        <w:t xml:space="preserve"> </w:t>
      </w:r>
      <w:r>
        <w:rPr>
          <w:lang w:val="en-GB"/>
        </w:rPr>
        <w:t>o</w:t>
      </w:r>
      <w:r w:rsidRPr="008C18D6">
        <w:rPr>
          <w:lang w:val="en-GB"/>
        </w:rPr>
        <w:t xml:space="preserve">n data and market analysis. Any changes to trading rules should indeed be supported by robust evidence and a shared understanding of evolving market dynamics, particularly given that the latest </w:t>
      </w:r>
      <w:proofErr w:type="spellStart"/>
      <w:r w:rsidRPr="008C18D6">
        <w:rPr>
          <w:lang w:val="en-GB"/>
        </w:rPr>
        <w:t>MiFIR</w:t>
      </w:r>
      <w:proofErr w:type="spellEnd"/>
      <w:r w:rsidRPr="008C18D6">
        <w:rPr>
          <w:lang w:val="en-GB"/>
        </w:rPr>
        <w:t xml:space="preserve"> review only entered into force a year ago.</w:t>
      </w:r>
      <w:r>
        <w:rPr>
          <w:lang w:val="en-GB"/>
        </w:rPr>
        <w:t xml:space="preserve"> W</w:t>
      </w:r>
      <w:r w:rsidRPr="008C18D6">
        <w:rPr>
          <w:lang w:val="en-GB"/>
        </w:rPr>
        <w:t xml:space="preserve">e </w:t>
      </w:r>
      <w:r>
        <w:rPr>
          <w:lang w:val="en-GB"/>
        </w:rPr>
        <w:t xml:space="preserve">fully support </w:t>
      </w:r>
      <w:r w:rsidRPr="008C18D6">
        <w:rPr>
          <w:lang w:val="en-GB"/>
        </w:rPr>
        <w:t>ESMA’s initiative, both in identifying potential areas of concern and in fostering an open dialogue on the</w:t>
      </w:r>
      <w:r>
        <w:rPr>
          <w:lang w:val="en-GB"/>
        </w:rPr>
        <w:t xml:space="preserve"> potential</w:t>
      </w:r>
      <w:r w:rsidRPr="008C18D6">
        <w:rPr>
          <w:lang w:val="en-GB"/>
        </w:rPr>
        <w:t xml:space="preserve"> future evolution of </w:t>
      </w:r>
      <w:r>
        <w:rPr>
          <w:lang w:val="en-GB"/>
        </w:rPr>
        <w:t xml:space="preserve">Europe’s equity </w:t>
      </w:r>
      <w:r w:rsidRPr="008C18D6">
        <w:rPr>
          <w:lang w:val="en-GB"/>
        </w:rPr>
        <w:t>market structure</w:t>
      </w:r>
      <w:r>
        <w:rPr>
          <w:lang w:val="en-GB"/>
        </w:rPr>
        <w:t>.</w:t>
      </w:r>
    </w:p>
    <w:p w14:paraId="5AA46B82" w14:textId="77777777" w:rsidR="00AA2A1B" w:rsidRDefault="00AA2A1B" w:rsidP="00AA2A1B">
      <w:pPr>
        <w:pStyle w:val="AFGTextecourant"/>
        <w:spacing w:before="0" w:line="240" w:lineRule="atLeast"/>
        <w:ind w:left="0"/>
        <w:jc w:val="both"/>
        <w:rPr>
          <w:lang w:val="en-GB"/>
        </w:rPr>
      </w:pPr>
    </w:p>
    <w:p w14:paraId="70BD48BE" w14:textId="77777777" w:rsidR="00AA2A1B" w:rsidRDefault="00AA2A1B" w:rsidP="00AA2A1B">
      <w:pPr>
        <w:pStyle w:val="AFGTextecourant"/>
        <w:spacing w:before="0" w:line="240" w:lineRule="atLeast"/>
        <w:ind w:left="0"/>
        <w:jc w:val="both"/>
        <w:rPr>
          <w:lang w:val="en-GB"/>
        </w:rPr>
      </w:pPr>
    </w:p>
    <w:p w14:paraId="289C9E28" w14:textId="77777777" w:rsidR="00AA2A1B" w:rsidRDefault="00AA2A1B" w:rsidP="00AA2A1B">
      <w:pPr>
        <w:pStyle w:val="AFGTextecourant"/>
        <w:spacing w:before="0" w:line="240" w:lineRule="atLeast"/>
        <w:ind w:left="0"/>
        <w:jc w:val="both"/>
        <w:rPr>
          <w:lang w:val="en-GB"/>
        </w:rPr>
      </w:pPr>
      <w:r w:rsidRPr="008C18D6">
        <w:rPr>
          <w:lang w:val="en-GB"/>
        </w:rPr>
        <w:t xml:space="preserve">At this stage, </w:t>
      </w:r>
      <w:proofErr w:type="gramStart"/>
      <w:r w:rsidRPr="008C18D6">
        <w:rPr>
          <w:lang w:val="en-GB"/>
        </w:rPr>
        <w:t xml:space="preserve">our  </w:t>
      </w:r>
      <w:r>
        <w:rPr>
          <w:lang w:val="en-GB"/>
        </w:rPr>
        <w:t>key</w:t>
      </w:r>
      <w:proofErr w:type="gramEnd"/>
      <w:r>
        <w:rPr>
          <w:lang w:val="en-GB"/>
        </w:rPr>
        <w:t xml:space="preserve"> observations are as follows;</w:t>
      </w:r>
    </w:p>
    <w:p w14:paraId="1B6C2532" w14:textId="77777777" w:rsidR="00AA2A1B" w:rsidRDefault="00AA2A1B" w:rsidP="00AA2A1B">
      <w:pPr>
        <w:pStyle w:val="AFGTextecourant"/>
        <w:numPr>
          <w:ilvl w:val="0"/>
          <w:numId w:val="18"/>
        </w:numPr>
        <w:spacing w:before="0" w:line="240" w:lineRule="atLeast"/>
        <w:jc w:val="both"/>
        <w:rPr>
          <w:lang w:val="en-GB"/>
        </w:rPr>
      </w:pPr>
      <w:r>
        <w:rPr>
          <w:lang w:val="en-GB"/>
        </w:rPr>
        <w:t xml:space="preserve">The observed trends under the </w:t>
      </w:r>
      <w:proofErr w:type="spellStart"/>
      <w:r>
        <w:rPr>
          <w:lang w:val="en-GB"/>
        </w:rPr>
        <w:t>CfE</w:t>
      </w:r>
      <w:proofErr w:type="spellEnd"/>
      <w:r>
        <w:rPr>
          <w:lang w:val="en-GB"/>
        </w:rPr>
        <w:t xml:space="preserve"> </w:t>
      </w:r>
      <w:proofErr w:type="gramStart"/>
      <w:r>
        <w:rPr>
          <w:lang w:val="en-GB"/>
        </w:rPr>
        <w:t>in regard to</w:t>
      </w:r>
      <w:proofErr w:type="gramEnd"/>
      <w:r>
        <w:rPr>
          <w:lang w:val="en-GB"/>
        </w:rPr>
        <w:t xml:space="preserve"> the use of different trading mechanisms do not reveal any alarming shift, harm to liquidity or deterioration of the price formation process. </w:t>
      </w:r>
    </w:p>
    <w:p w14:paraId="1EDBBFA4" w14:textId="77777777" w:rsidR="00AA2A1B" w:rsidRDefault="00AA2A1B" w:rsidP="00AA2A1B">
      <w:pPr>
        <w:pStyle w:val="AFGTextecourant"/>
        <w:spacing w:before="0" w:line="240" w:lineRule="atLeast"/>
        <w:ind w:left="720"/>
        <w:jc w:val="both"/>
        <w:rPr>
          <w:lang w:val="en-GB"/>
        </w:rPr>
      </w:pPr>
    </w:p>
    <w:p w14:paraId="6F53AD33" w14:textId="77777777" w:rsidR="00AA2A1B" w:rsidRDefault="00AA2A1B" w:rsidP="00AA2A1B">
      <w:pPr>
        <w:pStyle w:val="AFGTextecourant"/>
        <w:numPr>
          <w:ilvl w:val="0"/>
          <w:numId w:val="18"/>
        </w:numPr>
        <w:spacing w:before="0" w:line="240" w:lineRule="atLeast"/>
        <w:jc w:val="both"/>
        <w:rPr>
          <w:lang w:val="en-US"/>
        </w:rPr>
      </w:pPr>
      <w:r>
        <w:rPr>
          <w:lang w:val="en-US"/>
        </w:rPr>
        <w:t>D</w:t>
      </w:r>
      <w:r w:rsidRPr="00FA0571">
        <w:rPr>
          <w:lang w:val="en-US"/>
        </w:rPr>
        <w:t xml:space="preserve">iversity in trading </w:t>
      </w:r>
      <w:proofErr w:type="gramStart"/>
      <w:r w:rsidRPr="00FA0571">
        <w:rPr>
          <w:lang w:val="en-US"/>
        </w:rPr>
        <w:t>execution,</w:t>
      </w:r>
      <w:proofErr w:type="gramEnd"/>
      <w:r w:rsidRPr="00FA0571">
        <w:rPr>
          <w:lang w:val="en-US"/>
        </w:rPr>
        <w:t xml:space="preserve"> </w:t>
      </w:r>
      <w:r>
        <w:rPr>
          <w:lang w:val="en-US"/>
        </w:rPr>
        <w:t xml:space="preserve">simply </w:t>
      </w:r>
      <w:r w:rsidRPr="00FA0571">
        <w:rPr>
          <w:lang w:val="en-US"/>
        </w:rPr>
        <w:t>reflect</w:t>
      </w:r>
      <w:r>
        <w:rPr>
          <w:lang w:val="en-US"/>
        </w:rPr>
        <w:t>s</w:t>
      </w:r>
      <w:r w:rsidRPr="00FA0571">
        <w:rPr>
          <w:lang w:val="en-US"/>
        </w:rPr>
        <w:t xml:space="preserve"> the differing needs of investors</w:t>
      </w:r>
      <w:r w:rsidRPr="00FA0571">
        <w:rPr>
          <w:i/>
          <w:iCs/>
          <w:lang w:val="en-US"/>
        </w:rPr>
        <w:t>.</w:t>
      </w:r>
      <w:r>
        <w:rPr>
          <w:i/>
          <w:iCs/>
          <w:lang w:val="en-US"/>
        </w:rPr>
        <w:t xml:space="preserve"> </w:t>
      </w:r>
      <w:r w:rsidRPr="00FA0571">
        <w:rPr>
          <w:lang w:val="en-US"/>
        </w:rPr>
        <w:t xml:space="preserve">Models coexist because they serve different functions and contribute to best execution. Collectively, they contribute to deeper, more competitive, and more efficient </w:t>
      </w:r>
      <w:r>
        <w:rPr>
          <w:lang w:val="en-US"/>
        </w:rPr>
        <w:t xml:space="preserve">EU </w:t>
      </w:r>
      <w:r w:rsidRPr="00FA0571">
        <w:rPr>
          <w:lang w:val="en-US"/>
        </w:rPr>
        <w:t>markets. </w:t>
      </w:r>
    </w:p>
    <w:p w14:paraId="78286753" w14:textId="77777777" w:rsidR="00AA2A1B" w:rsidRPr="00FA0571" w:rsidRDefault="00AA2A1B" w:rsidP="00AA2A1B">
      <w:pPr>
        <w:pStyle w:val="AFGTextecourant"/>
        <w:spacing w:before="0" w:line="240" w:lineRule="atLeast"/>
        <w:ind w:left="0"/>
        <w:jc w:val="both"/>
        <w:rPr>
          <w:lang w:val="en-US"/>
        </w:rPr>
      </w:pPr>
    </w:p>
    <w:p w14:paraId="4110C746" w14:textId="77777777" w:rsidR="00AA2A1B" w:rsidRPr="002C52C0" w:rsidRDefault="00AA2A1B" w:rsidP="00AA2A1B">
      <w:pPr>
        <w:pStyle w:val="AFGTextecourant"/>
        <w:numPr>
          <w:ilvl w:val="0"/>
          <w:numId w:val="18"/>
        </w:numPr>
        <w:spacing w:before="0" w:line="240" w:lineRule="atLeast"/>
        <w:jc w:val="both"/>
        <w:rPr>
          <w:i/>
          <w:iCs/>
          <w:lang w:val="en-US"/>
        </w:rPr>
      </w:pPr>
      <w:r>
        <w:rPr>
          <w:lang w:val="en-US"/>
        </w:rPr>
        <w:t xml:space="preserve">Based on data shown under the </w:t>
      </w:r>
      <w:proofErr w:type="spellStart"/>
      <w:r>
        <w:rPr>
          <w:lang w:val="en-US"/>
        </w:rPr>
        <w:t>CfE</w:t>
      </w:r>
      <w:proofErr w:type="spellEnd"/>
      <w:r>
        <w:rPr>
          <w:lang w:val="en-US"/>
        </w:rPr>
        <w:t xml:space="preserve"> </w:t>
      </w:r>
      <w:proofErr w:type="gramStart"/>
      <w:r>
        <w:rPr>
          <w:lang w:val="en-US"/>
        </w:rPr>
        <w:t>t</w:t>
      </w:r>
      <w:r w:rsidRPr="00FA0571">
        <w:rPr>
          <w:lang w:val="en-US"/>
        </w:rPr>
        <w:t>he majority of</w:t>
      </w:r>
      <w:proofErr w:type="gramEnd"/>
      <w:r w:rsidRPr="00FA0571">
        <w:rPr>
          <w:lang w:val="en-US"/>
        </w:rPr>
        <w:t xml:space="preserve"> trades are executed on </w:t>
      </w:r>
      <w:r>
        <w:rPr>
          <w:lang w:val="en-US"/>
        </w:rPr>
        <w:t xml:space="preserve">lit </w:t>
      </w:r>
      <w:proofErr w:type="gramStart"/>
      <w:r>
        <w:rPr>
          <w:lang w:val="en-US"/>
        </w:rPr>
        <w:t>markets</w:t>
      </w:r>
      <w:proofErr w:type="gramEnd"/>
      <w:r>
        <w:rPr>
          <w:lang w:val="en-US"/>
        </w:rPr>
        <w:t xml:space="preserve"> meaning either on lit</w:t>
      </w:r>
      <w:r w:rsidRPr="00FA0571">
        <w:rPr>
          <w:lang w:val="en-US"/>
        </w:rPr>
        <w:t xml:space="preserve"> continuous order books</w:t>
      </w:r>
      <w:r>
        <w:rPr>
          <w:lang w:val="en-US"/>
        </w:rPr>
        <w:t xml:space="preserve"> or during </w:t>
      </w:r>
      <w:r w:rsidRPr="00FA0571">
        <w:rPr>
          <w:lang w:val="en-US"/>
        </w:rPr>
        <w:t>auctions conducted by those same venues</w:t>
      </w:r>
      <w:r>
        <w:rPr>
          <w:lang w:val="en-US"/>
        </w:rPr>
        <w:t>.</w:t>
      </w:r>
    </w:p>
    <w:p w14:paraId="3BB9A677" w14:textId="77777777" w:rsidR="00AA2A1B" w:rsidRPr="00FA0571" w:rsidRDefault="00AA2A1B" w:rsidP="00AA2A1B">
      <w:pPr>
        <w:pStyle w:val="AFGTextecourant"/>
        <w:spacing w:before="0" w:line="240" w:lineRule="atLeast"/>
        <w:ind w:left="720"/>
        <w:jc w:val="both"/>
        <w:rPr>
          <w:i/>
          <w:iCs/>
          <w:lang w:val="en-US"/>
        </w:rPr>
      </w:pPr>
    </w:p>
    <w:p w14:paraId="5C33FB7F" w14:textId="77777777" w:rsidR="00AA2A1B" w:rsidRDefault="00AA2A1B" w:rsidP="00AA2A1B">
      <w:pPr>
        <w:pStyle w:val="AFGTextecourant"/>
        <w:numPr>
          <w:ilvl w:val="0"/>
          <w:numId w:val="18"/>
        </w:numPr>
        <w:spacing w:before="0" w:line="240" w:lineRule="atLeast"/>
        <w:jc w:val="both"/>
        <w:rPr>
          <w:i/>
          <w:iCs/>
          <w:lang w:val="en-US"/>
        </w:rPr>
      </w:pPr>
      <w:r>
        <w:rPr>
          <w:lang w:val="en-US"/>
        </w:rPr>
        <w:t>R</w:t>
      </w:r>
      <w:r w:rsidRPr="00FA0571">
        <w:rPr>
          <w:lang w:val="en-US"/>
        </w:rPr>
        <w:t xml:space="preserve">educing </w:t>
      </w:r>
      <w:r>
        <w:rPr>
          <w:lang w:val="en-US"/>
        </w:rPr>
        <w:t xml:space="preserve">existing </w:t>
      </w:r>
      <w:r w:rsidRPr="00FA0571">
        <w:rPr>
          <w:lang w:val="en-US"/>
        </w:rPr>
        <w:t>diversity would not simplify market</w:t>
      </w:r>
      <w:r>
        <w:rPr>
          <w:lang w:val="en-US"/>
        </w:rPr>
        <w:t xml:space="preserve"> structure but</w:t>
      </w:r>
      <w:r w:rsidRPr="00FA0571">
        <w:rPr>
          <w:lang w:val="en-US"/>
        </w:rPr>
        <w:t xml:space="preserve"> diminish choice and competition, increase costs, and ultimately render European capital markets less attractive</w:t>
      </w:r>
      <w:r w:rsidRPr="00FA0571">
        <w:rPr>
          <w:i/>
          <w:iCs/>
          <w:lang w:val="en-US"/>
        </w:rPr>
        <w:t>.</w:t>
      </w:r>
    </w:p>
    <w:p w14:paraId="51440FED" w14:textId="77777777" w:rsidR="00AA2A1B" w:rsidRDefault="00AA2A1B" w:rsidP="00AA2A1B">
      <w:pPr>
        <w:pStyle w:val="AFGTextecourant"/>
        <w:spacing w:before="0" w:line="240" w:lineRule="atLeast"/>
        <w:ind w:left="0"/>
        <w:jc w:val="both"/>
        <w:rPr>
          <w:lang w:val="en-US"/>
        </w:rPr>
      </w:pPr>
    </w:p>
    <w:p w14:paraId="3B23DA4E" w14:textId="77777777" w:rsidR="00AA2A1B" w:rsidRDefault="00AA2A1B" w:rsidP="00AA2A1B">
      <w:pPr>
        <w:pStyle w:val="AFGTextecourant"/>
        <w:numPr>
          <w:ilvl w:val="0"/>
          <w:numId w:val="18"/>
        </w:numPr>
        <w:spacing w:before="0" w:line="240" w:lineRule="atLeast"/>
        <w:jc w:val="both"/>
        <w:rPr>
          <w:lang w:val="en-US"/>
        </w:rPr>
      </w:pPr>
      <w:r w:rsidRPr="00FA0571">
        <w:rPr>
          <w:lang w:val="en-US"/>
        </w:rPr>
        <w:t>Price formation depends on the information available to</w:t>
      </w:r>
      <w:r>
        <w:rPr>
          <w:lang w:val="en-US"/>
        </w:rPr>
        <w:t xml:space="preserve"> market </w:t>
      </w:r>
      <w:proofErr w:type="gramStart"/>
      <w:r>
        <w:rPr>
          <w:lang w:val="en-US"/>
        </w:rPr>
        <w:t xml:space="preserve">participants </w:t>
      </w:r>
      <w:r w:rsidRPr="00FA0571">
        <w:rPr>
          <w:lang w:val="en-US"/>
        </w:rPr>
        <w:t>.</w:t>
      </w:r>
      <w:proofErr w:type="gramEnd"/>
      <w:r w:rsidRPr="00FA0571">
        <w:rPr>
          <w:lang w:val="en-US"/>
        </w:rPr>
        <w:t xml:space="preserve"> </w:t>
      </w:r>
      <w:proofErr w:type="gramStart"/>
      <w:r>
        <w:rPr>
          <w:lang w:val="en-US"/>
        </w:rPr>
        <w:t>Therefore</w:t>
      </w:r>
      <w:proofErr w:type="gramEnd"/>
      <w:r>
        <w:rPr>
          <w:lang w:val="en-US"/>
        </w:rPr>
        <w:t xml:space="preserve"> there is broad consensus that an efficient measure to strengthen price formation would come from an enhanced equity/ETF consolidated tape offering greater pre-trade transparency and not from restricting choice of venues.</w:t>
      </w:r>
    </w:p>
    <w:p w14:paraId="697AA8B1" w14:textId="77777777" w:rsidR="00AA2A1B" w:rsidRDefault="00AA2A1B" w:rsidP="00AA2A1B">
      <w:pPr>
        <w:pStyle w:val="AFGTextecourant"/>
        <w:spacing w:before="0" w:line="240" w:lineRule="atLeast"/>
        <w:ind w:left="720"/>
        <w:jc w:val="both"/>
        <w:rPr>
          <w:lang w:val="en-US"/>
        </w:rPr>
      </w:pPr>
    </w:p>
    <w:p w14:paraId="21A67DA5" w14:textId="77777777" w:rsidR="00AA2A1B" w:rsidRDefault="00AA2A1B" w:rsidP="00AA2A1B">
      <w:pPr>
        <w:pStyle w:val="AFGTextecourant"/>
        <w:numPr>
          <w:ilvl w:val="0"/>
          <w:numId w:val="18"/>
        </w:numPr>
        <w:spacing w:before="0" w:line="240" w:lineRule="atLeast"/>
        <w:jc w:val="both"/>
        <w:rPr>
          <w:lang w:val="en-US"/>
        </w:rPr>
      </w:pPr>
      <w:proofErr w:type="spellStart"/>
      <w:r>
        <w:rPr>
          <w:lang w:val="en-US"/>
        </w:rPr>
        <w:t>Harmonisation</w:t>
      </w:r>
      <w:proofErr w:type="spellEnd"/>
      <w:r>
        <w:rPr>
          <w:lang w:val="en-US"/>
        </w:rPr>
        <w:t xml:space="preserve"> of trading hours across EEA venues is considered more impactful than 24h trading capacities</w:t>
      </w:r>
    </w:p>
    <w:p w14:paraId="0B2EF9A3" w14:textId="77777777" w:rsidR="00AA2A1B" w:rsidRDefault="00AA2A1B" w:rsidP="00AA2A1B">
      <w:pPr>
        <w:pStyle w:val="AFGTextecourant"/>
        <w:spacing w:before="0" w:line="240" w:lineRule="atLeast"/>
        <w:ind w:left="0"/>
        <w:jc w:val="both"/>
        <w:rPr>
          <w:lang w:val="en-US"/>
        </w:rPr>
      </w:pPr>
    </w:p>
    <w:p w14:paraId="242B9BC3" w14:textId="77777777" w:rsidR="00AA2A1B" w:rsidRDefault="00AA2A1B" w:rsidP="00AA2A1B">
      <w:pPr>
        <w:pStyle w:val="AFGTextecourant"/>
        <w:spacing w:before="0" w:line="240" w:lineRule="atLeast"/>
        <w:ind w:left="0"/>
        <w:jc w:val="both"/>
        <w:rPr>
          <w:lang w:val="en-US"/>
        </w:rPr>
      </w:pPr>
      <w:proofErr w:type="gramStart"/>
      <w:r>
        <w:rPr>
          <w:lang w:val="en-US"/>
        </w:rPr>
        <w:t>Last but not least</w:t>
      </w:r>
      <w:proofErr w:type="gramEnd"/>
      <w:r>
        <w:rPr>
          <w:lang w:val="en-US"/>
        </w:rPr>
        <w:t xml:space="preserve"> we would like to reemphasize some basic aspects we consider crucial:</w:t>
      </w:r>
    </w:p>
    <w:p w14:paraId="38034E7F" w14:textId="77777777" w:rsidR="00AA2A1B" w:rsidRDefault="00AA2A1B" w:rsidP="00AA2A1B">
      <w:pPr>
        <w:pStyle w:val="AFGTextecourant"/>
        <w:spacing w:before="0" w:line="240" w:lineRule="atLeast"/>
        <w:ind w:left="0"/>
        <w:jc w:val="both"/>
        <w:rPr>
          <w:lang w:val="en-US"/>
        </w:rPr>
      </w:pPr>
    </w:p>
    <w:p w14:paraId="71E742FD" w14:textId="77777777" w:rsidR="00AA2A1B" w:rsidRDefault="00AA2A1B" w:rsidP="00AA2A1B">
      <w:pPr>
        <w:pStyle w:val="AFGTextecourant"/>
        <w:numPr>
          <w:ilvl w:val="0"/>
          <w:numId w:val="17"/>
        </w:numPr>
        <w:spacing w:before="0" w:line="240" w:lineRule="atLeast"/>
        <w:jc w:val="both"/>
        <w:rPr>
          <w:lang w:val="en-US"/>
        </w:rPr>
      </w:pPr>
      <w:r>
        <w:rPr>
          <w:lang w:val="en-US"/>
        </w:rPr>
        <w:t>do not frame the debate by using the expression of “dark trading” for any type of activity outside a traditional order book;</w:t>
      </w:r>
    </w:p>
    <w:p w14:paraId="5001D07B" w14:textId="77777777" w:rsidR="00AA2A1B" w:rsidRDefault="00AA2A1B" w:rsidP="00AA2A1B">
      <w:pPr>
        <w:pStyle w:val="AFGTextecourant"/>
        <w:numPr>
          <w:ilvl w:val="0"/>
          <w:numId w:val="17"/>
        </w:numPr>
        <w:spacing w:before="0" w:line="240" w:lineRule="atLeast"/>
        <w:jc w:val="both"/>
        <w:rPr>
          <w:lang w:val="en-US"/>
        </w:rPr>
      </w:pPr>
      <w:r>
        <w:rPr>
          <w:lang w:val="en-US"/>
        </w:rPr>
        <w:t xml:space="preserve">do not mix up the co-existence of multiple trading patterns with fragmentation of </w:t>
      </w:r>
      <w:proofErr w:type="gramStart"/>
      <w:r>
        <w:rPr>
          <w:lang w:val="en-US"/>
        </w:rPr>
        <w:t>liquidity ;</w:t>
      </w:r>
      <w:proofErr w:type="gramEnd"/>
    </w:p>
    <w:p w14:paraId="70A7E02A" w14:textId="77777777" w:rsidR="00AA2A1B" w:rsidRDefault="00AA2A1B" w:rsidP="00AA2A1B">
      <w:pPr>
        <w:pStyle w:val="AFGTextecourant"/>
        <w:numPr>
          <w:ilvl w:val="0"/>
          <w:numId w:val="17"/>
        </w:numPr>
        <w:spacing w:before="0" w:line="240" w:lineRule="atLeast"/>
        <w:jc w:val="both"/>
        <w:rPr>
          <w:lang w:val="en-US"/>
        </w:rPr>
      </w:pPr>
      <w:r>
        <w:rPr>
          <w:lang w:val="en-US"/>
        </w:rPr>
        <w:t>do not ignore a significant part of Buy-side institutional trading is for the benefit of retail end investors.</w:t>
      </w:r>
    </w:p>
    <w:p w14:paraId="0A1782DA" w14:textId="77777777" w:rsidR="00AA2A1B" w:rsidRDefault="00AA2A1B" w:rsidP="00AA2A1B">
      <w:pPr>
        <w:pStyle w:val="AFGTextecourant"/>
        <w:spacing w:before="0" w:line="240" w:lineRule="atLeast"/>
        <w:ind w:left="720"/>
        <w:jc w:val="both"/>
        <w:rPr>
          <w:lang w:val="en-US"/>
        </w:rPr>
      </w:pPr>
    </w:p>
    <w:p w14:paraId="54071556" w14:textId="77777777" w:rsidR="00AA2A1B" w:rsidRDefault="00AA2A1B" w:rsidP="00AA2A1B">
      <w:pPr>
        <w:pStyle w:val="AFGTextecourant"/>
        <w:spacing w:before="0" w:line="240" w:lineRule="atLeast"/>
        <w:ind w:left="0"/>
        <w:jc w:val="both"/>
        <w:rPr>
          <w:lang w:val="en-GB"/>
        </w:rPr>
      </w:pPr>
      <w:r>
        <w:rPr>
          <w:lang w:val="en-US"/>
        </w:rPr>
        <w:t>Q</w:t>
      </w:r>
      <w:proofErr w:type="gramStart"/>
      <w:r>
        <w:rPr>
          <w:lang w:val="en-US"/>
        </w:rPr>
        <w:t>1 :</w:t>
      </w:r>
      <w:proofErr w:type="gramEnd"/>
      <w:r>
        <w:rPr>
          <w:lang w:val="en-US"/>
        </w:rPr>
        <w:t xml:space="preserve"> </w:t>
      </w:r>
      <w:r w:rsidRPr="00545830">
        <w:rPr>
          <w:lang w:val="en-GB"/>
        </w:rPr>
        <w:t>No.</w:t>
      </w:r>
      <w:r>
        <w:rPr>
          <w:lang w:val="en-GB"/>
        </w:rPr>
        <w:t xml:space="preserve"> ESMA defines “addressable liquidity trades” </w:t>
      </w:r>
      <w:proofErr w:type="gramStart"/>
      <w:r>
        <w:rPr>
          <w:lang w:val="en-GB"/>
        </w:rPr>
        <w:t xml:space="preserve">as </w:t>
      </w:r>
      <w:r w:rsidRPr="00B30BC9">
        <w:rPr>
          <w:lang w:val="en-GB"/>
        </w:rPr>
        <w:t>”</w:t>
      </w:r>
      <w:r w:rsidRPr="00B30BC9">
        <w:rPr>
          <w:i/>
          <w:iCs/>
          <w:lang w:val="en-GB"/>
        </w:rPr>
        <w:t>transactions</w:t>
      </w:r>
      <w:proofErr w:type="gramEnd"/>
      <w:r w:rsidRPr="00B30BC9">
        <w:rPr>
          <w:i/>
          <w:iCs/>
          <w:lang w:val="en-GB"/>
        </w:rPr>
        <w:t xml:space="preserve"> where another investment firm or client could have been a party to the transaction</w:t>
      </w:r>
      <w:r w:rsidRPr="00B30BC9">
        <w:rPr>
          <w:i/>
          <w:iCs/>
          <w:lang w:val="en-US"/>
        </w:rPr>
        <w:t xml:space="preserve"> and provided liquidity to the market”</w:t>
      </w:r>
      <w:r w:rsidRPr="00B30BC9">
        <w:rPr>
          <w:lang w:val="en-US"/>
        </w:rPr>
        <w:t>. As such, we</w:t>
      </w:r>
      <w:r w:rsidRPr="00B30BC9">
        <w:rPr>
          <w:lang w:val="en-GB"/>
        </w:rPr>
        <w:t xml:space="preserve"> believe </w:t>
      </w:r>
      <w:r>
        <w:rPr>
          <w:lang w:val="en-GB"/>
        </w:rPr>
        <w:t>that the OTC category should be considered “non-addressable liquidity” only for t</w:t>
      </w:r>
      <w:r w:rsidRPr="00545830">
        <w:rPr>
          <w:lang w:val="en-GB"/>
        </w:rPr>
        <w:t xml:space="preserve">ransactions not contributing to the price discovery process for the purposes of Article 23 of </w:t>
      </w:r>
      <w:proofErr w:type="spellStart"/>
      <w:r>
        <w:rPr>
          <w:lang w:val="en-GB"/>
        </w:rPr>
        <w:t>MiFIR</w:t>
      </w:r>
      <w:proofErr w:type="spellEnd"/>
      <w:r>
        <w:rPr>
          <w:lang w:val="en-GB"/>
        </w:rPr>
        <w:t xml:space="preserve">. Transaction reported as XOFF by an investment firm that is also an SI, and OTC-XOFF transactions are addressable. </w:t>
      </w:r>
    </w:p>
    <w:p w14:paraId="2ECA59E3" w14:textId="77777777" w:rsidR="00AA2A1B" w:rsidRDefault="00AA2A1B" w:rsidP="00AA2A1B">
      <w:pPr>
        <w:pStyle w:val="AFGTextecourant"/>
        <w:spacing w:before="0" w:line="240" w:lineRule="atLeast"/>
        <w:ind w:left="0"/>
        <w:jc w:val="both"/>
        <w:rPr>
          <w:lang w:val="en-GB"/>
        </w:rPr>
      </w:pPr>
    </w:p>
    <w:p w14:paraId="23E7248C" w14:textId="77777777" w:rsidR="00AA2A1B" w:rsidRDefault="00AA2A1B" w:rsidP="00AA2A1B">
      <w:pPr>
        <w:pStyle w:val="AFGTextecourant"/>
        <w:spacing w:before="0" w:line="240" w:lineRule="atLeast"/>
        <w:ind w:left="0"/>
        <w:jc w:val="both"/>
        <w:rPr>
          <w:lang w:val="en-GB"/>
        </w:rPr>
      </w:pPr>
      <w:r>
        <w:rPr>
          <w:lang w:val="en-US"/>
        </w:rPr>
        <w:t xml:space="preserve">Furthermore, </w:t>
      </w:r>
      <w:r w:rsidRPr="002317C0">
        <w:rPr>
          <w:lang w:val="en-US"/>
        </w:rPr>
        <w:t xml:space="preserve">OTC trades </w:t>
      </w:r>
      <w:r>
        <w:rPr>
          <w:lang w:val="en-US"/>
        </w:rPr>
        <w:t>are</w:t>
      </w:r>
      <w:r w:rsidRPr="002317C0">
        <w:rPr>
          <w:lang w:val="en-US"/>
        </w:rPr>
        <w:t xml:space="preserve"> inflated and over-represented due to dual reporting occurring on UK and EU APAs. </w:t>
      </w:r>
      <w:r>
        <w:rPr>
          <w:lang w:val="en-US"/>
        </w:rPr>
        <w:t>A m</w:t>
      </w:r>
      <w:r w:rsidRPr="002317C0">
        <w:rPr>
          <w:lang w:val="en-US"/>
        </w:rPr>
        <w:t>utual recognition of APAs would resolve this. </w:t>
      </w:r>
    </w:p>
    <w:p w14:paraId="7571C27B" w14:textId="77777777" w:rsidR="00AA2A1B" w:rsidRDefault="00AA2A1B" w:rsidP="00AA2A1B">
      <w:pPr>
        <w:pStyle w:val="AFGTextecourant"/>
        <w:spacing w:before="0" w:line="240" w:lineRule="atLeast"/>
        <w:ind w:left="0"/>
        <w:jc w:val="both"/>
        <w:rPr>
          <w:lang w:val="en-GB"/>
        </w:rPr>
      </w:pPr>
    </w:p>
    <w:p w14:paraId="283EEEA8" w14:textId="77777777" w:rsidR="00AA2A1B" w:rsidRDefault="00AA2A1B" w:rsidP="00AA2A1B">
      <w:pPr>
        <w:pStyle w:val="AFGTextecourant"/>
        <w:spacing w:before="0" w:line="240" w:lineRule="atLeast"/>
        <w:ind w:left="0"/>
        <w:jc w:val="both"/>
        <w:rPr>
          <w:lang w:val="en-GB"/>
        </w:rPr>
      </w:pPr>
      <w:r w:rsidRPr="00B80839">
        <w:rPr>
          <w:lang w:val="en-GB"/>
        </w:rPr>
        <w:t xml:space="preserve">We believe that the SI-OTC bucket should not exist and only serves to add confusion when it comes to understanding the liquidity landscape in the EU. These transactions would be better categorised as “OTC” with the stated intention of diving deeper into the underlying causes of OTC transactions being reported by SIs. </w:t>
      </w:r>
    </w:p>
    <w:p w14:paraId="1156742F" w14:textId="77777777" w:rsidR="00AA2A1B" w:rsidRDefault="00AA2A1B" w:rsidP="00AA2A1B">
      <w:pPr>
        <w:pStyle w:val="AFGTextecourant"/>
        <w:spacing w:before="0" w:line="240" w:lineRule="atLeast"/>
        <w:ind w:left="0"/>
        <w:jc w:val="both"/>
        <w:rPr>
          <w:lang w:val="en-GB"/>
        </w:rPr>
      </w:pPr>
    </w:p>
    <w:p w14:paraId="3CB3D7B0" w14:textId="77777777" w:rsidR="00AA2A1B" w:rsidRDefault="00AA2A1B" w:rsidP="00AA2A1B">
      <w:pPr>
        <w:pStyle w:val="AFGTextecourant"/>
        <w:spacing w:before="0" w:line="240" w:lineRule="atLeast"/>
        <w:ind w:left="0"/>
        <w:jc w:val="both"/>
        <w:rPr>
          <w:lang w:val="en-US"/>
        </w:rPr>
      </w:pPr>
      <w:r w:rsidRPr="000D5C41">
        <w:rPr>
          <w:lang w:val="en-US"/>
        </w:rPr>
        <w:t xml:space="preserve">However, </w:t>
      </w:r>
      <w:r>
        <w:rPr>
          <w:lang w:val="en-US"/>
        </w:rPr>
        <w:t>we approve of</w:t>
      </w:r>
      <w:r w:rsidRPr="000D5C41">
        <w:rPr>
          <w:lang w:val="en-US"/>
        </w:rPr>
        <w:t xml:space="preserve"> </w:t>
      </w:r>
      <w:r>
        <w:rPr>
          <w:lang w:val="en-US"/>
        </w:rPr>
        <w:t xml:space="preserve">how </w:t>
      </w:r>
      <w:r w:rsidRPr="000D5C41">
        <w:rPr>
          <w:lang w:val="en-US"/>
        </w:rPr>
        <w:t>ESMA is diving deeper to better understand addressable liquidity</w:t>
      </w:r>
      <w:r>
        <w:rPr>
          <w:lang w:val="en-US"/>
        </w:rPr>
        <w:t xml:space="preserve"> and w</w:t>
      </w:r>
      <w:r w:rsidRPr="000D5C41">
        <w:rPr>
          <w:lang w:val="en-US"/>
        </w:rPr>
        <w:t>e support the goal to align the future flagging system of RTS 1 with that of transaction reporting</w:t>
      </w:r>
      <w:r>
        <w:rPr>
          <w:lang w:val="en-US"/>
        </w:rPr>
        <w:t>.</w:t>
      </w:r>
      <w:r w:rsidRPr="000D5C41">
        <w:rPr>
          <w:lang w:val="en-US"/>
        </w:rPr>
        <w:t xml:space="preserve"> </w:t>
      </w:r>
      <w:r>
        <w:rPr>
          <w:lang w:val="en-US"/>
        </w:rPr>
        <w:t>T</w:t>
      </w:r>
      <w:r w:rsidRPr="000D5C41">
        <w:rPr>
          <w:lang w:val="en-US"/>
        </w:rPr>
        <w:t xml:space="preserve">he granular approach ESMA has taken to run through the list of transaction types in RTS 1 to determine </w:t>
      </w:r>
      <w:proofErr w:type="gramStart"/>
      <w:r w:rsidRPr="000D5C41">
        <w:rPr>
          <w:lang w:val="en-US"/>
        </w:rPr>
        <w:t>whether or not</w:t>
      </w:r>
      <w:proofErr w:type="gramEnd"/>
      <w:r w:rsidRPr="000D5C41">
        <w:rPr>
          <w:lang w:val="en-US"/>
        </w:rPr>
        <w:t> they are addressable</w:t>
      </w:r>
      <w:r>
        <w:rPr>
          <w:lang w:val="en-US"/>
        </w:rPr>
        <w:t xml:space="preserve"> is also a good step towards having a common lecture of what is addressable or not</w:t>
      </w:r>
      <w:r w:rsidRPr="000D5C41">
        <w:rPr>
          <w:lang w:val="en-US"/>
        </w:rPr>
        <w:t xml:space="preserve"> (</w:t>
      </w:r>
      <w:proofErr w:type="spellStart"/>
      <w:r w:rsidRPr="000D5C41">
        <w:rPr>
          <w:i/>
          <w:iCs/>
          <w:lang w:val="en-US"/>
        </w:rPr>
        <w:t>CfE</w:t>
      </w:r>
      <w:proofErr w:type="spellEnd"/>
      <w:r>
        <w:rPr>
          <w:i/>
          <w:iCs/>
          <w:lang w:val="en-US"/>
        </w:rPr>
        <w:t>, p.64</w:t>
      </w:r>
      <w:r w:rsidRPr="000D5C41">
        <w:rPr>
          <w:lang w:val="en-US"/>
        </w:rPr>
        <w:t>).</w:t>
      </w:r>
    </w:p>
    <w:p w14:paraId="414E1828" w14:textId="5A663FA5" w:rsidR="00AA2A1B" w:rsidRDefault="00AA2A1B" w:rsidP="00AA2A1B">
      <w:pPr>
        <w:pStyle w:val="AFGTextecourant"/>
        <w:spacing w:before="0" w:line="240" w:lineRule="atLeast"/>
        <w:ind w:left="0"/>
        <w:jc w:val="both"/>
        <w:rPr>
          <w:lang w:val="en-US"/>
        </w:rPr>
      </w:pP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57703324" w14:textId="77777777" w:rsidR="00AA2A1B" w:rsidRDefault="00AA2A1B" w:rsidP="00AA2A1B">
      <w:pPr>
        <w:pStyle w:val="AFGTextecourant"/>
        <w:spacing w:before="0" w:line="240" w:lineRule="atLeast"/>
        <w:ind w:left="0"/>
        <w:jc w:val="both"/>
        <w:rPr>
          <w:lang w:val="en-GB"/>
        </w:rPr>
      </w:pPr>
      <w:permStart w:id="1720911874" w:edGrp="everyone"/>
      <w:r w:rsidRPr="00B80839">
        <w:rPr>
          <w:lang w:val="en-GB"/>
        </w:rPr>
        <w:t xml:space="preserve">We believe that the SI-OTC bucket should not exist and only serves to add confusion when it comes to understanding the liquidity landscape in the EU. These transactions would be better categorised as </w:t>
      </w:r>
      <w:r w:rsidRPr="00B80839">
        <w:rPr>
          <w:lang w:val="en-GB"/>
        </w:rPr>
        <w:lastRenderedPageBreak/>
        <w:t xml:space="preserve">“OTC” with the stated intention of diving deeper into the underlying causes of OTC transactions being reported by SIs. </w:t>
      </w:r>
    </w:p>
    <w:p w14:paraId="0666E29E" w14:textId="77777777" w:rsidR="00AA2A1B" w:rsidRPr="00B80839" w:rsidRDefault="00AA2A1B" w:rsidP="00AA2A1B">
      <w:pPr>
        <w:pStyle w:val="AFGTextecourant"/>
        <w:spacing w:before="0" w:line="240" w:lineRule="atLeast"/>
        <w:ind w:left="0"/>
        <w:jc w:val="both"/>
        <w:rPr>
          <w:lang w:val="en-GB"/>
        </w:rPr>
      </w:pPr>
    </w:p>
    <w:p w14:paraId="34108883" w14:textId="77777777" w:rsidR="00AA2A1B" w:rsidRDefault="00AA2A1B" w:rsidP="00AA2A1B">
      <w:pPr>
        <w:pStyle w:val="AFGTextecourant"/>
        <w:spacing w:before="0" w:line="240" w:lineRule="atLeast"/>
        <w:ind w:left="0"/>
        <w:jc w:val="both"/>
        <w:rPr>
          <w:lang w:val="en-GB"/>
        </w:rPr>
      </w:pPr>
      <w:r w:rsidRPr="00B80839">
        <w:rPr>
          <w:lang w:val="en-GB"/>
        </w:rPr>
        <w:t xml:space="preserve">We are aware of scenarios where UK based </w:t>
      </w:r>
      <w:r>
        <w:rPr>
          <w:lang w:val="en-GB"/>
        </w:rPr>
        <w:t xml:space="preserve">systemic </w:t>
      </w:r>
      <w:proofErr w:type="spellStart"/>
      <w:r>
        <w:rPr>
          <w:lang w:val="en-GB"/>
        </w:rPr>
        <w:t>internalisers</w:t>
      </w:r>
      <w:proofErr w:type="spellEnd"/>
      <w:r>
        <w:rPr>
          <w:lang w:val="en-GB"/>
        </w:rPr>
        <w:t xml:space="preserve"> (SIs)</w:t>
      </w:r>
      <w:r w:rsidRPr="00B80839">
        <w:rPr>
          <w:lang w:val="en-GB"/>
        </w:rPr>
        <w:t xml:space="preserve">, who are authorised in both the EU and UK, have been instructed to report transactions in both jurisdictions regardless of where the trade has been executed. We believe this is a consequence of having duplicate reporting regimes between the EU and UK. </w:t>
      </w:r>
    </w:p>
    <w:p w14:paraId="7951DD82" w14:textId="77777777" w:rsidR="00AA2A1B" w:rsidRPr="00B80839" w:rsidRDefault="00AA2A1B" w:rsidP="00AA2A1B">
      <w:pPr>
        <w:pStyle w:val="AFGTextecourant"/>
        <w:spacing w:before="0" w:line="240" w:lineRule="atLeast"/>
        <w:ind w:left="0"/>
        <w:jc w:val="both"/>
        <w:rPr>
          <w:lang w:val="en-GB"/>
        </w:rPr>
      </w:pPr>
    </w:p>
    <w:p w14:paraId="54ABAED9" w14:textId="77777777" w:rsidR="00AA2A1B" w:rsidRPr="000F3DB5" w:rsidRDefault="00AA2A1B" w:rsidP="00AA2A1B">
      <w:pPr>
        <w:pStyle w:val="AFGTextecourant"/>
        <w:spacing w:before="0" w:line="240" w:lineRule="atLeast"/>
        <w:ind w:left="0"/>
        <w:jc w:val="both"/>
        <w:rPr>
          <w:lang w:val="en-GB"/>
        </w:rPr>
      </w:pPr>
      <w:r w:rsidRPr="00B80839">
        <w:rPr>
          <w:lang w:val="en-GB"/>
        </w:rPr>
        <w:t xml:space="preserve">It would be beneficial for ESMA to work with NCAs to establish a common expectation when it comes to cross-border reporting, </w:t>
      </w:r>
      <w:proofErr w:type="gramStart"/>
      <w:r w:rsidRPr="00B80839">
        <w:rPr>
          <w:lang w:val="en-GB"/>
        </w:rPr>
        <w:t>in order to</w:t>
      </w:r>
      <w:proofErr w:type="gramEnd"/>
      <w:r w:rsidRPr="00B80839">
        <w:rPr>
          <w:lang w:val="en-GB"/>
        </w:rPr>
        <w:t xml:space="preserve"> avoid the duplicative reporting of trades in the EU.</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15AB9241" w14:textId="77777777" w:rsidR="00AA2A1B" w:rsidRDefault="00AA2A1B" w:rsidP="00AA2A1B">
      <w:pPr>
        <w:pStyle w:val="AFGTextecourant"/>
        <w:spacing w:before="0" w:line="240" w:lineRule="atLeast"/>
        <w:ind w:left="0"/>
        <w:jc w:val="both"/>
        <w:rPr>
          <w:lang w:val="en-GB"/>
        </w:rPr>
      </w:pPr>
      <w:permStart w:id="1070029581" w:edGrp="everyone"/>
      <w:r w:rsidRPr="00A76732">
        <w:rPr>
          <w:lang w:val="en-GB"/>
        </w:rPr>
        <w:t>We believe the analysis demonstrates a healthy balance across the various trading mechanisms. While lit trading volumes have declined, they continue to account for a substantial share of addressable liquidity (45%). By contrast, price-forming S</w:t>
      </w:r>
      <w:r>
        <w:rPr>
          <w:lang w:val="en-GB"/>
        </w:rPr>
        <w:t>I’s</w:t>
      </w:r>
      <w:r w:rsidRPr="00A76732">
        <w:rPr>
          <w:lang w:val="en-GB"/>
        </w:rPr>
        <w:t xml:space="preserve"> activity remains comparatively limited, representing just 6.9% of the total.</w:t>
      </w:r>
    </w:p>
    <w:p w14:paraId="72167C49" w14:textId="77777777" w:rsidR="00AA2A1B" w:rsidRPr="00A76732" w:rsidRDefault="00AA2A1B" w:rsidP="00AA2A1B">
      <w:pPr>
        <w:pStyle w:val="AFGTextecourant"/>
        <w:spacing w:before="0" w:line="240" w:lineRule="atLeast"/>
        <w:ind w:left="0"/>
        <w:jc w:val="both"/>
        <w:rPr>
          <w:lang w:val="en-GB"/>
        </w:rPr>
      </w:pPr>
    </w:p>
    <w:p w14:paraId="63AAF0F5" w14:textId="77777777" w:rsidR="00AA2A1B" w:rsidRDefault="00AA2A1B" w:rsidP="00AA2A1B">
      <w:pPr>
        <w:pStyle w:val="AFGTextecourant"/>
        <w:spacing w:before="0" w:line="240" w:lineRule="atLeast"/>
        <w:ind w:left="0"/>
        <w:jc w:val="both"/>
        <w:rPr>
          <w:lang w:val="en-GB"/>
        </w:rPr>
      </w:pPr>
      <w:r w:rsidRPr="00A76732">
        <w:rPr>
          <w:lang w:val="en-GB"/>
        </w:rPr>
        <w:t>Figures 3–6 also highlight how activity across different trading mechanisms evolves over time in response to changing market conditions. Trading volumes naturally shift between venues as investor priorities change. For example, during periods of heightened uncertainty</w:t>
      </w:r>
      <w:r>
        <w:rPr>
          <w:lang w:val="en-GB"/>
        </w:rPr>
        <w:t xml:space="preserve">, </w:t>
      </w:r>
      <w:r w:rsidRPr="00A76732">
        <w:rPr>
          <w:lang w:val="en-GB"/>
        </w:rPr>
        <w:t>such as the COVID-19 market disruption or the onset of the Middle East crisis</w:t>
      </w:r>
      <w:r>
        <w:rPr>
          <w:lang w:val="en-GB"/>
        </w:rPr>
        <w:t xml:space="preserve">, </w:t>
      </w:r>
      <w:r w:rsidRPr="00A76732">
        <w:rPr>
          <w:lang w:val="en-GB"/>
        </w:rPr>
        <w:t>we observed a marked migration towards lit venues, as investors placed greater value on execution immediacy than on minimising market impact.</w:t>
      </w:r>
    </w:p>
    <w:p w14:paraId="2FEACB56" w14:textId="77777777" w:rsidR="00AA2A1B" w:rsidRDefault="00AA2A1B" w:rsidP="00AA2A1B">
      <w:pPr>
        <w:pStyle w:val="AFGTextecourant"/>
        <w:spacing w:before="0" w:line="240" w:lineRule="atLeast"/>
        <w:ind w:left="0"/>
        <w:jc w:val="both"/>
        <w:rPr>
          <w:lang w:val="en-GB"/>
        </w:rPr>
      </w:pPr>
    </w:p>
    <w:p w14:paraId="5D875E09" w14:textId="77777777" w:rsidR="00AA2A1B" w:rsidRDefault="00AA2A1B" w:rsidP="00AA2A1B">
      <w:pPr>
        <w:spacing w:after="0" w:line="240" w:lineRule="atLeast"/>
        <w:rPr>
          <w:sz w:val="20"/>
        </w:rPr>
      </w:pPr>
      <w:r>
        <w:rPr>
          <w:sz w:val="20"/>
        </w:rPr>
        <w:t xml:space="preserve">We see today that competition </w:t>
      </w:r>
      <w:r w:rsidRPr="00393C41">
        <w:rPr>
          <w:sz w:val="20"/>
        </w:rPr>
        <w:t>between exchanges</w:t>
      </w:r>
      <w:r>
        <w:rPr>
          <w:sz w:val="20"/>
        </w:rPr>
        <w:t>/RM</w:t>
      </w:r>
      <w:r w:rsidRPr="00393C41">
        <w:rPr>
          <w:sz w:val="20"/>
        </w:rPr>
        <w:t xml:space="preserve">, MTFs, SIs and other platforms have contributed to strong overall liquidity, narrow spreads and </w:t>
      </w:r>
      <w:r>
        <w:rPr>
          <w:sz w:val="20"/>
        </w:rPr>
        <w:t xml:space="preserve">a decline in </w:t>
      </w:r>
      <w:r w:rsidRPr="00393C41">
        <w:rPr>
          <w:sz w:val="20"/>
        </w:rPr>
        <w:t>trading costs, and very much on par with other competitive jurisdictions like the US.</w:t>
      </w:r>
      <w:r>
        <w:rPr>
          <w:sz w:val="20"/>
        </w:rPr>
        <w:t xml:space="preserve"> </w:t>
      </w:r>
      <w:r w:rsidRPr="00393C41">
        <w:rPr>
          <w:sz w:val="20"/>
        </w:rPr>
        <w:t>The slight shift shown in ESMA’s data should therefore not be seen as having an impact on price formation, access to liquidity or, ultimately, investors’ best execution.</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555413C9" w14:textId="77777777" w:rsidR="00AA2A1B" w:rsidRPr="00E70649" w:rsidRDefault="00AA2A1B" w:rsidP="00AA2A1B">
      <w:pPr>
        <w:spacing w:after="0" w:line="240" w:lineRule="atLeast"/>
        <w:rPr>
          <w:sz w:val="20"/>
        </w:rPr>
      </w:pPr>
      <w:permStart w:id="856752782" w:edGrp="everyone"/>
      <w:r w:rsidRPr="00E70649">
        <w:rPr>
          <w:sz w:val="20"/>
        </w:rPr>
        <w:t xml:space="preserve">We have no concern on the trend observed which indeed shows a slight decline in trading on continuous lit order book markets (CLOB) i.e. regulated markets and multilateral trading facilities (MTF) but that is mainly balanced with more trading on closing auctions, frequent batch auctions (FBA) which are considered addressable liquidity and do concur in the price formation process. </w:t>
      </w:r>
    </w:p>
    <w:p w14:paraId="1587E482" w14:textId="77777777" w:rsidR="00AA2A1B" w:rsidRPr="00E70649" w:rsidRDefault="00AA2A1B" w:rsidP="00AA2A1B">
      <w:pPr>
        <w:spacing w:after="0" w:line="240" w:lineRule="atLeast"/>
        <w:rPr>
          <w:sz w:val="20"/>
        </w:rPr>
      </w:pPr>
    </w:p>
    <w:p w14:paraId="19560494" w14:textId="77777777" w:rsidR="00AA2A1B" w:rsidRPr="00E70649" w:rsidRDefault="00AA2A1B" w:rsidP="00AA2A1B">
      <w:pPr>
        <w:spacing w:after="0" w:line="240" w:lineRule="atLeast"/>
        <w:rPr>
          <w:sz w:val="20"/>
        </w:rPr>
      </w:pPr>
      <w:r w:rsidRPr="00E70649">
        <w:rPr>
          <w:rFonts w:cs="Arial"/>
          <w:sz w:val="20"/>
        </w:rPr>
        <w:t>The main issue would be on the primary market as it remains the key reference for price formation. But at present, there is no evidence of deterioration in trading activity that would justify structural intervention</w:t>
      </w:r>
      <w:r w:rsidRPr="00E70649">
        <w:rPr>
          <w:sz w:val="20"/>
        </w:rPr>
        <w:t xml:space="preserve">. </w:t>
      </w:r>
    </w:p>
    <w:p w14:paraId="13FA61D5" w14:textId="77777777" w:rsidR="00AA2A1B" w:rsidRPr="00E70649" w:rsidRDefault="00AA2A1B" w:rsidP="00AA2A1B">
      <w:pPr>
        <w:spacing w:after="0" w:line="240" w:lineRule="atLeast"/>
        <w:rPr>
          <w:sz w:val="20"/>
        </w:rPr>
      </w:pPr>
    </w:p>
    <w:p w14:paraId="0787E779" w14:textId="77777777" w:rsidR="00AA2A1B" w:rsidRPr="00E70649" w:rsidRDefault="00AA2A1B" w:rsidP="00AA2A1B">
      <w:pPr>
        <w:spacing w:after="0" w:line="240" w:lineRule="atLeast"/>
        <w:rPr>
          <w:sz w:val="20"/>
        </w:rPr>
      </w:pPr>
      <w:r w:rsidRPr="00E70649">
        <w:rPr>
          <w:sz w:val="20"/>
        </w:rPr>
        <w:t xml:space="preserve">It’s also important not to frame the debate as lit = good / dark = bad. Different execution venues serve different purposes and client needs. A balanced ecosystem is necessary for efficient markets. Indeed, liquidity is not homogeneous, different tools are needed to access different types of liquidity. </w:t>
      </w:r>
      <w:r>
        <w:rPr>
          <w:sz w:val="20"/>
        </w:rPr>
        <w:t>W</w:t>
      </w:r>
      <w:r w:rsidRPr="00393C41">
        <w:rPr>
          <w:sz w:val="20"/>
        </w:rPr>
        <w:t>hile European equity trading is fragmented across lit markets and complementary</w:t>
      </w:r>
      <w:r>
        <w:rPr>
          <w:sz w:val="20"/>
        </w:rPr>
        <w:t>,</w:t>
      </w:r>
      <w:r w:rsidRPr="00393C41">
        <w:rPr>
          <w:sz w:val="20"/>
        </w:rPr>
        <w:t xml:space="preserve"> this complexity has not harmed investors</w:t>
      </w:r>
      <w:r>
        <w:rPr>
          <w:sz w:val="20"/>
        </w:rPr>
        <w:t>.</w:t>
      </w:r>
      <w:r w:rsidRPr="00393C41">
        <w:rPr>
          <w:sz w:val="20"/>
        </w:rPr>
        <w:t xml:space="preserve"> </w:t>
      </w:r>
      <w:r>
        <w:rPr>
          <w:sz w:val="20"/>
        </w:rPr>
        <w:t>It resulted in lower t</w:t>
      </w:r>
      <w:r w:rsidRPr="00ED1120">
        <w:rPr>
          <w:sz w:val="20"/>
        </w:rPr>
        <w:t>rading costs</w:t>
      </w:r>
      <w:r>
        <w:rPr>
          <w:sz w:val="20"/>
        </w:rPr>
        <w:t xml:space="preserve"> </w:t>
      </w:r>
      <w:r w:rsidRPr="00393C41">
        <w:rPr>
          <w:sz w:val="20"/>
        </w:rPr>
        <w:t>and retail investors benefit from tight</w:t>
      </w:r>
      <w:r>
        <w:rPr>
          <w:sz w:val="20"/>
        </w:rPr>
        <w:t>er</w:t>
      </w:r>
      <w:r w:rsidRPr="00393C41">
        <w:rPr>
          <w:sz w:val="20"/>
        </w:rPr>
        <w:t xml:space="preserve"> spreads and </w:t>
      </w:r>
      <w:r w:rsidRPr="00393C41">
        <w:rPr>
          <w:sz w:val="20"/>
        </w:rPr>
        <w:lastRenderedPageBreak/>
        <w:t xml:space="preserve">low commissions. </w:t>
      </w:r>
      <w:r>
        <w:rPr>
          <w:sz w:val="20"/>
        </w:rPr>
        <w:t>L</w:t>
      </w:r>
      <w:r w:rsidRPr="00393C41">
        <w:rPr>
          <w:sz w:val="20"/>
        </w:rPr>
        <w:t xml:space="preserve">it markets </w:t>
      </w:r>
      <w:proofErr w:type="gramStart"/>
      <w:r>
        <w:rPr>
          <w:sz w:val="20"/>
        </w:rPr>
        <w:t>i</w:t>
      </w:r>
      <w:r w:rsidRPr="00393C41">
        <w:rPr>
          <w:sz w:val="20"/>
        </w:rPr>
        <w:t>s</w:t>
      </w:r>
      <w:proofErr w:type="gramEnd"/>
      <w:r w:rsidRPr="00393C41">
        <w:rPr>
          <w:sz w:val="20"/>
        </w:rPr>
        <w:t xml:space="preserve"> essential for price discovery, but alternative trading mechanisms provid</w:t>
      </w:r>
      <w:r>
        <w:rPr>
          <w:sz w:val="20"/>
        </w:rPr>
        <w:t>es</w:t>
      </w:r>
      <w:r w:rsidRPr="00393C41">
        <w:rPr>
          <w:sz w:val="20"/>
        </w:rPr>
        <w:t xml:space="preserve"> complementary liquidity, particularly for larger or less liquid trades, with fragmentation itself not necessarily undermining market quality.</w:t>
      </w:r>
      <w:r>
        <w:rPr>
          <w:sz w:val="20"/>
        </w:rPr>
        <w:t xml:space="preserve"> </w:t>
      </w:r>
      <w:r w:rsidRPr="00E70649">
        <w:rPr>
          <w:sz w:val="20"/>
        </w:rPr>
        <w:t xml:space="preserve">Concentrating trading solely on “lit markets” would not necessarily improve outcomes and could reduce access to certain forms of liquidity. </w:t>
      </w:r>
    </w:p>
    <w:p w14:paraId="03C7BE30" w14:textId="77777777" w:rsidR="00AA2A1B" w:rsidRPr="00E70649" w:rsidRDefault="00AA2A1B" w:rsidP="00AA2A1B">
      <w:pPr>
        <w:spacing w:after="0" w:line="240" w:lineRule="atLeast"/>
        <w:rPr>
          <w:sz w:val="20"/>
        </w:rPr>
      </w:pPr>
    </w:p>
    <w:p w14:paraId="20D7F7E1" w14:textId="77777777" w:rsidR="00AA2A1B" w:rsidRPr="00E70649" w:rsidRDefault="00AA2A1B" w:rsidP="00AA2A1B">
      <w:pPr>
        <w:spacing w:after="0" w:line="240" w:lineRule="atLeast"/>
        <w:rPr>
          <w:sz w:val="20"/>
        </w:rPr>
      </w:pPr>
      <w:r w:rsidRPr="00E70649">
        <w:rPr>
          <w:sz w:val="20"/>
        </w:rPr>
        <w:t xml:space="preserve">On the other hand, introducing measures to relocate trading on some types of markets (RM), might force investors to </w:t>
      </w:r>
      <w:r>
        <w:rPr>
          <w:sz w:val="20"/>
        </w:rPr>
        <w:t xml:space="preserve">shift </w:t>
      </w:r>
      <w:r w:rsidRPr="00E70649">
        <w:rPr>
          <w:sz w:val="20"/>
        </w:rPr>
        <w:t>to the UK.</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74415709" w14:textId="77777777" w:rsidR="00AA2A1B" w:rsidRPr="00E70649" w:rsidRDefault="00AA2A1B" w:rsidP="00AA2A1B">
      <w:pPr>
        <w:spacing w:after="0" w:line="240" w:lineRule="atLeast"/>
        <w:rPr>
          <w:rFonts w:cs="Arial"/>
          <w:sz w:val="20"/>
        </w:rPr>
      </w:pPr>
      <w:permStart w:id="617826185" w:edGrp="everyone"/>
      <w:r w:rsidRPr="00E70649">
        <w:rPr>
          <w:rFonts w:cs="Arial"/>
          <w:sz w:val="20"/>
        </w:rPr>
        <w:t>As explained above, liquidity is not homogeneous and we need different tools to access different types of liquidity. Retail and institutional investors have fundamentally different needs. Retail trades are less market-impacting than institutional trades (e.g., large block orders</w:t>
      </w:r>
      <w:r>
        <w:rPr>
          <w:rFonts w:cs="Arial"/>
          <w:sz w:val="20"/>
        </w:rPr>
        <w:t xml:space="preserve"> or less liquid</w:t>
      </w:r>
      <w:r w:rsidRPr="00E70649">
        <w:rPr>
          <w:rFonts w:cs="Arial"/>
          <w:sz w:val="20"/>
        </w:rPr>
        <w:t xml:space="preserve">) which require specific execution mechanisms. </w:t>
      </w:r>
    </w:p>
    <w:p w14:paraId="09B4E5B7" w14:textId="77777777" w:rsidR="00AA2A1B" w:rsidRPr="00E70649" w:rsidRDefault="00AA2A1B" w:rsidP="00AA2A1B">
      <w:pPr>
        <w:spacing w:after="0" w:line="240" w:lineRule="atLeast"/>
        <w:rPr>
          <w:rFonts w:cs="Arial"/>
          <w:sz w:val="20"/>
        </w:rPr>
      </w:pPr>
    </w:p>
    <w:p w14:paraId="7BDD5141" w14:textId="77777777" w:rsidR="00AA2A1B" w:rsidRDefault="00AA2A1B" w:rsidP="00AA2A1B">
      <w:pPr>
        <w:spacing w:after="0" w:line="240" w:lineRule="atLeast"/>
        <w:rPr>
          <w:rFonts w:cs="Arial"/>
          <w:sz w:val="20"/>
        </w:rPr>
      </w:pPr>
      <w:r w:rsidRPr="00E70649">
        <w:rPr>
          <w:rFonts w:cs="Arial"/>
          <w:sz w:val="20"/>
        </w:rPr>
        <w:t xml:space="preserve">Furthermore, asset managers operate under a fiduciary duty to act in the best interests of their clients. Trading desks need flexibility in execution venue selection to achieve best execution, get sufficient choice to </w:t>
      </w:r>
      <w:r>
        <w:rPr>
          <w:rFonts w:cs="Arial"/>
          <w:sz w:val="20"/>
        </w:rPr>
        <w:t xml:space="preserve">minimise </w:t>
      </w:r>
      <w:r w:rsidRPr="00E70649">
        <w:rPr>
          <w:rFonts w:cs="Arial"/>
          <w:sz w:val="20"/>
        </w:rPr>
        <w:t>execution costs</w:t>
      </w:r>
      <w:r>
        <w:rPr>
          <w:rFonts w:cs="Arial"/>
          <w:sz w:val="20"/>
        </w:rPr>
        <w:t xml:space="preserve"> and</w:t>
      </w:r>
      <w:r w:rsidRPr="00E70649">
        <w:rPr>
          <w:rFonts w:cs="Arial"/>
          <w:sz w:val="20"/>
        </w:rPr>
        <w:t xml:space="preserve">, get better returns for end investors. On the contrary, less competition </w:t>
      </w:r>
      <w:r>
        <w:rPr>
          <w:rFonts w:cs="Arial"/>
          <w:sz w:val="20"/>
        </w:rPr>
        <w:t xml:space="preserve">and choice would </w:t>
      </w:r>
      <w:r w:rsidRPr="00E70649">
        <w:rPr>
          <w:rFonts w:cs="Arial"/>
          <w:sz w:val="20"/>
        </w:rPr>
        <w:t xml:space="preserve">mean higher cost, higher market impact, lower returns. For example, executing large orders on a single venue can create market impact, </w:t>
      </w:r>
      <w:proofErr w:type="gramStart"/>
      <w:r w:rsidRPr="00E70649">
        <w:rPr>
          <w:rFonts w:cs="Arial"/>
          <w:sz w:val="20"/>
        </w:rPr>
        <w:t>worsening</w:t>
      </w:r>
      <w:proofErr w:type="gramEnd"/>
      <w:r w:rsidRPr="00E70649">
        <w:rPr>
          <w:rFonts w:cs="Arial"/>
          <w:sz w:val="20"/>
        </w:rPr>
        <w:t xml:space="preserve"> prices and reducing liquidity. The ability to diversify execution across venues mitigates these risks.</w:t>
      </w:r>
      <w:r>
        <w:rPr>
          <w:rFonts w:cs="Arial"/>
          <w:sz w:val="20"/>
        </w:rPr>
        <w:t xml:space="preserve"> Moreover</w:t>
      </w:r>
      <w:r w:rsidRPr="00E70649">
        <w:rPr>
          <w:rFonts w:cs="Arial"/>
          <w:sz w:val="20"/>
        </w:rPr>
        <w:t xml:space="preserve">, ESMA should not assume that trades that are </w:t>
      </w:r>
      <w:proofErr w:type="gramStart"/>
      <w:r w:rsidRPr="00E70649">
        <w:rPr>
          <w:rFonts w:cs="Arial"/>
          <w:sz w:val="20"/>
        </w:rPr>
        <w:t>small in size</w:t>
      </w:r>
      <w:proofErr w:type="gramEnd"/>
      <w:r w:rsidRPr="00E70649">
        <w:rPr>
          <w:rFonts w:cs="Arial"/>
          <w:sz w:val="20"/>
        </w:rPr>
        <w:t xml:space="preserve"> are necessarily retail trades. This is not always the case as a lot of institutional orders are often sliced before being executed. </w:t>
      </w:r>
    </w:p>
    <w:p w14:paraId="74831828" w14:textId="77777777" w:rsidR="00AA2A1B" w:rsidRDefault="00AA2A1B" w:rsidP="00AA2A1B">
      <w:pPr>
        <w:spacing w:after="0" w:line="240" w:lineRule="atLeast"/>
        <w:rPr>
          <w:rFonts w:cs="Arial"/>
          <w:sz w:val="20"/>
        </w:rPr>
      </w:pPr>
    </w:p>
    <w:p w14:paraId="6442A5F3" w14:textId="77777777" w:rsidR="00AA2A1B" w:rsidRDefault="00AA2A1B" w:rsidP="00AA2A1B">
      <w:pPr>
        <w:spacing w:after="0" w:line="240" w:lineRule="atLeast"/>
        <w:rPr>
          <w:sz w:val="20"/>
        </w:rPr>
      </w:pPr>
      <w:r w:rsidRPr="002B66E8">
        <w:rPr>
          <w:sz w:val="20"/>
        </w:rPr>
        <w:t>Asset managers</w:t>
      </w:r>
      <w:r>
        <w:rPr>
          <w:sz w:val="20"/>
        </w:rPr>
        <w:t xml:space="preserve"> </w:t>
      </w:r>
      <w:r w:rsidRPr="002B66E8">
        <w:rPr>
          <w:sz w:val="20"/>
        </w:rPr>
        <w:t>define execution objectives and provide order instructions, while brokers make the detailed execution decisions in accordance with their best-execution policies. Venue selection depends on prevailing market conditions, execution objectives, costs, and available liquidity, with</w:t>
      </w:r>
      <w:r>
        <w:rPr>
          <w:sz w:val="20"/>
        </w:rPr>
        <w:t>, yet again,</w:t>
      </w:r>
      <w:r w:rsidRPr="002B66E8">
        <w:rPr>
          <w:sz w:val="20"/>
        </w:rPr>
        <w:t xml:space="preserve"> the overarching goal of achieving the best possible outcome for the end investor. Access to a diverse range of trading venues is therefore essential, as it enables execution strategies tailored to different trading needs, whether for large or less liquid orders, trades requiring rapid execution, or transactions where information sensitivity is particularly high.</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6E53C131" w14:textId="77777777" w:rsidR="00AA2A1B" w:rsidRPr="00EB0737" w:rsidRDefault="00AA2A1B" w:rsidP="00AA2A1B">
      <w:pPr>
        <w:spacing w:after="0" w:line="240" w:lineRule="atLeast"/>
        <w:rPr>
          <w:sz w:val="20"/>
          <w:lang w:val="en-US"/>
        </w:rPr>
      </w:pPr>
      <w:permStart w:id="1898151376" w:edGrp="everyone"/>
      <w:r w:rsidRPr="00B80839">
        <w:rPr>
          <w:sz w:val="20"/>
          <w:lang w:val="en-US"/>
        </w:rPr>
        <w:t xml:space="preserve">We are not aware of market participants facing issues regarding the ability to access liquidity in the EU. Although fragmentation exists, investment firms have invested in their own technology to ensure that client demand is met with the ability to access pools of liquidity across the EU. </w:t>
      </w:r>
    </w:p>
    <w:p w14:paraId="1E276FD6" w14:textId="77777777" w:rsidR="00AA2A1B" w:rsidRDefault="00AA2A1B" w:rsidP="00AA2A1B">
      <w:pPr>
        <w:spacing w:after="0" w:line="240" w:lineRule="atLeast"/>
        <w:rPr>
          <w:sz w:val="20"/>
          <w:lang w:val="en-US"/>
        </w:rPr>
      </w:pPr>
    </w:p>
    <w:p w14:paraId="69FA221B" w14:textId="77777777" w:rsidR="00AA2A1B" w:rsidRDefault="00AA2A1B" w:rsidP="00AA2A1B">
      <w:pPr>
        <w:spacing w:after="0" w:line="240" w:lineRule="atLeast"/>
        <w:rPr>
          <w:sz w:val="20"/>
          <w:lang w:val="en-US"/>
        </w:rPr>
      </w:pPr>
      <w:r w:rsidRPr="00B80839">
        <w:rPr>
          <w:sz w:val="20"/>
          <w:lang w:val="en-US"/>
        </w:rPr>
        <w:t xml:space="preserve">While access to liquidity does not represent an issue, we believe that promoting investor knowledge of liquidity pools across the EU would serve to boost overall volumes in EU equity markets, increasing their attractiveness as an international destination for capital. In this regard, we fully support the delivery of the </w:t>
      </w:r>
      <w:r>
        <w:rPr>
          <w:sz w:val="20"/>
          <w:lang w:val="en-US"/>
        </w:rPr>
        <w:t xml:space="preserve">CT </w:t>
      </w:r>
      <w:r w:rsidRPr="00B80839">
        <w:rPr>
          <w:sz w:val="20"/>
          <w:lang w:val="en-US"/>
        </w:rPr>
        <w:t xml:space="preserve">for equities and ETFs and believe the scope of pre-trade data should be enhanced to </w:t>
      </w:r>
      <w:proofErr w:type="spellStart"/>
      <w:r w:rsidRPr="00B80839">
        <w:rPr>
          <w:sz w:val="20"/>
          <w:lang w:val="en-US"/>
        </w:rPr>
        <w:t>maximise</w:t>
      </w:r>
      <w:proofErr w:type="spellEnd"/>
      <w:r w:rsidRPr="00B80839">
        <w:rPr>
          <w:sz w:val="20"/>
          <w:lang w:val="en-US"/>
        </w:rPr>
        <w:t xml:space="preserve"> positive impacts. This would entail introducing attributed pre-trade data as well as having multiple levels of depth</w:t>
      </w:r>
      <w:r>
        <w:rPr>
          <w:sz w:val="20"/>
          <w:lang w:val="en-US"/>
        </w:rPr>
        <w:t xml:space="preserve"> of the order book</w:t>
      </w:r>
      <w:r w:rsidRPr="00B80839">
        <w:rPr>
          <w:sz w:val="20"/>
          <w:lang w:val="en-US"/>
        </w:rPr>
        <w:t xml:space="preserve">. </w:t>
      </w:r>
      <w:r>
        <w:rPr>
          <w:sz w:val="20"/>
          <w:lang w:val="en-US"/>
        </w:rPr>
        <w:t xml:space="preserve">Any other regulatory change could, however, narrow execution options, therefore reducing the availability to source liquidity effectively. </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5381A467" w14:textId="77777777" w:rsidR="00AA2A1B" w:rsidRPr="00EB0737" w:rsidRDefault="00AA2A1B" w:rsidP="00AA2A1B">
      <w:pPr>
        <w:spacing w:after="0" w:line="240" w:lineRule="atLeast"/>
        <w:rPr>
          <w:sz w:val="20"/>
          <w:lang w:val="en-US"/>
        </w:rPr>
      </w:pPr>
      <w:permStart w:id="1102657477" w:edGrp="everyone"/>
      <w:r w:rsidRPr="003D62C6">
        <w:rPr>
          <w:sz w:val="20"/>
          <w:lang w:val="en-US"/>
        </w:rPr>
        <w:t xml:space="preserve">We do not see a link between the concentration of secondary market trading on a single venue and the level of IPO activity. </w:t>
      </w:r>
      <w:proofErr w:type="gramStart"/>
      <w:r>
        <w:rPr>
          <w:sz w:val="20"/>
          <w:lang w:val="en-US"/>
        </w:rPr>
        <w:t>E</w:t>
      </w:r>
      <w:r w:rsidRPr="003D62C6">
        <w:rPr>
          <w:sz w:val="20"/>
          <w:lang w:val="en-US"/>
        </w:rPr>
        <w:t>vidence</w:t>
      </w:r>
      <w:r>
        <w:rPr>
          <w:sz w:val="20"/>
          <w:lang w:val="en-US"/>
        </w:rPr>
        <w:t>s</w:t>
      </w:r>
      <w:proofErr w:type="gramEnd"/>
      <w:r w:rsidRPr="003D62C6">
        <w:rPr>
          <w:sz w:val="20"/>
          <w:lang w:val="en-US"/>
        </w:rPr>
        <w:t xml:space="preserve"> suggest that issuance can thrive when trading is relatively dispersed, this can be seen in Nordic countries which have demonstrated high number of IPOs compared to other EU member states.</w:t>
      </w:r>
    </w:p>
    <w:p w14:paraId="2F8CF1DD" w14:textId="77777777" w:rsidR="00AA2A1B" w:rsidRDefault="00AA2A1B" w:rsidP="00AA2A1B">
      <w:pPr>
        <w:spacing w:after="0" w:line="240" w:lineRule="atLeast"/>
        <w:rPr>
          <w:sz w:val="20"/>
          <w:lang w:val="en-US"/>
        </w:rPr>
      </w:pPr>
    </w:p>
    <w:p w14:paraId="4D277B15" w14:textId="77777777" w:rsidR="00AA2A1B" w:rsidRPr="003D62C6" w:rsidRDefault="00AA2A1B" w:rsidP="00AA2A1B">
      <w:pPr>
        <w:spacing w:after="0" w:line="240" w:lineRule="atLeast"/>
        <w:rPr>
          <w:sz w:val="20"/>
          <w:lang w:val="en-US"/>
        </w:rPr>
      </w:pPr>
      <w:r w:rsidRPr="003D62C6">
        <w:rPr>
          <w:sz w:val="20"/>
          <w:lang w:val="en-US"/>
        </w:rPr>
        <w:t>Listing decisions are shaped by a suite of considerations, including macro</w:t>
      </w:r>
      <w:r w:rsidRPr="003D62C6">
        <w:rPr>
          <w:sz w:val="20"/>
          <w:lang w:val="en-US"/>
        </w:rPr>
        <w:noBreakHyphen/>
        <w:t>economic trends, investor sentiment, commercial strategy, the specifics of the listing framework and the availability of capital. The structure of the secondary market is only one element of a broader decision</w:t>
      </w:r>
      <w:r w:rsidRPr="003D62C6">
        <w:rPr>
          <w:sz w:val="20"/>
          <w:lang w:val="en-US"/>
        </w:rPr>
        <w:noBreakHyphen/>
        <w:t>making matrix.</w:t>
      </w:r>
    </w:p>
    <w:p w14:paraId="7EA9BF9F" w14:textId="77777777" w:rsidR="00AA2A1B" w:rsidRDefault="00AA2A1B" w:rsidP="00AA2A1B">
      <w:pPr>
        <w:spacing w:after="0" w:line="240" w:lineRule="atLeast"/>
        <w:rPr>
          <w:sz w:val="20"/>
          <w:lang w:val="en-US"/>
        </w:rPr>
      </w:pPr>
    </w:p>
    <w:p w14:paraId="512945A6" w14:textId="77777777" w:rsidR="00AA2A1B" w:rsidRPr="003D62C6" w:rsidRDefault="00AA2A1B" w:rsidP="00AA2A1B">
      <w:pPr>
        <w:spacing w:after="0" w:line="240" w:lineRule="atLeast"/>
        <w:rPr>
          <w:b/>
          <w:bCs/>
          <w:color w:val="007EFF" w:themeColor="text2"/>
          <w:sz w:val="20"/>
        </w:rPr>
      </w:pPr>
      <w:r w:rsidRPr="003D62C6">
        <w:rPr>
          <w:sz w:val="20"/>
          <w:lang w:val="en-US"/>
        </w:rPr>
        <w:t>Because many issuers focus solely on primary venues, they may undervalue the total pool of EU liquidity. Delivering a high</w:t>
      </w:r>
      <w:r w:rsidRPr="003D62C6">
        <w:rPr>
          <w:sz w:val="20"/>
          <w:lang w:val="en-US"/>
        </w:rPr>
        <w:noBreakHyphen/>
        <w:t>quality CT will therefore be essential to present a complete, accurate picture of liquidity across all execution channels.</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 xml:space="preserve">What conclusions would you draw from the distribution of liquidity across EEA ISINs? Do you identify any policy recommendations in this context, with a view to enhancing price formation while ensuring a level playing field across </w:t>
      </w:r>
      <w:r>
        <w:lastRenderedPageBreak/>
        <w:t>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36343B26" w14:textId="77777777" w:rsidR="00AA2A1B" w:rsidRPr="0070251A" w:rsidRDefault="00AA2A1B" w:rsidP="00AA2A1B">
      <w:pPr>
        <w:spacing w:after="0" w:line="240" w:lineRule="atLeast"/>
        <w:rPr>
          <w:rFonts w:cs="Arial"/>
          <w:sz w:val="20"/>
        </w:rPr>
      </w:pPr>
      <w:permStart w:id="1746406015" w:edGrp="everyone"/>
      <w:r>
        <w:rPr>
          <w:rFonts w:cs="Arial"/>
          <w:sz w:val="20"/>
        </w:rPr>
        <w:t xml:space="preserve">Data indicates </w:t>
      </w:r>
      <w:r w:rsidRPr="0070251A">
        <w:rPr>
          <w:rFonts w:cs="Arial"/>
          <w:sz w:val="20"/>
        </w:rPr>
        <w:t>that, for countries where there is a large percentage of OTC trading, the absolute values of the transactions remain limited and that the share of OTC trading is also limited with only a few large transactions that represent most of the trading volume.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2DE2DBE9" w14:textId="77777777" w:rsidR="00AA2A1B" w:rsidRPr="0070251A" w:rsidRDefault="00AA2A1B" w:rsidP="00AA2A1B">
      <w:pPr>
        <w:spacing w:after="0" w:line="240" w:lineRule="atLeast"/>
        <w:rPr>
          <w:rFonts w:cs="Arial"/>
          <w:sz w:val="20"/>
        </w:rPr>
      </w:pPr>
      <w:permStart w:id="648821160" w:edGrp="everyone"/>
      <w:r w:rsidRPr="0070251A">
        <w:rPr>
          <w:rFonts w:cs="Arial"/>
          <w:sz w:val="20"/>
        </w:rPr>
        <w:t xml:space="preserve">We do not see any structural shift towards dark trading but a shift inside the “lit trading” from RM/MTF towards FBA/closing auctions. Indeed, what is mentioned as “dark trading” has slightly increased, but it remains very minor. </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7CEE81A8" w14:textId="77777777" w:rsidR="00AA2A1B" w:rsidRPr="0070251A" w:rsidRDefault="00AA2A1B" w:rsidP="00AA2A1B">
      <w:pPr>
        <w:spacing w:after="0" w:line="240" w:lineRule="atLeast"/>
        <w:rPr>
          <w:rFonts w:cs="Arial"/>
          <w:sz w:val="20"/>
        </w:rPr>
      </w:pPr>
      <w:permStart w:id="733371525" w:edGrp="everyone"/>
      <w:r w:rsidRPr="0070251A">
        <w:rPr>
          <w:rFonts w:cs="Arial"/>
          <w:sz w:val="20"/>
        </w:rPr>
        <w:t xml:space="preserve">ESMA's analysis </w:t>
      </w:r>
      <w:r>
        <w:rPr>
          <w:rFonts w:cs="Arial"/>
          <w:sz w:val="20"/>
        </w:rPr>
        <w:t xml:space="preserve">shows </w:t>
      </w:r>
      <w:r w:rsidRPr="0070251A">
        <w:rPr>
          <w:rFonts w:cs="Arial"/>
          <w:sz w:val="20"/>
        </w:rPr>
        <w:t xml:space="preserve">that there has been no significant shift towards dark trading. Moreover, the market has only recently undergone a substantial review of the </w:t>
      </w:r>
      <w:proofErr w:type="spellStart"/>
      <w:r w:rsidRPr="0070251A">
        <w:rPr>
          <w:rFonts w:cs="Arial"/>
          <w:sz w:val="20"/>
        </w:rPr>
        <w:t>MiFIR</w:t>
      </w:r>
      <w:proofErr w:type="spellEnd"/>
      <w:r w:rsidRPr="0070251A">
        <w:rPr>
          <w:rFonts w:cs="Arial"/>
          <w:sz w:val="20"/>
        </w:rPr>
        <w:t xml:space="preserve"> framework, with several key measures having been implemented very recently, including the introduction of the Single Volume Cap</w:t>
      </w:r>
      <w:r>
        <w:rPr>
          <w:rFonts w:cs="Arial"/>
          <w:sz w:val="20"/>
        </w:rPr>
        <w:t xml:space="preserve"> (SVC)</w:t>
      </w:r>
      <w:r w:rsidRPr="0070251A">
        <w:rPr>
          <w:rFonts w:cs="Arial"/>
          <w:sz w:val="20"/>
        </w:rPr>
        <w:t>. As these reforms are still in the early stages of application, a longer observation period is necessary to properly assess their impact and draw evidence-based conclusions.</w:t>
      </w:r>
    </w:p>
    <w:p w14:paraId="64F1164C" w14:textId="77777777" w:rsidR="00AA2A1B" w:rsidRPr="0070251A" w:rsidRDefault="00AA2A1B" w:rsidP="00AA2A1B">
      <w:pPr>
        <w:spacing w:after="0" w:line="240" w:lineRule="atLeast"/>
        <w:rPr>
          <w:rFonts w:cs="Arial"/>
          <w:sz w:val="20"/>
        </w:rPr>
      </w:pPr>
      <w:r w:rsidRPr="0070251A">
        <w:rPr>
          <w:rFonts w:cs="Arial"/>
          <w:sz w:val="20"/>
        </w:rPr>
        <w:t>In this context, launching another review at this stage would be both premature and burdensome for market participants. Regulatory frameworks should provide not only effective oversight but also legal certainty and predictability. What European market structures need today is greater simplicity and, above all, stability, allowing firms sufficient time to adapt to the new rules and enabling policymakers to evaluate their effectiveness based on robust data rather than limited early observations.</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367062FA" w14:textId="77777777" w:rsidR="00AA2A1B" w:rsidRDefault="00AA2A1B" w:rsidP="00AA2A1B">
      <w:pPr>
        <w:spacing w:after="0" w:line="240" w:lineRule="atLeast"/>
        <w:rPr>
          <w:rFonts w:cs="Arial"/>
          <w:sz w:val="20"/>
        </w:rPr>
      </w:pPr>
      <w:permStart w:id="14425139" w:edGrp="everyone"/>
      <w:r>
        <w:rPr>
          <w:rFonts w:cs="Arial"/>
          <w:sz w:val="20"/>
        </w:rPr>
        <w:t xml:space="preserve">We agree with the rationale described by ESMA for trading in closing auctions. Two main drivers are seen as contributors:  the rise of index investing/passive management and the growing use of quantitative investment strategies benchmarked to the close. </w:t>
      </w:r>
    </w:p>
    <w:p w14:paraId="1091F095" w14:textId="77777777" w:rsidR="00AA2A1B" w:rsidRDefault="00AA2A1B" w:rsidP="00AA2A1B">
      <w:pPr>
        <w:spacing w:after="0" w:line="240" w:lineRule="atLeast"/>
        <w:rPr>
          <w:rFonts w:cs="Arial"/>
          <w:sz w:val="20"/>
        </w:rPr>
      </w:pPr>
    </w:p>
    <w:p w14:paraId="49C73CD9" w14:textId="77777777" w:rsidR="00AA2A1B" w:rsidRPr="0070251A" w:rsidRDefault="00AA2A1B" w:rsidP="00AA2A1B">
      <w:pPr>
        <w:spacing w:after="0" w:line="240" w:lineRule="atLeast"/>
        <w:rPr>
          <w:rFonts w:cs="Arial"/>
          <w:sz w:val="20"/>
        </w:rPr>
      </w:pPr>
      <w:r w:rsidRPr="0070251A">
        <w:rPr>
          <w:rFonts w:cs="Arial"/>
          <w:sz w:val="20"/>
        </w:rPr>
        <w:t xml:space="preserve">Closing auctions are very important for benchmarking and NAV calculation as funds and portfolios are priced based on closing prices, making them essential for market certainty, fair, transparent and reliable </w:t>
      </w:r>
      <w:r w:rsidRPr="0070251A">
        <w:rPr>
          <w:rFonts w:cs="Arial"/>
          <w:sz w:val="20"/>
        </w:rPr>
        <w:lastRenderedPageBreak/>
        <w:t xml:space="preserve">price that reflects the market value. As they concentrate a significant portion of daily trading volume, it increases liquidity and allows larger transaction for lower market impact. Passive funds trade during closing auctions to closely replicate index performance. However, it is very complicated to replicate the trading day through the closing auction because of the volume of transactions and the very limited time window. </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353D2A75" w14:textId="77777777" w:rsidR="00AA2A1B" w:rsidRDefault="00AA2A1B" w:rsidP="00AA2A1B">
      <w:pPr>
        <w:spacing w:after="0" w:line="240" w:lineRule="atLeast"/>
        <w:rPr>
          <w:rFonts w:cs="Arial"/>
          <w:sz w:val="20"/>
        </w:rPr>
      </w:pPr>
      <w:permStart w:id="230633778" w:edGrp="everyone"/>
      <w:r>
        <w:rPr>
          <w:rFonts w:cs="Arial"/>
          <w:sz w:val="20"/>
        </w:rPr>
        <w:t>Today,</w:t>
      </w:r>
      <w:r w:rsidRPr="0070251A">
        <w:rPr>
          <w:rFonts w:cs="Arial"/>
          <w:sz w:val="20"/>
        </w:rPr>
        <w:t xml:space="preserve"> closing auctions are only on</w:t>
      </w:r>
      <w:r>
        <w:rPr>
          <w:rFonts w:cs="Arial"/>
          <w:sz w:val="20"/>
        </w:rPr>
        <w:t xml:space="preserve"> regulated</w:t>
      </w:r>
      <w:r w:rsidRPr="0070251A">
        <w:rPr>
          <w:rFonts w:cs="Arial"/>
          <w:sz w:val="20"/>
        </w:rPr>
        <w:t xml:space="preserve"> lit market because </w:t>
      </w:r>
      <w:r>
        <w:rPr>
          <w:rFonts w:cs="Arial"/>
          <w:sz w:val="20"/>
        </w:rPr>
        <w:t>they</w:t>
      </w:r>
      <w:r w:rsidRPr="0070251A">
        <w:rPr>
          <w:rFonts w:cs="Arial"/>
          <w:sz w:val="20"/>
        </w:rPr>
        <w:t xml:space="preserve"> are the only one providing sufficient certainty.</w:t>
      </w:r>
      <w:r>
        <w:rPr>
          <w:rFonts w:cs="Arial"/>
          <w:sz w:val="20"/>
        </w:rPr>
        <w:t xml:space="preserve"> </w:t>
      </w:r>
    </w:p>
    <w:p w14:paraId="0692998F" w14:textId="77777777" w:rsidR="00AA2A1B" w:rsidRDefault="00AA2A1B" w:rsidP="00AA2A1B">
      <w:pPr>
        <w:spacing w:after="0" w:line="240" w:lineRule="atLeast"/>
        <w:rPr>
          <w:rFonts w:cs="Arial"/>
          <w:sz w:val="20"/>
        </w:rPr>
      </w:pPr>
    </w:p>
    <w:p w14:paraId="4119A844" w14:textId="77777777" w:rsidR="00AA2A1B" w:rsidRPr="0070251A" w:rsidRDefault="00AA2A1B" w:rsidP="00AA2A1B">
      <w:pPr>
        <w:spacing w:after="0" w:line="240" w:lineRule="atLeast"/>
        <w:rPr>
          <w:rFonts w:cs="Arial"/>
          <w:sz w:val="20"/>
        </w:rPr>
      </w:pPr>
      <w:r w:rsidRPr="0070251A">
        <w:rPr>
          <w:rFonts w:cs="Arial"/>
          <w:sz w:val="20"/>
        </w:rPr>
        <w:t>While fair competition has undeniably brought positive developments under MiFID, a strict replication of this principle in the context of closing auctions may have unintended consequences.</w:t>
      </w:r>
    </w:p>
    <w:p w14:paraId="1058FDB7" w14:textId="77777777" w:rsidR="00AA2A1B" w:rsidRDefault="00AA2A1B" w:rsidP="00AA2A1B">
      <w:pPr>
        <w:spacing w:after="0" w:line="240" w:lineRule="atLeast"/>
        <w:rPr>
          <w:rFonts w:cs="Arial"/>
          <w:sz w:val="20"/>
        </w:rPr>
      </w:pPr>
      <w:r w:rsidRPr="0070251A">
        <w:rPr>
          <w:rFonts w:cs="Arial"/>
          <w:sz w:val="20"/>
        </w:rPr>
        <w:t>Indeed, a single, transparent auction price (on a lit market) remains essential for accurate valuation and price clarity. Moreover, introducing competition at this stage could increase market fragmentation, which would be particularly detrimental to passive equity strategies and fund subscriptions/redemptions, both of which rely on a high degree of certainty regarding price formation and trading volumes. Therefore, a single, reliable market reference is necessary for baskets traded at closing auction.</w:t>
      </w:r>
    </w:p>
    <w:p w14:paraId="410A141F" w14:textId="77777777" w:rsidR="00AA2A1B" w:rsidRDefault="00AA2A1B" w:rsidP="00AA2A1B">
      <w:pPr>
        <w:spacing w:after="0" w:line="240" w:lineRule="atLeast"/>
        <w:rPr>
          <w:rFonts w:cs="Arial"/>
          <w:sz w:val="20"/>
        </w:rPr>
      </w:pPr>
    </w:p>
    <w:p w14:paraId="3AB2BD68" w14:textId="77777777" w:rsidR="00AA2A1B" w:rsidRPr="009931EA" w:rsidRDefault="00AA2A1B" w:rsidP="00AA2A1B">
      <w:pPr>
        <w:pStyle w:val="AFGTextetableau"/>
        <w:spacing w:line="240" w:lineRule="atLeast"/>
        <w:jc w:val="both"/>
        <w:rPr>
          <w:rFonts w:cs="Arial"/>
          <w:lang w:val="en-GB"/>
        </w:rPr>
      </w:pPr>
      <w:r>
        <w:rPr>
          <w:rFonts w:cs="Arial"/>
          <w:lang w:val="en-GB"/>
        </w:rPr>
        <w:t xml:space="preserve">As such, we are not in favour of introducing a volume weighted closing price (VWCP) which is not </w:t>
      </w:r>
      <w:r w:rsidRPr="009931EA">
        <w:rPr>
          <w:rFonts w:cs="Arial"/>
          <w:lang w:val="en-GB"/>
        </w:rPr>
        <w:t>a tradable price</w:t>
      </w:r>
      <w:r>
        <w:rPr>
          <w:rFonts w:cs="Arial"/>
          <w:lang w:val="en-GB"/>
        </w:rPr>
        <w:t xml:space="preserve"> but rather a synthetic or “artificial” construct. It </w:t>
      </w:r>
      <w:r w:rsidRPr="009931EA">
        <w:rPr>
          <w:rFonts w:cs="Arial"/>
          <w:lang w:val="en-GB"/>
        </w:rPr>
        <w:t xml:space="preserve">could create significant </w:t>
      </w:r>
      <w:r>
        <w:rPr>
          <w:rFonts w:cs="Arial"/>
          <w:lang w:val="en-GB"/>
        </w:rPr>
        <w:t>challenges</w:t>
      </w:r>
      <w:r w:rsidRPr="009931EA">
        <w:rPr>
          <w:rFonts w:cs="Arial"/>
          <w:lang w:val="en-GB"/>
        </w:rPr>
        <w:t>, particular</w:t>
      </w:r>
      <w:r>
        <w:rPr>
          <w:rFonts w:cs="Arial"/>
          <w:lang w:val="en-GB"/>
        </w:rPr>
        <w:t>ly</w:t>
      </w:r>
      <w:r w:rsidRPr="009931EA">
        <w:rPr>
          <w:rFonts w:cs="Arial"/>
          <w:lang w:val="en-GB"/>
        </w:rPr>
        <w:t xml:space="preserve"> for ETFs and index funds that re</w:t>
      </w:r>
      <w:r>
        <w:rPr>
          <w:rFonts w:cs="Arial"/>
          <w:lang w:val="en-GB"/>
        </w:rPr>
        <w:t>ly on</w:t>
      </w:r>
      <w:r w:rsidRPr="009931EA">
        <w:rPr>
          <w:rFonts w:cs="Arial"/>
          <w:lang w:val="en-GB"/>
        </w:rPr>
        <w:t xml:space="preserve"> benchmark</w:t>
      </w:r>
      <w:r>
        <w:rPr>
          <w:rFonts w:cs="Arial"/>
          <w:lang w:val="en-GB"/>
        </w:rPr>
        <w:t>s</w:t>
      </w:r>
      <w:r w:rsidRPr="009931EA">
        <w:rPr>
          <w:rFonts w:cs="Arial"/>
          <w:lang w:val="en-GB"/>
        </w:rPr>
        <w:t xml:space="preserve"> that </w:t>
      </w:r>
      <w:r>
        <w:rPr>
          <w:rFonts w:cs="Arial"/>
          <w:lang w:val="en-GB"/>
        </w:rPr>
        <w:t>are</w:t>
      </w:r>
      <w:r w:rsidRPr="009931EA">
        <w:rPr>
          <w:rFonts w:cs="Arial"/>
          <w:lang w:val="en-GB"/>
        </w:rPr>
        <w:t xml:space="preserve"> both</w:t>
      </w:r>
      <w:r>
        <w:rPr>
          <w:rFonts w:cs="Arial"/>
          <w:lang w:val="en-GB"/>
        </w:rPr>
        <w:t xml:space="preserve"> observable in the market and practically </w:t>
      </w:r>
      <w:r w:rsidRPr="009931EA">
        <w:rPr>
          <w:rFonts w:cs="Arial"/>
          <w:lang w:val="en-GB"/>
        </w:rPr>
        <w:t>executable.</w:t>
      </w:r>
      <w:r>
        <w:rPr>
          <w:rFonts w:cs="Arial"/>
          <w:lang w:val="en-GB"/>
        </w:rPr>
        <w:t xml:space="preserve"> </w:t>
      </w:r>
      <w:r w:rsidRPr="00997971">
        <w:rPr>
          <w:rFonts w:cs="Arial"/>
          <w:lang w:val="en-GB"/>
        </w:rPr>
        <w:t>Using a price that cannot be directly traded as a benchmark can lead to tracking difficulties, reduce transparency, and increase the risk of performance slippage relative to the intended reference</w:t>
      </w:r>
      <w:r>
        <w:rPr>
          <w:rFonts w:cs="Arial"/>
          <w:lang w:val="en-GB"/>
        </w:rPr>
        <w:t xml:space="preserve">. </w:t>
      </w:r>
      <w:r w:rsidRPr="009931EA">
        <w:rPr>
          <w:rFonts w:cs="Arial"/>
          <w:lang w:val="en-GB"/>
        </w:rPr>
        <w:t>Maintaining the closing auction as the reference benchmark is essential, as it provides</w:t>
      </w:r>
      <w:r>
        <w:rPr>
          <w:rFonts w:cs="Arial"/>
          <w:lang w:val="en-GB"/>
        </w:rPr>
        <w:t xml:space="preserve"> for</w:t>
      </w:r>
      <w:r w:rsidRPr="009931EA">
        <w:rPr>
          <w:rFonts w:cs="Arial"/>
          <w:lang w:val="en-GB"/>
        </w:rPr>
        <w:t>:</w:t>
      </w:r>
    </w:p>
    <w:p w14:paraId="761917F1" w14:textId="77777777" w:rsidR="00AA2A1B" w:rsidRPr="009931EA" w:rsidRDefault="00AA2A1B" w:rsidP="00AA2A1B">
      <w:pPr>
        <w:pStyle w:val="AFGTextetableau"/>
        <w:numPr>
          <w:ilvl w:val="0"/>
          <w:numId w:val="19"/>
        </w:numPr>
        <w:spacing w:line="240" w:lineRule="atLeast"/>
        <w:jc w:val="both"/>
        <w:rPr>
          <w:rFonts w:cs="Arial"/>
          <w:lang w:val="en-GB"/>
        </w:rPr>
      </w:pPr>
      <w:r w:rsidRPr="009931EA">
        <w:rPr>
          <w:rFonts w:cs="Arial"/>
          <w:lang w:val="en-GB"/>
        </w:rPr>
        <w:t>a measurable price,</w:t>
      </w:r>
      <w:r>
        <w:rPr>
          <w:rFonts w:cs="Arial"/>
          <w:lang w:val="en-GB"/>
        </w:rPr>
        <w:t xml:space="preserve"> </w:t>
      </w:r>
      <w:r w:rsidRPr="00772D7E">
        <w:rPr>
          <w:rFonts w:cs="Arial"/>
          <w:lang w:val="en-GB"/>
        </w:rPr>
        <w:t>determined through a transparent and widely observed market mechanism</w:t>
      </w:r>
      <w:r>
        <w:rPr>
          <w:rFonts w:cs="Arial"/>
          <w:lang w:val="en-GB"/>
        </w:rPr>
        <w:t>;</w:t>
      </w:r>
    </w:p>
    <w:p w14:paraId="3BB87E99" w14:textId="77777777" w:rsidR="00AA2A1B" w:rsidRPr="009931EA" w:rsidRDefault="00AA2A1B" w:rsidP="00AA2A1B">
      <w:pPr>
        <w:pStyle w:val="AFGTextetableau"/>
        <w:numPr>
          <w:ilvl w:val="0"/>
          <w:numId w:val="19"/>
        </w:numPr>
        <w:spacing w:line="240" w:lineRule="atLeast"/>
        <w:jc w:val="both"/>
        <w:rPr>
          <w:rFonts w:cs="Arial"/>
          <w:lang w:val="en-GB"/>
        </w:rPr>
      </w:pPr>
      <w:r w:rsidRPr="009931EA">
        <w:rPr>
          <w:rFonts w:cs="Arial"/>
          <w:lang w:val="en-GB"/>
        </w:rPr>
        <w:t>an achievable execution point</w:t>
      </w:r>
      <w:r>
        <w:rPr>
          <w:rFonts w:cs="Arial"/>
          <w:lang w:val="en-GB"/>
        </w:rPr>
        <w:t>, where investors can realistically transact at scale; and</w:t>
      </w:r>
    </w:p>
    <w:p w14:paraId="2FDD8BC6" w14:textId="77777777" w:rsidR="00AA2A1B" w:rsidRPr="009931EA" w:rsidRDefault="00AA2A1B" w:rsidP="00AA2A1B">
      <w:pPr>
        <w:pStyle w:val="AFGTextetableau"/>
        <w:numPr>
          <w:ilvl w:val="0"/>
          <w:numId w:val="19"/>
        </w:numPr>
        <w:spacing w:line="240" w:lineRule="atLeast"/>
        <w:jc w:val="both"/>
        <w:rPr>
          <w:rFonts w:cs="Arial"/>
          <w:lang w:val="en-GB"/>
        </w:rPr>
      </w:pPr>
      <w:r w:rsidRPr="009931EA">
        <w:rPr>
          <w:rFonts w:cs="Arial"/>
          <w:lang w:val="en-GB"/>
        </w:rPr>
        <w:t>and a robust reference for performance evaluation</w:t>
      </w:r>
      <w:r>
        <w:rPr>
          <w:rFonts w:cs="Arial"/>
          <w:lang w:val="en-GB"/>
        </w:rPr>
        <w:t>, index calculation and portfolio valuation</w:t>
      </w:r>
      <w:r w:rsidRPr="009931EA">
        <w:rPr>
          <w:rFonts w:cs="Arial"/>
          <w:lang w:val="en-GB"/>
        </w:rPr>
        <w:t>.</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4B65574" w14:textId="77777777" w:rsidR="00AA2A1B" w:rsidRPr="00B32321" w:rsidRDefault="00AA2A1B" w:rsidP="00AA2A1B">
      <w:pPr>
        <w:pStyle w:val="AFGTextetableau"/>
        <w:spacing w:line="240" w:lineRule="atLeast"/>
        <w:jc w:val="both"/>
        <w:rPr>
          <w:rFonts w:cs="Arial"/>
          <w:lang w:val="en-GB"/>
        </w:rPr>
      </w:pPr>
      <w:permStart w:id="834536465" w:edGrp="everyone"/>
      <w:r w:rsidRPr="00B32321">
        <w:rPr>
          <w:rFonts w:cs="Arial"/>
          <w:lang w:val="en-GB"/>
        </w:rPr>
        <w:t xml:space="preserve">Institutional investors generally do not share interest for 24h trading. Their participation in these extended hours would certainly remain minimal, with most large flows still occurring during regular trading hours or during auctions. </w:t>
      </w:r>
    </w:p>
    <w:p w14:paraId="21F90BF9" w14:textId="77777777" w:rsidR="00AA2A1B" w:rsidRPr="00B32321" w:rsidRDefault="00AA2A1B" w:rsidP="00AA2A1B">
      <w:pPr>
        <w:pStyle w:val="AFGTextetableau"/>
        <w:spacing w:line="240" w:lineRule="atLeast"/>
        <w:jc w:val="both"/>
        <w:rPr>
          <w:rFonts w:cs="Arial"/>
          <w:lang w:val="en-GB"/>
        </w:rPr>
      </w:pPr>
    </w:p>
    <w:p w14:paraId="6A4D1836" w14:textId="77777777" w:rsidR="00AA2A1B" w:rsidRPr="00B32321" w:rsidRDefault="00AA2A1B" w:rsidP="00AA2A1B">
      <w:pPr>
        <w:pStyle w:val="AFGTextetableau"/>
        <w:spacing w:line="240" w:lineRule="atLeast"/>
        <w:jc w:val="both"/>
        <w:rPr>
          <w:rFonts w:cs="Arial"/>
          <w:lang w:val="en-GB"/>
        </w:rPr>
      </w:pPr>
      <w:r w:rsidRPr="00B32321">
        <w:rPr>
          <w:rFonts w:cs="Arial"/>
          <w:lang w:val="en-GB"/>
        </w:rPr>
        <w:t xml:space="preserve">Some US exchanges have begun offering 24-hour trading for selected products, but the results aren’t that positive beyond the main added value which is the attractiveness for retail investors. We can see that overall liquidity remains low outside of regular trading hours, resulting in wider spreads and increased trading costs. In the EU, Eurex offers extended trading hours until 10 pm and here also, we see that volumes after normal trading hours are very low (less than 3% of daily activity). </w:t>
      </w:r>
    </w:p>
    <w:p w14:paraId="2AA6B7C5" w14:textId="77777777" w:rsidR="00AA2A1B" w:rsidRPr="00B32321" w:rsidRDefault="00AA2A1B" w:rsidP="00AA2A1B">
      <w:pPr>
        <w:pStyle w:val="AFGTextetableau"/>
        <w:spacing w:line="240" w:lineRule="atLeast"/>
        <w:jc w:val="both"/>
        <w:rPr>
          <w:rFonts w:cs="Arial"/>
          <w:lang w:val="en-GB"/>
        </w:rPr>
      </w:pPr>
    </w:p>
    <w:p w14:paraId="58E4C679" w14:textId="77777777" w:rsidR="00AA2A1B" w:rsidRPr="00B32321" w:rsidRDefault="00AA2A1B" w:rsidP="00AA2A1B">
      <w:pPr>
        <w:pStyle w:val="AFGTextetableau"/>
        <w:spacing w:line="240" w:lineRule="atLeast"/>
        <w:jc w:val="both"/>
        <w:rPr>
          <w:rFonts w:cs="Arial"/>
          <w:lang w:val="en-GB"/>
        </w:rPr>
      </w:pPr>
      <w:r w:rsidRPr="00B32321">
        <w:rPr>
          <w:rFonts w:cs="Arial"/>
          <w:lang w:val="en-GB"/>
        </w:rPr>
        <w:t xml:space="preserve">Around-the-clock trading also requires portfolio managers and trading desks to extend monitoring and risk management systems, which introduces significant cost and human resource challenges. </w:t>
      </w:r>
    </w:p>
    <w:p w14:paraId="5B9EFBDA" w14:textId="77777777" w:rsidR="00AA2A1B" w:rsidRPr="00B32321" w:rsidRDefault="00AA2A1B" w:rsidP="00AA2A1B">
      <w:pPr>
        <w:pStyle w:val="AFGTextetableau"/>
        <w:spacing w:line="240" w:lineRule="atLeast"/>
        <w:jc w:val="both"/>
        <w:rPr>
          <w:rFonts w:cs="Arial"/>
          <w:lang w:val="en-GB"/>
        </w:rPr>
      </w:pPr>
    </w:p>
    <w:p w14:paraId="7D30C99C" w14:textId="77777777" w:rsidR="00AA2A1B" w:rsidRDefault="00AA2A1B" w:rsidP="00AA2A1B">
      <w:pPr>
        <w:pStyle w:val="AFGTextetableau"/>
        <w:spacing w:line="240" w:lineRule="atLeast"/>
        <w:jc w:val="both"/>
        <w:rPr>
          <w:rFonts w:cs="Arial"/>
          <w:lang w:val="en-GB"/>
        </w:rPr>
      </w:pPr>
      <w:r w:rsidRPr="00B32321">
        <w:rPr>
          <w:rFonts w:cs="Arial"/>
          <w:lang w:val="en-GB"/>
        </w:rPr>
        <w:lastRenderedPageBreak/>
        <w:t xml:space="preserve">In the context of simplification and </w:t>
      </w:r>
      <w:proofErr w:type="gramStart"/>
      <w:r w:rsidRPr="00B32321">
        <w:rPr>
          <w:rFonts w:cs="Arial"/>
          <w:lang w:val="en-GB"/>
        </w:rPr>
        <w:t>in light of</w:t>
      </w:r>
      <w:proofErr w:type="gramEnd"/>
      <w:r w:rsidRPr="00B32321">
        <w:rPr>
          <w:rFonts w:cs="Arial"/>
          <w:lang w:val="en-GB"/>
        </w:rPr>
        <w:t xml:space="preserve"> other major and </w:t>
      </w:r>
      <w:proofErr w:type="gramStart"/>
      <w:r w:rsidRPr="00B32321">
        <w:rPr>
          <w:rFonts w:cs="Arial"/>
          <w:lang w:val="en-GB"/>
        </w:rPr>
        <w:t>time consuming</w:t>
      </w:r>
      <w:proofErr w:type="gramEnd"/>
      <w:r w:rsidRPr="00B32321">
        <w:rPr>
          <w:rFonts w:cs="Arial"/>
          <w:lang w:val="en-GB"/>
        </w:rPr>
        <w:t xml:space="preserve"> initiatives like T+1, extending trading hours to a full 24h cycle is not a priority for improving liquidity. </w:t>
      </w:r>
    </w:p>
    <w:p w14:paraId="53B369B2" w14:textId="77777777" w:rsidR="00AA2A1B" w:rsidRDefault="00AA2A1B" w:rsidP="00AA2A1B">
      <w:pPr>
        <w:pStyle w:val="AFGTextetableau"/>
        <w:spacing w:line="240" w:lineRule="atLeast"/>
        <w:jc w:val="both"/>
        <w:rPr>
          <w:rFonts w:cs="Arial"/>
          <w:lang w:val="en-GB"/>
        </w:rPr>
      </w:pPr>
    </w:p>
    <w:p w14:paraId="24EAAD9A" w14:textId="77777777" w:rsidR="00AA2A1B" w:rsidRPr="00B32321" w:rsidRDefault="00AA2A1B" w:rsidP="00AA2A1B">
      <w:pPr>
        <w:pStyle w:val="AFGTextetableau"/>
        <w:spacing w:line="240" w:lineRule="atLeast"/>
        <w:jc w:val="both"/>
        <w:rPr>
          <w:rFonts w:cs="Arial"/>
          <w:lang w:val="en-GB"/>
        </w:rPr>
      </w:pPr>
      <w:r w:rsidRPr="00B32321">
        <w:rPr>
          <w:rFonts w:cs="Arial"/>
          <w:lang w:val="en-GB"/>
        </w:rPr>
        <w:t xml:space="preserve">A more immediate and meaningful step would be the harmonization of trading hours across EEA markets. This would allow greater flexibility in the execution of simultaneous strategies, permit real-time portfolio valuation/NAV calculation, facilitate position hedging etc. After-hour trading primarily </w:t>
      </w:r>
      <w:proofErr w:type="gramStart"/>
      <w:r w:rsidRPr="00B32321">
        <w:rPr>
          <w:rFonts w:cs="Arial"/>
          <w:lang w:val="en-GB"/>
        </w:rPr>
        <w:t>serve</w:t>
      </w:r>
      <w:proofErr w:type="gramEnd"/>
      <w:r w:rsidRPr="00B32321">
        <w:rPr>
          <w:rFonts w:cs="Arial"/>
          <w:lang w:val="en-GB"/>
        </w:rPr>
        <w:t xml:space="preserve"> retail investors and could be developed as such (e.g., via dedicated platforms), without altering the existing market framework for institutional participants.</w:t>
      </w:r>
      <w:r>
        <w:rPr>
          <w:rFonts w:cs="Arial"/>
          <w:lang w:val="en-GB"/>
        </w:rPr>
        <w:t xml:space="preserve"> </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1EA0844" w14:textId="77777777" w:rsidR="00AA2A1B" w:rsidRPr="00803FE9" w:rsidRDefault="00AA2A1B" w:rsidP="00AA2A1B">
      <w:pPr>
        <w:pStyle w:val="AFGPucetableau"/>
        <w:numPr>
          <w:ilvl w:val="0"/>
          <w:numId w:val="0"/>
        </w:numPr>
        <w:spacing w:line="240" w:lineRule="atLeast"/>
        <w:jc w:val="both"/>
        <w:rPr>
          <w:sz w:val="22"/>
          <w:szCs w:val="22"/>
          <w:lang w:val="en-GB"/>
        </w:rPr>
      </w:pPr>
      <w:permStart w:id="54361316" w:edGrp="everyone"/>
      <w:r w:rsidRPr="00851C34">
        <w:rPr>
          <w:lang w:val="en-GB"/>
        </w:rPr>
        <w:t>We do not see any structural shift that authorities should monitor. However, we believe that any regulatory change should focus on improving post</w:t>
      </w:r>
      <w:r w:rsidRPr="00851C34">
        <w:rPr>
          <w:lang w:val="en-GB"/>
        </w:rPr>
        <w:noBreakHyphen/>
        <w:t>trade data quality, including the use of proper flags, and reducing post</w:t>
      </w:r>
      <w:r w:rsidRPr="00851C34">
        <w:rPr>
          <w:lang w:val="en-GB"/>
        </w:rPr>
        <w:noBreakHyphen/>
        <w:t>trade frictions and barriers.</w:t>
      </w:r>
      <w:r>
        <w:rPr>
          <w:lang w:val="en-GB"/>
        </w:rPr>
        <w:t xml:space="preserve"> Furthermore, as we have been advocating for several years now, we believe priority should be set on building a </w:t>
      </w:r>
      <w:r w:rsidRPr="00A27D51">
        <w:rPr>
          <w:lang w:val="en-GB"/>
        </w:rPr>
        <w:t xml:space="preserve">deep, venue-attributed </w:t>
      </w:r>
      <w:r>
        <w:rPr>
          <w:lang w:val="en-GB"/>
        </w:rPr>
        <w:t xml:space="preserve">equity and ETF </w:t>
      </w:r>
      <w:r w:rsidRPr="00A27D51">
        <w:rPr>
          <w:lang w:val="en-GB"/>
        </w:rPr>
        <w:t xml:space="preserve">CT. </w:t>
      </w:r>
      <w:r>
        <w:rPr>
          <w:lang w:val="en-GB"/>
        </w:rPr>
        <w:t xml:space="preserve">This CT will </w:t>
      </w:r>
      <w:r w:rsidRPr="00803FE9">
        <w:rPr>
          <w:lang w:val="en-GB"/>
        </w:rPr>
        <w:t xml:space="preserve">ensure strong user uptake </w:t>
      </w:r>
      <w:r>
        <w:rPr>
          <w:lang w:val="en-GB"/>
        </w:rPr>
        <w:t xml:space="preserve">if its scope is </w:t>
      </w:r>
      <w:r w:rsidRPr="00A27D51">
        <w:rPr>
          <w:lang w:val="en-GB"/>
        </w:rPr>
        <w:t>extend</w:t>
      </w:r>
      <w:r>
        <w:rPr>
          <w:lang w:val="en-GB"/>
        </w:rPr>
        <w:t>ed to</w:t>
      </w:r>
      <w:r w:rsidRPr="00A27D51">
        <w:rPr>
          <w:lang w:val="en-GB"/>
        </w:rPr>
        <w:t xml:space="preserve"> </w:t>
      </w:r>
      <w:r>
        <w:rPr>
          <w:lang w:val="en-GB"/>
        </w:rPr>
        <w:t>the</w:t>
      </w:r>
      <w:r w:rsidRPr="00A27D51">
        <w:rPr>
          <w:lang w:val="en-GB"/>
        </w:rPr>
        <w:t xml:space="preserve"> disclos</w:t>
      </w:r>
      <w:r>
        <w:rPr>
          <w:lang w:val="en-GB"/>
        </w:rPr>
        <w:t>ure</w:t>
      </w:r>
      <w:r w:rsidRPr="00A27D51">
        <w:rPr>
          <w:lang w:val="en-GB"/>
        </w:rPr>
        <w:t xml:space="preserve"> </w:t>
      </w:r>
      <w:r>
        <w:rPr>
          <w:lang w:val="en-GB"/>
        </w:rPr>
        <w:t>of the</w:t>
      </w:r>
      <w:r w:rsidRPr="00A27D51">
        <w:rPr>
          <w:lang w:val="en-GB"/>
        </w:rPr>
        <w:t xml:space="preserve"> five levels of bids and offers, with associated volumes and </w:t>
      </w:r>
      <w:r>
        <w:rPr>
          <w:lang w:val="en-GB"/>
        </w:rPr>
        <w:t xml:space="preserve">if we get </w:t>
      </w:r>
      <w:r w:rsidRPr="00A27D51">
        <w:rPr>
          <w:lang w:val="en-GB"/>
        </w:rPr>
        <w:t>venue identificatio</w:t>
      </w:r>
      <w:r>
        <w:rPr>
          <w:lang w:val="en-GB"/>
        </w:rPr>
        <w:t>n</w:t>
      </w:r>
      <w:r w:rsidRPr="00A27D51">
        <w:rPr>
          <w:lang w:val="en-GB"/>
        </w:rPr>
        <w:t xml:space="preserve">. </w:t>
      </w:r>
      <w:r>
        <w:rPr>
          <w:lang w:val="en-GB"/>
        </w:rPr>
        <w:t xml:space="preserve">Such improvement would </w:t>
      </w:r>
      <w:r w:rsidRPr="00A27D51">
        <w:rPr>
          <w:lang w:val="en-GB"/>
        </w:rPr>
        <w:t xml:space="preserve">strengthen </w:t>
      </w:r>
      <w:r>
        <w:rPr>
          <w:lang w:val="en-GB"/>
        </w:rPr>
        <w:t xml:space="preserve">the CT’s </w:t>
      </w:r>
      <w:r w:rsidRPr="00A27D51">
        <w:rPr>
          <w:lang w:val="en-GB"/>
        </w:rPr>
        <w:t>viability without drastically impacting the current business model of trading platforms regarding market data.</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5C03759D" w14:textId="77777777" w:rsidR="00AA2A1B" w:rsidRPr="00D97D07" w:rsidRDefault="00AA2A1B" w:rsidP="00AA2A1B">
      <w:pPr>
        <w:pStyle w:val="AFGTextetableau"/>
        <w:spacing w:line="240" w:lineRule="atLeast"/>
        <w:jc w:val="both"/>
        <w:rPr>
          <w:rFonts w:cs="Arial"/>
          <w:lang w:val="en-GB"/>
        </w:rPr>
      </w:pPr>
      <w:permStart w:id="1032677898" w:edGrp="everyone"/>
      <w:r>
        <w:rPr>
          <w:rFonts w:cs="Arial"/>
          <w:lang w:val="en-GB"/>
        </w:rPr>
        <w:t>FBAs are</w:t>
      </w:r>
      <w:r w:rsidRPr="00F26D1B">
        <w:rPr>
          <w:rFonts w:cs="Arial"/>
          <w:lang w:val="en-GB"/>
        </w:rPr>
        <w:t xml:space="preserve"> an interesting market structure innovation aimed at reducing latency-driven advantages and enhancing competition on price rather than speed. </w:t>
      </w:r>
      <w:r w:rsidRPr="00D97D07">
        <w:rPr>
          <w:rFonts w:cs="Arial"/>
          <w:lang w:val="en-GB"/>
        </w:rPr>
        <w:t xml:space="preserve">With liquidity dispersed across multiple venues, FBAs </w:t>
      </w:r>
      <w:r>
        <w:rPr>
          <w:rFonts w:cs="Arial"/>
          <w:lang w:val="en-GB"/>
        </w:rPr>
        <w:t xml:space="preserve">can </w:t>
      </w:r>
      <w:r w:rsidRPr="00D97D07">
        <w:rPr>
          <w:rFonts w:cs="Arial"/>
          <w:lang w:val="en-GB"/>
        </w:rPr>
        <w:t>offer an alternative mechanism to concentrate liquidity periodically. Aggregating interest at specific points in time may improve matching opportunities and execution quality</w:t>
      </w:r>
      <w:r>
        <w:rPr>
          <w:rFonts w:cs="Arial"/>
          <w:lang w:val="en-GB"/>
        </w:rPr>
        <w:t xml:space="preserve"> and </w:t>
      </w:r>
      <w:r w:rsidRPr="00D97D07">
        <w:rPr>
          <w:rFonts w:cs="Arial"/>
          <w:lang w:val="en-GB"/>
        </w:rPr>
        <w:t>can improve price discovery particularly for less liquid securities.</w:t>
      </w:r>
      <w:r>
        <w:rPr>
          <w:rFonts w:cs="Arial"/>
          <w:lang w:val="en-GB"/>
        </w:rPr>
        <w:t xml:space="preserve"> </w:t>
      </w:r>
      <w:r w:rsidRPr="00F26D1B">
        <w:rPr>
          <w:rFonts w:cs="Arial"/>
          <w:lang w:val="en-GB"/>
        </w:rPr>
        <w:t>As asset managers, our primary focus remains whether these mechanisms deliver better execution outcomes and lower trading costs for end investor</w:t>
      </w:r>
      <w:r>
        <w:rPr>
          <w:rFonts w:cs="Arial"/>
          <w:lang w:val="en-GB"/>
        </w:rPr>
        <w:t>.</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9600ECA" w14:textId="77777777" w:rsidR="00AA2A1B" w:rsidRPr="00D97D07" w:rsidRDefault="00AA2A1B" w:rsidP="00AA2A1B">
      <w:pPr>
        <w:pStyle w:val="AFGTextetableau"/>
        <w:spacing w:line="240" w:lineRule="atLeast"/>
        <w:jc w:val="both"/>
        <w:rPr>
          <w:rFonts w:cs="Arial"/>
          <w:lang w:val="en-GB"/>
        </w:rPr>
      </w:pPr>
      <w:permStart w:id="1672904074" w:edGrp="everyone"/>
      <w:r w:rsidRPr="00D97D07">
        <w:rPr>
          <w:rFonts w:cs="Arial"/>
          <w:lang w:val="en-GB"/>
        </w:rPr>
        <w:t xml:space="preserve">FBAs </w:t>
      </w:r>
      <w:r>
        <w:rPr>
          <w:rFonts w:cs="Arial"/>
          <w:lang w:val="en-GB"/>
        </w:rPr>
        <w:t xml:space="preserve">and more globally, </w:t>
      </w:r>
      <w:r w:rsidRPr="00D97D07">
        <w:rPr>
          <w:rFonts w:cs="Arial"/>
          <w:lang w:val="en-GB"/>
        </w:rPr>
        <w:t>periodic auctions</w:t>
      </w:r>
      <w:r>
        <w:rPr>
          <w:rFonts w:cs="Arial"/>
          <w:lang w:val="en-GB"/>
        </w:rPr>
        <w:t>,</w:t>
      </w:r>
      <w:r w:rsidRPr="00D97D07">
        <w:rPr>
          <w:rFonts w:cs="Arial"/>
          <w:lang w:val="en-GB"/>
        </w:rPr>
        <w:t xml:space="preserve"> are on-venue, pre-trade transparent, and price forming. At the start of an auction the indicative auction price and volume is disseminated in real time. This pre-trade transparency signals the presence of genuine liquidity</w:t>
      </w:r>
      <w:r>
        <w:rPr>
          <w:rFonts w:cs="Arial"/>
          <w:lang w:val="en-GB"/>
        </w:rPr>
        <w:t xml:space="preserve">. They </w:t>
      </w:r>
      <w:r w:rsidRPr="00D97D07">
        <w:rPr>
          <w:rFonts w:cs="Arial"/>
          <w:lang w:val="en-GB"/>
        </w:rPr>
        <w:t>allow buying and selling by multiple parties. The fact that ESMA has withdrawn the Q&amp;A disallowing off-tick pricing, should not be taken to mean that FBAs are not lit or price forming.</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26783966" w14:textId="77777777" w:rsidR="00AA2A1B" w:rsidRDefault="00AA2A1B" w:rsidP="00AA2A1B">
      <w:pPr>
        <w:spacing w:after="0" w:line="240" w:lineRule="atLeast"/>
        <w:rPr>
          <w:rFonts w:cs="Arial"/>
          <w:sz w:val="20"/>
        </w:rPr>
      </w:pPr>
      <w:permStart w:id="1032158778" w:edGrp="everyone"/>
      <w:r w:rsidRPr="00E84D83">
        <w:rPr>
          <w:rFonts w:cs="Arial"/>
          <w:sz w:val="20"/>
        </w:rPr>
        <w:t>No. As noted previously, our preliminary view is that any review of the equity market structure should be grounded in clear empirical evidence demonstrating a material impact on price formation. To date, such an impact has not been conclusively evidenced by the available data.</w:t>
      </w:r>
    </w:p>
    <w:p w14:paraId="6D3EBE6A" w14:textId="77777777" w:rsidR="00AA2A1B" w:rsidRPr="00E84D83" w:rsidRDefault="00AA2A1B" w:rsidP="00AA2A1B">
      <w:pPr>
        <w:spacing w:after="0" w:line="240" w:lineRule="atLeast"/>
        <w:rPr>
          <w:rFonts w:cs="Arial"/>
          <w:sz w:val="20"/>
        </w:rPr>
      </w:pPr>
    </w:p>
    <w:p w14:paraId="1B1BE9D6" w14:textId="77777777" w:rsidR="00AA2A1B" w:rsidRPr="00E84D83" w:rsidRDefault="00AA2A1B" w:rsidP="00AA2A1B">
      <w:pPr>
        <w:spacing w:after="0" w:line="240" w:lineRule="atLeast"/>
        <w:rPr>
          <w:rFonts w:cs="Arial"/>
          <w:sz w:val="20"/>
        </w:rPr>
      </w:pPr>
      <w:r w:rsidRPr="00E84D83">
        <w:rPr>
          <w:rFonts w:cs="Arial"/>
          <w:sz w:val="20"/>
        </w:rPr>
        <w:t>In our view, regulatory efforts would be better directed towards improving the quality and consistency of post-trade transparency through the appropriate use of trade flags, as well as addressing existing post-trade frictions and operational barriers that may hinder market efficiency.</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46C91556" w14:textId="77777777" w:rsidR="00AA2A1B" w:rsidRPr="003D62C6" w:rsidRDefault="00AA2A1B" w:rsidP="00AA2A1B">
      <w:pPr>
        <w:spacing w:after="0" w:line="240" w:lineRule="atLeast"/>
        <w:rPr>
          <w:sz w:val="20"/>
          <w:lang w:val="en-US"/>
        </w:rPr>
      </w:pPr>
      <w:permStart w:id="529949636" w:edGrp="everyone"/>
      <w:r w:rsidRPr="003D62C6">
        <w:rPr>
          <w:sz w:val="20"/>
          <w:lang w:val="en-US"/>
        </w:rPr>
        <w:t>We view the growth in the market share of SIs as part of investors becoming more sophisticated in their approach to ensuring low price impact when trading in the EU. Through trading bilaterally, SIs offer clients the opportunity to negate market impact b</w:t>
      </w:r>
      <w:r>
        <w:rPr>
          <w:sz w:val="20"/>
          <w:lang w:val="en-US"/>
        </w:rPr>
        <w:t>y</w:t>
      </w:r>
      <w:r w:rsidRPr="003D62C6">
        <w:rPr>
          <w:sz w:val="20"/>
          <w:lang w:val="en-US"/>
        </w:rPr>
        <w:t xml:space="preserve"> trading against risk capital, u</w:t>
      </w:r>
      <w:r>
        <w:rPr>
          <w:sz w:val="20"/>
          <w:lang w:val="en-US"/>
        </w:rPr>
        <w:t>sing</w:t>
      </w:r>
      <w:r w:rsidRPr="003D62C6">
        <w:rPr>
          <w:sz w:val="20"/>
          <w:lang w:val="en-US"/>
        </w:rPr>
        <w:t xml:space="preserve"> the SI’s balance sheet/inventory rather than exposing orders to the wider market.  </w:t>
      </w:r>
    </w:p>
    <w:p w14:paraId="2B444C06" w14:textId="77777777" w:rsidR="00AA2A1B" w:rsidRDefault="00AA2A1B" w:rsidP="00AA2A1B">
      <w:pPr>
        <w:spacing w:after="0" w:line="240" w:lineRule="atLeast"/>
        <w:rPr>
          <w:sz w:val="20"/>
          <w:lang w:val="en-US"/>
        </w:rPr>
      </w:pPr>
    </w:p>
    <w:p w14:paraId="76255C77" w14:textId="77777777" w:rsidR="00AA2A1B" w:rsidRDefault="00AA2A1B" w:rsidP="00AA2A1B">
      <w:pPr>
        <w:spacing w:after="0" w:line="240" w:lineRule="atLeast"/>
        <w:rPr>
          <w:sz w:val="20"/>
          <w:lang w:val="en-US"/>
        </w:rPr>
      </w:pPr>
      <w:r w:rsidRPr="003D62C6">
        <w:rPr>
          <w:sz w:val="20"/>
          <w:lang w:val="en-US"/>
        </w:rPr>
        <w:t xml:space="preserve">When looking at the overall market share in 2025 (Figure 2), ESMA shows that SI trading represented 8.8% of addressable liquidity (including non-price forming trades). This is the figure that will matter most </w:t>
      </w:r>
      <w:r w:rsidRPr="003D62C6">
        <w:rPr>
          <w:sz w:val="20"/>
          <w:lang w:val="en-US"/>
        </w:rPr>
        <w:lastRenderedPageBreak/>
        <w:t>to market participants as it represents the liquidity that can be interacted with. We do not believe that this figure represents a concerning level of SI trading in EEA shares, nor would we be concerned if this figure were to grow.</w:t>
      </w:r>
    </w:p>
    <w:p w14:paraId="12593CB7" w14:textId="77777777" w:rsidR="00AA2A1B" w:rsidRDefault="00AA2A1B" w:rsidP="00AA2A1B">
      <w:pPr>
        <w:spacing w:after="0" w:line="240" w:lineRule="atLeast"/>
        <w:rPr>
          <w:sz w:val="20"/>
          <w:lang w:val="en-US"/>
        </w:rPr>
      </w:pPr>
    </w:p>
    <w:p w14:paraId="047AF926" w14:textId="77777777" w:rsidR="00AA2A1B" w:rsidRPr="003D62C6" w:rsidRDefault="00AA2A1B" w:rsidP="00AA2A1B">
      <w:pPr>
        <w:spacing w:after="0" w:line="240" w:lineRule="atLeast"/>
        <w:rPr>
          <w:sz w:val="20"/>
          <w:lang w:val="en-US"/>
        </w:rPr>
      </w:pPr>
      <w:r>
        <w:rPr>
          <w:sz w:val="20"/>
          <w:lang w:val="en-US"/>
        </w:rPr>
        <w:t>Furthermore, any pr</w:t>
      </w:r>
      <w:proofErr w:type="spellStart"/>
      <w:r w:rsidRPr="00A27D51">
        <w:rPr>
          <w:sz w:val="20"/>
        </w:rPr>
        <w:t>oposals</w:t>
      </w:r>
      <w:proofErr w:type="spellEnd"/>
      <w:r w:rsidRPr="00A27D51">
        <w:rPr>
          <w:sz w:val="20"/>
        </w:rPr>
        <w:t xml:space="preserve"> to identify individual SIs in post-trade reports instead of using the generic “SINT” flag</w:t>
      </w:r>
      <w:r>
        <w:rPr>
          <w:sz w:val="20"/>
        </w:rPr>
        <w:t xml:space="preserve"> could be dangerous</w:t>
      </w:r>
      <w:r w:rsidRPr="00A27D51">
        <w:rPr>
          <w:sz w:val="20"/>
        </w:rPr>
        <w:t xml:space="preserve"> </w:t>
      </w:r>
      <w:r>
        <w:rPr>
          <w:sz w:val="20"/>
        </w:rPr>
        <w:t>g</w:t>
      </w:r>
      <w:r w:rsidRPr="00A27D51">
        <w:rPr>
          <w:sz w:val="20"/>
        </w:rPr>
        <w:t>iven the high concentration of SI activity among a small number of firms</w:t>
      </w:r>
      <w:r>
        <w:rPr>
          <w:sz w:val="20"/>
        </w:rPr>
        <w:t>.</w:t>
      </w:r>
      <w:r w:rsidRPr="00A27D51">
        <w:rPr>
          <w:sz w:val="20"/>
        </w:rPr>
        <w:t xml:space="preserve"> </w:t>
      </w:r>
      <w:r>
        <w:rPr>
          <w:sz w:val="20"/>
        </w:rPr>
        <w:t>D</w:t>
      </w:r>
      <w:r w:rsidRPr="00A27D51">
        <w:rPr>
          <w:sz w:val="20"/>
        </w:rPr>
        <w:t xml:space="preserve">isclosing SI identities could reveal their positions and trading strategies, increasing their risk as liquidity providers and potentially reducing the liquidity and services they can offer. </w:t>
      </w:r>
      <w:r>
        <w:rPr>
          <w:sz w:val="20"/>
        </w:rPr>
        <w:t>R</w:t>
      </w:r>
      <w:r w:rsidRPr="00A27D51">
        <w:rPr>
          <w:sz w:val="20"/>
        </w:rPr>
        <w:t>etaining the current “SINT” model</w:t>
      </w:r>
      <w:r>
        <w:rPr>
          <w:sz w:val="20"/>
        </w:rPr>
        <w:t xml:space="preserve"> </w:t>
      </w:r>
      <w:proofErr w:type="gramStart"/>
      <w:r>
        <w:rPr>
          <w:sz w:val="20"/>
        </w:rPr>
        <w:t>in order</w:t>
      </w:r>
      <w:r w:rsidRPr="00A27D51">
        <w:rPr>
          <w:sz w:val="20"/>
        </w:rPr>
        <w:t xml:space="preserve"> to</w:t>
      </w:r>
      <w:proofErr w:type="gramEnd"/>
      <w:r w:rsidRPr="00A27D51">
        <w:rPr>
          <w:sz w:val="20"/>
        </w:rPr>
        <w:t xml:space="preserve"> preserve competitive SI liquidity</w:t>
      </w:r>
      <w:r>
        <w:rPr>
          <w:sz w:val="20"/>
        </w:rPr>
        <w:t xml:space="preserve"> seems more appropriate</w:t>
      </w:r>
      <w:r w:rsidRPr="00A27D51">
        <w:rPr>
          <w:sz w:val="20"/>
        </w:rPr>
        <w:t>.</w:t>
      </w:r>
      <w:r w:rsidRPr="003D62C6">
        <w:rPr>
          <w:sz w:val="20"/>
          <w:lang w:val="en-US"/>
        </w:rPr>
        <w:t xml:space="preserve"> </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7801BB8" w14:textId="77777777" w:rsidR="00AA2A1B" w:rsidRPr="004630E8" w:rsidRDefault="00AA2A1B" w:rsidP="00AA2A1B">
      <w:pPr>
        <w:spacing w:after="0" w:line="240" w:lineRule="atLeast"/>
        <w:rPr>
          <w:rFonts w:cs="Arial"/>
          <w:sz w:val="20"/>
        </w:rPr>
      </w:pPr>
      <w:permStart w:id="818545257" w:edGrp="everyone"/>
      <w:r w:rsidRPr="004630E8">
        <w:rPr>
          <w:rFonts w:cs="Arial"/>
          <w:sz w:val="20"/>
        </w:rPr>
        <w:t xml:space="preserve">Indeed, SI offer trading for both large and small sizes. </w:t>
      </w:r>
      <w:r>
        <w:rPr>
          <w:rFonts w:cs="Arial"/>
          <w:sz w:val="20"/>
        </w:rPr>
        <w:t xml:space="preserve">On that point, </w:t>
      </w:r>
      <w:r w:rsidRPr="004630E8">
        <w:rPr>
          <w:rFonts w:cs="Arial"/>
          <w:sz w:val="20"/>
        </w:rPr>
        <w:t>ESMA appear</w:t>
      </w:r>
      <w:r>
        <w:rPr>
          <w:rFonts w:cs="Arial"/>
          <w:sz w:val="20"/>
        </w:rPr>
        <w:t>s</w:t>
      </w:r>
      <w:r w:rsidRPr="004630E8">
        <w:rPr>
          <w:rFonts w:cs="Arial"/>
          <w:sz w:val="20"/>
        </w:rPr>
        <w:t xml:space="preserve"> to </w:t>
      </w:r>
      <w:proofErr w:type="gramStart"/>
      <w:r w:rsidRPr="004630E8">
        <w:rPr>
          <w:rFonts w:cs="Arial"/>
          <w:sz w:val="20"/>
        </w:rPr>
        <w:t>make an assumption</w:t>
      </w:r>
      <w:proofErr w:type="gramEnd"/>
      <w:r w:rsidRPr="004630E8">
        <w:rPr>
          <w:rFonts w:cs="Arial"/>
          <w:sz w:val="20"/>
        </w:rPr>
        <w:t xml:space="preserve"> that trades that are </w:t>
      </w:r>
      <w:proofErr w:type="gramStart"/>
      <w:r w:rsidRPr="004630E8">
        <w:rPr>
          <w:rFonts w:cs="Arial"/>
          <w:sz w:val="20"/>
        </w:rPr>
        <w:t>small in size</w:t>
      </w:r>
      <w:proofErr w:type="gramEnd"/>
      <w:r w:rsidRPr="004630E8">
        <w:rPr>
          <w:rFonts w:cs="Arial"/>
          <w:sz w:val="20"/>
        </w:rPr>
        <w:t xml:space="preserve"> must be retail </w:t>
      </w:r>
      <w:proofErr w:type="gramStart"/>
      <w:r w:rsidRPr="004630E8">
        <w:rPr>
          <w:rFonts w:cs="Arial"/>
          <w:sz w:val="20"/>
        </w:rPr>
        <w:t>trades</w:t>
      </w:r>
      <w:r>
        <w:rPr>
          <w:rFonts w:cs="Arial"/>
          <w:sz w:val="20"/>
        </w:rPr>
        <w:t xml:space="preserve"> :</w:t>
      </w:r>
      <w:proofErr w:type="gramEnd"/>
      <w:r>
        <w:rPr>
          <w:rFonts w:cs="Arial"/>
          <w:sz w:val="20"/>
        </w:rPr>
        <w:t xml:space="preserve"> “</w:t>
      </w:r>
      <w:r w:rsidRPr="004630E8">
        <w:rPr>
          <w:rFonts w:cs="Arial"/>
          <w:i/>
          <w:iCs/>
          <w:sz w:val="20"/>
        </w:rPr>
        <w:t>From figure 28, it also emerges that around 60% of transactions across liquid and illiquid instruments have an Average Value Traded (AVT) below EUR 5,000. This indicates that a significant proportion of SI trading activity is comprised of relatively small-sized trades, which may reflect the execution of retail orders which is usually typical of on-venue trading (RMs and MTFs) as indicated in figure 2</w:t>
      </w:r>
      <w:r>
        <w:rPr>
          <w:rFonts w:cs="Arial"/>
          <w:sz w:val="20"/>
        </w:rPr>
        <w:t>”</w:t>
      </w:r>
      <w:r w:rsidRPr="004630E8">
        <w:rPr>
          <w:rFonts w:cs="Arial"/>
          <w:sz w:val="20"/>
        </w:rPr>
        <w:t xml:space="preserve">. This is not </w:t>
      </w:r>
      <w:r>
        <w:rPr>
          <w:rFonts w:cs="Arial"/>
          <w:sz w:val="20"/>
        </w:rPr>
        <w:t xml:space="preserve">generally </w:t>
      </w:r>
      <w:r w:rsidRPr="004630E8">
        <w:rPr>
          <w:rFonts w:cs="Arial"/>
          <w:sz w:val="20"/>
        </w:rPr>
        <w:t>the case as the</w:t>
      </w:r>
      <w:r>
        <w:rPr>
          <w:rFonts w:cs="Arial"/>
          <w:sz w:val="20"/>
        </w:rPr>
        <w:t>r</w:t>
      </w:r>
      <w:r w:rsidRPr="004630E8">
        <w:rPr>
          <w:rFonts w:cs="Arial"/>
          <w:sz w:val="20"/>
        </w:rPr>
        <w:t xml:space="preserve">e are </w:t>
      </w:r>
      <w:r>
        <w:rPr>
          <w:rFonts w:cs="Arial"/>
          <w:sz w:val="20"/>
        </w:rPr>
        <w:t>a lot of institutional orders that are</w:t>
      </w:r>
      <w:r w:rsidRPr="004630E8">
        <w:rPr>
          <w:rFonts w:cs="Arial"/>
          <w:sz w:val="20"/>
        </w:rPr>
        <w:t xml:space="preserve"> sliced before being executed. </w:t>
      </w:r>
      <w:r>
        <w:rPr>
          <w:rFonts w:cs="Arial"/>
          <w:sz w:val="20"/>
        </w:rPr>
        <w:t>This identification of retail vs. institutional orders could be solved by adopting a better flagging mechanism.</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0AE340AD" w14:textId="77777777" w:rsidR="00AA2A1B" w:rsidRDefault="00AA2A1B" w:rsidP="00AA2A1B">
      <w:pPr>
        <w:spacing w:after="160" w:line="259" w:lineRule="auto"/>
        <w:rPr>
          <w:sz w:val="20"/>
          <w:lang w:val="en-US"/>
        </w:rPr>
      </w:pPr>
      <w:permStart w:id="1751220061" w:edGrp="everyone"/>
      <w:r w:rsidRPr="00EB0737">
        <w:rPr>
          <w:sz w:val="20"/>
          <w:lang w:val="en-US"/>
        </w:rPr>
        <w:t xml:space="preserve">We disagree with the conclusion of paragraph 91 which states that prices improvement is not a common strategy employed by SIs. </w:t>
      </w:r>
      <w:r>
        <w:rPr>
          <w:sz w:val="20"/>
          <w:lang w:val="en-US"/>
        </w:rPr>
        <w:t>On the contrary, a</w:t>
      </w:r>
      <w:r>
        <w:rPr>
          <w:sz w:val="20"/>
        </w:rPr>
        <w:t xml:space="preserve"> significant</w:t>
      </w:r>
      <w:r w:rsidRPr="00E9094B">
        <w:rPr>
          <w:sz w:val="20"/>
        </w:rPr>
        <w:t xml:space="preserve"> share of trading executed through SIs and MTFs is priced against the reference price established on the continuous lit market. </w:t>
      </w:r>
      <w:r>
        <w:rPr>
          <w:sz w:val="20"/>
        </w:rPr>
        <w:t>P</w:t>
      </w:r>
      <w:r w:rsidRPr="00EB0737">
        <w:rPr>
          <w:sz w:val="20"/>
          <w:lang w:val="en-US"/>
        </w:rPr>
        <w:t xml:space="preserve">rice improvement is regularly applied </w:t>
      </w:r>
      <w:r>
        <w:rPr>
          <w:sz w:val="20"/>
          <w:lang w:val="en-US"/>
        </w:rPr>
        <w:t xml:space="preserve">over the lit best bid and offer </w:t>
      </w:r>
      <w:r w:rsidRPr="00EB0737">
        <w:rPr>
          <w:sz w:val="20"/>
          <w:lang w:val="en-US"/>
        </w:rPr>
        <w:t xml:space="preserve">and represents a way in which SIs can deliver best execution when executing client orders. </w:t>
      </w:r>
    </w:p>
    <w:p w14:paraId="4B34DDED" w14:textId="77777777" w:rsidR="00AA2A1B" w:rsidRPr="005F30FC" w:rsidRDefault="00AA2A1B" w:rsidP="00AA2A1B">
      <w:pPr>
        <w:spacing w:after="0" w:line="240" w:lineRule="atLeast"/>
        <w:rPr>
          <w:sz w:val="20"/>
          <w:lang w:val="en-US"/>
        </w:rPr>
      </w:pPr>
      <w:r w:rsidRPr="00EB0737">
        <w:rPr>
          <w:sz w:val="20"/>
          <w:lang w:val="en-US"/>
        </w:rPr>
        <w:t>Our</w:t>
      </w:r>
      <w:r>
        <w:rPr>
          <w:sz w:val="20"/>
          <w:lang w:val="en-US"/>
        </w:rPr>
        <w:t xml:space="preserve"> assumption </w:t>
      </w:r>
      <w:r w:rsidRPr="00EB0737">
        <w:rPr>
          <w:sz w:val="20"/>
          <w:lang w:val="en-US"/>
        </w:rPr>
        <w:t xml:space="preserve">is that the ESMA analysis </w:t>
      </w:r>
      <w:r>
        <w:rPr>
          <w:sz w:val="20"/>
          <w:lang w:val="en-US"/>
        </w:rPr>
        <w:t>has been</w:t>
      </w:r>
      <w:r w:rsidRPr="00EB0737">
        <w:rPr>
          <w:sz w:val="20"/>
          <w:lang w:val="en-US"/>
        </w:rPr>
        <w:t xml:space="preserve"> likely impacted by inconsistent flagging practices, potentially </w:t>
      </w:r>
      <w:proofErr w:type="gramStart"/>
      <w:r w:rsidRPr="005F30FC">
        <w:rPr>
          <w:sz w:val="20"/>
          <w:lang w:val="en-US"/>
        </w:rPr>
        <w:t>as a result of</w:t>
      </w:r>
      <w:proofErr w:type="gramEnd"/>
      <w:r w:rsidRPr="005F30FC">
        <w:rPr>
          <w:sz w:val="20"/>
          <w:lang w:val="en-US"/>
        </w:rPr>
        <w:t xml:space="preserve"> the “RPRI” flag having been removed from the list of post-trade flags included under RTS 1. The voluntary status of this flag may also have contributed to inconsistent approaches across reporting firms, in the absence of clear guidance on how it should have been adopted or applied. </w:t>
      </w:r>
      <w:r>
        <w:rPr>
          <w:sz w:val="20"/>
          <w:lang w:val="en-US"/>
        </w:rPr>
        <w:br/>
      </w:r>
    </w:p>
    <w:p w14:paraId="4632A5F6" w14:textId="77777777" w:rsidR="00AA2A1B" w:rsidRPr="00EB0737" w:rsidRDefault="00AA2A1B" w:rsidP="00AA2A1B">
      <w:pPr>
        <w:spacing w:after="0" w:line="240" w:lineRule="atLeast"/>
        <w:rPr>
          <w:b/>
          <w:bCs/>
          <w:color w:val="007EFF" w:themeColor="text2"/>
          <w:sz w:val="20"/>
        </w:rPr>
      </w:pPr>
      <w:r w:rsidRPr="00EB0737">
        <w:rPr>
          <w:sz w:val="20"/>
          <w:lang w:val="en-US"/>
        </w:rPr>
        <w:t>It should also be noted that the attraction of SIs does not only relate to the ability to price improve, but also the fact that size improvement can also feature when a client trades against an SI.</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0FE7FF0C" w14:textId="77777777" w:rsidR="00AA2A1B" w:rsidRDefault="00AA2A1B" w:rsidP="00AA2A1B">
      <w:pPr>
        <w:spacing w:after="0" w:line="240" w:lineRule="atLeast"/>
        <w:rPr>
          <w:sz w:val="20"/>
        </w:rPr>
      </w:pPr>
      <w:permStart w:id="999231783" w:edGrp="everyone"/>
      <w:r>
        <w:rPr>
          <w:sz w:val="20"/>
        </w:rPr>
        <w:t xml:space="preserve">Existing flags and notably those for price improvement and liquidity provision should be improved to become more reliable. A new retail flag could also be introduced. </w:t>
      </w:r>
    </w:p>
    <w:permEnd w:id="999231783"/>
    <w:p w14:paraId="658038BB" w14:textId="7416F273" w:rsidR="003A33E5" w:rsidRDefault="003A33E5" w:rsidP="003A33E5">
      <w:r>
        <w:lastRenderedPageBreak/>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16F5D02" w14:textId="77777777" w:rsidR="00AA2A1B" w:rsidRPr="007309A8" w:rsidRDefault="00AA2A1B" w:rsidP="00AA2A1B">
      <w:pPr>
        <w:spacing w:after="0" w:line="240" w:lineRule="atLeast"/>
        <w:rPr>
          <w:color w:val="auto"/>
          <w:sz w:val="20"/>
        </w:rPr>
      </w:pPr>
      <w:permStart w:id="797907736" w:edGrp="everyone"/>
      <w:r w:rsidRPr="007309A8">
        <w:rPr>
          <w:color w:val="auto"/>
          <w:sz w:val="20"/>
        </w:rPr>
        <w:t>As previously explained, we do not see the evolution of SI trading as a potential danger for price formation or liquidity access. Limiting the range of available execution methods risks concentrating activity in a smaller set of venues, potentially increasing market impact and reducing execution options for institutional investors. Preserving diversity in liquidity sources remains important to support efficient trading across different market conditions and order types.</w:t>
      </w:r>
    </w:p>
    <w:p w14:paraId="384FE4B4" w14:textId="77777777" w:rsidR="00AA2A1B" w:rsidRPr="007309A8" w:rsidRDefault="00AA2A1B" w:rsidP="00AA2A1B">
      <w:pPr>
        <w:spacing w:after="0" w:line="240" w:lineRule="atLeast"/>
        <w:rPr>
          <w:color w:val="auto"/>
          <w:sz w:val="20"/>
        </w:rPr>
      </w:pPr>
    </w:p>
    <w:p w14:paraId="6C059219" w14:textId="77777777" w:rsidR="00AA2A1B" w:rsidRPr="007309A8" w:rsidRDefault="00AA2A1B" w:rsidP="00AA2A1B">
      <w:pPr>
        <w:spacing w:after="0" w:line="240" w:lineRule="atLeast"/>
        <w:rPr>
          <w:color w:val="auto"/>
          <w:sz w:val="20"/>
        </w:rPr>
      </w:pPr>
      <w:r w:rsidRPr="007309A8">
        <w:rPr>
          <w:color w:val="auto"/>
          <w:sz w:val="20"/>
        </w:rPr>
        <w:t xml:space="preserve">The debate should not focus solely on the volume of trading taking place in different execution channels, but on whether market participants have access to reliable data and an accurate view of trading activity. In this respect, improving data quality, strengthening post-trade transparency, and delivering an effective and ambitious CT would likely provide greater benefits to investors than further adjustments to the market structure framework. Any future reforms should be assessed against their impact on investors' ability to access liquidity efficiently. </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0B71A1FD" w14:textId="77777777" w:rsidR="00AA2A1B" w:rsidRPr="001F5235" w:rsidRDefault="00AA2A1B" w:rsidP="00AA2A1B">
      <w:pPr>
        <w:spacing w:after="0" w:line="240" w:lineRule="atLeast"/>
        <w:rPr>
          <w:sz w:val="20"/>
        </w:rPr>
      </w:pPr>
      <w:permStart w:id="165951741" w:edGrp="everyone"/>
      <w:r w:rsidRPr="001F5235">
        <w:rPr>
          <w:sz w:val="20"/>
        </w:rPr>
        <w:t xml:space="preserve">No. We </w:t>
      </w:r>
      <w:r>
        <w:rPr>
          <w:sz w:val="20"/>
        </w:rPr>
        <w:t xml:space="preserve">agree with </w:t>
      </w:r>
      <w:r w:rsidRPr="0070251A">
        <w:rPr>
          <w:rFonts w:cs="Arial"/>
          <w:sz w:val="20"/>
        </w:rPr>
        <w:t>ESMA's analysis indicat</w:t>
      </w:r>
      <w:r>
        <w:rPr>
          <w:rFonts w:cs="Arial"/>
          <w:sz w:val="20"/>
        </w:rPr>
        <w:t>ing</w:t>
      </w:r>
      <w:r w:rsidRPr="0070251A">
        <w:rPr>
          <w:rFonts w:cs="Arial"/>
          <w:sz w:val="20"/>
        </w:rPr>
        <w:t xml:space="preserve"> that there has been no significant shift towards dark trading</w:t>
      </w:r>
      <w:r>
        <w:rPr>
          <w:rFonts w:cs="Arial"/>
          <w:sz w:val="20"/>
        </w:rPr>
        <w:t>. From the data shown, we also believe that there is no immediate, dangerous impact on price formation</w:t>
      </w:r>
      <w:r w:rsidRPr="0070251A">
        <w:rPr>
          <w:rFonts w:cs="Arial"/>
          <w:sz w:val="20"/>
        </w:rPr>
        <w:t xml:space="preserve">. </w:t>
      </w:r>
      <w:r>
        <w:rPr>
          <w:rFonts w:cs="Arial"/>
          <w:sz w:val="20"/>
        </w:rPr>
        <w:t>As</w:t>
      </w:r>
      <w:r w:rsidRPr="0070251A">
        <w:rPr>
          <w:rFonts w:cs="Arial"/>
          <w:sz w:val="20"/>
        </w:rPr>
        <w:t xml:space="preserve"> the market has only recently undergone a substantial review of the </w:t>
      </w:r>
      <w:proofErr w:type="spellStart"/>
      <w:r w:rsidRPr="0070251A">
        <w:rPr>
          <w:rFonts w:cs="Arial"/>
          <w:sz w:val="20"/>
        </w:rPr>
        <w:t>MiFIR</w:t>
      </w:r>
      <w:proofErr w:type="spellEnd"/>
      <w:r w:rsidRPr="0070251A">
        <w:rPr>
          <w:rFonts w:cs="Arial"/>
          <w:sz w:val="20"/>
        </w:rPr>
        <w:t xml:space="preserve"> framework, </w:t>
      </w:r>
      <w:r>
        <w:rPr>
          <w:rFonts w:cs="Arial"/>
          <w:sz w:val="20"/>
        </w:rPr>
        <w:t>with</w:t>
      </w:r>
      <w:r w:rsidRPr="0070251A">
        <w:rPr>
          <w:rFonts w:cs="Arial"/>
          <w:sz w:val="20"/>
        </w:rPr>
        <w:t xml:space="preserve"> reforms still in the early stages of application, </w:t>
      </w:r>
      <w:r>
        <w:rPr>
          <w:rFonts w:cs="Arial"/>
          <w:sz w:val="20"/>
        </w:rPr>
        <w:t xml:space="preserve">we would favour </w:t>
      </w:r>
      <w:r w:rsidRPr="0070251A">
        <w:rPr>
          <w:rFonts w:cs="Arial"/>
          <w:sz w:val="20"/>
        </w:rPr>
        <w:t>legal certainty</w:t>
      </w:r>
      <w:r>
        <w:rPr>
          <w:rFonts w:cs="Arial"/>
          <w:sz w:val="20"/>
        </w:rPr>
        <w:t>,</w:t>
      </w:r>
      <w:r w:rsidRPr="0070251A">
        <w:rPr>
          <w:rFonts w:cs="Arial"/>
          <w:sz w:val="20"/>
        </w:rPr>
        <w:t xml:space="preserve"> predictability</w:t>
      </w:r>
      <w:r>
        <w:rPr>
          <w:rFonts w:cs="Arial"/>
          <w:sz w:val="20"/>
        </w:rPr>
        <w:t xml:space="preserve"> and stability</w:t>
      </w:r>
      <w:r w:rsidRPr="0070251A">
        <w:rPr>
          <w:rFonts w:cs="Arial"/>
          <w:sz w:val="20"/>
        </w:rPr>
        <w:t xml:space="preserve">. </w:t>
      </w:r>
      <w:r>
        <w:rPr>
          <w:rFonts w:cs="Arial"/>
          <w:sz w:val="20"/>
        </w:rPr>
        <w:t xml:space="preserve">However, the flagging mechanism could be further reviewed. </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lastRenderedPageBreak/>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064B0DDA" w14:textId="77777777" w:rsidR="00AA2A1B" w:rsidRPr="00DC0F60" w:rsidRDefault="00AA2A1B" w:rsidP="00AA2A1B">
      <w:pPr>
        <w:spacing w:after="0" w:line="240" w:lineRule="atLeast"/>
        <w:rPr>
          <w:b/>
          <w:bCs/>
          <w:color w:val="007EFF" w:themeColor="text2"/>
          <w:sz w:val="20"/>
          <w:lang w:val="en-US"/>
        </w:rPr>
      </w:pPr>
      <w:permStart w:id="921442006" w:edGrp="everyone"/>
      <w:r w:rsidRPr="00DC0F60">
        <w:rPr>
          <w:sz w:val="20"/>
          <w:lang w:val="en-US"/>
        </w:rPr>
        <w:t>We support the use of transactions from multiple trading venues to calculate benchmarks.</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375909A7" w14:textId="77777777" w:rsidR="00CD4A7C" w:rsidRPr="00DC0F60" w:rsidRDefault="00CD4A7C" w:rsidP="00CD4A7C">
      <w:pPr>
        <w:spacing w:line="259" w:lineRule="auto"/>
        <w:rPr>
          <w:sz w:val="20"/>
          <w:lang w:val="en-US"/>
        </w:rPr>
      </w:pPr>
      <w:permStart w:id="1316118649" w:edGrp="everyone"/>
      <w:r w:rsidRPr="00DC0F60">
        <w:rPr>
          <w:sz w:val="20"/>
          <w:lang w:val="en-US"/>
        </w:rPr>
        <w:lastRenderedPageBreak/>
        <w:t xml:space="preserve">We are not supportive of ESMA issuing guidance on benchmark trades. Benchmark trades are valued by clients as they allow exposure to a </w:t>
      </w:r>
      <w:proofErr w:type="spellStart"/>
      <w:r w:rsidRPr="00DC0F60">
        <w:rPr>
          <w:sz w:val="20"/>
          <w:lang w:val="en-US"/>
        </w:rPr>
        <w:t>standardised</w:t>
      </w:r>
      <w:proofErr w:type="spellEnd"/>
      <w:r w:rsidRPr="00DC0F60">
        <w:rPr>
          <w:sz w:val="20"/>
          <w:lang w:val="en-US"/>
        </w:rPr>
        <w:t xml:space="preserve"> benchmark pricing mechanism, which offers price improvement while limiting price impact when compared to execution on the lit order book. Benchmark trades are subject to post-trade transparency and consequently contribute to price formation through providing an indication on the levels at which market participants see value.  </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4009F22D" w14:textId="77777777" w:rsidR="00CD4A7C" w:rsidRPr="00C30229" w:rsidRDefault="00CD4A7C" w:rsidP="00CD4A7C">
      <w:pPr>
        <w:spacing w:after="0" w:line="240" w:lineRule="atLeast"/>
        <w:rPr>
          <w:sz w:val="20"/>
          <w:lang w:val="en-US"/>
        </w:rPr>
      </w:pPr>
      <w:permStart w:id="78797142" w:edGrp="everyone"/>
      <w:r w:rsidRPr="00C30229">
        <w:rPr>
          <w:sz w:val="20"/>
          <w:lang w:val="en-US"/>
        </w:rPr>
        <w:t>Yes, we believe that that</w:t>
      </w:r>
      <w:r w:rsidRPr="00C30229">
        <w:rPr>
          <w:rFonts w:cs="Aptos"/>
          <w:sz w:val="20"/>
          <w:lang w:val="en-US"/>
        </w:rPr>
        <w:t> </w:t>
      </w:r>
      <w:r w:rsidRPr="00C30229">
        <w:rPr>
          <w:sz w:val="20"/>
          <w:lang w:val="en-US"/>
        </w:rPr>
        <w:t>intragroup SI trades should not be counted as addressable liquidity because they are “technical trades” serving internal purposes. We also believe that intragroup SI trades should be classified as non</w:t>
      </w:r>
      <w:r w:rsidRPr="00C30229">
        <w:rPr>
          <w:sz w:val="20"/>
          <w:lang w:val="en-US"/>
        </w:rPr>
        <w:noBreakHyphen/>
        <w:t>price forming.</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BFC5" w14:textId="77777777" w:rsidR="001E43B8" w:rsidRDefault="001E43B8" w:rsidP="007E7997">
      <w:pPr>
        <w:spacing w:line="240" w:lineRule="auto"/>
      </w:pPr>
      <w:r>
        <w:separator/>
      </w:r>
    </w:p>
  </w:endnote>
  <w:endnote w:type="continuationSeparator" w:id="0">
    <w:p w14:paraId="51BC3EAE" w14:textId="77777777" w:rsidR="001E43B8" w:rsidRDefault="001E43B8" w:rsidP="007E7997">
      <w:pPr>
        <w:spacing w:line="240" w:lineRule="auto"/>
      </w:pPr>
      <w:r>
        <w:continuationSeparator/>
      </w:r>
    </w:p>
  </w:endnote>
  <w:endnote w:type="continuationNotice" w:id="1">
    <w:p w14:paraId="297A79CF" w14:textId="77777777" w:rsidR="001E43B8" w:rsidRDefault="001E4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3A5F" w14:textId="77777777" w:rsidR="001E43B8" w:rsidRDefault="001E43B8" w:rsidP="007E7997">
      <w:pPr>
        <w:spacing w:line="240" w:lineRule="auto"/>
      </w:pPr>
      <w:r>
        <w:separator/>
      </w:r>
    </w:p>
  </w:footnote>
  <w:footnote w:type="continuationSeparator" w:id="0">
    <w:p w14:paraId="78E804FA" w14:textId="77777777" w:rsidR="001E43B8" w:rsidRDefault="001E43B8" w:rsidP="007E7997">
      <w:pPr>
        <w:spacing w:line="240" w:lineRule="auto"/>
      </w:pPr>
      <w:r>
        <w:continuationSeparator/>
      </w:r>
    </w:p>
  </w:footnote>
  <w:footnote w:type="continuationNotice" w:id="1">
    <w:p w14:paraId="2FE6EE72" w14:textId="77777777" w:rsidR="001E43B8" w:rsidRDefault="001E4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En-tt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D5041"/>
    <w:multiLevelType w:val="hybridMultilevel"/>
    <w:tmpl w:val="DB9215A6"/>
    <w:lvl w:ilvl="0" w:tplc="CFB02228">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4573983"/>
    <w:multiLevelType w:val="hybridMultilevel"/>
    <w:tmpl w:val="2BD4DFAE"/>
    <w:lvl w:ilvl="0" w:tplc="9F88C256">
      <w:start w:val="1"/>
      <w:numFmt w:val="bullet"/>
      <w:pStyle w:val="AFGPucetableau"/>
      <w:lvlText w:val=""/>
      <w:lvlJc w:val="left"/>
      <w:pPr>
        <w:ind w:left="720" w:hanging="360"/>
      </w:pPr>
      <w:rPr>
        <w:rFonts w:ascii="Wingdings" w:hAnsi="Wingdings" w:hint="default"/>
        <w:color w:val="34009F"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9545F"/>
    <w:multiLevelType w:val="hybridMultilevel"/>
    <w:tmpl w:val="0D329432"/>
    <w:lvl w:ilvl="0" w:tplc="5ED6BD76">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440A62"/>
    <w:multiLevelType w:val="hybridMultilevel"/>
    <w:tmpl w:val="B7500F4A"/>
    <w:lvl w:ilvl="0" w:tplc="CCBCEDA0">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5"/>
  </w:num>
  <w:num w:numId="3" w16cid:durableId="1675497260">
    <w:abstractNumId w:val="10"/>
  </w:num>
  <w:num w:numId="4" w16cid:durableId="1146706333">
    <w:abstractNumId w:val="3"/>
  </w:num>
  <w:num w:numId="5" w16cid:durableId="1502348752">
    <w:abstractNumId w:val="0"/>
  </w:num>
  <w:num w:numId="6" w16cid:durableId="1544101585">
    <w:abstractNumId w:val="6"/>
  </w:num>
  <w:num w:numId="7" w16cid:durableId="896626050">
    <w:abstractNumId w:val="14"/>
  </w:num>
  <w:num w:numId="8" w16cid:durableId="806780153">
    <w:abstractNumId w:val="2"/>
  </w:num>
  <w:num w:numId="9" w16cid:durableId="1677002603">
    <w:abstractNumId w:val="12"/>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833228604">
    <w:abstractNumId w:val="15"/>
  </w:num>
  <w:num w:numId="18" w16cid:durableId="1373074699">
    <w:abstractNumId w:val="4"/>
  </w:num>
  <w:num w:numId="19" w16cid:durableId="1816220783">
    <w:abstractNumId w:val="16"/>
  </w:num>
  <w:num w:numId="20" w16cid:durableId="194190934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3B8"/>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9C0"/>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3E54"/>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0A4"/>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331"/>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2A1B"/>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4A7C"/>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 w:type="character" w:customStyle="1" w:styleId="normaltextrun">
    <w:name w:val="normaltextrun"/>
    <w:basedOn w:val="Policepardfaut"/>
    <w:rsid w:val="00F60040"/>
  </w:style>
  <w:style w:type="paragraph" w:customStyle="1" w:styleId="AFGTextecourant">
    <w:name w:val="AFG_Texte courant"/>
    <w:basedOn w:val="Normal"/>
    <w:uiPriority w:val="5"/>
    <w:qFormat/>
    <w:rsid w:val="00AA2A1B"/>
    <w:pPr>
      <w:spacing w:before="120" w:after="0" w:line="240" w:lineRule="auto"/>
      <w:ind w:left="340"/>
      <w:jc w:val="left"/>
    </w:pPr>
    <w:rPr>
      <w:rFonts w:eastAsiaTheme="minorHAnsi"/>
      <w:color w:val="auto"/>
      <w:sz w:val="20"/>
      <w:lang w:val="fr-FR"/>
    </w:rPr>
  </w:style>
  <w:style w:type="paragraph" w:customStyle="1" w:styleId="AFGTextetableau">
    <w:name w:val="AFG_Texte tableau"/>
    <w:basedOn w:val="Normal"/>
    <w:uiPriority w:val="6"/>
    <w:qFormat/>
    <w:rsid w:val="00AA2A1B"/>
    <w:pPr>
      <w:spacing w:after="0" w:line="240" w:lineRule="auto"/>
      <w:jc w:val="left"/>
    </w:pPr>
    <w:rPr>
      <w:rFonts w:eastAsiaTheme="minorHAnsi"/>
      <w:color w:val="auto"/>
      <w:sz w:val="20"/>
      <w:lang w:val="fr-FR"/>
    </w:rPr>
  </w:style>
  <w:style w:type="paragraph" w:customStyle="1" w:styleId="AFGPucetableau">
    <w:name w:val="AFG_Puce tableau"/>
    <w:basedOn w:val="AFGTextetableau"/>
    <w:uiPriority w:val="6"/>
    <w:qFormat/>
    <w:rsid w:val="00AA2A1B"/>
    <w:pPr>
      <w:numPr>
        <w:numId w:val="20"/>
      </w:numPr>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xtedelespacerserv"/>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xtedelespacerserv"/>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2E19C0"/>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CE1F21"/>
    <w:rsid w:val="00D52831"/>
    <w:rsid w:val="00D63E3A"/>
    <w:rsid w:val="00DC3796"/>
    <w:rsid w:val="00DC4211"/>
    <w:rsid w:val="00E023D2"/>
    <w:rsid w:val="00E41C46"/>
    <w:rsid w:val="00EE3D34"/>
    <w:rsid w:val="00F1379F"/>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6008</Words>
  <Characters>33050</Characters>
  <Application>Microsoft Office Word</Application>
  <DocSecurity>8</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LE ROY Mathilde</cp:lastModifiedBy>
  <cp:revision>4</cp:revision>
  <cp:lastPrinted>2023-09-09T09:53:00Z</cp:lastPrinted>
  <dcterms:created xsi:type="dcterms:W3CDTF">2026-06-23T21:55:00Z</dcterms:created>
  <dcterms:modified xsi:type="dcterms:W3CDTF">2026-06-23T22:16:00Z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