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ab"/>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ab"/>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ab"/>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ab"/>
            <w:tabs>
              <w:tab w:val="center" w:pos="4536"/>
            </w:tabs>
          </w:pPr>
          <w:r>
            <w:t xml:space="preserve">Reply </w:t>
          </w:r>
          <w:r w:rsidR="00DD03DC">
            <w:t>F</w:t>
          </w:r>
          <w:r>
            <w:t>orm</w:t>
          </w:r>
          <w:r w:rsidR="00FA1BF6">
            <w:tab/>
          </w:r>
        </w:p>
        <w:p w14:paraId="031F2108" w14:textId="042F6D9B" w:rsidR="007E7997" w:rsidRPr="00C01571" w:rsidRDefault="005B1C75" w:rsidP="00D77369">
          <w:pPr>
            <w:pStyle w:val="ad"/>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ad"/>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a"/>
            <w:rPr>
              <w:lang w:val="en-GB"/>
            </w:rPr>
          </w:pPr>
          <w:r w:rsidRPr="00DB2FD6">
            <w:rPr>
              <w:lang w:val="en-GB"/>
            </w:rPr>
            <w:t>respond to the question stated;</w:t>
          </w:r>
        </w:p>
        <w:p w14:paraId="72FD40F6" w14:textId="77777777" w:rsidR="002533FC" w:rsidRPr="00DB2FD6" w:rsidRDefault="002533FC" w:rsidP="00EC6066">
          <w:pPr>
            <w:pStyle w:val="a"/>
            <w:rPr>
              <w:lang w:val="en-GB"/>
            </w:rPr>
          </w:pPr>
          <w:r w:rsidRPr="00DB2FD6">
            <w:rPr>
              <w:lang w:val="en-GB"/>
            </w:rPr>
            <w:t>indicate the specific question to which the comment relates;</w:t>
          </w:r>
        </w:p>
        <w:p w14:paraId="78B206B7" w14:textId="77777777" w:rsidR="002533FC" w:rsidRPr="00E13D25" w:rsidRDefault="002533FC" w:rsidP="00EC6066">
          <w:pPr>
            <w:pStyle w:val="a"/>
          </w:pPr>
          <w:r w:rsidRPr="00E13D25">
            <w:t>contain a clear rationale; and</w:t>
          </w:r>
        </w:p>
        <w:p w14:paraId="60B8834E" w14:textId="77777777" w:rsidR="002533FC" w:rsidRPr="00DB2FD6" w:rsidRDefault="002533FC" w:rsidP="00EC6066">
          <w:pPr>
            <w:pStyle w:val="a"/>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afe"/>
              </w:rPr>
              <w:t>www.esma.europa.eu</w:t>
            </w:r>
          </w:hyperlink>
          <w:r w:rsidRPr="005B6B12">
            <w:t xml:space="preserve"> under the heading ‘Your input - Consultations’. </w:t>
          </w:r>
        </w:p>
        <w:p w14:paraId="5E44C845" w14:textId="77777777" w:rsidR="00EC6066" w:rsidRPr="0026459D" w:rsidRDefault="00EC6066" w:rsidP="00EC6066">
          <w:pPr>
            <w:pStyle w:val="ad"/>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afe"/>
              </w:rPr>
              <w:t>www.esma.europa.eu</w:t>
            </w:r>
          </w:hyperlink>
          <w:r w:rsidRPr="005B6B12">
            <w:t xml:space="preserve"> under the heading </w:t>
          </w:r>
          <w:r w:rsidRPr="00025A7F">
            <w:rPr>
              <w:rStyle w:val="afe"/>
            </w:rPr>
            <w:t>‘</w:t>
          </w:r>
          <w:hyperlink r:id="rId17" w:history="1">
            <w:r>
              <w:rPr>
                <w:rStyle w:val="afe"/>
              </w:rPr>
              <w:t>Data protection</w:t>
            </w:r>
          </w:hyperlink>
          <w:r>
            <w:rPr>
              <w:rStyle w:val="afe"/>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1"/>
        <w:rPr>
          <w:lang w:val="fr-BE"/>
        </w:rPr>
      </w:pPr>
      <w:r>
        <w:rPr>
          <w:lang w:val="fr-BE"/>
        </w:rPr>
        <w:lastRenderedPageBreak/>
        <w:t xml:space="preserve">General information about </w:t>
      </w:r>
      <w:r w:rsidRPr="00501EF4">
        <w:t>respondent</w:t>
      </w:r>
    </w:p>
    <w:tbl>
      <w:tblPr>
        <w:tblStyle w:val="aff"/>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201B3832" w:rsidR="00E40D2C" w:rsidRPr="00557BD2" w:rsidRDefault="00BD5738">
                <w:r>
                  <w:t>ARGA Observatory</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39AFC893" w:rsidR="00E40D2C" w:rsidRDefault="00BD5738">
                <w:r>
                  <w:t>Other</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3C2AA3B5" w:rsidR="002262FA" w:rsidRDefault="00BD5738"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6DA44543" w:rsidR="00E40D2C" w:rsidRPr="00557BD2" w:rsidRDefault="00BD5738">
                <w:r>
                  <w:t>France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10FBE6F" w14:textId="77777777" w:rsidR="00996759" w:rsidRPr="00996759" w:rsidRDefault="00996759" w:rsidP="00996759">
      <w:pPr>
        <w:pStyle w:val="p1"/>
        <w:rPr>
          <w:lang w:val="fr-FR"/>
        </w:rPr>
      </w:pPr>
      <w:permStart w:id="1150511936" w:edGrp="everyone"/>
      <w:r w:rsidRPr="00996759">
        <w:rPr>
          <w:lang w:val="fr-FR"/>
        </w:rPr>
        <w:t>ARGA Observatory broadly agrees with the description of the market structure summarised in Figure 1 for the purposes of the study. The distinction between on-book and off-book trading, and between addressable and non-addressable liquidity, provides a useful analytical framework for assessing the functioning of European equity markets.</w:t>
      </w:r>
    </w:p>
    <w:p w14:paraId="3409A4DB" w14:textId="77777777" w:rsidR="00996759" w:rsidRPr="00996759" w:rsidRDefault="00996759" w:rsidP="00996759">
      <w:pPr>
        <w:pStyle w:val="p1"/>
        <w:rPr>
          <w:lang w:val="fr-FR"/>
        </w:rPr>
      </w:pPr>
    </w:p>
    <w:p w14:paraId="71063B0D" w14:textId="77777777" w:rsidR="00996759" w:rsidRPr="00996759" w:rsidRDefault="00996759" w:rsidP="00996759">
      <w:pPr>
        <w:pStyle w:val="p1"/>
        <w:rPr>
          <w:lang w:val="fr-FR"/>
        </w:rPr>
      </w:pPr>
      <w:r w:rsidRPr="00996759">
        <w:rPr>
          <w:lang w:val="fr-FR"/>
        </w:rPr>
        <w:t>However, we would caution that the concept of addressable liquidity should be used carefully. Some transactions may be formally addressable but not practically accessible to all categories of market participants on equal terms. Conversely, certain transactions classified as non-addressable may still have indirect relevance for market quality, liquidity conditions or reference prices. ESMA may therefore wish to further refine the classification by considering practical accessibility, transparency, execution conditions and the contribution of each mechanism to price formation.</w:t>
      </w:r>
    </w:p>
    <w:p w14:paraId="74845BAD" w14:textId="515462F5" w:rsidR="003A33E5" w:rsidRDefault="003A33E5" w:rsidP="003A33E5"/>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lastRenderedPageBreak/>
        <w:t>Do you have any insights on the XOFF transactions reported by investment firms who also act as an SI (SI-OTC trades)?</w:t>
      </w:r>
    </w:p>
    <w:p w14:paraId="64142E94" w14:textId="77777777" w:rsidR="003A33E5" w:rsidRDefault="003A33E5" w:rsidP="003A33E5">
      <w:r>
        <w:t>&lt;ESMA_QUESTION_MSEM_2&gt;</w:t>
      </w:r>
    </w:p>
    <w:p w14:paraId="799EB9B7" w14:textId="77777777" w:rsidR="00996759" w:rsidRPr="00996759" w:rsidRDefault="00996759" w:rsidP="00996759">
      <w:pPr>
        <w:pStyle w:val="p1"/>
        <w:rPr>
          <w:lang w:val="fr-FR"/>
        </w:rPr>
      </w:pPr>
      <w:permStart w:id="1720911874" w:edGrp="everyone"/>
      <w:r w:rsidRPr="00996759">
        <w:rPr>
          <w:lang w:val="fr-FR"/>
        </w:rPr>
        <w:t>ARGA Observatory does not have direct transaction-level evidence regarding XOFF transactions reported by investment firms that also act as systematic internalisers.</w:t>
      </w:r>
    </w:p>
    <w:p w14:paraId="59478968" w14:textId="77777777" w:rsidR="00996759" w:rsidRPr="00996759" w:rsidRDefault="00996759" w:rsidP="00996759">
      <w:pPr>
        <w:pStyle w:val="p1"/>
        <w:rPr>
          <w:lang w:val="fr-FR"/>
        </w:rPr>
      </w:pPr>
    </w:p>
    <w:p w14:paraId="286F3239" w14:textId="77777777" w:rsidR="00996759" w:rsidRPr="00996759" w:rsidRDefault="00996759" w:rsidP="00996759">
      <w:pPr>
        <w:pStyle w:val="p1"/>
        <w:rPr>
          <w:lang w:val="fr-FR"/>
        </w:rPr>
      </w:pPr>
      <w:r w:rsidRPr="00996759">
        <w:rPr>
          <w:lang w:val="fr-FR"/>
        </w:rPr>
        <w:t>From a policy perspective, however, SI-OTC trades deserve continued supervisory attention. Where the same investment firm operates as an SI and reports XOFF activity, it is important to ensure that transaction reporting accurately reflects the economic nature of the trade, the execution capacity of the firm, and whether the transaction contributes to price formation. ESMA should consider whether further guidance or reporting granularity is needed to distinguish genuine OTC activity from activity that is economically closer to SI execution.</w:t>
      </w:r>
    </w:p>
    <w:p w14:paraId="754BE1A4" w14:textId="64B87D12" w:rsidR="003A33E5" w:rsidRDefault="003A33E5" w:rsidP="003A33E5"/>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6C34BAF9" w14:textId="77777777" w:rsidR="00996759" w:rsidRPr="00996759" w:rsidRDefault="00996759" w:rsidP="00996759">
      <w:pPr>
        <w:pStyle w:val="p1"/>
        <w:rPr>
          <w:lang w:val="fr-FR"/>
        </w:rPr>
      </w:pPr>
      <w:permStart w:id="1070029581" w:edGrp="everyone"/>
      <w:r w:rsidRPr="00996759">
        <w:rPr>
          <w:lang w:val="fr-FR"/>
        </w:rPr>
        <w:t>ARGA Observatory broadly agrees with the general trends identified by ESMA. The relative decline of lit continuous order book trading, the growth of closing auctions, frequent batch auctions and SI trading, and the relatively stable but important role of addressable liquidity appear to reflect structural changes in European equity markets.</w:t>
      </w:r>
    </w:p>
    <w:p w14:paraId="3DF5C25E" w14:textId="77777777" w:rsidR="00996759" w:rsidRPr="00996759" w:rsidRDefault="00996759" w:rsidP="00996759">
      <w:pPr>
        <w:pStyle w:val="p1"/>
        <w:rPr>
          <w:lang w:val="fr-FR"/>
        </w:rPr>
      </w:pPr>
    </w:p>
    <w:p w14:paraId="47C8C198" w14:textId="01D91BA4" w:rsidR="003A33E5" w:rsidRPr="00996759" w:rsidRDefault="00996759" w:rsidP="00996759">
      <w:pPr>
        <w:pStyle w:val="p1"/>
        <w:rPr>
          <w:lang w:val="fr-FR"/>
        </w:rPr>
      </w:pPr>
      <w:r w:rsidRPr="00996759">
        <w:rPr>
          <w:lang w:val="fr-FR"/>
        </w:rPr>
        <w:t>Other relevant trends include increasing reliance on reference prices, greater fragmentation of execution channels, competition between regulated markets, MTFs and SIs, and the development of mechanisms designed to reduce market impact or latency exposure. These developments may benefit certain market participants by providing execution choice and flexibility. However, they may also increase complexity and make it harder for smaller or less sophisticated investors to assess where genuine liquidity and price formation are located.</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2D6E7D24" w14:textId="77777777" w:rsidR="00996759" w:rsidRPr="00996759" w:rsidRDefault="00996759" w:rsidP="00996759">
      <w:pPr>
        <w:pStyle w:val="p1"/>
        <w:rPr>
          <w:lang w:val="fr-FR"/>
        </w:rPr>
      </w:pPr>
      <w:permStart w:id="856752782" w:edGrp="everyone"/>
      <w:r w:rsidRPr="00996759">
        <w:rPr>
          <w:lang w:val="fr-FR"/>
        </w:rPr>
        <w:t>ARGA Observatory has concerns about the potential long-term implications of a persistent decline in lit continuous trading on central limit order books.</w:t>
      </w:r>
    </w:p>
    <w:p w14:paraId="02C397BD" w14:textId="77777777" w:rsidR="00996759" w:rsidRPr="00996759" w:rsidRDefault="00996759" w:rsidP="00996759">
      <w:pPr>
        <w:pStyle w:val="p1"/>
        <w:rPr>
          <w:lang w:val="fr-FR"/>
        </w:rPr>
      </w:pPr>
    </w:p>
    <w:p w14:paraId="24A0CFFB" w14:textId="77777777" w:rsidR="00996759" w:rsidRPr="00996759" w:rsidRDefault="00996759" w:rsidP="00996759">
      <w:pPr>
        <w:pStyle w:val="p1"/>
        <w:rPr>
          <w:lang w:val="fr-FR"/>
        </w:rPr>
      </w:pPr>
      <w:r w:rsidRPr="00996759">
        <w:rPr>
          <w:lang w:val="fr-FR"/>
        </w:rPr>
        <w:t>CLOB trading plays a central role in transparent price formation. It produces visible pre-trade information and provides reference prices for other execution mechanisms. A moderate shift toward other execution methods is not necessarily problematic where those methods improve execution quality or reduce market impact. However, if the decline in CLOB trading continues or accelerates, the market may become increasingly dependent on prices formed in a narrower transparent segment of the market.</w:t>
      </w:r>
    </w:p>
    <w:p w14:paraId="48578B01" w14:textId="77777777" w:rsidR="00996759" w:rsidRPr="00996759" w:rsidRDefault="00996759" w:rsidP="00996759">
      <w:pPr>
        <w:pStyle w:val="p1"/>
        <w:rPr>
          <w:lang w:val="fr-FR"/>
        </w:rPr>
      </w:pPr>
    </w:p>
    <w:p w14:paraId="617C8665" w14:textId="77777777" w:rsidR="00996759" w:rsidRPr="00996759" w:rsidRDefault="00996759" w:rsidP="00996759">
      <w:pPr>
        <w:pStyle w:val="p1"/>
        <w:rPr>
          <w:lang w:val="fr-FR"/>
        </w:rPr>
      </w:pPr>
      <w:r w:rsidRPr="00996759">
        <w:rPr>
          <w:lang w:val="fr-FR"/>
        </w:rPr>
        <w:t>This could weaken the robustness of reference prices, increase information asymmetries, and reduce market confidence. The concern is not simply the growth of alternative mechanisms, but whether they rely on prices generated elsewhere without making an equivalent contribution to price formation</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028F012A" w14:textId="77777777" w:rsidR="00996759" w:rsidRPr="00996759" w:rsidRDefault="00996759" w:rsidP="00996759">
      <w:pPr>
        <w:pStyle w:val="p1"/>
        <w:rPr>
          <w:lang w:val="fr-FR"/>
        </w:rPr>
      </w:pPr>
      <w:permStart w:id="617826185" w:edGrp="everyone"/>
      <w:r w:rsidRPr="00996759">
        <w:rPr>
          <w:lang w:val="fr-FR"/>
        </w:rPr>
        <w:t>The most relevant drivers when choosing an execution venue or method are likely to include execution price, depth of liquidity, market impact, likelihood of execution, speed, transaction costs, transparency, counterparty risk, order size, anonymity, and regulatory or best execution obligations.</w:t>
      </w:r>
    </w:p>
    <w:p w14:paraId="432C5F08" w14:textId="77777777" w:rsidR="00996759" w:rsidRPr="00996759" w:rsidRDefault="00996759" w:rsidP="00996759">
      <w:pPr>
        <w:pStyle w:val="p1"/>
        <w:rPr>
          <w:lang w:val="fr-FR"/>
        </w:rPr>
      </w:pPr>
    </w:p>
    <w:p w14:paraId="18468749" w14:textId="77777777" w:rsidR="00996759" w:rsidRPr="00996759" w:rsidRDefault="00996759" w:rsidP="00996759">
      <w:pPr>
        <w:pStyle w:val="p1"/>
        <w:rPr>
          <w:lang w:val="fr-FR"/>
        </w:rPr>
      </w:pPr>
      <w:r w:rsidRPr="00996759">
        <w:rPr>
          <w:lang w:val="fr-FR"/>
        </w:rPr>
        <w:t>For larger orders, market participants may prefer mechanisms that reduce information leakage and market impact, including auctions, dark mechanisms or bilateral arrangements. For smaller and more standardised orders, transparent lit venues may remain more appropriate. The key regulatory objective should be to preserve execution choice while ensuring that this choice does not undermine transparent price formation, fair access or investor protection.</w:t>
      </w:r>
    </w:p>
    <w:p w14:paraId="001B0622" w14:textId="33FAEC92" w:rsidR="003A33E5" w:rsidRDefault="003A33E5" w:rsidP="003A33E5"/>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10F5F36F" w14:textId="77777777" w:rsidR="00996759" w:rsidRPr="00996759" w:rsidRDefault="00996759" w:rsidP="00996759">
      <w:pPr>
        <w:pStyle w:val="p1"/>
        <w:rPr>
          <w:lang w:val="fr-FR"/>
        </w:rPr>
      </w:pPr>
      <w:permStart w:id="1898151376" w:edGrp="everyone"/>
      <w:r w:rsidRPr="00996759">
        <w:rPr>
          <w:lang w:val="fr-FR"/>
        </w:rPr>
        <w:t>ARGA Observatory does not have direct operational experience accessing liquidity as a trading participant.</w:t>
      </w:r>
    </w:p>
    <w:p w14:paraId="4688954F" w14:textId="77777777" w:rsidR="00996759" w:rsidRPr="00996759" w:rsidRDefault="00996759" w:rsidP="00996759">
      <w:pPr>
        <w:pStyle w:val="p1"/>
        <w:rPr>
          <w:lang w:val="fr-FR"/>
        </w:rPr>
      </w:pPr>
    </w:p>
    <w:p w14:paraId="00D4C315" w14:textId="77777777" w:rsidR="00996759" w:rsidRPr="00996759" w:rsidRDefault="00996759" w:rsidP="00996759">
      <w:pPr>
        <w:pStyle w:val="p1"/>
        <w:rPr>
          <w:lang w:val="fr-FR"/>
        </w:rPr>
      </w:pPr>
      <w:r w:rsidRPr="00996759">
        <w:rPr>
          <w:lang w:val="fr-FR"/>
        </w:rPr>
        <w:t>From a policy perspective, access to liquidity should be assessed not only formally but also practically. Smaller firms, retail intermediaries and less sophisticated market participants may face barriers including connectivity costs, data costs, technology requirements, broker dependencies, fragmented liquidity, and limited visibility over execution quality across venues and SIs. ESMA should therefore continue to monitor whether access to relevant liquidity pools is available on fair, transparent and non-discriminatory terms.</w:t>
      </w:r>
    </w:p>
    <w:p w14:paraId="539AAB43" w14:textId="79B6F123" w:rsidR="003A33E5" w:rsidRDefault="003A33E5" w:rsidP="003A33E5"/>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7121F3C6" w14:textId="77777777" w:rsidR="00996759" w:rsidRPr="00996759" w:rsidRDefault="00996759" w:rsidP="00996759">
      <w:pPr>
        <w:pStyle w:val="p1"/>
        <w:rPr>
          <w:lang w:val="fr-FR"/>
        </w:rPr>
      </w:pPr>
      <w:permStart w:id="1102657477" w:edGrp="everyone"/>
      <w:r w:rsidRPr="00996759">
        <w:rPr>
          <w:lang w:val="fr-FR"/>
        </w:rPr>
        <w:t>ARGA Observatory is not an issuer and therefore does not respond from direct issuer experience.</w:t>
      </w:r>
    </w:p>
    <w:p w14:paraId="3E91F3F5" w14:textId="77777777" w:rsidR="00996759" w:rsidRPr="00996759" w:rsidRDefault="00996759" w:rsidP="00996759">
      <w:pPr>
        <w:pStyle w:val="p1"/>
        <w:rPr>
          <w:lang w:val="fr-FR"/>
        </w:rPr>
      </w:pPr>
    </w:p>
    <w:p w14:paraId="0048CF9B" w14:textId="77777777" w:rsidR="00996759" w:rsidRPr="00996759" w:rsidRDefault="00996759" w:rsidP="00996759">
      <w:pPr>
        <w:pStyle w:val="p1"/>
        <w:rPr>
          <w:lang w:val="fr-FR"/>
        </w:rPr>
      </w:pPr>
      <w:r w:rsidRPr="00996759">
        <w:rPr>
          <w:lang w:val="fr-FR"/>
        </w:rPr>
        <w:t>From a broader market-policy perspective, an attractive listing environment requires deep liquidity, transparent price formation, investor confidence, efficient execution and reliable reference prices. If liquidity becomes excessively fragmented or price formation becomes concentrated in fewer transparent mechanisms, this may reduce the attractiveness of European markets for issuers. Conversely, a diverse trading ecosystem can be positive where it supports liquidity and execution quality without undermining transparency.</w:t>
      </w:r>
    </w:p>
    <w:p w14:paraId="7A75D0EE" w14:textId="4F51A275" w:rsidR="005439CE" w:rsidRDefault="005439CE" w:rsidP="005439CE"/>
    <w:permEnd w:id="1102657477"/>
    <w:p w14:paraId="53325A2B" w14:textId="64BE52FC" w:rsidR="1DD76949" w:rsidRDefault="1DD76949" w:rsidP="1839B6A6">
      <w:r>
        <w:lastRenderedPageBreak/>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38B3B09B" w14:textId="77777777" w:rsidR="00996759" w:rsidRPr="00996759" w:rsidRDefault="00996759" w:rsidP="00996759">
      <w:pPr>
        <w:pStyle w:val="p1"/>
        <w:rPr>
          <w:lang w:val="fr-FR"/>
        </w:rPr>
      </w:pPr>
      <w:permStart w:id="1746406015" w:edGrp="everyone"/>
      <w:r w:rsidRPr="00996759">
        <w:rPr>
          <w:lang w:val="fr-FR"/>
        </w:rPr>
        <w:t>The distribution of liquidity across EEA ISINs suggests that market structure is not uniform across Member States. Some jurisdictions appear to rely heavily on lit continuous trading on domestic regulated markets, while others show higher shares of OTC, dark or other forms of trading. This may reflect differences in market size, issuer profile, liquidity, investor base, trading practices and the presence of large block or technical transactions.</w:t>
      </w:r>
    </w:p>
    <w:p w14:paraId="608AF2EA" w14:textId="77777777" w:rsidR="00996759" w:rsidRPr="00996759" w:rsidRDefault="00996759" w:rsidP="00996759">
      <w:pPr>
        <w:pStyle w:val="p1"/>
        <w:rPr>
          <w:lang w:val="fr-FR"/>
        </w:rPr>
      </w:pPr>
    </w:p>
    <w:p w14:paraId="4D95D539" w14:textId="77777777" w:rsidR="00996759" w:rsidRPr="00996759" w:rsidRDefault="00996759" w:rsidP="00996759">
      <w:pPr>
        <w:pStyle w:val="p1"/>
        <w:rPr>
          <w:lang w:val="fr-FR"/>
        </w:rPr>
      </w:pPr>
      <w:r w:rsidRPr="00996759">
        <w:rPr>
          <w:lang w:val="fr-FR"/>
        </w:rPr>
        <w:t>Policy recommendations should focus on ensuring consistent transparency, comparable reporting, and a level playing field across venue types rather than imposing a single market model. ESMA should further investigate jurisdictions with unusually high OTC shares to determine whether these reflect legitimate large or technical transactions, reporting practices, limited venue liquidity, or structural barriers to transparent trading.</w:t>
      </w:r>
    </w:p>
    <w:p w14:paraId="1A77713C" w14:textId="2DE68E2C" w:rsidR="003A33E5" w:rsidRDefault="003A33E5" w:rsidP="003A33E5"/>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0D778732" w14:textId="77777777" w:rsidR="00996759" w:rsidRPr="00166C7D" w:rsidRDefault="00996759" w:rsidP="00996759">
      <w:pPr>
        <w:pStyle w:val="p1"/>
        <w:rPr>
          <w:lang w:val="fr-FR"/>
        </w:rPr>
      </w:pPr>
      <w:permStart w:id="648821160" w:edGrp="everyone"/>
      <w:r w:rsidRPr="00166C7D">
        <w:rPr>
          <w:lang w:val="fr-FR"/>
        </w:rPr>
        <w:t>ARGA Observatory notes that dark trading appears to remain a relatively limited share of overall EU trading activity, but its evolution should continue to be monitored closely.</w:t>
      </w:r>
    </w:p>
    <w:p w14:paraId="3D8A4BED" w14:textId="77777777" w:rsidR="00996759" w:rsidRPr="00166C7D" w:rsidRDefault="00996759" w:rsidP="00996759">
      <w:pPr>
        <w:pStyle w:val="p1"/>
        <w:rPr>
          <w:lang w:val="fr-FR"/>
        </w:rPr>
      </w:pPr>
    </w:p>
    <w:p w14:paraId="7D8F96DD" w14:textId="77777777" w:rsidR="00996759" w:rsidRPr="00166C7D" w:rsidRDefault="00996759" w:rsidP="00996759">
      <w:pPr>
        <w:pStyle w:val="p1"/>
        <w:rPr>
          <w:lang w:val="fr-FR"/>
        </w:rPr>
      </w:pPr>
      <w:r w:rsidRPr="00166C7D">
        <w:rPr>
          <w:lang w:val="fr-FR"/>
        </w:rPr>
        <w:t>Particular attention should be paid to possible migration from reference price waiver trading to mechanisms such as frequent batch auctions following the application of the single volume cap. ESMA should also monitor concentration of dark trading on specific venues, the use of reference prices, average trade size, ISIN coverage, and whether dark trading mechanisms are being used in ways that reduce transparency or weaken price formation.</w:t>
      </w:r>
    </w:p>
    <w:p w14:paraId="6CAB21E8" w14:textId="5F85E6FE" w:rsidR="003A33E5" w:rsidRDefault="003A33E5" w:rsidP="003A33E5"/>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2CF2528D" w14:textId="77777777" w:rsidR="00996759" w:rsidRPr="00166C7D" w:rsidRDefault="00996759" w:rsidP="00996759">
      <w:pPr>
        <w:pStyle w:val="p1"/>
        <w:rPr>
          <w:lang w:val="fr-FR"/>
        </w:rPr>
      </w:pPr>
      <w:permStart w:id="733371525" w:edGrp="everyone"/>
      <w:r w:rsidRPr="00166C7D">
        <w:rPr>
          <w:lang w:val="fr-FR"/>
        </w:rPr>
        <w:t>At this stage, ARGA Observatory would not recommend a broad restriction of dark trading without further evidence. Dark trading can serve legitimate purposes, especially for larger orders where pre-trade transparency may increase market impact.</w:t>
      </w:r>
    </w:p>
    <w:p w14:paraId="6755A3B7" w14:textId="77777777" w:rsidR="00996759" w:rsidRPr="00166C7D" w:rsidRDefault="00996759" w:rsidP="00996759">
      <w:pPr>
        <w:pStyle w:val="p1"/>
        <w:rPr>
          <w:lang w:val="fr-FR"/>
        </w:rPr>
      </w:pPr>
    </w:p>
    <w:p w14:paraId="5B76A208" w14:textId="77777777" w:rsidR="00996759" w:rsidRPr="00166C7D" w:rsidRDefault="00996759" w:rsidP="00996759">
      <w:pPr>
        <w:pStyle w:val="p1"/>
        <w:rPr>
          <w:lang w:val="fr-FR"/>
        </w:rPr>
      </w:pPr>
      <w:r w:rsidRPr="00166C7D">
        <w:rPr>
          <w:lang w:val="fr-FR"/>
        </w:rPr>
        <w:t>However, specific concerns merit regulatory attention. These include the potential use of dark functionalities to avoid transparency obligations, the interaction between dark trading and frequent batch auctions, reliance on reference prices formed elsewhere, concentration of activity on a small number of venues, and unequal access to execution mechanisms.</w:t>
      </w:r>
    </w:p>
    <w:p w14:paraId="71330517" w14:textId="77777777" w:rsidR="00996759" w:rsidRPr="00166C7D" w:rsidRDefault="00996759" w:rsidP="00996759">
      <w:pPr>
        <w:pStyle w:val="p1"/>
        <w:rPr>
          <w:lang w:val="fr-FR"/>
        </w:rPr>
      </w:pPr>
    </w:p>
    <w:p w14:paraId="4D572AAE" w14:textId="77777777" w:rsidR="00996759" w:rsidRPr="00166C7D" w:rsidRDefault="00996759" w:rsidP="00996759">
      <w:pPr>
        <w:pStyle w:val="p1"/>
        <w:rPr>
          <w:lang w:val="fr-FR"/>
        </w:rPr>
      </w:pPr>
      <w:r w:rsidRPr="00166C7D">
        <w:rPr>
          <w:lang w:val="fr-FR"/>
        </w:rPr>
        <w:lastRenderedPageBreak/>
        <w:t>ESMA should prioritise enhanced monitoring, improved reporting granularity, supervisory convergence, and clearer guidance on the classification of addressable and non-addressable liquidity. If evidence shows that specific dark trading practices materially impair price formation or create unfair access conditions, targeted intervention would be preferable to broad structural restrictions.</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1680AA9B" w14:textId="77777777" w:rsidR="00166C7D" w:rsidRPr="00166C7D" w:rsidRDefault="00166C7D" w:rsidP="00166C7D">
      <w:pPr>
        <w:pStyle w:val="p1"/>
        <w:rPr>
          <w:lang w:val="fr-FR"/>
        </w:rPr>
      </w:pPr>
      <w:permStart w:id="14425139" w:edGrp="everyone"/>
      <w:r w:rsidRPr="00166C7D">
        <w:rPr>
          <w:lang w:val="fr-FR"/>
        </w:rPr>
        <w:t>ARGA Observatory considers that the increasing importance of closing auctions reflects broader structural changes in European equity markets. We broadly agree with ESMA’s assessment that closing auctions provide an efficient mechanism for concentrating liquidity, facilitating large transactions and generating a widely accepted reference price for valuation, index tracking and portfolio management purposes.</w:t>
      </w:r>
    </w:p>
    <w:p w14:paraId="611DA957" w14:textId="77777777" w:rsidR="00166C7D" w:rsidRPr="00166C7D" w:rsidRDefault="00166C7D" w:rsidP="00166C7D">
      <w:pPr>
        <w:pStyle w:val="p1"/>
        <w:rPr>
          <w:lang w:val="fr-FR"/>
        </w:rPr>
      </w:pPr>
    </w:p>
    <w:p w14:paraId="49F64ED0" w14:textId="77777777" w:rsidR="00166C7D" w:rsidRPr="00166C7D" w:rsidRDefault="00166C7D" w:rsidP="00166C7D">
      <w:pPr>
        <w:pStyle w:val="p1"/>
        <w:rPr>
          <w:lang w:val="fr-FR"/>
        </w:rPr>
      </w:pPr>
      <w:r w:rsidRPr="00166C7D">
        <w:rPr>
          <w:lang w:val="fr-FR"/>
        </w:rPr>
        <w:t>However, the growth of closing auctions is likely driven by a combination of factors rather than solely their traditional role in benchmark pricing. Additional drivers may include increased market fragmentation, the search for reduced market impact, the growing importance of passive investment strategies, and the increasing use of execution algorithms designed to minimise tracking error relative to closing benchmarks.</w:t>
      </w:r>
    </w:p>
    <w:p w14:paraId="093A6419" w14:textId="77777777" w:rsidR="00166C7D" w:rsidRPr="00166C7D" w:rsidRDefault="00166C7D" w:rsidP="00166C7D">
      <w:pPr>
        <w:pStyle w:val="p1"/>
        <w:rPr>
          <w:lang w:val="fr-FR"/>
        </w:rPr>
      </w:pPr>
    </w:p>
    <w:p w14:paraId="201EC117" w14:textId="77777777" w:rsidR="00166C7D" w:rsidRPr="00166C7D" w:rsidRDefault="00166C7D" w:rsidP="00166C7D">
      <w:pPr>
        <w:pStyle w:val="p1"/>
        <w:rPr>
          <w:lang w:val="fr-FR"/>
        </w:rPr>
      </w:pPr>
      <w:r w:rsidRPr="00166C7D">
        <w:rPr>
          <w:lang w:val="fr-FR"/>
        </w:rPr>
        <w:t>The observed increase in closing auction activity does not appear problematic in itself. Nevertheless, if an excessive proportion of price formation were to migrate from continuous trading to auction mechanisms, regulators should assess whether this may weaken intraday price discovery and market transparency.</w:t>
      </w:r>
    </w:p>
    <w:p w14:paraId="519514EE" w14:textId="57A860EC" w:rsidR="003A33E5" w:rsidRPr="00166C7D" w:rsidRDefault="003A33E5" w:rsidP="003A33E5">
      <w:pPr>
        <w:rPr>
          <w:lang w:val="fr-FR"/>
        </w:rPr>
      </w:pP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lastRenderedPageBreak/>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13B8325A" w14:textId="77777777" w:rsidR="00166C7D" w:rsidRPr="00166C7D" w:rsidRDefault="00166C7D" w:rsidP="00166C7D">
      <w:pPr>
        <w:pStyle w:val="p1"/>
        <w:rPr>
          <w:lang w:val="fr-FR"/>
        </w:rPr>
      </w:pPr>
      <w:permStart w:id="230633778" w:edGrp="everyone"/>
      <w:r w:rsidRPr="00166C7D">
        <w:rPr>
          <w:lang w:val="fr-FR"/>
        </w:rPr>
        <w:t>Alternative closing mechanisms offered by MTFs and SIs may increase competition, provide execution choice and reduce concentration risks associated with a single closing venue. They may also improve execution opportunities for certain categories of market participants.</w:t>
      </w:r>
    </w:p>
    <w:p w14:paraId="1C705694" w14:textId="77777777" w:rsidR="00166C7D" w:rsidRPr="00166C7D" w:rsidRDefault="00166C7D" w:rsidP="00166C7D">
      <w:pPr>
        <w:pStyle w:val="p1"/>
        <w:rPr>
          <w:lang w:val="fr-FR"/>
        </w:rPr>
      </w:pPr>
    </w:p>
    <w:p w14:paraId="1CB621DE" w14:textId="77777777" w:rsidR="00166C7D" w:rsidRPr="00166C7D" w:rsidRDefault="00166C7D" w:rsidP="00166C7D">
      <w:pPr>
        <w:pStyle w:val="p1"/>
        <w:rPr>
          <w:lang w:val="fr-FR"/>
        </w:rPr>
      </w:pPr>
      <w:r w:rsidRPr="00166C7D">
        <w:rPr>
          <w:lang w:val="fr-FR"/>
        </w:rPr>
        <w:t>At the same time, the proliferation of alternative closing mechanisms may fragment liquidity and potentially dilute the central reference function traditionally performed by primary market closing auctions. The key policy question is whether such mechanisms contribute to genuine price formation or merely reference prices established elsewhere.</w:t>
      </w:r>
    </w:p>
    <w:p w14:paraId="123DFAAC" w14:textId="77777777" w:rsidR="00166C7D" w:rsidRPr="00166C7D" w:rsidRDefault="00166C7D" w:rsidP="00166C7D">
      <w:pPr>
        <w:pStyle w:val="p1"/>
        <w:rPr>
          <w:lang w:val="fr-FR"/>
        </w:rPr>
      </w:pPr>
    </w:p>
    <w:p w14:paraId="6EC654B9" w14:textId="77777777" w:rsidR="00166C7D" w:rsidRPr="00166C7D" w:rsidRDefault="00166C7D" w:rsidP="00166C7D">
      <w:pPr>
        <w:pStyle w:val="p1"/>
        <w:rPr>
          <w:lang w:val="fr-FR"/>
        </w:rPr>
      </w:pPr>
      <w:r w:rsidRPr="00166C7D">
        <w:rPr>
          <w:lang w:val="fr-FR"/>
        </w:rPr>
        <w:t>Regulators should therefore monitor their impact on transparency, execution quality and the robustness of official closing prices. Any assessment should remain evidence-based and avoid unnecessarily restricting competition between execution venues.</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248CC769" w14:textId="77777777" w:rsidR="00166C7D" w:rsidRPr="00166C7D" w:rsidRDefault="00166C7D" w:rsidP="00166C7D">
      <w:pPr>
        <w:pStyle w:val="p1"/>
        <w:rPr>
          <w:lang w:val="fr-FR"/>
        </w:rPr>
      </w:pPr>
      <w:permStart w:id="834536465" w:edGrp="everyone"/>
      <w:r w:rsidRPr="00166C7D">
        <w:rPr>
          <w:lang w:val="fr-FR"/>
        </w:rPr>
        <w:t>The expansion of extended-hours or 24-hour trading may gradually alter the role of closing auctions, but it is unlikely to eliminate their importance.</w:t>
      </w:r>
    </w:p>
    <w:p w14:paraId="47CAD957" w14:textId="77777777" w:rsidR="00166C7D" w:rsidRPr="00166C7D" w:rsidRDefault="00166C7D" w:rsidP="00166C7D">
      <w:pPr>
        <w:pStyle w:val="p1"/>
        <w:rPr>
          <w:lang w:val="fr-FR"/>
        </w:rPr>
      </w:pPr>
    </w:p>
    <w:p w14:paraId="4C00C269" w14:textId="77777777" w:rsidR="00166C7D" w:rsidRPr="00166C7D" w:rsidRDefault="00166C7D" w:rsidP="00166C7D">
      <w:pPr>
        <w:pStyle w:val="p1"/>
        <w:rPr>
          <w:lang w:val="fr-FR"/>
        </w:rPr>
      </w:pPr>
      <w:r w:rsidRPr="00166C7D">
        <w:rPr>
          <w:lang w:val="fr-FR"/>
        </w:rPr>
        <w:t>Institutional investors, benchmark administrators, index providers and fund managers will continue to require recognised end-of-day reference prices for valuation, accounting and performance measurement purposes. As a result, some form of closing price determination mechanism is likely to remain necessary even in a market with extended trading hours.</w:t>
      </w:r>
    </w:p>
    <w:p w14:paraId="542F0DE2" w14:textId="77777777" w:rsidR="00166C7D" w:rsidRPr="00166C7D" w:rsidRDefault="00166C7D" w:rsidP="00166C7D">
      <w:pPr>
        <w:pStyle w:val="p1"/>
        <w:rPr>
          <w:lang w:val="fr-FR"/>
        </w:rPr>
      </w:pPr>
    </w:p>
    <w:p w14:paraId="2C348BD7" w14:textId="77777777" w:rsidR="00166C7D" w:rsidRPr="00166C7D" w:rsidRDefault="00166C7D" w:rsidP="00166C7D">
      <w:pPr>
        <w:pStyle w:val="p1"/>
        <w:rPr>
          <w:lang w:val="fr-FR"/>
        </w:rPr>
      </w:pPr>
      <w:r w:rsidRPr="00166C7D">
        <w:rPr>
          <w:lang w:val="fr-FR"/>
        </w:rPr>
        <w:lastRenderedPageBreak/>
        <w:t>Nevertheless, extended-hours trading may reduce the concentration of liquidity immediately before the market close and may shift some trading activity toward later periods. Regulators should monitor whether this leads to changes in liquidity distribution, volatility patterns or the informational content of closing prices.</w:t>
      </w:r>
    </w:p>
    <w:p w14:paraId="4D4F73F8" w14:textId="4DFBA96C" w:rsidR="003A33E5" w:rsidRDefault="003A33E5" w:rsidP="003A33E5"/>
    <w:permEnd w:id="834536465"/>
    <w:p w14:paraId="7C20DB7D" w14:textId="1B046AFF" w:rsidR="003A33E5" w:rsidRDefault="003A33E5" w:rsidP="003A33E5">
      <w:r>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6B1BCC6" w14:textId="77777777" w:rsidR="00166C7D" w:rsidRPr="00166C7D" w:rsidRDefault="00166C7D" w:rsidP="00166C7D">
      <w:pPr>
        <w:pStyle w:val="p1"/>
        <w:rPr>
          <w:lang w:val="fr-FR"/>
        </w:rPr>
      </w:pPr>
      <w:permStart w:id="54361316" w:edGrp="everyone"/>
      <w:r w:rsidRPr="00166C7D">
        <w:rPr>
          <w:lang w:val="fr-FR"/>
        </w:rPr>
        <w:t>Several structural developments warrant continued monitoring.</w:t>
      </w:r>
    </w:p>
    <w:p w14:paraId="6BA3B166" w14:textId="77777777" w:rsidR="00166C7D" w:rsidRPr="00166C7D" w:rsidRDefault="00166C7D" w:rsidP="00166C7D">
      <w:pPr>
        <w:pStyle w:val="p1"/>
        <w:rPr>
          <w:lang w:val="fr-FR"/>
        </w:rPr>
      </w:pPr>
    </w:p>
    <w:p w14:paraId="01D97C1C" w14:textId="77777777" w:rsidR="00166C7D" w:rsidRPr="00166C7D" w:rsidRDefault="00166C7D" w:rsidP="00166C7D">
      <w:pPr>
        <w:pStyle w:val="p1"/>
        <w:rPr>
          <w:lang w:val="fr-FR"/>
        </w:rPr>
      </w:pPr>
      <w:r w:rsidRPr="00166C7D">
        <w:rPr>
          <w:lang w:val="fr-FR"/>
        </w:rPr>
        <w:t>First, the gradual decline in lit continuous order book trading should be monitored alongside the growth of auctions, SI trading and other alternative execution mechanisms.</w:t>
      </w:r>
    </w:p>
    <w:p w14:paraId="0F7B00C9" w14:textId="77777777" w:rsidR="00166C7D" w:rsidRPr="00166C7D" w:rsidRDefault="00166C7D" w:rsidP="00166C7D">
      <w:pPr>
        <w:pStyle w:val="p1"/>
        <w:rPr>
          <w:lang w:val="fr-FR"/>
        </w:rPr>
      </w:pPr>
    </w:p>
    <w:p w14:paraId="7CD9E4DA" w14:textId="77777777" w:rsidR="00166C7D" w:rsidRPr="00166C7D" w:rsidRDefault="00166C7D" w:rsidP="00166C7D">
      <w:pPr>
        <w:pStyle w:val="p1"/>
        <w:rPr>
          <w:lang w:val="fr-FR"/>
        </w:rPr>
      </w:pPr>
      <w:r w:rsidRPr="00166C7D">
        <w:rPr>
          <w:lang w:val="fr-FR"/>
        </w:rPr>
        <w:t>Second, regulators should continue to assess whether increasing reliance on reference prices creates a growing dependence on a shrinking pool of transparent price formation.</w:t>
      </w:r>
    </w:p>
    <w:p w14:paraId="4E2D7B20" w14:textId="77777777" w:rsidR="00166C7D" w:rsidRPr="00166C7D" w:rsidRDefault="00166C7D" w:rsidP="00166C7D">
      <w:pPr>
        <w:pStyle w:val="p1"/>
        <w:rPr>
          <w:lang w:val="fr-FR"/>
        </w:rPr>
      </w:pPr>
    </w:p>
    <w:p w14:paraId="41D96519" w14:textId="77777777" w:rsidR="00166C7D" w:rsidRPr="00166C7D" w:rsidRDefault="00166C7D" w:rsidP="00166C7D">
      <w:pPr>
        <w:pStyle w:val="p1"/>
        <w:rPr>
          <w:lang w:val="fr-FR"/>
        </w:rPr>
      </w:pPr>
      <w:r w:rsidRPr="00166C7D">
        <w:rPr>
          <w:lang w:val="fr-FR"/>
        </w:rPr>
        <w:t>Third, the interaction between closing auctions, frequent batch auctions, dark trading and systematic internalisers deserves particular attention, as these mechanisms increasingly compete for the same order flow.</w:t>
      </w:r>
    </w:p>
    <w:p w14:paraId="4C084E31" w14:textId="77777777" w:rsidR="00166C7D" w:rsidRPr="00166C7D" w:rsidRDefault="00166C7D" w:rsidP="00166C7D">
      <w:pPr>
        <w:pStyle w:val="p1"/>
        <w:rPr>
          <w:lang w:val="fr-FR"/>
        </w:rPr>
      </w:pPr>
    </w:p>
    <w:p w14:paraId="75AC8D08" w14:textId="77777777" w:rsidR="00166C7D" w:rsidRPr="00166C7D" w:rsidRDefault="00166C7D" w:rsidP="00166C7D">
      <w:pPr>
        <w:pStyle w:val="p1"/>
        <w:rPr>
          <w:lang w:val="fr-FR"/>
        </w:rPr>
      </w:pPr>
      <w:r w:rsidRPr="00166C7D">
        <w:rPr>
          <w:lang w:val="fr-FR"/>
        </w:rPr>
        <w:t>At present, ARGA Observatory does not see sufficient evidence to justify major structural intervention. Enhanced monitoring, data collection and transparency should remain the primary regulatory response. Intervention should only be considered where there is clear evidence of harm to price formation, market integrity or fair access.</w:t>
      </w:r>
    </w:p>
    <w:p w14:paraId="0D407B43" w14:textId="31387357" w:rsidR="003A33E5" w:rsidRPr="00166C7D" w:rsidRDefault="003A33E5" w:rsidP="003A33E5">
      <w:pPr>
        <w:rPr>
          <w:lang w:val="fr-FR"/>
        </w:rPr>
      </w:pP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3989F164" w14:textId="77777777" w:rsidR="00166C7D" w:rsidRPr="00166C7D" w:rsidRDefault="00166C7D" w:rsidP="00166C7D">
      <w:pPr>
        <w:pStyle w:val="p1"/>
        <w:rPr>
          <w:lang w:val="fr-FR"/>
        </w:rPr>
      </w:pPr>
      <w:permStart w:id="1032677898" w:edGrp="everyone"/>
      <w:r w:rsidRPr="00166C7D">
        <w:rPr>
          <w:lang w:val="fr-FR"/>
        </w:rPr>
        <w:t>The growth of frequent batch auctions (FBAs) appears to reflect market demand for alternative execution mechanisms that reduce information leakage, minimise market impact and mitigate latency-driven trading advantages.</w:t>
      </w:r>
    </w:p>
    <w:p w14:paraId="7BFE6CC1" w14:textId="77777777" w:rsidR="00166C7D" w:rsidRPr="00166C7D" w:rsidRDefault="00166C7D" w:rsidP="00166C7D">
      <w:pPr>
        <w:pStyle w:val="p1"/>
        <w:rPr>
          <w:lang w:val="fr-FR"/>
        </w:rPr>
      </w:pPr>
    </w:p>
    <w:p w14:paraId="6A9F29BD" w14:textId="77777777" w:rsidR="00166C7D" w:rsidRPr="00166C7D" w:rsidRDefault="00166C7D" w:rsidP="00166C7D">
      <w:pPr>
        <w:pStyle w:val="p1"/>
        <w:rPr>
          <w:lang w:val="fr-FR"/>
        </w:rPr>
      </w:pPr>
      <w:r w:rsidRPr="00166C7D">
        <w:rPr>
          <w:lang w:val="fr-FR"/>
        </w:rPr>
        <w:t>FBAs may offer several benefits. They can reduce the importance of speed-based competition, facilitate execution at potentially better prices, and provide an alternative to both continuous trading and dark trading. They may also be attractive for institutional investors seeking to execute larger orders while limiting signalling risks.</w:t>
      </w:r>
    </w:p>
    <w:p w14:paraId="77111AA3" w14:textId="77777777" w:rsidR="00166C7D" w:rsidRPr="00166C7D" w:rsidRDefault="00166C7D" w:rsidP="00166C7D">
      <w:pPr>
        <w:pStyle w:val="p1"/>
        <w:rPr>
          <w:lang w:val="fr-FR"/>
        </w:rPr>
      </w:pPr>
    </w:p>
    <w:p w14:paraId="6637DD64" w14:textId="77777777" w:rsidR="00166C7D" w:rsidRPr="00166C7D" w:rsidRDefault="00166C7D" w:rsidP="00166C7D">
      <w:pPr>
        <w:pStyle w:val="p1"/>
        <w:rPr>
          <w:lang w:val="fr-FR"/>
        </w:rPr>
      </w:pPr>
      <w:r w:rsidRPr="00166C7D">
        <w:rPr>
          <w:lang w:val="fr-FR"/>
        </w:rPr>
        <w:t>However, FBAs also raise important questions regarding transparency and price formation. Some FBA models rely heavily on prices generated elsewhere rather than producing independent price discovery. Their growing market share therefore warrants continued analysis.</w:t>
      </w:r>
    </w:p>
    <w:p w14:paraId="0835410A" w14:textId="77777777" w:rsidR="00166C7D" w:rsidRPr="00166C7D" w:rsidRDefault="00166C7D" w:rsidP="00166C7D">
      <w:pPr>
        <w:pStyle w:val="p1"/>
        <w:rPr>
          <w:lang w:val="fr-FR"/>
        </w:rPr>
      </w:pPr>
    </w:p>
    <w:p w14:paraId="7E0CCBD6" w14:textId="77777777" w:rsidR="00166C7D" w:rsidRPr="00166C7D" w:rsidRDefault="00166C7D" w:rsidP="00166C7D">
      <w:pPr>
        <w:pStyle w:val="p1"/>
        <w:rPr>
          <w:lang w:val="fr-FR"/>
        </w:rPr>
      </w:pPr>
      <w:r w:rsidRPr="00166C7D">
        <w:rPr>
          <w:lang w:val="fr-FR"/>
        </w:rPr>
        <w:t>The contribution of FBAs should be assessed not only by volume but also by their role in establishing prices, their transparency characteristics, and their accessibility to different market participants.</w:t>
      </w:r>
    </w:p>
    <w:p w14:paraId="1339EF68" w14:textId="03C2CDB3" w:rsidR="003A33E5" w:rsidRDefault="003A33E5" w:rsidP="003A33E5"/>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54ACCDD5" w14:textId="77777777" w:rsidR="00166C7D" w:rsidRPr="00166C7D" w:rsidRDefault="00166C7D" w:rsidP="00166C7D">
      <w:pPr>
        <w:pStyle w:val="p1"/>
        <w:rPr>
          <w:lang w:val="fr-FR"/>
        </w:rPr>
      </w:pPr>
      <w:permStart w:id="2057074625" w:edGrp="everyone"/>
      <w:r w:rsidRPr="00166C7D">
        <w:rPr>
          <w:lang w:val="fr-FR"/>
        </w:rPr>
        <w:t>The preliminary evidence presented by ESMA suggests that the implementation of the Single Volume Cap may have contributed to increased activity on certain FBA venues.</w:t>
      </w:r>
    </w:p>
    <w:p w14:paraId="04614F28" w14:textId="77777777" w:rsidR="00166C7D" w:rsidRPr="00166C7D" w:rsidRDefault="00166C7D" w:rsidP="00166C7D">
      <w:pPr>
        <w:pStyle w:val="p1"/>
        <w:rPr>
          <w:lang w:val="fr-FR"/>
        </w:rPr>
      </w:pPr>
    </w:p>
    <w:p w14:paraId="24265ECA" w14:textId="77777777" w:rsidR="00166C7D" w:rsidRPr="00166C7D" w:rsidRDefault="00166C7D" w:rsidP="00166C7D">
      <w:pPr>
        <w:pStyle w:val="p1"/>
        <w:rPr>
          <w:lang w:val="fr-FR"/>
        </w:rPr>
      </w:pPr>
      <w:r w:rsidRPr="00166C7D">
        <w:rPr>
          <w:lang w:val="fr-FR"/>
        </w:rPr>
        <w:t>This possibility deserves careful monitoring. If trading activity migrates from reference-price dark mechanisms toward FBAs without materially increasing transparency or price formation, the intended policy objectives of the SVC may be only partially achieved.</w:t>
      </w:r>
    </w:p>
    <w:p w14:paraId="6F0F3A21" w14:textId="77777777" w:rsidR="00166C7D" w:rsidRPr="00166C7D" w:rsidRDefault="00166C7D" w:rsidP="00166C7D">
      <w:pPr>
        <w:pStyle w:val="p1"/>
        <w:rPr>
          <w:lang w:val="fr-FR"/>
        </w:rPr>
      </w:pPr>
    </w:p>
    <w:p w14:paraId="36360085" w14:textId="77777777" w:rsidR="00166C7D" w:rsidRPr="00166C7D" w:rsidRDefault="00166C7D" w:rsidP="00166C7D">
      <w:pPr>
        <w:pStyle w:val="p1"/>
        <w:rPr>
          <w:lang w:val="fr-FR"/>
        </w:rPr>
      </w:pPr>
      <w:r w:rsidRPr="00166C7D">
        <w:rPr>
          <w:lang w:val="fr-FR"/>
        </w:rPr>
        <w:t>At this stage, however, the available observation period appears relatively short. Any conclusions regarding causality should therefore remain cautious until additional data become available.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2D78E7E4" w14:textId="77777777" w:rsidR="00166C7D" w:rsidRPr="00166C7D" w:rsidRDefault="00166C7D" w:rsidP="00166C7D">
      <w:pPr>
        <w:pStyle w:val="p1"/>
        <w:rPr>
          <w:lang w:val="fr-FR"/>
        </w:rPr>
      </w:pPr>
      <w:permStart w:id="174423608" w:edGrp="everyone"/>
      <w:r w:rsidRPr="00166C7D">
        <w:rPr>
          <w:lang w:val="fr-FR"/>
        </w:rPr>
        <w:t>Several emerging structural shifts deserve closer monitoring.</w:t>
      </w:r>
    </w:p>
    <w:p w14:paraId="1264D96B" w14:textId="77777777" w:rsidR="00166C7D" w:rsidRPr="00166C7D" w:rsidRDefault="00166C7D" w:rsidP="00166C7D">
      <w:pPr>
        <w:pStyle w:val="p1"/>
        <w:rPr>
          <w:lang w:val="fr-FR"/>
        </w:rPr>
      </w:pPr>
    </w:p>
    <w:p w14:paraId="41F58B34" w14:textId="77777777" w:rsidR="00166C7D" w:rsidRPr="00166C7D" w:rsidRDefault="00166C7D" w:rsidP="00166C7D">
      <w:pPr>
        <w:pStyle w:val="p1"/>
        <w:rPr>
          <w:lang w:val="fr-FR"/>
        </w:rPr>
      </w:pPr>
      <w:r w:rsidRPr="00166C7D">
        <w:rPr>
          <w:lang w:val="fr-FR"/>
        </w:rPr>
        <w:t>These include increasing reliance on reference prices, growth in periodic auction mechanisms, continued expansion of SI trading, concentration of activity among a limited number of venues, and the evolving interaction between dark trading restrictions and alternative execution mechanisms.</w:t>
      </w:r>
    </w:p>
    <w:p w14:paraId="03EA1F9D" w14:textId="77777777" w:rsidR="00166C7D" w:rsidRPr="00166C7D" w:rsidRDefault="00166C7D" w:rsidP="00166C7D">
      <w:pPr>
        <w:pStyle w:val="p1"/>
        <w:rPr>
          <w:lang w:val="fr-FR"/>
        </w:rPr>
      </w:pPr>
    </w:p>
    <w:p w14:paraId="47CB75B8" w14:textId="77777777" w:rsidR="00166C7D" w:rsidRPr="00166C7D" w:rsidRDefault="00166C7D" w:rsidP="00166C7D">
      <w:pPr>
        <w:pStyle w:val="p1"/>
        <w:rPr>
          <w:lang w:val="fr-FR"/>
        </w:rPr>
      </w:pPr>
      <w:r w:rsidRPr="00166C7D">
        <w:rPr>
          <w:lang w:val="fr-FR"/>
        </w:rPr>
        <w:t>Another important development is the growing complexity of the market structure itself. As execution becomes increasingly fragmented across multiple venue types, it may become more difficult for market participants, particularly smaller firms and retail intermediaries, to evaluate execution quality and access available liquidity.</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385E5496" w14:textId="77777777" w:rsidR="00166C7D" w:rsidRPr="00166C7D" w:rsidRDefault="00166C7D" w:rsidP="00166C7D">
      <w:pPr>
        <w:pStyle w:val="p1"/>
        <w:rPr>
          <w:lang w:val="fr-FR"/>
        </w:rPr>
      </w:pPr>
      <w:permStart w:id="1672904074" w:edGrp="everyone"/>
      <w:r w:rsidRPr="00166C7D">
        <w:rPr>
          <w:lang w:val="fr-FR"/>
        </w:rPr>
        <w:t>ARGA Observatory does not believe FBAs should automatically be classified as either price-forming or non-price-forming.</w:t>
      </w:r>
    </w:p>
    <w:p w14:paraId="15DFD9D5" w14:textId="77777777" w:rsidR="00166C7D" w:rsidRPr="00166C7D" w:rsidRDefault="00166C7D" w:rsidP="00166C7D">
      <w:pPr>
        <w:pStyle w:val="p1"/>
        <w:rPr>
          <w:lang w:val="fr-FR"/>
        </w:rPr>
      </w:pPr>
    </w:p>
    <w:p w14:paraId="47B483F7" w14:textId="77777777" w:rsidR="00166C7D" w:rsidRPr="00166C7D" w:rsidRDefault="00166C7D" w:rsidP="00166C7D">
      <w:pPr>
        <w:pStyle w:val="p1"/>
        <w:rPr>
          <w:lang w:val="fr-FR"/>
        </w:rPr>
      </w:pPr>
      <w:r w:rsidRPr="00166C7D">
        <w:rPr>
          <w:lang w:val="fr-FR"/>
        </w:rPr>
        <w:t>Their contribution should be assessed on a case-by-case basis according to their specific design and operation.</w:t>
      </w:r>
    </w:p>
    <w:p w14:paraId="73376E6C" w14:textId="77777777" w:rsidR="00166C7D" w:rsidRPr="00166C7D" w:rsidRDefault="00166C7D" w:rsidP="00166C7D">
      <w:pPr>
        <w:pStyle w:val="p1"/>
        <w:rPr>
          <w:lang w:val="fr-FR"/>
        </w:rPr>
      </w:pPr>
    </w:p>
    <w:p w14:paraId="30942151" w14:textId="77777777" w:rsidR="00166C7D" w:rsidRPr="00166C7D" w:rsidRDefault="00166C7D" w:rsidP="00166C7D">
      <w:pPr>
        <w:pStyle w:val="p1"/>
        <w:rPr>
          <w:lang w:val="fr-FR"/>
        </w:rPr>
      </w:pPr>
      <w:r w:rsidRPr="00166C7D">
        <w:rPr>
          <w:lang w:val="fr-FR"/>
        </w:rPr>
        <w:t>Where an auction attracts genuine order interaction and independently establishes prices through supply and demand, it may contribute meaningfully to price formation. Conversely, where pricing is largely derived from external reference prices and the auction serves primarily as an execution mechanism, its contribution to independent price discovery may be more limited.</w:t>
      </w:r>
    </w:p>
    <w:p w14:paraId="3DCEF279" w14:textId="77777777" w:rsidR="00166C7D" w:rsidRPr="00166C7D" w:rsidRDefault="00166C7D" w:rsidP="00166C7D">
      <w:pPr>
        <w:pStyle w:val="p1"/>
        <w:rPr>
          <w:lang w:val="fr-FR"/>
        </w:rPr>
      </w:pPr>
    </w:p>
    <w:p w14:paraId="4738E1D3" w14:textId="77777777" w:rsidR="00166C7D" w:rsidRPr="00166C7D" w:rsidRDefault="00166C7D" w:rsidP="00166C7D">
      <w:pPr>
        <w:pStyle w:val="p1"/>
        <w:rPr>
          <w:lang w:val="fr-FR"/>
        </w:rPr>
      </w:pPr>
      <w:r w:rsidRPr="00166C7D">
        <w:rPr>
          <w:lang w:val="fr-FR"/>
        </w:rPr>
        <w:t>The regulatory framework should therefore focus on objective characteristics such as transparency, order interaction, price-setting methodology and market impact rather than applying a single classification to all FBA models.</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0D5BD18E" w14:textId="77777777" w:rsidR="00166C7D" w:rsidRPr="00166C7D" w:rsidRDefault="00166C7D" w:rsidP="00166C7D">
      <w:pPr>
        <w:pStyle w:val="p1"/>
        <w:rPr>
          <w:lang w:val="fr-FR"/>
        </w:rPr>
      </w:pPr>
      <w:permStart w:id="1032158778" w:edGrp="everyone"/>
      <w:r w:rsidRPr="00166C7D">
        <w:rPr>
          <w:lang w:val="fr-FR"/>
        </w:rPr>
        <w:t>At present, ARGA Observatory believes that further evidence is required before significant regulatory intervention is considered.</w:t>
      </w:r>
    </w:p>
    <w:p w14:paraId="1682F181" w14:textId="77777777" w:rsidR="00166C7D" w:rsidRPr="00166C7D" w:rsidRDefault="00166C7D" w:rsidP="00166C7D">
      <w:pPr>
        <w:pStyle w:val="p1"/>
        <w:rPr>
          <w:lang w:val="fr-FR"/>
        </w:rPr>
      </w:pPr>
    </w:p>
    <w:p w14:paraId="3877AF31" w14:textId="77777777" w:rsidR="00166C7D" w:rsidRPr="00166C7D" w:rsidRDefault="00166C7D" w:rsidP="00166C7D">
      <w:pPr>
        <w:pStyle w:val="p1"/>
        <w:rPr>
          <w:lang w:val="fr-FR"/>
        </w:rPr>
      </w:pPr>
      <w:r w:rsidRPr="00166C7D">
        <w:rPr>
          <w:lang w:val="fr-FR"/>
        </w:rPr>
        <w:t>With respect to the tick-size regime, consistency and legal certainty are important. Market participants should clearly understand whether periodic auctions are subject to the same requirements as continuous trading and under what conditions deviations may be permitted.</w:t>
      </w:r>
    </w:p>
    <w:p w14:paraId="6288AFA8" w14:textId="77777777" w:rsidR="00166C7D" w:rsidRPr="00166C7D" w:rsidRDefault="00166C7D" w:rsidP="00166C7D">
      <w:pPr>
        <w:pStyle w:val="p1"/>
        <w:rPr>
          <w:lang w:val="fr-FR"/>
        </w:rPr>
      </w:pPr>
    </w:p>
    <w:p w14:paraId="30C7BD76" w14:textId="77777777" w:rsidR="00166C7D" w:rsidRPr="00166C7D" w:rsidRDefault="00166C7D" w:rsidP="00166C7D">
      <w:pPr>
        <w:pStyle w:val="p1"/>
        <w:rPr>
          <w:lang w:val="fr-FR"/>
        </w:rPr>
      </w:pPr>
      <w:r w:rsidRPr="00166C7D">
        <w:rPr>
          <w:lang w:val="fr-FR"/>
        </w:rPr>
        <w:t>Any future reforms should seek to preserve a level playing field between execution mechanisms while recognising that different trading models may serve different economic functions. Regulators should avoid creating incentives that unintentionally favour one execution mechanism over another without a clear market-quality justification.</w:t>
      </w:r>
    </w:p>
    <w:p w14:paraId="7C463076" w14:textId="21A3C854" w:rsidR="003A33E5" w:rsidRPr="00166C7D" w:rsidRDefault="003A33E5" w:rsidP="003A33E5">
      <w:pPr>
        <w:rPr>
          <w:lang w:val="fr-FR"/>
        </w:rPr>
      </w:pP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44C7B181" w14:textId="77777777" w:rsidR="00166C7D" w:rsidRPr="00166C7D" w:rsidRDefault="00166C7D" w:rsidP="00166C7D">
      <w:pPr>
        <w:pStyle w:val="p1"/>
        <w:rPr>
          <w:lang w:val="fr-FR"/>
        </w:rPr>
      </w:pPr>
      <w:permStart w:id="529949636" w:edGrp="everyone"/>
      <w:r w:rsidRPr="00166C7D">
        <w:rPr>
          <w:lang w:val="fr-FR"/>
        </w:rPr>
        <w:t>The growth of systematic internaliser trading appears to reflect broader trends toward execution customisation, reduced market impact, technological innovation and increased competition among execution channels.</w:t>
      </w:r>
    </w:p>
    <w:p w14:paraId="3BF17A0E" w14:textId="77777777" w:rsidR="00166C7D" w:rsidRPr="00166C7D" w:rsidRDefault="00166C7D" w:rsidP="00166C7D">
      <w:pPr>
        <w:pStyle w:val="p1"/>
        <w:rPr>
          <w:lang w:val="fr-FR"/>
        </w:rPr>
      </w:pPr>
    </w:p>
    <w:p w14:paraId="39E43CE9" w14:textId="77777777" w:rsidR="00166C7D" w:rsidRPr="00166C7D" w:rsidRDefault="00166C7D" w:rsidP="00166C7D">
      <w:pPr>
        <w:pStyle w:val="p1"/>
        <w:rPr>
          <w:lang w:val="fr-FR"/>
        </w:rPr>
      </w:pPr>
      <w:r w:rsidRPr="00166C7D">
        <w:rPr>
          <w:lang w:val="fr-FR"/>
        </w:rPr>
        <w:t>SIs may offer advantages such as price improvement, tailored execution services, reduced information leakage and efficient handling of certain order types. These characteristics may explain part of their growing market share.</w:t>
      </w:r>
    </w:p>
    <w:p w14:paraId="0401779D" w14:textId="77777777" w:rsidR="00166C7D" w:rsidRPr="00166C7D" w:rsidRDefault="00166C7D" w:rsidP="00166C7D">
      <w:pPr>
        <w:pStyle w:val="p1"/>
        <w:rPr>
          <w:lang w:val="fr-FR"/>
        </w:rPr>
      </w:pPr>
    </w:p>
    <w:p w14:paraId="475661A8" w14:textId="77777777" w:rsidR="00166C7D" w:rsidRPr="00166C7D" w:rsidRDefault="00166C7D" w:rsidP="00166C7D">
      <w:pPr>
        <w:pStyle w:val="p1"/>
        <w:rPr>
          <w:lang w:val="fr-FR"/>
        </w:rPr>
      </w:pPr>
      <w:r w:rsidRPr="00166C7D">
        <w:rPr>
          <w:lang w:val="fr-FR"/>
        </w:rPr>
        <w:t>At the same time, continued growth in SI trading raises important questions regarding transparency, accessibility and the balance between bilateral and multilateral price formation. Monitoring should therefore focus not only on market share but also on execution quality and contribution to overall market efficiency.</w:t>
      </w:r>
    </w:p>
    <w:p w14:paraId="16CC736F" w14:textId="339DA857" w:rsidR="003A33E5" w:rsidRPr="00166C7D" w:rsidRDefault="003A33E5" w:rsidP="003A33E5">
      <w:pPr>
        <w:rPr>
          <w:lang w:val="fr-FR"/>
        </w:rPr>
      </w:pPr>
    </w:p>
    <w:permEnd w:id="529949636"/>
    <w:p w14:paraId="3C751F7F" w14:textId="64F5E42A" w:rsidR="003A33E5" w:rsidRDefault="003A33E5" w:rsidP="003A33E5">
      <w:r>
        <w:lastRenderedPageBreak/>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57FFE95C" w14:textId="77777777" w:rsidR="00166C7D" w:rsidRPr="0095194C" w:rsidRDefault="00166C7D" w:rsidP="00166C7D">
      <w:pPr>
        <w:pStyle w:val="p1"/>
        <w:rPr>
          <w:lang w:val="fr-FR"/>
        </w:rPr>
      </w:pPr>
      <w:permStart w:id="818545257" w:edGrp="everyone"/>
      <w:r w:rsidRPr="0095194C">
        <w:rPr>
          <w:lang w:val="fr-FR"/>
        </w:rPr>
        <w:t>The trends described by ESMA appear broadly consistent with the evolution of SI activity observed across European markets.</w:t>
      </w:r>
    </w:p>
    <w:p w14:paraId="0FA8481D" w14:textId="77777777" w:rsidR="00166C7D" w:rsidRPr="0095194C" w:rsidRDefault="00166C7D" w:rsidP="00166C7D">
      <w:pPr>
        <w:pStyle w:val="p1"/>
        <w:rPr>
          <w:lang w:val="fr-FR"/>
        </w:rPr>
      </w:pPr>
    </w:p>
    <w:p w14:paraId="45E34445" w14:textId="77777777" w:rsidR="00166C7D" w:rsidRPr="0095194C" w:rsidRDefault="00166C7D" w:rsidP="00166C7D">
      <w:pPr>
        <w:pStyle w:val="p1"/>
        <w:rPr>
          <w:lang w:val="fr-FR"/>
        </w:rPr>
      </w:pPr>
      <w:r w:rsidRPr="0095194C">
        <w:rPr>
          <w:lang w:val="fr-FR"/>
        </w:rPr>
        <w:t>It is reasonable to expect that SIs serve both large and small transactions, although different trade sizes may correspond to different business models, client categories and execution objectives. Institutional flow, retail flow, liquidity provision and risk internalisation may each generate distinct trading patterns.</w:t>
      </w:r>
    </w:p>
    <w:p w14:paraId="3ABEECB3" w14:textId="77777777" w:rsidR="00166C7D" w:rsidRPr="0095194C" w:rsidRDefault="00166C7D" w:rsidP="00166C7D">
      <w:pPr>
        <w:pStyle w:val="p1"/>
        <w:rPr>
          <w:lang w:val="fr-FR"/>
        </w:rPr>
      </w:pPr>
    </w:p>
    <w:p w14:paraId="498B5C81" w14:textId="77777777" w:rsidR="00166C7D" w:rsidRPr="0095194C" w:rsidRDefault="00166C7D" w:rsidP="00166C7D">
      <w:pPr>
        <w:pStyle w:val="p1"/>
        <w:rPr>
          <w:lang w:val="fr-FR"/>
        </w:rPr>
      </w:pPr>
      <w:r w:rsidRPr="0095194C">
        <w:rPr>
          <w:lang w:val="fr-FR"/>
        </w:rPr>
        <w:t>Regulators should therefore avoid treating SI activity as a homogeneous category and should instead continue analysing differences between client segments, order characteristics and execution outcomes.</w:t>
      </w:r>
    </w:p>
    <w:p w14:paraId="41487637" w14:textId="05B40D14" w:rsidR="003A33E5" w:rsidRDefault="003A33E5" w:rsidP="003A33E5"/>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75BCC779" w14:textId="77777777" w:rsidR="00166C7D" w:rsidRPr="0095194C" w:rsidRDefault="00166C7D" w:rsidP="00166C7D">
      <w:pPr>
        <w:pStyle w:val="p1"/>
        <w:rPr>
          <w:lang w:val="fr-FR"/>
        </w:rPr>
      </w:pPr>
      <w:permStart w:id="1751220061" w:edGrp="everyone"/>
      <w:r w:rsidRPr="0095194C">
        <w:rPr>
          <w:lang w:val="fr-FR"/>
        </w:rPr>
        <w:t>Price improvement remains an important feature of the SI model because it may provide tangible benefits to investors compared with execution at displayed prices.</w:t>
      </w:r>
    </w:p>
    <w:p w14:paraId="663D649E" w14:textId="77777777" w:rsidR="00166C7D" w:rsidRPr="0095194C" w:rsidRDefault="00166C7D" w:rsidP="00166C7D">
      <w:pPr>
        <w:pStyle w:val="p1"/>
        <w:rPr>
          <w:lang w:val="fr-FR"/>
        </w:rPr>
      </w:pPr>
    </w:p>
    <w:p w14:paraId="5C49DE62" w14:textId="77777777" w:rsidR="00166C7D" w:rsidRPr="0095194C" w:rsidRDefault="00166C7D" w:rsidP="00166C7D">
      <w:pPr>
        <w:pStyle w:val="p1"/>
        <w:rPr>
          <w:lang w:val="fr-FR"/>
        </w:rPr>
      </w:pPr>
      <w:r w:rsidRPr="0095194C">
        <w:rPr>
          <w:lang w:val="fr-FR"/>
        </w:rPr>
        <w:t>However, the effectiveness of supervisory analysis depends on the quality and consistency of transaction reporting. Where reporting practices differ across firms or jurisdictions, there is a risk that the extent of genuine price improvement may be difficult to assess accurately.</w:t>
      </w:r>
    </w:p>
    <w:p w14:paraId="18E53F67" w14:textId="77777777" w:rsidR="00166C7D" w:rsidRPr="0095194C" w:rsidRDefault="00166C7D" w:rsidP="00166C7D">
      <w:pPr>
        <w:pStyle w:val="p1"/>
        <w:rPr>
          <w:lang w:val="fr-FR"/>
        </w:rPr>
      </w:pPr>
    </w:p>
    <w:p w14:paraId="2DBE182D" w14:textId="77777777" w:rsidR="00166C7D" w:rsidRPr="0095194C" w:rsidRDefault="00166C7D" w:rsidP="00166C7D">
      <w:pPr>
        <w:pStyle w:val="p1"/>
        <w:rPr>
          <w:lang w:val="fr-FR"/>
        </w:rPr>
      </w:pPr>
      <w:r w:rsidRPr="0095194C">
        <w:rPr>
          <w:lang w:val="fr-FR"/>
        </w:rPr>
        <w:lastRenderedPageBreak/>
        <w:t>ESMA may therefore wish to continue reviewing reporting practices and consider whether additional guidance or standardisation could improve data quality and comparability.</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4CE0118D" w14:textId="77777777" w:rsidR="00166C7D" w:rsidRPr="0095194C" w:rsidRDefault="00166C7D" w:rsidP="00166C7D">
      <w:pPr>
        <w:pStyle w:val="p1"/>
        <w:rPr>
          <w:lang w:val="fr-FR"/>
        </w:rPr>
      </w:pPr>
      <w:permStart w:id="999231783" w:edGrp="everyone"/>
      <w:r w:rsidRPr="0095194C">
        <w:rPr>
          <w:lang w:val="fr-FR"/>
        </w:rPr>
        <w:t>The most important flags are those that allow supervisors and market participants to identify the execution context of a transaction, including whether the transaction was executed by an SI, whether price improvement was provided, whether the transaction contributed to price formation, whether it was subject to a waiver, and whether it formed part of specific transaction categories such as benchmark, portfolio or contingent trades.</w:t>
      </w:r>
    </w:p>
    <w:p w14:paraId="4B0E3EC4" w14:textId="77777777" w:rsidR="00166C7D" w:rsidRPr="0095194C" w:rsidRDefault="00166C7D" w:rsidP="00166C7D">
      <w:pPr>
        <w:pStyle w:val="p1"/>
        <w:rPr>
          <w:lang w:val="fr-FR"/>
        </w:rPr>
      </w:pPr>
    </w:p>
    <w:p w14:paraId="7C8AB84C" w14:textId="77777777" w:rsidR="00166C7D" w:rsidRPr="0095194C" w:rsidRDefault="00166C7D" w:rsidP="00166C7D">
      <w:pPr>
        <w:pStyle w:val="p1"/>
        <w:rPr>
          <w:lang w:val="fr-FR"/>
        </w:rPr>
      </w:pPr>
      <w:r w:rsidRPr="0095194C">
        <w:rPr>
          <w:lang w:val="fr-FR"/>
        </w:rPr>
        <w:t>Clear and consistent flagging is essential to support market surveillance, policy analysis and informed regulatory decision-making.</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75500020" w14:textId="77777777" w:rsidR="00166C7D" w:rsidRPr="0095194C" w:rsidRDefault="00166C7D" w:rsidP="00166C7D">
      <w:pPr>
        <w:pStyle w:val="p1"/>
        <w:rPr>
          <w:lang w:val="fr-FR"/>
        </w:rPr>
      </w:pPr>
      <w:permStart w:id="797907736" w:edGrp="everyone"/>
      <w:r w:rsidRPr="0095194C">
        <w:rPr>
          <w:lang w:val="fr-FR"/>
        </w:rPr>
        <w:t>The continued growth of SI trading, together with the increasing role of auctions and alternative execution mechanisms, represents one of the most important structural developments in European equity markets.</w:t>
      </w:r>
    </w:p>
    <w:p w14:paraId="1921D113" w14:textId="77777777" w:rsidR="00166C7D" w:rsidRPr="0095194C" w:rsidRDefault="00166C7D" w:rsidP="00166C7D">
      <w:pPr>
        <w:pStyle w:val="p1"/>
        <w:rPr>
          <w:lang w:val="fr-FR"/>
        </w:rPr>
      </w:pPr>
    </w:p>
    <w:p w14:paraId="415E8CB6" w14:textId="77777777" w:rsidR="00166C7D" w:rsidRPr="0095194C" w:rsidRDefault="00166C7D" w:rsidP="00166C7D">
      <w:pPr>
        <w:pStyle w:val="p1"/>
        <w:rPr>
          <w:lang w:val="fr-FR"/>
        </w:rPr>
      </w:pPr>
      <w:r w:rsidRPr="0095194C">
        <w:rPr>
          <w:lang w:val="fr-FR"/>
        </w:rPr>
        <w:t>Future monitoring should focus on the interaction between SIs and other liquidity pools, the extent of price improvement, concentration trends, access conditions, and the relationship between SI activity and transparent price formation on lit markets.</w:t>
      </w:r>
    </w:p>
    <w:p w14:paraId="6348EE8B" w14:textId="77777777" w:rsidR="00166C7D" w:rsidRPr="0095194C" w:rsidRDefault="00166C7D" w:rsidP="00166C7D">
      <w:pPr>
        <w:pStyle w:val="p1"/>
        <w:rPr>
          <w:lang w:val="fr-FR"/>
        </w:rPr>
      </w:pPr>
    </w:p>
    <w:p w14:paraId="7FF42ED2" w14:textId="77777777" w:rsidR="00166C7D" w:rsidRPr="0095194C" w:rsidRDefault="00166C7D" w:rsidP="00166C7D">
      <w:pPr>
        <w:pStyle w:val="p1"/>
        <w:rPr>
          <w:lang w:val="fr-FR"/>
        </w:rPr>
      </w:pPr>
      <w:r w:rsidRPr="0095194C">
        <w:rPr>
          <w:lang w:val="fr-FR"/>
        </w:rPr>
        <w:lastRenderedPageBreak/>
        <w:t>The objective should not be to favour or discourage any particular execution model, but rather to ensure that competition, transparency, investor protection and efficient price formation remain appropriately balanced across the market ecosystem.</w:t>
      </w:r>
    </w:p>
    <w:p w14:paraId="5B2ED651" w14:textId="19B5F6A6" w:rsidR="003A33E5" w:rsidRDefault="003A33E5" w:rsidP="003A33E5"/>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1BC0302B" w14:textId="77777777" w:rsidR="0095194C" w:rsidRPr="0095194C" w:rsidRDefault="0095194C" w:rsidP="0095194C">
      <w:pPr>
        <w:pStyle w:val="p1"/>
        <w:rPr>
          <w:lang w:val="fr-FR"/>
        </w:rPr>
      </w:pPr>
      <w:permStart w:id="165951741" w:edGrp="everyone"/>
      <w:r w:rsidRPr="0095194C">
        <w:rPr>
          <w:lang w:val="fr-FR"/>
        </w:rPr>
        <w:t>ARGA Observatory does not see sufficient evidence at this stage to justify broad structural intervention. However, several issues warrant continued supervisory attention: the growth of SI trading, the use of benchmark trades, the interaction between SIs and trading venues, the treatment of member preferencing, and the accuracy of flags used to identify addressable and price-forming liquidity.</w:t>
      </w:r>
    </w:p>
    <w:p w14:paraId="370490D4" w14:textId="77777777" w:rsidR="0095194C" w:rsidRPr="0095194C" w:rsidRDefault="0095194C" w:rsidP="0095194C">
      <w:pPr>
        <w:pStyle w:val="p1"/>
        <w:rPr>
          <w:lang w:val="fr-FR"/>
        </w:rPr>
      </w:pPr>
    </w:p>
    <w:p w14:paraId="4534D920" w14:textId="77777777" w:rsidR="0095194C" w:rsidRPr="0095194C" w:rsidRDefault="0095194C" w:rsidP="0095194C">
      <w:pPr>
        <w:pStyle w:val="p1"/>
        <w:rPr>
          <w:lang w:val="fr-FR"/>
        </w:rPr>
      </w:pPr>
      <w:r w:rsidRPr="0095194C">
        <w:rPr>
          <w:lang w:val="fr-FR"/>
        </w:rPr>
        <w:t>Regulatory intervention should be targeted and evidence-based. ESMA should prioritise improved reporting granularity, harmonised flagging, supervisory convergence and clearer guidance before considering broader restrictions.</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49F30BAC" w14:textId="77777777" w:rsidR="0095194C" w:rsidRPr="0095194C" w:rsidRDefault="0095194C" w:rsidP="0095194C">
      <w:pPr>
        <w:pStyle w:val="p1"/>
        <w:rPr>
          <w:lang w:val="fr-FR"/>
        </w:rPr>
      </w:pPr>
      <w:permStart w:id="1012798389" w:edGrp="everyone"/>
      <w:r w:rsidRPr="0095194C">
        <w:rPr>
          <w:lang w:val="fr-FR"/>
        </w:rPr>
        <w:t>ARGA Observatory does not have direct market-participant evidence regarding an increase in benchmark trades.</w:t>
      </w:r>
    </w:p>
    <w:p w14:paraId="0C13ADA3" w14:textId="77777777" w:rsidR="0095194C" w:rsidRPr="0095194C" w:rsidRDefault="0095194C" w:rsidP="0095194C">
      <w:pPr>
        <w:pStyle w:val="p1"/>
        <w:rPr>
          <w:lang w:val="fr-FR"/>
        </w:rPr>
      </w:pPr>
    </w:p>
    <w:p w14:paraId="69F90C1F" w14:textId="77777777" w:rsidR="0095194C" w:rsidRPr="0095194C" w:rsidRDefault="0095194C" w:rsidP="0095194C">
      <w:pPr>
        <w:pStyle w:val="p1"/>
        <w:rPr>
          <w:lang w:val="fr-FR"/>
        </w:rPr>
      </w:pPr>
      <w:r w:rsidRPr="0095194C">
        <w:rPr>
          <w:lang w:val="fr-FR"/>
        </w:rPr>
        <w:t xml:space="preserve">From a policy perspective, possible drivers may include the search for reduced market impact, execution linked to index or benchmark values, portfolio rebalancing, and demand for </w:t>
      </w:r>
      <w:r w:rsidRPr="0095194C">
        <w:rPr>
          <w:lang w:val="fr-FR"/>
        </w:rPr>
        <w:lastRenderedPageBreak/>
        <w:t>execution methods that minimise tracking error. On venues, benchmark trades may reflect institutional execution needs. On SIs, they may reflect client demand for bespoke execution and bilateral risk management.</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088A8865" w14:textId="77777777" w:rsidR="0095194C" w:rsidRPr="0095194C" w:rsidRDefault="0095194C" w:rsidP="0095194C">
      <w:pPr>
        <w:pStyle w:val="p1"/>
        <w:rPr>
          <w:lang w:val="fr-FR"/>
        </w:rPr>
      </w:pPr>
      <w:permStart w:id="921442006" w:edGrp="everyone"/>
      <w:r w:rsidRPr="0095194C">
        <w:rPr>
          <w:lang w:val="fr-FR"/>
        </w:rPr>
        <w:t>Yes, the use of transactions from multiple trading venues should be allowed when calculating a benchmark, provided that the methodology is transparent, robust, representative and not susceptible to manipulation.</w:t>
      </w:r>
    </w:p>
    <w:p w14:paraId="459F2FB5" w14:textId="77777777" w:rsidR="0095194C" w:rsidRPr="0095194C" w:rsidRDefault="0095194C" w:rsidP="0095194C">
      <w:pPr>
        <w:pStyle w:val="p1"/>
        <w:rPr>
          <w:lang w:val="fr-FR"/>
        </w:rPr>
      </w:pPr>
    </w:p>
    <w:p w14:paraId="06F60242" w14:textId="77777777" w:rsidR="0095194C" w:rsidRPr="0095194C" w:rsidRDefault="0095194C" w:rsidP="0095194C">
      <w:pPr>
        <w:pStyle w:val="p1"/>
        <w:rPr>
          <w:lang w:val="fr-FR"/>
        </w:rPr>
      </w:pPr>
      <w:r w:rsidRPr="0095194C">
        <w:rPr>
          <w:lang w:val="fr-FR"/>
        </w:rPr>
        <w:t>A multi-venue benchmark may better reflect fragmented European liquidity. However, safeguards are needed to ensure that the benchmark is based on sufficiently liquid and reliable data sources.</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72669B1D" w14:textId="77777777" w:rsidR="0095194C" w:rsidRPr="0095194C" w:rsidRDefault="0095194C" w:rsidP="0095194C">
      <w:pPr>
        <w:pStyle w:val="p1"/>
        <w:rPr>
          <w:lang w:val="fr-FR"/>
        </w:rPr>
      </w:pPr>
      <w:permStart w:id="2080063835" w:edGrp="everyone"/>
      <w:r w:rsidRPr="0095194C">
        <w:rPr>
          <w:lang w:val="fr-FR"/>
        </w:rPr>
        <w:t>ARGA Observatory does not have direct operational data on the average, minimum or maximum number of transactions used to calculate benchmark trades.</w:t>
      </w:r>
    </w:p>
    <w:p w14:paraId="655999CD" w14:textId="77777777" w:rsidR="0095194C" w:rsidRPr="0095194C" w:rsidRDefault="0095194C" w:rsidP="0095194C">
      <w:pPr>
        <w:pStyle w:val="p1"/>
        <w:rPr>
          <w:lang w:val="fr-FR"/>
        </w:rPr>
      </w:pPr>
    </w:p>
    <w:p w14:paraId="396E2776" w14:textId="77777777" w:rsidR="0095194C" w:rsidRPr="0095194C" w:rsidRDefault="0095194C" w:rsidP="0095194C">
      <w:pPr>
        <w:pStyle w:val="p1"/>
        <w:rPr>
          <w:lang w:val="fr-FR"/>
        </w:rPr>
      </w:pPr>
      <w:r w:rsidRPr="0095194C">
        <w:rPr>
          <w:lang w:val="fr-FR"/>
        </w:rPr>
        <w:t>As a policy matter, ESMA should consider requiring benchmark methodologies to be based on a sufficiently representative sample of transactions. The appropriate number may differ between liquid and illiquid instruments, but the methodology should be transparent, documented and auditable.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33C7CAB7" w14:textId="77777777" w:rsidR="0095194C" w:rsidRPr="0095194C" w:rsidRDefault="0095194C" w:rsidP="0095194C">
      <w:pPr>
        <w:pStyle w:val="p1"/>
        <w:rPr>
          <w:lang w:val="fr-FR"/>
        </w:rPr>
      </w:pPr>
      <w:permStart w:id="180496860" w:edGrp="everyone"/>
      <w:r w:rsidRPr="0095194C">
        <w:rPr>
          <w:lang w:val="fr-FR"/>
        </w:rPr>
        <w:t>ARGA Observatory does not have quantitative data on the extent to which SIs rely on Article 15(3) of MiFIR.</w:t>
      </w:r>
    </w:p>
    <w:p w14:paraId="12B8B091" w14:textId="77777777" w:rsidR="0095194C" w:rsidRPr="0095194C" w:rsidRDefault="0095194C" w:rsidP="0095194C">
      <w:pPr>
        <w:pStyle w:val="p1"/>
        <w:rPr>
          <w:lang w:val="fr-FR"/>
        </w:rPr>
      </w:pPr>
    </w:p>
    <w:p w14:paraId="525A553C" w14:textId="77777777" w:rsidR="0095194C" w:rsidRPr="0095194C" w:rsidRDefault="0095194C" w:rsidP="0095194C">
      <w:pPr>
        <w:pStyle w:val="p1"/>
        <w:rPr>
          <w:lang w:val="fr-FR"/>
        </w:rPr>
      </w:pPr>
      <w:r w:rsidRPr="0095194C">
        <w:rPr>
          <w:lang w:val="fr-FR"/>
        </w:rPr>
        <w:t>However, where SIs use this provision, supervisors should ensure that the practice does not undermine transparency, fair access or effective price formation. ESMA may wish to collect more granular data on SI use of this provision before considering policy changes.</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0C5A091D" w14:textId="77777777" w:rsidR="0095194C" w:rsidRPr="0095194C" w:rsidRDefault="0095194C" w:rsidP="0095194C">
      <w:pPr>
        <w:pStyle w:val="p1"/>
        <w:rPr>
          <w:lang w:val="fr-FR"/>
        </w:rPr>
      </w:pPr>
      <w:permStart w:id="1316118649" w:edGrp="everyone"/>
      <w:r w:rsidRPr="0095194C">
        <w:rPr>
          <w:lang w:val="fr-FR"/>
        </w:rPr>
        <w:t>Yes. ARGA Observatory would support ESMA guidance on benchmark trades.</w:t>
      </w:r>
    </w:p>
    <w:p w14:paraId="751C5295" w14:textId="77777777" w:rsidR="0095194C" w:rsidRPr="0095194C" w:rsidRDefault="0095194C" w:rsidP="0095194C">
      <w:pPr>
        <w:pStyle w:val="p1"/>
        <w:rPr>
          <w:lang w:val="fr-FR"/>
        </w:rPr>
      </w:pPr>
    </w:p>
    <w:p w14:paraId="5A990F0B" w14:textId="77777777" w:rsidR="0095194C" w:rsidRPr="0095194C" w:rsidRDefault="0095194C" w:rsidP="0095194C">
      <w:pPr>
        <w:pStyle w:val="p1"/>
        <w:rPr>
          <w:lang w:val="fr-FR"/>
        </w:rPr>
      </w:pPr>
      <w:r w:rsidRPr="0095194C">
        <w:rPr>
          <w:lang w:val="fr-FR"/>
        </w:rPr>
        <w:t>Such guidance should clarify minimum methodological expectations, including the number of transactions, time period, eligible venues, treatment of outliers, treatment of illiquid instruments, auditability, and transparency of the benchmark calculation. Quantitative minimums may be useful, but they should be calibrated carefully to avoid excluding legitimate benchmark execution in less liquid instruments.</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lastRenderedPageBreak/>
        <w:t>&lt;ESMA_QUESTION_MSEM_3</w:t>
      </w:r>
      <w:r w:rsidR="7DE19745">
        <w:t>1</w:t>
      </w:r>
      <w:r>
        <w:t>&gt;</w:t>
      </w:r>
    </w:p>
    <w:p w14:paraId="7C93C866" w14:textId="77777777" w:rsidR="0095194C" w:rsidRPr="0095194C" w:rsidRDefault="0095194C" w:rsidP="0095194C">
      <w:pPr>
        <w:pStyle w:val="p1"/>
        <w:rPr>
          <w:lang w:val="fr-FR"/>
        </w:rPr>
      </w:pPr>
      <w:permStart w:id="1195064322" w:edGrp="everyone"/>
      <w:r w:rsidRPr="0095194C">
        <w:rPr>
          <w:lang w:val="fr-FR"/>
        </w:rPr>
        <w:t>Member preferencing may lead to unfair outcomes where it allows certain members to obtain execution priority without sufficient transparency or where it disadvantages other market participants with equal or better displayed interest.</w:t>
      </w:r>
    </w:p>
    <w:p w14:paraId="4C7BDDA0" w14:textId="77777777" w:rsidR="0095194C" w:rsidRPr="0095194C" w:rsidRDefault="0095194C" w:rsidP="0095194C">
      <w:pPr>
        <w:pStyle w:val="p1"/>
        <w:rPr>
          <w:lang w:val="fr-FR"/>
        </w:rPr>
      </w:pPr>
    </w:p>
    <w:p w14:paraId="46F2249B" w14:textId="77777777" w:rsidR="0095194C" w:rsidRPr="0095194C" w:rsidRDefault="0095194C" w:rsidP="0095194C">
      <w:pPr>
        <w:pStyle w:val="p1"/>
        <w:rPr>
          <w:lang w:val="fr-FR"/>
        </w:rPr>
      </w:pPr>
      <w:r w:rsidRPr="0095194C">
        <w:rPr>
          <w:lang w:val="fr-FR"/>
        </w:rPr>
        <w:t>ARGA Observatory does not have direct data on the scale of this practice. However, from a market integrity perspective, any mechanism that modifies queue priority or limits open competition should be transparent, clearly disclosed, and subject to supervisory scrutiny.</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64114EB5" w14:textId="77777777" w:rsidR="0095194C" w:rsidRPr="0095194C" w:rsidRDefault="0095194C" w:rsidP="0095194C">
      <w:pPr>
        <w:pStyle w:val="p1"/>
        <w:rPr>
          <w:lang w:val="fr-FR"/>
        </w:rPr>
      </w:pPr>
      <w:permStart w:id="1218795063" w:edGrp="everyone"/>
      <w:r w:rsidRPr="0095194C">
        <w:rPr>
          <w:lang w:val="fr-FR"/>
        </w:rPr>
        <w:t>ARGA Observatory does not have evidence that member preferencing systematically extends beyond queue priority into violations of price priority principles.</w:t>
      </w:r>
    </w:p>
    <w:p w14:paraId="070569F9" w14:textId="77777777" w:rsidR="0095194C" w:rsidRPr="0095194C" w:rsidRDefault="0095194C" w:rsidP="0095194C">
      <w:pPr>
        <w:pStyle w:val="p1"/>
        <w:rPr>
          <w:lang w:val="fr-FR"/>
        </w:rPr>
      </w:pPr>
    </w:p>
    <w:p w14:paraId="75BF1E5D" w14:textId="77777777" w:rsidR="0095194C" w:rsidRPr="0095194C" w:rsidRDefault="0095194C" w:rsidP="0095194C">
      <w:pPr>
        <w:pStyle w:val="p1"/>
        <w:rPr>
          <w:lang w:val="fr-FR"/>
        </w:rPr>
      </w:pPr>
      <w:r w:rsidRPr="0095194C">
        <w:rPr>
          <w:lang w:val="fr-FR"/>
        </w:rPr>
        <w:t>Nevertheless, the possibility should be monitored closely. If member preferencing allows execution ahead of other interests at better prices, or prevents other participants from interacting with liquidity on equal terms, this may raise serious market fairness concerns.</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5426985B" w14:textId="77777777" w:rsidR="0095194C" w:rsidRPr="0095194C" w:rsidRDefault="0095194C" w:rsidP="0095194C">
      <w:pPr>
        <w:pStyle w:val="p1"/>
        <w:rPr>
          <w:lang w:val="fr-FR"/>
        </w:rPr>
      </w:pPr>
      <w:permStart w:id="1697063566" w:edGrp="everyone"/>
      <w:r w:rsidRPr="0095194C">
        <w:rPr>
          <w:lang w:val="fr-FR"/>
        </w:rPr>
        <w:t>ARGA Observatory would favour option (b): rules restricting the practice rather than a full prohibition at this stage.</w:t>
      </w:r>
    </w:p>
    <w:p w14:paraId="67AFC1DC" w14:textId="77777777" w:rsidR="0095194C" w:rsidRPr="0095194C" w:rsidRDefault="0095194C" w:rsidP="0095194C">
      <w:pPr>
        <w:pStyle w:val="p1"/>
        <w:rPr>
          <w:lang w:val="fr-FR"/>
        </w:rPr>
      </w:pPr>
    </w:p>
    <w:p w14:paraId="5CACF6DA" w14:textId="77777777" w:rsidR="0095194C" w:rsidRPr="0095194C" w:rsidRDefault="0095194C" w:rsidP="0095194C">
      <w:pPr>
        <w:pStyle w:val="p1"/>
        <w:rPr>
          <w:lang w:val="fr-FR"/>
        </w:rPr>
      </w:pPr>
      <w:r w:rsidRPr="0095194C">
        <w:rPr>
          <w:lang w:val="fr-FR"/>
        </w:rPr>
        <w:t>Rules should require clear disclosure, limits on the circumstances in which member preferencing may be used, protection of price priority, transparency to participants, and supervisory reporting. Member preferencing should not be allowed to override displayed better-priced interest or materially impair fair access.</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493CE71C" w14:textId="77777777" w:rsidR="0095194C" w:rsidRPr="0095194C" w:rsidRDefault="0095194C" w:rsidP="0095194C">
      <w:pPr>
        <w:pStyle w:val="p1"/>
        <w:rPr>
          <w:lang w:val="fr-FR"/>
        </w:rPr>
      </w:pPr>
      <w:permStart w:id="1084183535" w:edGrp="everyone"/>
      <w:r w:rsidRPr="0095194C">
        <w:rPr>
          <w:lang w:val="fr-FR"/>
        </w:rPr>
        <w:lastRenderedPageBreak/>
        <w:t>A full prohibition of all forms of member preferencing could reduce certain execution efficiencies or remove mechanisms used for specific client-driven execution models.</w:t>
      </w:r>
    </w:p>
    <w:p w14:paraId="407AEB79" w14:textId="77777777" w:rsidR="0095194C" w:rsidRPr="0095194C" w:rsidRDefault="0095194C" w:rsidP="0095194C">
      <w:pPr>
        <w:pStyle w:val="p1"/>
        <w:rPr>
          <w:lang w:val="fr-FR"/>
        </w:rPr>
      </w:pPr>
    </w:p>
    <w:p w14:paraId="46A853AE" w14:textId="77777777" w:rsidR="0095194C" w:rsidRPr="0095194C" w:rsidRDefault="0095194C" w:rsidP="0095194C">
      <w:pPr>
        <w:pStyle w:val="p1"/>
        <w:rPr>
          <w:lang w:val="fr-FR"/>
        </w:rPr>
      </w:pPr>
      <w:r w:rsidRPr="0095194C">
        <w:rPr>
          <w:lang w:val="fr-FR"/>
        </w:rPr>
        <w:t>However, prohibiting or restricting forms that undermine price priority or fair access would likely improve market confidence and perceived fairness. The impact should be assessed based on data, including execution quality, spreads, fill rates and order interaction before and after any intervention.</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6D6CD758" w14:textId="77777777" w:rsidR="0095194C" w:rsidRPr="0095194C" w:rsidRDefault="0095194C" w:rsidP="0095194C">
      <w:pPr>
        <w:pStyle w:val="p1"/>
        <w:rPr>
          <w:lang w:val="fr-FR"/>
        </w:rPr>
      </w:pPr>
      <w:permStart w:id="1454133558" w:edGrp="everyone"/>
      <w:r w:rsidRPr="0095194C">
        <w:rPr>
          <w:lang w:val="fr-FR"/>
        </w:rPr>
        <w:t>ARGA Observatory is not aware of specific data on similar practices in RFQ systems.</w:t>
      </w:r>
    </w:p>
    <w:p w14:paraId="038E42DC" w14:textId="77777777" w:rsidR="0095194C" w:rsidRPr="0095194C" w:rsidRDefault="0095194C" w:rsidP="0095194C">
      <w:pPr>
        <w:pStyle w:val="p1"/>
        <w:rPr>
          <w:lang w:val="fr-FR"/>
        </w:rPr>
      </w:pPr>
    </w:p>
    <w:p w14:paraId="03A79704" w14:textId="77777777" w:rsidR="0095194C" w:rsidRPr="0095194C" w:rsidRDefault="0095194C" w:rsidP="0095194C">
      <w:pPr>
        <w:pStyle w:val="p1"/>
        <w:rPr>
          <w:lang w:val="fr-FR"/>
        </w:rPr>
      </w:pPr>
      <w:r w:rsidRPr="0095194C">
        <w:rPr>
          <w:lang w:val="fr-FR"/>
        </w:rPr>
        <w:t>However, RFQ models may raise comparable concerns where competition is limited to a restricted set of liquidity providers, where clients do not receive sufficient transparency on available quotes, or where venue design systematically limits broader order interaction. ESMA should monitor whether RFQ and similar protocols provide fair, transparent and competitive execution conditions.</w:t>
      </w:r>
    </w:p>
    <w:p w14:paraId="09CCA71A" w14:textId="789DF354" w:rsidR="003A33E5" w:rsidRPr="0095194C" w:rsidRDefault="003A33E5" w:rsidP="003A33E5">
      <w:pPr>
        <w:rPr>
          <w:lang w:val="fr-FR"/>
        </w:rPr>
      </w:pP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4A21ACAC" w14:textId="77777777" w:rsidR="0095194C" w:rsidRPr="0095194C" w:rsidRDefault="0095194C" w:rsidP="0095194C">
      <w:pPr>
        <w:pStyle w:val="p1"/>
        <w:rPr>
          <w:lang w:val="fr-FR"/>
        </w:rPr>
      </w:pPr>
      <w:permStart w:id="1509051285" w:edGrp="everyone"/>
      <w:r w:rsidRPr="0095194C">
        <w:rPr>
          <w:lang w:val="fr-FR"/>
        </w:rPr>
        <w:t>ARGA Observatory broadly agrees with ESMA’s three conceptual distinctions: addressable liquidity, non-price-forming transactions, and transactions subject to conditions other than the current market price.</w:t>
      </w:r>
    </w:p>
    <w:p w14:paraId="08EA2A7D" w14:textId="77777777" w:rsidR="0095194C" w:rsidRPr="0095194C" w:rsidRDefault="0095194C" w:rsidP="0095194C">
      <w:pPr>
        <w:pStyle w:val="p1"/>
        <w:rPr>
          <w:lang w:val="fr-FR"/>
        </w:rPr>
      </w:pPr>
    </w:p>
    <w:p w14:paraId="1A6CB562" w14:textId="77777777" w:rsidR="0095194C" w:rsidRPr="0095194C" w:rsidRDefault="0095194C" w:rsidP="0095194C">
      <w:pPr>
        <w:pStyle w:val="p1"/>
        <w:rPr>
          <w:lang w:val="fr-FR"/>
        </w:rPr>
      </w:pPr>
      <w:r w:rsidRPr="0095194C">
        <w:rPr>
          <w:lang w:val="fr-FR"/>
        </w:rPr>
        <w:t>These concepts are useful and should be clearly reflected in reporting. However, ESMA should avoid assuming that all addressable liquidity is equally accessible in practice. Practical accessibility, transparency and the possibility of genuine order interaction should also be considered.</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02238D7C" w14:textId="77777777" w:rsidR="0095194C" w:rsidRPr="0095194C" w:rsidRDefault="0095194C" w:rsidP="0095194C">
      <w:pPr>
        <w:pStyle w:val="p1"/>
        <w:rPr>
          <w:lang w:val="fr-FR"/>
        </w:rPr>
      </w:pPr>
      <w:permStart w:id="164585938" w:edGrp="everyone"/>
      <w:r w:rsidRPr="0095194C">
        <w:rPr>
          <w:lang w:val="fr-FR"/>
        </w:rPr>
        <w:t>ARGA Observatory broadly agrees with the first part of the table on addressable liquidity and price forming, subject to continued review of specific execution models.</w:t>
      </w:r>
    </w:p>
    <w:p w14:paraId="28F76D85" w14:textId="77777777" w:rsidR="0095194C" w:rsidRPr="0095194C" w:rsidRDefault="0095194C" w:rsidP="0095194C">
      <w:pPr>
        <w:pStyle w:val="p1"/>
        <w:rPr>
          <w:lang w:val="fr-FR"/>
        </w:rPr>
      </w:pPr>
    </w:p>
    <w:p w14:paraId="373145E2" w14:textId="77777777" w:rsidR="0095194C" w:rsidRPr="0095194C" w:rsidRDefault="0095194C" w:rsidP="0095194C">
      <w:pPr>
        <w:pStyle w:val="p1"/>
        <w:rPr>
          <w:lang w:val="fr-FR"/>
        </w:rPr>
      </w:pPr>
      <w:r w:rsidRPr="0095194C">
        <w:rPr>
          <w:lang w:val="fr-FR"/>
        </w:rPr>
        <w:t>Lit continuous trading and conventional on-book auction mechanisms should generally be considered addressable and price forming where they involve genuine interaction of buying and selling interest.</w:t>
      </w:r>
    </w:p>
    <w:permEnd w:id="164585938"/>
    <w:p w14:paraId="5B2C589A" w14:textId="5E581229" w:rsidR="003A33E5" w:rsidRDefault="003A33E5" w:rsidP="003A33E5">
      <w:r>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6A4B79F4" w14:textId="77777777" w:rsidR="0095194C" w:rsidRPr="0095194C" w:rsidRDefault="0095194C" w:rsidP="0095194C">
      <w:pPr>
        <w:pStyle w:val="p1"/>
        <w:rPr>
          <w:lang w:val="fr-FR"/>
        </w:rPr>
      </w:pPr>
      <w:permStart w:id="1475570857" w:edGrp="everyone"/>
      <w:r w:rsidRPr="0095194C">
        <w:rPr>
          <w:lang w:val="fr-FR"/>
        </w:rPr>
        <w:t>ARGA Observatory broadly agrees with the second part of the table, but considers that the treatment of certain auction and reference-price mechanisms should remain subject to case-by-case assessment.</w:t>
      </w:r>
    </w:p>
    <w:p w14:paraId="6C926D30" w14:textId="77777777" w:rsidR="0095194C" w:rsidRPr="0095194C" w:rsidRDefault="0095194C" w:rsidP="0095194C">
      <w:pPr>
        <w:pStyle w:val="p1"/>
        <w:rPr>
          <w:lang w:val="fr-FR"/>
        </w:rPr>
      </w:pPr>
    </w:p>
    <w:p w14:paraId="4873CBB0" w14:textId="77777777" w:rsidR="0095194C" w:rsidRPr="0095194C" w:rsidRDefault="0095194C" w:rsidP="0095194C">
      <w:pPr>
        <w:pStyle w:val="p1"/>
        <w:rPr>
          <w:lang w:val="fr-FR"/>
        </w:rPr>
      </w:pPr>
      <w:r w:rsidRPr="0095194C">
        <w:rPr>
          <w:lang w:val="fr-FR"/>
        </w:rPr>
        <w:t>Where a mechanism relies primarily on prices formed elsewhere, its contribution to independent price formation may be limited even if the liquidity is addressable.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35E9B22A" w14:textId="77777777" w:rsidR="0095194C" w:rsidRDefault="0095194C" w:rsidP="0095194C">
      <w:pPr>
        <w:pStyle w:val="p1"/>
      </w:pPr>
      <w:permStart w:id="1523399739" w:edGrp="everyone"/>
      <w:r>
        <w:t>Yes. Some benchmark transactions should be classified as non-addressable and non-price forming.</w:t>
      </w:r>
    </w:p>
    <w:p w14:paraId="6164D3BE" w14:textId="77777777" w:rsidR="0095194C" w:rsidRDefault="0095194C" w:rsidP="0095194C">
      <w:pPr>
        <w:pStyle w:val="p1"/>
      </w:pPr>
    </w:p>
    <w:p w14:paraId="741BFBBC" w14:textId="77777777" w:rsidR="0095194C" w:rsidRDefault="0095194C" w:rsidP="0095194C">
      <w:pPr>
        <w:pStyle w:val="p1"/>
      </w:pPr>
      <w:r>
        <w:t>This may be the case where the transaction is bilaterally arranged, calculated by reference to an external benchmark, and does not involve genuine interaction of competing buying and selling interest at the time of execution. Such transactions may serve legitimate execution purposes but should not necessarily be treated as contributing to market price formation.</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30437B38" w14:textId="77777777" w:rsidR="0095194C" w:rsidRDefault="0095194C" w:rsidP="0095194C">
      <w:pPr>
        <w:pStyle w:val="p1"/>
      </w:pPr>
      <w:permStart w:id="1013530916" w:edGrp="everyone"/>
      <w:r>
        <w:t>ARGA Observatory broadly agrees with the third part of the table, including the distinction between addressable liquidity and price-forming activity.</w:t>
      </w:r>
    </w:p>
    <w:p w14:paraId="27DAEBD6" w14:textId="77777777" w:rsidR="0095194C" w:rsidRDefault="0095194C" w:rsidP="0095194C">
      <w:pPr>
        <w:pStyle w:val="p1"/>
      </w:pPr>
    </w:p>
    <w:p w14:paraId="14963814" w14:textId="77777777" w:rsidR="0095194C" w:rsidRDefault="0095194C" w:rsidP="0095194C">
      <w:pPr>
        <w:pStyle w:val="p1"/>
      </w:pPr>
      <w:r>
        <w:t>Reference price and negotiated transactions may be addressable in some circumstances, but they should not automatically be considered price forming where the execution price is derived from external prices or negotiated under specific conditions.</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2B7CFFE7" w14:textId="77777777" w:rsidR="0095194C" w:rsidRPr="0095194C" w:rsidRDefault="0095194C" w:rsidP="0095194C">
      <w:pPr>
        <w:pStyle w:val="p1"/>
        <w:rPr>
          <w:lang w:val="fr-FR"/>
        </w:rPr>
      </w:pPr>
      <w:permStart w:id="374162036" w:edGrp="everyone"/>
      <w:r w:rsidRPr="0095194C">
        <w:rPr>
          <w:lang w:val="fr-FR"/>
        </w:rPr>
        <w:lastRenderedPageBreak/>
        <w:t>ARGA Observatory agrees in principle that transactions without a flag should generally be considered addressable liquidity and price forming.</w:t>
      </w:r>
    </w:p>
    <w:p w14:paraId="757218F5" w14:textId="77777777" w:rsidR="0095194C" w:rsidRPr="0095194C" w:rsidRDefault="0095194C" w:rsidP="0095194C">
      <w:pPr>
        <w:pStyle w:val="p1"/>
        <w:rPr>
          <w:lang w:val="fr-FR"/>
        </w:rPr>
      </w:pPr>
    </w:p>
    <w:p w14:paraId="35345941" w14:textId="77777777" w:rsidR="0095194C" w:rsidRPr="0095194C" w:rsidRDefault="0095194C" w:rsidP="0095194C">
      <w:pPr>
        <w:pStyle w:val="p1"/>
        <w:rPr>
          <w:lang w:val="fr-FR"/>
        </w:rPr>
      </w:pPr>
      <w:r w:rsidRPr="0095194C">
        <w:rPr>
          <w:lang w:val="fr-FR"/>
        </w:rPr>
        <w:t>However, this presumption depends on high-quality and consistent reporting. If evidence shows that unflagged transactions include technical, intragroup, benchmark or other non-price-forming transactions, ESMA should consider additional flags or reporting controls.</w:t>
      </w:r>
    </w:p>
    <w:permEnd w:id="374162036"/>
    <w:p w14:paraId="4B24482E" w14:textId="0AE4DFC1" w:rsidR="003A33E5" w:rsidRDefault="003A33E5" w:rsidP="003A33E5">
      <w:r>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64CEEBEF" w14:textId="77777777" w:rsidR="0095194C" w:rsidRDefault="0095194C" w:rsidP="0095194C">
      <w:pPr>
        <w:pStyle w:val="p1"/>
      </w:pPr>
      <w:permStart w:id="1323904635" w:edGrp="everyone"/>
      <w:r>
        <w:t>ARGA Observatory broadly agrees with the fourth and last part of the table. Descriptive flags such as algorithmic or special dividend flags should not, by themselves, determine whether a transaction is addressable or price forming.</w:t>
      </w:r>
    </w:p>
    <w:p w14:paraId="713E0983" w14:textId="77777777" w:rsidR="0095194C" w:rsidRDefault="0095194C" w:rsidP="0095194C">
      <w:pPr>
        <w:pStyle w:val="p1"/>
      </w:pPr>
    </w:p>
    <w:p w14:paraId="73FFE7B0" w14:textId="77777777" w:rsidR="0095194C" w:rsidRDefault="0095194C" w:rsidP="0095194C">
      <w:pPr>
        <w:pStyle w:val="p1"/>
      </w:pPr>
      <w:r>
        <w:t>The decisive issue should be the economic nature of the transaction and whether it involved genuine market interaction and contributed to price formation.</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11728D80" w14:textId="77777777" w:rsidR="0095194C" w:rsidRPr="0095194C" w:rsidRDefault="0095194C" w:rsidP="0095194C">
      <w:pPr>
        <w:pStyle w:val="p1"/>
        <w:rPr>
          <w:lang w:val="fr-FR"/>
        </w:rPr>
      </w:pPr>
      <w:permStart w:id="1265007552" w:edGrp="everyone"/>
      <w:r w:rsidRPr="0095194C">
        <w:rPr>
          <w:lang w:val="fr-FR"/>
        </w:rPr>
        <w:t>ARGA Observatory agrees with the approach on combinations of flags, provided that ESMA establishes a clear hierarchy of flags.</w:t>
      </w:r>
    </w:p>
    <w:p w14:paraId="72AB27DC" w14:textId="77777777" w:rsidR="0095194C" w:rsidRPr="0095194C" w:rsidRDefault="0095194C" w:rsidP="0095194C">
      <w:pPr>
        <w:pStyle w:val="p1"/>
        <w:rPr>
          <w:lang w:val="fr-FR"/>
        </w:rPr>
      </w:pPr>
    </w:p>
    <w:p w14:paraId="2B252440" w14:textId="77777777" w:rsidR="0095194C" w:rsidRPr="0095194C" w:rsidRDefault="0095194C" w:rsidP="0095194C">
      <w:pPr>
        <w:pStyle w:val="p1"/>
        <w:rPr>
          <w:lang w:val="fr-FR"/>
        </w:rPr>
      </w:pPr>
      <w:r w:rsidRPr="0095194C">
        <w:rPr>
          <w:lang w:val="fr-FR"/>
        </w:rPr>
        <w:t>Where one flag indicates that a transaction is non-addressable or non-price-forming, that classification should generally prevail over purely descriptive flags. This would improve consistency and reduce ambiguity in market structure analysis.</w:t>
      </w:r>
    </w:p>
    <w:permEnd w:id="1265007552"/>
    <w:p w14:paraId="29648177" w14:textId="5936428E" w:rsidR="003A33E5" w:rsidRDefault="003A33E5" w:rsidP="003A33E5">
      <w:r>
        <w:lastRenderedPageBreak/>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3001A7CF" w14:textId="3D29483E" w:rsidR="0095194C" w:rsidRPr="00AD6443" w:rsidRDefault="0095194C" w:rsidP="0095194C">
      <w:pPr>
        <w:pStyle w:val="p1"/>
        <w:rPr>
          <w:lang w:val="fr-FR"/>
        </w:rPr>
      </w:pPr>
      <w:permStart w:id="78797142" w:edGrp="everyone"/>
      <w:r w:rsidRPr="00AD6443">
        <w:rPr>
          <w:lang w:val="fr-FR"/>
        </w:rPr>
        <w:t>Yes. ARGA Observatory agrees that intragroup transactions executed by SIs should not constitute addressable liquidity and should be separately flagged.</w:t>
      </w:r>
    </w:p>
    <w:p w14:paraId="4A8F8CE3" w14:textId="77777777" w:rsidR="0095194C" w:rsidRDefault="0095194C" w:rsidP="0095194C">
      <w:pPr>
        <w:pStyle w:val="p1"/>
      </w:pPr>
      <w:r w:rsidRPr="00AD6443">
        <w:rPr>
          <w:lang w:val="fr-FR"/>
        </w:rPr>
        <w:t xml:space="preserve">Such transactions are not generally accessible to other market participants and do not result from genuine interaction between independent buying and selling interests. </w:t>
      </w:r>
      <w:r>
        <w:t>They should therefore also be classified as non-price forming. A dedicated RTS 1 flag would improve transparency and allow more accurate analysis of SI activity and market liquidity.</w:t>
      </w:r>
    </w:p>
    <w:p w14:paraId="5441D0E0" w14:textId="6D5DBDA9" w:rsidR="003A33E5" w:rsidRDefault="003A33E5" w:rsidP="003A33E5"/>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71388833" w14:textId="2EC45623" w:rsidR="0095194C" w:rsidRPr="00AD6443" w:rsidRDefault="0095194C" w:rsidP="0095194C">
      <w:pPr>
        <w:pStyle w:val="p1"/>
        <w:rPr>
          <w:lang w:val="fr-FR"/>
        </w:rPr>
      </w:pPr>
      <w:permStart w:id="1195269664" w:edGrp="everyone"/>
      <w:r>
        <w:t>Yes. ESMA should consider whether other transactions should be separately flagged and excluded from addressable liquidity where they are technical, internal, non-competitive or based on external benchmarks.</w:t>
      </w:r>
    </w:p>
    <w:p w14:paraId="20CE040A" w14:textId="77777777" w:rsidR="0095194C" w:rsidRDefault="0095194C" w:rsidP="0095194C">
      <w:pPr>
        <w:pStyle w:val="p1"/>
      </w:pPr>
      <w:r>
        <w:t>This may include certain benchmark transactions, portfolio transfers, contingent trades, internal risk transfers and other transactions that do not involve genuine market interaction. Any new flags should be carefully defined to avoid over-fragmentation of reporting while improving the accuracy of market structure analysis.</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D9FA" w14:textId="77777777" w:rsidR="009C2E29" w:rsidRDefault="009C2E29" w:rsidP="007E7997">
      <w:pPr>
        <w:spacing w:line="240" w:lineRule="auto"/>
      </w:pPr>
      <w:r>
        <w:separator/>
      </w:r>
    </w:p>
  </w:endnote>
  <w:endnote w:type="continuationSeparator" w:id="0">
    <w:p w14:paraId="4400614D" w14:textId="77777777" w:rsidR="009C2E29" w:rsidRDefault="009C2E29" w:rsidP="007E7997">
      <w:pPr>
        <w:spacing w:line="240" w:lineRule="auto"/>
      </w:pPr>
      <w:r>
        <w:continuationSeparator/>
      </w:r>
    </w:p>
  </w:endnote>
  <w:endnote w:type="continuationNotice" w:id="1">
    <w:p w14:paraId="1D8ED2A2" w14:textId="77777777" w:rsidR="009C2E29" w:rsidRDefault="009C2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afc"/>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6C14" w14:textId="77777777" w:rsidR="009C2E29" w:rsidRDefault="009C2E29" w:rsidP="007E7997">
      <w:pPr>
        <w:spacing w:line="240" w:lineRule="auto"/>
      </w:pPr>
      <w:r>
        <w:separator/>
      </w:r>
    </w:p>
  </w:footnote>
  <w:footnote w:type="continuationSeparator" w:id="0">
    <w:p w14:paraId="5FB07720" w14:textId="77777777" w:rsidR="009C2E29" w:rsidRDefault="009C2E29" w:rsidP="007E7997">
      <w:pPr>
        <w:spacing w:line="240" w:lineRule="auto"/>
      </w:pPr>
      <w:r>
        <w:continuationSeparator/>
      </w:r>
    </w:p>
  </w:footnote>
  <w:footnote w:type="continuationNotice" w:id="1">
    <w:p w14:paraId="41A78451" w14:textId="77777777" w:rsidR="009C2E29" w:rsidRDefault="009C2E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afa"/>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afa"/>
    </w:pPr>
  </w:p>
  <w:p w14:paraId="76D78551" w14:textId="45227A06" w:rsidR="00AD0B10" w:rsidRDefault="00AD0B10" w:rsidP="00AD0B10">
    <w:pPr>
      <w:pStyle w:val="afa"/>
    </w:pPr>
  </w:p>
  <w:p w14:paraId="56B00CEC" w14:textId="77777777" w:rsidR="00AD0B10" w:rsidRPr="0043139E" w:rsidRDefault="00AD0B10" w:rsidP="00AD0B10">
    <w:pPr>
      <w:pStyle w:val="afa"/>
    </w:pPr>
  </w:p>
  <w:p w14:paraId="68227DE6" w14:textId="77777777" w:rsidR="00AD0B10" w:rsidRPr="0043139E" w:rsidRDefault="00AD0B10" w:rsidP="00AD0B10">
    <w:pPr>
      <w:pStyle w:val="afa"/>
    </w:pPr>
  </w:p>
  <w:p w14:paraId="0E44DBD1" w14:textId="77777777" w:rsidR="00AD0B10" w:rsidRPr="0043139E" w:rsidRDefault="00AD0B10" w:rsidP="00AD0B10">
    <w:pPr>
      <w:pStyle w:val="afa"/>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afa"/>
    </w:pPr>
  </w:p>
  <w:p w14:paraId="706EF268" w14:textId="77777777" w:rsidR="00AD0B10" w:rsidRPr="0043139E" w:rsidRDefault="00AD0B10" w:rsidP="00AD0B10">
    <w:pPr>
      <w:pStyle w:val="afa"/>
    </w:pPr>
  </w:p>
  <w:p w14:paraId="6B568202" w14:textId="77777777" w:rsidR="00AD0B10" w:rsidRPr="0043139E" w:rsidRDefault="00AD0B10" w:rsidP="00AD0B10">
    <w:pPr>
      <w:pStyle w:val="afa"/>
    </w:pPr>
  </w:p>
  <w:p w14:paraId="70C66BCD" w14:textId="77777777" w:rsidR="00AD0B10" w:rsidRPr="0043139E" w:rsidRDefault="00AD0B10" w:rsidP="00AD0B10">
    <w:pPr>
      <w:pStyle w:val="afa"/>
    </w:pPr>
  </w:p>
  <w:p w14:paraId="07229907" w14:textId="77777777" w:rsidR="00AD0B10" w:rsidRPr="0043139E" w:rsidRDefault="00AD0B10" w:rsidP="00AD0B10">
    <w:pPr>
      <w:pStyle w:val="afa"/>
    </w:pPr>
  </w:p>
  <w:p w14:paraId="55555744" w14:textId="77777777" w:rsidR="00AD0B10" w:rsidRPr="0043139E" w:rsidRDefault="00AD0B10" w:rsidP="00AD0B10">
    <w:pPr>
      <w:pStyle w:val="afa"/>
    </w:pPr>
  </w:p>
  <w:p w14:paraId="4601AE9C" w14:textId="77777777" w:rsidR="00AD0B10" w:rsidRDefault="00AD0B10" w:rsidP="00AD0B10">
    <w:pPr>
      <w:pStyle w:val="afa"/>
    </w:pPr>
  </w:p>
  <w:p w14:paraId="49946785" w14:textId="77777777" w:rsidR="00AD0B10" w:rsidRPr="0043139E" w:rsidRDefault="00AD0B10" w:rsidP="00AD0B10">
    <w:pPr>
      <w:pStyle w:val="afa"/>
    </w:pPr>
  </w:p>
  <w:p w14:paraId="72BAD19F" w14:textId="77777777" w:rsidR="008858FE" w:rsidRPr="00AD0B10" w:rsidRDefault="008858FE" w:rsidP="00AD0B1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a"/>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1"/>
      <w:lvlText w:val="%1"/>
      <w:lvlJc w:val="left"/>
      <w:pPr>
        <w:ind w:left="4686" w:hanging="432"/>
      </w:pPr>
    </w:lvl>
    <w:lvl w:ilvl="1">
      <w:start w:val="1"/>
      <w:numFmt w:val="decimal"/>
      <w:pStyle w:val="2"/>
      <w:lvlText w:val="%1.%2"/>
      <w:lvlJc w:val="left"/>
      <w:pPr>
        <w:ind w:left="8230"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C7D"/>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194C"/>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759"/>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2E29"/>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0B"/>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443"/>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738"/>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C5D"/>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B2FD6"/>
    <w:pPr>
      <w:spacing w:after="250" w:line="276" w:lineRule="auto"/>
      <w:jc w:val="both"/>
    </w:pPr>
    <w:rPr>
      <w:color w:val="181818" w:themeColor="background1" w:themeShade="1A"/>
      <w:sz w:val="22"/>
      <w:lang w:val="en-GB"/>
    </w:rPr>
  </w:style>
  <w:style w:type="paragraph" w:styleId="1">
    <w:name w:val="heading 1"/>
    <w:basedOn w:val="a0"/>
    <w:next w:val="a0"/>
    <w:link w:val="10"/>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2">
    <w:name w:val="heading 2"/>
    <w:basedOn w:val="a0"/>
    <w:next w:val="a0"/>
    <w:link w:val="20"/>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3">
    <w:name w:val="heading 3"/>
    <w:basedOn w:val="a0"/>
    <w:next w:val="a0"/>
    <w:link w:val="30"/>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4">
    <w:name w:val="heading 4"/>
    <w:basedOn w:val="a0"/>
    <w:next w:val="a0"/>
    <w:link w:val="40"/>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5">
    <w:name w:val="heading 5"/>
    <w:basedOn w:val="a0"/>
    <w:next w:val="a0"/>
    <w:link w:val="50"/>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6">
    <w:name w:val="heading 6"/>
    <w:basedOn w:val="a0"/>
    <w:next w:val="a0"/>
    <w:link w:val="60"/>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7">
    <w:name w:val="heading 7"/>
    <w:basedOn w:val="a0"/>
    <w:next w:val="a0"/>
    <w:link w:val="70"/>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8">
    <w:name w:val="heading 8"/>
    <w:basedOn w:val="a0"/>
    <w:next w:val="a0"/>
    <w:link w:val="80"/>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9">
    <w:name w:val="heading 9"/>
    <w:basedOn w:val="a0"/>
    <w:next w:val="a0"/>
    <w:link w:val="90"/>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B6B12"/>
    <w:pPr>
      <w:spacing w:after="0" w:line="240" w:lineRule="auto"/>
    </w:pPr>
    <w:rPr>
      <w:lang w:val="en-GB"/>
    </w:rPr>
  </w:style>
  <w:style w:type="character" w:customStyle="1" w:styleId="40">
    <w:name w:val="Заголовок 4 Знак"/>
    <w:basedOn w:val="a1"/>
    <w:link w:val="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30">
    <w:name w:val="Заголовок 3 Знак"/>
    <w:basedOn w:val="a1"/>
    <w:link w:val="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10">
    <w:name w:val="Заголовок 1 Знак"/>
    <w:basedOn w:val="a1"/>
    <w:link w:val="1"/>
    <w:uiPriority w:val="9"/>
    <w:rsid w:val="0082744A"/>
    <w:rPr>
      <w:rFonts w:asciiTheme="majorHAnsi" w:eastAsiaTheme="majorEastAsia" w:hAnsiTheme="majorHAnsi" w:cstheme="majorBidi"/>
      <w:b/>
      <w:color w:val="00379F" w:themeColor="text1"/>
      <w:sz w:val="32"/>
      <w:szCs w:val="32"/>
      <w:lang w:val="en-GB"/>
    </w:rPr>
  </w:style>
  <w:style w:type="character" w:customStyle="1" w:styleId="20">
    <w:name w:val="Заголовок 2 Знак"/>
    <w:basedOn w:val="a1"/>
    <w:link w:val="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a0"/>
    <w:link w:val="Subtitle1Char"/>
    <w:autoRedefine/>
    <w:rsid w:val="003C4EB5"/>
    <w:pPr>
      <w:tabs>
        <w:tab w:val="left" w:pos="414"/>
      </w:tabs>
    </w:pPr>
    <w:rPr>
      <w:b/>
    </w:rPr>
  </w:style>
  <w:style w:type="character" w:customStyle="1" w:styleId="Subtitle1Char">
    <w:name w:val="Subtitle1 Char"/>
    <w:basedOn w:val="a1"/>
    <w:link w:val="Subtitle1"/>
    <w:rsid w:val="003C4EB5"/>
    <w:rPr>
      <w:rFonts w:cs="Times New Roman"/>
      <w:b/>
      <w:sz w:val="20"/>
      <w:szCs w:val="24"/>
      <w:lang w:val="en-GB" w:eastAsia="de-DE"/>
    </w:rPr>
  </w:style>
  <w:style w:type="paragraph" w:customStyle="1" w:styleId="Title1">
    <w:name w:val="Title 1"/>
    <w:basedOn w:val="a"/>
    <w:link w:val="Title1Char"/>
    <w:qFormat/>
    <w:rsid w:val="00F205B9"/>
    <w:pPr>
      <w:numPr>
        <w:numId w:val="0"/>
      </w:numPr>
      <w:ind w:left="792" w:hanging="432"/>
    </w:pPr>
    <w:rPr>
      <w:b/>
      <w:color w:val="00379F" w:themeColor="text1"/>
      <w:sz w:val="28"/>
    </w:rPr>
  </w:style>
  <w:style w:type="character" w:customStyle="1" w:styleId="Title1Char">
    <w:name w:val="Title 1 Char"/>
    <w:basedOn w:val="a1"/>
    <w:link w:val="Title1"/>
    <w:rsid w:val="00F205B9"/>
    <w:rPr>
      <w:rFonts w:asciiTheme="majorHAnsi" w:hAnsiTheme="majorHAnsi" w:cstheme="majorHAnsi"/>
      <w:b/>
      <w:color w:val="00379F" w:themeColor="text1"/>
      <w:sz w:val="28"/>
      <w:szCs w:val="22"/>
      <w:lang w:val="pt-PT"/>
    </w:rPr>
  </w:style>
  <w:style w:type="paragraph" w:styleId="a">
    <w:name w:val="List Paragraph"/>
    <w:aliases w:val="Paragraphe EI,Paragraphe de liste1,EC"/>
    <w:basedOn w:val="a0"/>
    <w:link w:val="a6"/>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a"/>
    <w:link w:val="Title3Char"/>
    <w:autoRedefine/>
    <w:rsid w:val="00F205B9"/>
    <w:pPr>
      <w:numPr>
        <w:ilvl w:val="3"/>
        <w:numId w:val="4"/>
      </w:numPr>
    </w:pPr>
  </w:style>
  <w:style w:type="character" w:customStyle="1" w:styleId="Title3Char">
    <w:name w:val="Title 3 Char"/>
    <w:basedOn w:val="a1"/>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a0"/>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1"/>
    <w:link w:val="DocumentTitle"/>
    <w:rsid w:val="00563C1F"/>
    <w:rPr>
      <w:rFonts w:asciiTheme="majorHAnsi" w:hAnsiTheme="majorHAnsi"/>
      <w:b/>
      <w:color w:val="2D4190"/>
      <w:sz w:val="48"/>
      <w:lang w:val="en-GB"/>
    </w:rPr>
  </w:style>
  <w:style w:type="paragraph" w:customStyle="1" w:styleId="DocumentSubtitle">
    <w:name w:val="Document Subtitle"/>
    <w:basedOn w:val="a0"/>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1"/>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a0"/>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1"/>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a0"/>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1"/>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a0"/>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1"/>
    <w:link w:val="Introductionheading"/>
    <w:rsid w:val="00044C5A"/>
    <w:rPr>
      <w:rFonts w:ascii="Arial" w:eastAsia="Times New Roman" w:hAnsi="Arial" w:cs="Times New Roman"/>
      <w:b/>
      <w:sz w:val="28"/>
      <w:szCs w:val="24"/>
      <w:lang w:val="en-GB" w:eastAsia="de-DE"/>
    </w:rPr>
  </w:style>
  <w:style w:type="character" w:customStyle="1" w:styleId="50">
    <w:name w:val="Заголовок 5 Знак"/>
    <w:basedOn w:val="a1"/>
    <w:link w:val="5"/>
    <w:uiPriority w:val="9"/>
    <w:rsid w:val="007E7997"/>
    <w:rPr>
      <w:rFonts w:asciiTheme="majorHAnsi" w:eastAsiaTheme="majorEastAsia" w:hAnsiTheme="majorHAnsi" w:cstheme="majorBidi"/>
      <w:color w:val="181818" w:themeColor="background1" w:themeShade="1A"/>
      <w:sz w:val="22"/>
      <w:szCs w:val="22"/>
      <w:lang w:val="en-GB"/>
    </w:rPr>
  </w:style>
  <w:style w:type="paragraph" w:styleId="a7">
    <w:name w:val="Body Text"/>
    <w:basedOn w:val="a0"/>
    <w:link w:val="a8"/>
    <w:uiPriority w:val="99"/>
    <w:semiHidden/>
    <w:unhideWhenUsed/>
    <w:rsid w:val="00044C5A"/>
  </w:style>
  <w:style w:type="character" w:customStyle="1" w:styleId="a8">
    <w:name w:val="Основной текст Знак"/>
    <w:basedOn w:val="a1"/>
    <w:link w:val="a7"/>
    <w:uiPriority w:val="99"/>
    <w:semiHidden/>
    <w:rsid w:val="00044C5A"/>
    <w:rPr>
      <w:rFonts w:ascii="Arial" w:eastAsiaTheme="minorEastAsia" w:hAnsi="Arial"/>
    </w:rPr>
  </w:style>
  <w:style w:type="paragraph" w:styleId="a9">
    <w:name w:val="Body Text First Indent"/>
    <w:basedOn w:val="a7"/>
    <w:link w:val="aa"/>
    <w:uiPriority w:val="99"/>
    <w:semiHidden/>
    <w:unhideWhenUsed/>
    <w:rsid w:val="00044C5A"/>
    <w:pPr>
      <w:spacing w:after="0"/>
      <w:ind w:firstLine="360"/>
    </w:pPr>
  </w:style>
  <w:style w:type="character" w:customStyle="1" w:styleId="aa">
    <w:name w:val="Красная строка Знак"/>
    <w:basedOn w:val="a8"/>
    <w:link w:val="a9"/>
    <w:uiPriority w:val="99"/>
    <w:semiHidden/>
    <w:rsid w:val="00044C5A"/>
    <w:rPr>
      <w:rFonts w:ascii="Arial" w:eastAsiaTheme="minorEastAsia" w:hAnsi="Arial"/>
    </w:rPr>
  </w:style>
  <w:style w:type="character" w:customStyle="1" w:styleId="60">
    <w:name w:val="Заголовок 6 Знак"/>
    <w:basedOn w:val="a1"/>
    <w:link w:val="6"/>
    <w:uiPriority w:val="9"/>
    <w:semiHidden/>
    <w:rsid w:val="00AA054E"/>
    <w:rPr>
      <w:rFonts w:asciiTheme="majorHAnsi" w:eastAsiaTheme="majorEastAsia" w:hAnsiTheme="majorHAnsi" w:cstheme="majorBidi"/>
      <w:i/>
      <w:iCs/>
      <w:color w:val="007EFF" w:themeColor="text2"/>
      <w:sz w:val="21"/>
      <w:szCs w:val="21"/>
      <w:lang w:val="en-GB"/>
    </w:rPr>
  </w:style>
  <w:style w:type="paragraph" w:styleId="ab">
    <w:name w:val="Title"/>
    <w:basedOn w:val="a0"/>
    <w:next w:val="a0"/>
    <w:link w:val="ac"/>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ac">
    <w:name w:val="Заголовок Знак"/>
    <w:basedOn w:val="a1"/>
    <w:link w:val="ab"/>
    <w:uiPriority w:val="10"/>
    <w:rsid w:val="00516CBA"/>
    <w:rPr>
      <w:rFonts w:asciiTheme="majorHAnsi" w:eastAsiaTheme="majorEastAsia" w:hAnsiTheme="majorHAnsi" w:cstheme="majorBidi"/>
      <w:b/>
      <w:color w:val="00379F" w:themeColor="text1"/>
      <w:spacing w:val="-10"/>
      <w:sz w:val="56"/>
      <w:szCs w:val="56"/>
      <w:lang w:val="en-GB"/>
    </w:rPr>
  </w:style>
  <w:style w:type="paragraph" w:styleId="ad">
    <w:name w:val="Subtitle"/>
    <w:basedOn w:val="a0"/>
    <w:next w:val="a0"/>
    <w:link w:val="a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ae">
    <w:name w:val="Подзаголовок Знак"/>
    <w:basedOn w:val="a1"/>
    <w:link w:val="ad"/>
    <w:uiPriority w:val="11"/>
    <w:rsid w:val="0082744A"/>
    <w:rPr>
      <w:rFonts w:asciiTheme="majorHAnsi" w:eastAsiaTheme="majorEastAsia" w:hAnsiTheme="majorHAnsi" w:cstheme="majorBidi"/>
      <w:sz w:val="28"/>
      <w:szCs w:val="24"/>
      <w:lang w:val="en-GB"/>
    </w:rPr>
  </w:style>
  <w:style w:type="character" w:customStyle="1" w:styleId="70">
    <w:name w:val="Заголовок 7 Знак"/>
    <w:basedOn w:val="a1"/>
    <w:link w:val="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80">
    <w:name w:val="Заголовок 8 Знак"/>
    <w:basedOn w:val="a1"/>
    <w:link w:val="8"/>
    <w:uiPriority w:val="9"/>
    <w:semiHidden/>
    <w:rsid w:val="00AA054E"/>
    <w:rPr>
      <w:rFonts w:asciiTheme="majorHAnsi" w:eastAsiaTheme="majorEastAsia" w:hAnsiTheme="majorHAnsi" w:cstheme="majorBidi"/>
      <w:b/>
      <w:bCs/>
      <w:color w:val="007EFF" w:themeColor="text2"/>
      <w:sz w:val="22"/>
      <w:lang w:val="en-GB"/>
    </w:rPr>
  </w:style>
  <w:style w:type="character" w:customStyle="1" w:styleId="90">
    <w:name w:val="Заголовок 9 Знак"/>
    <w:basedOn w:val="a1"/>
    <w:link w:val="9"/>
    <w:uiPriority w:val="9"/>
    <w:semiHidden/>
    <w:rsid w:val="00AA054E"/>
    <w:rPr>
      <w:rFonts w:asciiTheme="majorHAnsi" w:eastAsiaTheme="majorEastAsia" w:hAnsiTheme="majorHAnsi" w:cstheme="majorBidi"/>
      <w:b/>
      <w:bCs/>
      <w:i/>
      <w:iCs/>
      <w:color w:val="007EFF" w:themeColor="text2"/>
      <w:sz w:val="22"/>
      <w:lang w:val="en-GB"/>
    </w:rPr>
  </w:style>
  <w:style w:type="paragraph" w:styleId="af">
    <w:name w:val="caption"/>
    <w:basedOn w:val="a0"/>
    <w:next w:val="a0"/>
    <w:uiPriority w:val="35"/>
    <w:semiHidden/>
    <w:unhideWhenUsed/>
    <w:qFormat/>
    <w:rsid w:val="00AA054E"/>
    <w:pPr>
      <w:spacing w:line="240" w:lineRule="auto"/>
    </w:pPr>
    <w:rPr>
      <w:b/>
      <w:bCs/>
      <w:smallCaps/>
      <w:color w:val="1A69FF" w:themeColor="text1" w:themeTint="A6"/>
      <w:spacing w:val="6"/>
    </w:rPr>
  </w:style>
  <w:style w:type="character" w:styleId="af0">
    <w:name w:val="Strong"/>
    <w:basedOn w:val="a1"/>
    <w:uiPriority w:val="22"/>
    <w:qFormat/>
    <w:rsid w:val="00AA054E"/>
    <w:rPr>
      <w:b/>
      <w:bCs/>
    </w:rPr>
  </w:style>
  <w:style w:type="character" w:styleId="af1">
    <w:name w:val="Emphasis"/>
    <w:basedOn w:val="a1"/>
    <w:uiPriority w:val="20"/>
    <w:qFormat/>
    <w:rsid w:val="00AA054E"/>
    <w:rPr>
      <w:i/>
      <w:iCs/>
    </w:rPr>
  </w:style>
  <w:style w:type="paragraph" w:styleId="21">
    <w:name w:val="Quote"/>
    <w:basedOn w:val="a0"/>
    <w:next w:val="a0"/>
    <w:link w:val="22"/>
    <w:uiPriority w:val="29"/>
    <w:qFormat/>
    <w:rsid w:val="00AA054E"/>
    <w:pPr>
      <w:spacing w:before="160"/>
      <w:ind w:left="720" w:right="720"/>
    </w:pPr>
    <w:rPr>
      <w:i/>
      <w:iCs/>
      <w:color w:val="0055F7" w:themeColor="text1" w:themeTint="BF"/>
    </w:rPr>
  </w:style>
  <w:style w:type="character" w:customStyle="1" w:styleId="22">
    <w:name w:val="Цитата 2 Знак"/>
    <w:basedOn w:val="a1"/>
    <w:link w:val="21"/>
    <w:uiPriority w:val="29"/>
    <w:rsid w:val="00AA054E"/>
    <w:rPr>
      <w:i/>
      <w:iCs/>
      <w:color w:val="0055F7" w:themeColor="text1" w:themeTint="BF"/>
    </w:rPr>
  </w:style>
  <w:style w:type="paragraph" w:styleId="af2">
    <w:name w:val="Intense Quote"/>
    <w:basedOn w:val="a0"/>
    <w:next w:val="a0"/>
    <w:link w:val="af3"/>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af3">
    <w:name w:val="Выделенная цитата Знак"/>
    <w:basedOn w:val="a1"/>
    <w:link w:val="af2"/>
    <w:uiPriority w:val="30"/>
    <w:rsid w:val="00AA054E"/>
    <w:rPr>
      <w:rFonts w:asciiTheme="majorHAnsi" w:eastAsiaTheme="majorEastAsia" w:hAnsiTheme="majorHAnsi" w:cstheme="majorBidi"/>
      <w:color w:val="34009F" w:themeColor="accent1"/>
      <w:sz w:val="28"/>
      <w:szCs w:val="28"/>
    </w:rPr>
  </w:style>
  <w:style w:type="character" w:styleId="af4">
    <w:name w:val="Subtle Emphasis"/>
    <w:basedOn w:val="a1"/>
    <w:uiPriority w:val="19"/>
    <w:qFormat/>
    <w:rsid w:val="00AA054E"/>
    <w:rPr>
      <w:i/>
      <w:iCs/>
      <w:color w:val="0055F7" w:themeColor="text1" w:themeTint="BF"/>
    </w:rPr>
  </w:style>
  <w:style w:type="character" w:styleId="af5">
    <w:name w:val="Intense Emphasis"/>
    <w:basedOn w:val="a1"/>
    <w:uiPriority w:val="21"/>
    <w:qFormat/>
    <w:rsid w:val="00AA054E"/>
    <w:rPr>
      <w:b/>
      <w:bCs/>
      <w:i/>
      <w:iCs/>
    </w:rPr>
  </w:style>
  <w:style w:type="character" w:styleId="af6">
    <w:name w:val="Subtle Reference"/>
    <w:basedOn w:val="a1"/>
    <w:uiPriority w:val="31"/>
    <w:qFormat/>
    <w:rsid w:val="00AA054E"/>
    <w:rPr>
      <w:smallCaps/>
      <w:color w:val="0055F7" w:themeColor="text1" w:themeTint="BF"/>
      <w:u w:val="single" w:color="4E8BFF" w:themeColor="text1" w:themeTint="80"/>
    </w:rPr>
  </w:style>
  <w:style w:type="character" w:styleId="af7">
    <w:name w:val="Intense Reference"/>
    <w:basedOn w:val="a1"/>
    <w:uiPriority w:val="32"/>
    <w:qFormat/>
    <w:rsid w:val="00AA054E"/>
    <w:rPr>
      <w:b/>
      <w:bCs/>
      <w:smallCaps/>
      <w:spacing w:val="5"/>
      <w:u w:val="single"/>
    </w:rPr>
  </w:style>
  <w:style w:type="character" w:styleId="af8">
    <w:name w:val="Book Title"/>
    <w:basedOn w:val="a1"/>
    <w:uiPriority w:val="33"/>
    <w:qFormat/>
    <w:rsid w:val="00AA054E"/>
    <w:rPr>
      <w:b/>
      <w:bCs/>
      <w:smallCaps/>
    </w:rPr>
  </w:style>
  <w:style w:type="paragraph" w:styleId="af9">
    <w:name w:val="TOC Heading"/>
    <w:basedOn w:val="1"/>
    <w:next w:val="a0"/>
    <w:uiPriority w:val="39"/>
    <w:unhideWhenUsed/>
    <w:qFormat/>
    <w:rsid w:val="00F205B9"/>
    <w:pPr>
      <w:numPr>
        <w:numId w:val="0"/>
      </w:numPr>
      <w:outlineLvl w:val="9"/>
    </w:pPr>
  </w:style>
  <w:style w:type="character" w:customStyle="1" w:styleId="a5">
    <w:name w:val="Без интервала Знак"/>
    <w:basedOn w:val="a1"/>
    <w:link w:val="a4"/>
    <w:uiPriority w:val="1"/>
    <w:rsid w:val="005B6B12"/>
    <w:rPr>
      <w:lang w:val="en-GB"/>
    </w:rPr>
  </w:style>
  <w:style w:type="paragraph" w:styleId="afa">
    <w:name w:val="header"/>
    <w:basedOn w:val="a0"/>
    <w:link w:val="afb"/>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afb">
    <w:name w:val="Верхний колонтитул Знак"/>
    <w:basedOn w:val="a1"/>
    <w:link w:val="afa"/>
    <w:rsid w:val="00AF6B1E"/>
    <w:rPr>
      <w:color w:val="001B4F" w:themeColor="text1" w:themeShade="80"/>
      <w:sz w:val="16"/>
      <w:lang w:val="en-GB"/>
    </w:rPr>
  </w:style>
  <w:style w:type="paragraph" w:styleId="afc">
    <w:name w:val="footer"/>
    <w:basedOn w:val="a0"/>
    <w:link w:val="afd"/>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afd">
    <w:name w:val="Нижний колонтитул Знак"/>
    <w:basedOn w:val="a1"/>
    <w:link w:val="afc"/>
    <w:uiPriority w:val="99"/>
    <w:rsid w:val="004E5FF8"/>
    <w:rPr>
      <w:color w:val="001B4F" w:themeColor="text1" w:themeShade="80"/>
      <w:sz w:val="16"/>
      <w:lang w:val="en-GB"/>
    </w:rPr>
  </w:style>
  <w:style w:type="paragraph" w:customStyle="1" w:styleId="00aPagenumber">
    <w:name w:val="00a_Page number"/>
    <w:basedOn w:val="a0"/>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a0"/>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11">
    <w:name w:val="toc 1"/>
    <w:basedOn w:val="a0"/>
    <w:next w:val="a0"/>
    <w:uiPriority w:val="39"/>
    <w:unhideWhenUsed/>
    <w:qFormat/>
    <w:rsid w:val="00F205B9"/>
    <w:pPr>
      <w:framePr w:hSpace="180" w:wrap="around" w:vAnchor="text" w:hAnchor="margin" w:y="115"/>
      <w:tabs>
        <w:tab w:val="left" w:pos="440"/>
        <w:tab w:val="right" w:leader="dot" w:pos="9062"/>
      </w:tabs>
      <w:spacing w:after="100"/>
    </w:pPr>
  </w:style>
  <w:style w:type="paragraph" w:styleId="23">
    <w:name w:val="toc 2"/>
    <w:basedOn w:val="11"/>
    <w:next w:val="a0"/>
    <w:uiPriority w:val="39"/>
    <w:unhideWhenUsed/>
    <w:qFormat/>
    <w:rsid w:val="00F205B9"/>
    <w:pPr>
      <w:framePr w:wrap="around"/>
      <w:tabs>
        <w:tab w:val="right" w:leader="dot" w:pos="440"/>
      </w:tabs>
      <w:ind w:left="220"/>
    </w:pPr>
  </w:style>
  <w:style w:type="paragraph" w:styleId="31">
    <w:name w:val="toc 3"/>
    <w:basedOn w:val="11"/>
    <w:next w:val="a0"/>
    <w:uiPriority w:val="39"/>
    <w:unhideWhenUsed/>
    <w:qFormat/>
    <w:rsid w:val="00AD0B10"/>
    <w:pPr>
      <w:framePr w:wrap="around"/>
      <w:ind w:left="442"/>
    </w:pPr>
  </w:style>
  <w:style w:type="character" w:styleId="afe">
    <w:name w:val="Hyperlink"/>
    <w:basedOn w:val="a1"/>
    <w:uiPriority w:val="99"/>
    <w:unhideWhenUsed/>
    <w:qFormat/>
    <w:rsid w:val="000C1E78"/>
    <w:rPr>
      <w:color w:val="005EBF" w:themeColor="text2" w:themeShade="BF"/>
      <w:u w:val="single"/>
    </w:rPr>
  </w:style>
  <w:style w:type="paragraph" w:customStyle="1" w:styleId="Questionstyle">
    <w:name w:val="Question style"/>
    <w:basedOn w:val="a0"/>
    <w:next w:val="a0"/>
    <w:link w:val="QuestionstyleChar"/>
    <w:autoRedefine/>
    <w:qFormat/>
    <w:rsid w:val="00C5469A"/>
    <w:pPr>
      <w:tabs>
        <w:tab w:val="left" w:pos="567"/>
      </w:tabs>
      <w:ind w:hanging="360"/>
      <w:contextualSpacing/>
    </w:pPr>
    <w:rPr>
      <w:b/>
    </w:rPr>
  </w:style>
  <w:style w:type="character" w:customStyle="1" w:styleId="QuestionstyleChar">
    <w:name w:val="Question style Char"/>
    <w:basedOn w:val="a1"/>
    <w:link w:val="Questionstyle"/>
    <w:rsid w:val="00C5469A"/>
    <w:rPr>
      <w:b/>
      <w:color w:val="181818" w:themeColor="background1" w:themeShade="1A"/>
      <w:sz w:val="22"/>
      <w:lang w:val="en-GB"/>
    </w:rPr>
  </w:style>
  <w:style w:type="paragraph" w:customStyle="1" w:styleId="Listing2">
    <w:name w:val="Listing2"/>
    <w:basedOn w:val="a0"/>
    <w:link w:val="Listing2Char"/>
    <w:autoRedefine/>
    <w:rsid w:val="00DF3785"/>
  </w:style>
  <w:style w:type="character" w:customStyle="1" w:styleId="Listing2Char">
    <w:name w:val="Listing2 Char"/>
    <w:basedOn w:val="a1"/>
    <w:link w:val="Listing2"/>
    <w:rsid w:val="00DF3785"/>
    <w:rPr>
      <w:lang w:val="en-GB"/>
    </w:rPr>
  </w:style>
  <w:style w:type="table" w:styleId="aff">
    <w:name w:val="Table Grid"/>
    <w:basedOn w:val="a2"/>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0"/>
    <w:link w:val="aff1"/>
    <w:uiPriority w:val="99"/>
    <w:semiHidden/>
    <w:unhideWhenUsed/>
    <w:rsid w:val="00B50534"/>
    <w:pPr>
      <w:spacing w:after="0" w:line="240" w:lineRule="auto"/>
    </w:pPr>
  </w:style>
  <w:style w:type="character" w:customStyle="1" w:styleId="aff1">
    <w:name w:val="Текст концевой сноски Знак"/>
    <w:basedOn w:val="a1"/>
    <w:link w:val="aff0"/>
    <w:uiPriority w:val="99"/>
    <w:semiHidden/>
    <w:rsid w:val="00B50534"/>
    <w:rPr>
      <w:lang w:val="en-GB"/>
    </w:rPr>
  </w:style>
  <w:style w:type="character" w:styleId="aff2">
    <w:name w:val="endnote reference"/>
    <w:basedOn w:val="a1"/>
    <w:uiPriority w:val="99"/>
    <w:semiHidden/>
    <w:unhideWhenUsed/>
    <w:rsid w:val="00B50534"/>
    <w:rPr>
      <w:vertAlign w:val="superscript"/>
    </w:rPr>
  </w:style>
  <w:style w:type="paragraph" w:styleId="aff3">
    <w:name w:val="footnote text"/>
    <w:basedOn w:val="a0"/>
    <w:link w:val="aff4"/>
    <w:autoRedefine/>
    <w:uiPriority w:val="99"/>
    <w:unhideWhenUsed/>
    <w:qFormat/>
    <w:rsid w:val="007A1A9D"/>
    <w:pPr>
      <w:spacing w:after="0" w:line="240" w:lineRule="auto"/>
    </w:pPr>
    <w:rPr>
      <w:sz w:val="16"/>
    </w:rPr>
  </w:style>
  <w:style w:type="character" w:customStyle="1" w:styleId="aff4">
    <w:name w:val="Текст сноски Знак"/>
    <w:basedOn w:val="a1"/>
    <w:link w:val="aff3"/>
    <w:uiPriority w:val="99"/>
    <w:rsid w:val="007A1A9D"/>
    <w:rPr>
      <w:color w:val="181818" w:themeColor="background1" w:themeShade="1A"/>
      <w:sz w:val="16"/>
      <w:lang w:val="en-GB"/>
    </w:rPr>
  </w:style>
  <w:style w:type="character" w:styleId="aff5">
    <w:name w:val="footnote reference"/>
    <w:basedOn w:val="a1"/>
    <w:uiPriority w:val="99"/>
    <w:semiHidden/>
    <w:unhideWhenUsed/>
    <w:qFormat/>
    <w:rsid w:val="00A91D91"/>
    <w:rPr>
      <w:rFonts w:asciiTheme="majorHAnsi" w:hAnsiTheme="majorHAnsi"/>
      <w:sz w:val="16"/>
      <w:vertAlign w:val="superscript"/>
    </w:rPr>
  </w:style>
  <w:style w:type="paragraph" w:customStyle="1" w:styleId="Footnote">
    <w:name w:val="Footnote"/>
    <w:basedOn w:val="aff3"/>
    <w:link w:val="FootnoteChar"/>
    <w:qFormat/>
    <w:rsid w:val="00672C04"/>
    <w:pPr>
      <w:ind w:left="454" w:hanging="454"/>
    </w:pPr>
    <w:rPr>
      <w:lang w:val="nl-BE"/>
    </w:rPr>
  </w:style>
  <w:style w:type="character" w:customStyle="1" w:styleId="FootnoteChar">
    <w:name w:val="Footnote Char"/>
    <w:basedOn w:val="aff4"/>
    <w:link w:val="Footnote"/>
    <w:rsid w:val="00672C04"/>
    <w:rPr>
      <w:color w:val="181818" w:themeColor="background1" w:themeShade="1A"/>
      <w:sz w:val="16"/>
      <w:lang w:val="en-GB"/>
    </w:rPr>
  </w:style>
  <w:style w:type="table" w:customStyle="1" w:styleId="GridTable4-Accent11">
    <w:name w:val="Grid Table 4 - Accent 11"/>
    <w:basedOn w:val="a2"/>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aff6">
    <w:name w:val="Balloon Text"/>
    <w:basedOn w:val="a0"/>
    <w:link w:val="aff7"/>
    <w:uiPriority w:val="99"/>
    <w:semiHidden/>
    <w:unhideWhenUsed/>
    <w:rsid w:val="007151BF"/>
    <w:pPr>
      <w:spacing w:after="0" w:line="240" w:lineRule="auto"/>
    </w:pPr>
    <w:rPr>
      <w:rFonts w:ascii="Tahoma" w:hAnsi="Tahoma" w:cs="Tahoma"/>
      <w:sz w:val="16"/>
      <w:szCs w:val="16"/>
    </w:rPr>
  </w:style>
  <w:style w:type="character" w:customStyle="1" w:styleId="aff7">
    <w:name w:val="Текст выноски Знак"/>
    <w:basedOn w:val="a1"/>
    <w:link w:val="aff6"/>
    <w:uiPriority w:val="99"/>
    <w:semiHidden/>
    <w:rsid w:val="007151BF"/>
    <w:rPr>
      <w:rFonts w:ascii="Tahoma" w:hAnsi="Tahoma" w:cs="Tahoma"/>
      <w:sz w:val="16"/>
      <w:szCs w:val="16"/>
      <w:lang w:val="en-GB"/>
    </w:rPr>
  </w:style>
  <w:style w:type="paragraph" w:styleId="41">
    <w:name w:val="toc 4"/>
    <w:basedOn w:val="11"/>
    <w:next w:val="a0"/>
    <w:uiPriority w:val="39"/>
    <w:unhideWhenUsed/>
    <w:qFormat/>
    <w:rsid w:val="00F205B9"/>
    <w:pPr>
      <w:framePr w:wrap="around"/>
      <w:ind w:left="660"/>
    </w:pPr>
  </w:style>
  <w:style w:type="character" w:styleId="aff8">
    <w:name w:val="annotation reference"/>
    <w:basedOn w:val="a1"/>
    <w:uiPriority w:val="99"/>
    <w:semiHidden/>
    <w:unhideWhenUsed/>
    <w:rsid w:val="00D33C31"/>
    <w:rPr>
      <w:sz w:val="16"/>
      <w:szCs w:val="16"/>
    </w:rPr>
  </w:style>
  <w:style w:type="paragraph" w:styleId="aff9">
    <w:name w:val="annotation text"/>
    <w:basedOn w:val="a0"/>
    <w:link w:val="affa"/>
    <w:uiPriority w:val="99"/>
    <w:unhideWhenUsed/>
    <w:rsid w:val="00D33C31"/>
    <w:pPr>
      <w:spacing w:line="240" w:lineRule="auto"/>
    </w:pPr>
    <w:rPr>
      <w:sz w:val="20"/>
    </w:rPr>
  </w:style>
  <w:style w:type="character" w:customStyle="1" w:styleId="affa">
    <w:name w:val="Текст примечания Знак"/>
    <w:basedOn w:val="a1"/>
    <w:link w:val="aff9"/>
    <w:uiPriority w:val="99"/>
    <w:rsid w:val="00D33C31"/>
    <w:rPr>
      <w:lang w:val="en-GB"/>
    </w:rPr>
  </w:style>
  <w:style w:type="paragraph" w:styleId="affb">
    <w:name w:val="annotation subject"/>
    <w:basedOn w:val="aff9"/>
    <w:next w:val="aff9"/>
    <w:link w:val="affc"/>
    <w:uiPriority w:val="99"/>
    <w:semiHidden/>
    <w:unhideWhenUsed/>
    <w:rsid w:val="00D33C31"/>
    <w:rPr>
      <w:b/>
      <w:bCs/>
    </w:rPr>
  </w:style>
  <w:style w:type="character" w:customStyle="1" w:styleId="affc">
    <w:name w:val="Тема примечания Знак"/>
    <w:basedOn w:val="affa"/>
    <w:link w:val="affb"/>
    <w:uiPriority w:val="99"/>
    <w:semiHidden/>
    <w:rsid w:val="00D33C31"/>
    <w:rPr>
      <w:b/>
      <w:bCs/>
      <w:lang w:val="en-GB"/>
    </w:rPr>
  </w:style>
  <w:style w:type="character" w:styleId="affd">
    <w:name w:val="Unresolved Mention"/>
    <w:basedOn w:val="a1"/>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af0"/>
    <w:uiPriority w:val="1"/>
    <w:qFormat/>
    <w:rsid w:val="008858FE"/>
    <w:rPr>
      <w:b w:val="0"/>
      <w:bCs/>
      <w:caps/>
      <w:smallCaps w:val="0"/>
      <w:color w:val="FF0000" w:themeColor="accent6"/>
      <w:sz w:val="22"/>
    </w:rPr>
  </w:style>
  <w:style w:type="paragraph" w:customStyle="1" w:styleId="Disclaimer">
    <w:name w:val="Disclaimer"/>
    <w:basedOn w:val="a0"/>
    <w:qFormat/>
    <w:rsid w:val="00906D18"/>
    <w:rPr>
      <w:i/>
      <w:iCs/>
      <w:sz w:val="18"/>
      <w:szCs w:val="18"/>
    </w:rPr>
  </w:style>
  <w:style w:type="paragraph" w:customStyle="1" w:styleId="ESMAHeader">
    <w:name w:val="ESMA Header"/>
    <w:basedOn w:val="afa"/>
    <w:qFormat/>
    <w:rsid w:val="00AF6B1E"/>
  </w:style>
  <w:style w:type="paragraph" w:customStyle="1" w:styleId="Pageheader">
    <w:name w:val="Page header"/>
    <w:basedOn w:val="afa"/>
    <w:next w:val="afa"/>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a0"/>
    <w:qFormat/>
    <w:rsid w:val="00F205B9"/>
    <w:rPr>
      <w:rFonts w:ascii="Arial" w:eastAsia="Times New Roman" w:hAnsi="Arial" w:cs="Arial"/>
      <w:sz w:val="18"/>
      <w:szCs w:val="18"/>
      <w:lang w:eastAsia="de-DE"/>
    </w:rPr>
  </w:style>
  <w:style w:type="paragraph" w:styleId="51">
    <w:name w:val="toc 5"/>
    <w:basedOn w:val="a0"/>
    <w:next w:val="a0"/>
    <w:uiPriority w:val="39"/>
    <w:semiHidden/>
    <w:unhideWhenUsed/>
    <w:qFormat/>
    <w:rsid w:val="00F205B9"/>
    <w:pPr>
      <w:spacing w:after="100"/>
      <w:ind w:left="880"/>
    </w:pPr>
  </w:style>
  <w:style w:type="paragraph" w:styleId="61">
    <w:name w:val="toc 6"/>
    <w:basedOn w:val="a0"/>
    <w:next w:val="a0"/>
    <w:uiPriority w:val="39"/>
    <w:semiHidden/>
    <w:unhideWhenUsed/>
    <w:qFormat/>
    <w:rsid w:val="00F205B9"/>
    <w:pPr>
      <w:spacing w:after="100"/>
      <w:ind w:left="1100"/>
    </w:pPr>
  </w:style>
  <w:style w:type="paragraph" w:styleId="71">
    <w:name w:val="toc 7"/>
    <w:basedOn w:val="a0"/>
    <w:next w:val="a0"/>
    <w:uiPriority w:val="39"/>
    <w:semiHidden/>
    <w:unhideWhenUsed/>
    <w:qFormat/>
    <w:rsid w:val="00F205B9"/>
    <w:pPr>
      <w:spacing w:after="100"/>
      <w:ind w:left="1320"/>
    </w:pPr>
  </w:style>
  <w:style w:type="paragraph" w:styleId="81">
    <w:name w:val="toc 8"/>
    <w:basedOn w:val="a0"/>
    <w:next w:val="a0"/>
    <w:uiPriority w:val="39"/>
    <w:semiHidden/>
    <w:unhideWhenUsed/>
    <w:qFormat/>
    <w:rsid w:val="00F205B9"/>
    <w:pPr>
      <w:spacing w:after="100"/>
      <w:ind w:left="1540"/>
    </w:pPr>
  </w:style>
  <w:style w:type="paragraph" w:styleId="91">
    <w:name w:val="toc 9"/>
    <w:basedOn w:val="a0"/>
    <w:next w:val="a0"/>
    <w:uiPriority w:val="39"/>
    <w:semiHidden/>
    <w:unhideWhenUsed/>
    <w:qFormat/>
    <w:rsid w:val="00F205B9"/>
    <w:pPr>
      <w:spacing w:after="100"/>
      <w:ind w:left="1760"/>
    </w:pPr>
  </w:style>
  <w:style w:type="character" w:styleId="affe">
    <w:name w:val="FollowedHyperlink"/>
    <w:basedOn w:val="a1"/>
    <w:uiPriority w:val="99"/>
    <w:semiHidden/>
    <w:unhideWhenUsed/>
    <w:rsid w:val="0043139E"/>
    <w:rPr>
      <w:color w:val="0174AF" w:themeColor="followedHyperlink"/>
      <w:u w:val="single"/>
    </w:rPr>
  </w:style>
  <w:style w:type="character" w:customStyle="1" w:styleId="a6">
    <w:name w:val="Абзац списка Знак"/>
    <w:aliases w:val="Paragraphe EI Знак,Paragraphe de liste1 Знак,EC Знак"/>
    <w:link w:val="a"/>
    <w:uiPriority w:val="34"/>
    <w:locked/>
    <w:rsid w:val="00EC6066"/>
    <w:rPr>
      <w:rFonts w:asciiTheme="majorHAnsi" w:hAnsiTheme="majorHAnsi" w:cstheme="majorHAnsi"/>
      <w:color w:val="181818" w:themeColor="background1" w:themeShade="1A"/>
      <w:sz w:val="22"/>
      <w:szCs w:val="22"/>
      <w:lang w:val="pt-PT"/>
    </w:rPr>
  </w:style>
  <w:style w:type="paragraph" w:styleId="afff">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a0"/>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1"/>
    <w:rsid w:val="00061F32"/>
    <w:rPr>
      <w:rFonts w:ascii="Segoe UI" w:hAnsi="Segoe UI" w:cs="Segoe UI" w:hint="default"/>
      <w:sz w:val="18"/>
      <w:szCs w:val="18"/>
    </w:rPr>
  </w:style>
  <w:style w:type="character" w:customStyle="1" w:styleId="cf11">
    <w:name w:val="cf11"/>
    <w:basedOn w:val="a1"/>
    <w:rsid w:val="00061F32"/>
    <w:rPr>
      <w:rFonts w:ascii="Segoe UI" w:hAnsi="Segoe UI" w:cs="Segoe UI" w:hint="default"/>
      <w:color w:val="333333"/>
      <w:sz w:val="18"/>
      <w:szCs w:val="18"/>
      <w:shd w:val="clear" w:color="auto" w:fill="FFFFFF"/>
    </w:rPr>
  </w:style>
  <w:style w:type="character" w:styleId="afff0">
    <w:name w:val="Mention"/>
    <w:basedOn w:val="a1"/>
    <w:uiPriority w:val="99"/>
    <w:unhideWhenUsed/>
    <w:rsid w:val="00251F26"/>
    <w:rPr>
      <w:color w:val="2B579A"/>
      <w:shd w:val="clear" w:color="auto" w:fill="E1DFDD"/>
    </w:rPr>
  </w:style>
  <w:style w:type="character" w:styleId="afff1">
    <w:name w:val="Placeholder Text"/>
    <w:basedOn w:val="a1"/>
    <w:uiPriority w:val="99"/>
    <w:semiHidden/>
    <w:rsid w:val="00635BCA"/>
    <w:rPr>
      <w:color w:val="808080"/>
    </w:rPr>
  </w:style>
  <w:style w:type="paragraph" w:customStyle="1" w:styleId="para">
    <w:name w:val="para"/>
    <w:basedOn w:val="a"/>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1"/>
    <w:link w:val="para"/>
    <w:rsid w:val="00641F03"/>
    <w:rPr>
      <w:bCs/>
      <w:iCs/>
      <w:color w:val="181818" w:themeColor="background1" w:themeShade="1A"/>
      <w:sz w:val="22"/>
      <w:lang w:val="en-GB"/>
    </w:rPr>
  </w:style>
  <w:style w:type="character" w:customStyle="1" w:styleId="normaltextrun">
    <w:name w:val="normaltextrun"/>
    <w:basedOn w:val="a1"/>
    <w:rsid w:val="00F60040"/>
  </w:style>
  <w:style w:type="paragraph" w:customStyle="1" w:styleId="p1">
    <w:name w:val="p1"/>
    <w:basedOn w:val="a0"/>
    <w:rsid w:val="00996759"/>
    <w:pPr>
      <w:spacing w:before="100" w:beforeAutospacing="1" w:after="100" w:afterAutospacing="1" w:line="240" w:lineRule="auto"/>
      <w:jc w:val="left"/>
    </w:pPr>
    <w:rPr>
      <w:rFonts w:ascii="Times New Roman" w:eastAsia="Times New Roman" w:hAnsi="Times New Roman" w:cs="Times New Roman"/>
      <w:color w:val="auto"/>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a3"/>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a3"/>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72212"/>
    <w:rsid w:val="00375BF9"/>
    <w:rsid w:val="004E4CF9"/>
    <w:rsid w:val="004F4339"/>
    <w:rsid w:val="005D66AB"/>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5730B"/>
    <w:rsid w:val="00A804C7"/>
    <w:rsid w:val="00A93A1C"/>
    <w:rsid w:val="00AD66C2"/>
    <w:rsid w:val="00B07345"/>
    <w:rsid w:val="00B11B3A"/>
    <w:rsid w:val="00B22006"/>
    <w:rsid w:val="00B46CAE"/>
    <w:rsid w:val="00CA74DD"/>
    <w:rsid w:val="00D52831"/>
    <w:rsid w:val="00D63E3A"/>
    <w:rsid w:val="00DC3796"/>
    <w:rsid w:val="00DC4211"/>
    <w:rsid w:val="00E023D2"/>
    <w:rsid w:val="00E41C46"/>
    <w:rsid w:val="00EE3D34"/>
    <w:rsid w:val="00F81463"/>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3.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6292</Words>
  <Characters>35866</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Ксения Мымченко</cp:lastModifiedBy>
  <cp:revision>7</cp:revision>
  <cp:lastPrinted>2023-09-09T09:53:00Z</cp:lastPrinted>
  <dcterms:created xsi:type="dcterms:W3CDTF">2026-06-11T16:52:00Z</dcterms:created>
  <dcterms:modified xsi:type="dcterms:W3CDTF">2026-06-11T17:03:00Z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