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B15926">
            <w:rPr>
              <w:rFonts w:ascii="Arial" w:eastAsia="MS PGothic" w:hAnsi="Arial" w:cs="Arial"/>
              <w:b/>
              <w:color w:val="2F5496"/>
              <w:spacing w:val="-10"/>
              <w:kern w:val="0"/>
              <w:sz w:val="40"/>
              <w:szCs w:val="40"/>
              <w:lang w:eastAsia="en-GB"/>
              <w14:ligatures w14:val="none"/>
            </w:rPr>
            <w:t xml:space="preserve">Reply form </w:t>
          </w:r>
        </w:p>
        <w:p w14:paraId="4FAFD18A" w14:textId="77777777" w:rsidR="006807AF" w:rsidRPr="00B1592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B1592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B15926">
            <w:rPr>
              <w:rFonts w:ascii="Arial" w:eastAsia="MS PGothic" w:hAnsi="Arial" w:cs="Arial"/>
              <w:b/>
              <w:spacing w:val="-10"/>
              <w:kern w:val="0"/>
              <w:sz w:val="28"/>
              <w:szCs w:val="28"/>
              <w:lang w:eastAsia="en-GB"/>
              <w14:ligatures w14:val="none"/>
            </w:rPr>
            <w:t xml:space="preserve">for </w:t>
          </w:r>
          <w:r w:rsidRPr="00B15926">
            <w:rPr>
              <w:rFonts w:ascii="Arial" w:eastAsia="MS PGothic" w:hAnsi="Arial" w:cs="Arial"/>
              <w:b/>
              <w:bCs/>
              <w:spacing w:val="-10"/>
              <w:kern w:val="0"/>
              <w:sz w:val="28"/>
              <w:szCs w:val="28"/>
              <w:lang w:eastAsia="en-GB"/>
              <w14:ligatures w14:val="none"/>
            </w:rPr>
            <w:t>the Call for Evidence on restricted subscription and private</w:t>
          </w:r>
          <w:r w:rsidR="001013E7">
            <w:rPr>
              <w:rFonts w:ascii="Arial" w:eastAsia="MS PGothic" w:hAnsi="Arial" w:cs="Arial"/>
              <w:b/>
              <w:bCs/>
              <w:spacing w:val="-10"/>
              <w:kern w:val="0"/>
              <w:sz w:val="28"/>
              <w:szCs w:val="28"/>
              <w:lang w:eastAsia="en-GB"/>
              <w14:ligatures w14:val="none"/>
            </w:rPr>
            <w:t xml:space="preserve"> credit </w:t>
          </w:r>
          <w:r w:rsidRPr="00B15926">
            <w:rPr>
              <w:rFonts w:ascii="Arial" w:eastAsia="MS PGothic" w:hAnsi="Arial" w:cs="Arial"/>
              <w:b/>
              <w:bCs/>
              <w:spacing w:val="-10"/>
              <w:kern w:val="0"/>
              <w:sz w:val="28"/>
              <w:szCs w:val="28"/>
              <w:lang w:eastAsia="en-GB"/>
              <w14:ligatures w14:val="none"/>
            </w:rPr>
            <w:t>ratings</w:t>
          </w:r>
        </w:p>
        <w:p w14:paraId="57D4FB8D" w14:textId="77777777" w:rsidR="00B15926" w:rsidRPr="00B1592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B1592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B15926" w:rsidSect="00B1592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r w:rsidRPr="00B1592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2A59F4">
                  <v:shape id="Freeform: Shape 8"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o:spt="100" adj="-11796480,,5400"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D7CZs2D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aJpire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cVW4qq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TiqzFXYqtLYaVWwK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0TTFVpNcVaxV&#10;ommNKtJrklaxVEZ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tLYqtxV3TFVhOGlawq0TTFVpNcVReR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tE0xVaTXFWsVWk4aVbhV2KrScVW4q4mmFUZkF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Wk4qtxVommKrSa5JWsVaJpiqytcVdiq0thStxQmGQ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onFVmKuxVaWw0q3CriaYqsJri&#10;rWKtE0wpWk1xQ1gV2SplSYZWx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aJpiq&#10;0muKtYq0TTGlWk1yStYqtJxVbirsKrScUrcCHYUtE0ySeS0muKLTPKk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aWxVbirumKrCcNK1hVommKrSa4q1irROFKzrih2Kuw0ypaWwra3Fi&#10;7FU0yp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m2VK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tJx&#10;VbirRNMVWk1yStYq0TTFVla4q7FVpbClbih2KXYaStJwotbih2KtE0xVaTXCrWKpxl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tE4qsxV2KrS2GlW4VcTTFVhNcVaxVommFK0muKGsCuyVMqaJwrazFD&#10;sUOxVaThVbirsCrScUp1lS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aYqtJrirWKtE0xpVpNckrWKrSc&#10;VW4q7Cq0nFK3Ah2FLRNMknktJrii2sUOxVommKrSa4VawK0TTFK0muGlaySE8zH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rS2KrcVd0xVYThpWsKtE0xVaTXFWsVaJwpWdcUOxV2GmVLS2FbW4sXYq6tMVWE1w0&#10;rWKuwKtLYUrcKtE0wqtJrimk/wAx2L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aJpiq0muKtYqtJw0q3CrsVWk4qtx&#10;VxNMKrCa4q1gV2Gk00TTJJWk1xQ1ih2KrScVW4VdgVommKVpNclStYULS2LKluKu6YoZBmOh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aTiq3FWiaYqtJrklaxVommKrK1xV2KrS2FK3FDsUuw0laThRa3FDsVaJpiq0muFW&#10;sVd0wJWE4aVrCrRNMK0tJrilrFbWk4opbiyZJmOw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0ThW1mKHYodiq0nCq3FXYFWk4pW5KldhQtJxZUtxW2iaYo5rSa4paxS&#10;0TirJcx2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RNMVWk1xVrFWiaY0q0muSVrFVpOKrcVdhVaTilbgQ7ClommSTyWk1xRbWKHYq&#10;0TTFVpNcKtYFaJpilaTXDStZJDROKaWYsnYsbWlsU0txS0TTFVpNcVaxVlGY7B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rS2KrcVd0xV&#10;YThpWsKtE0xVaTXFWsVaJwpWdcUOxV2GmVLS2FbW4sXYq6tMVWE1w0rWKuwKtLYUrcKtE0wqtJri&#10;mmsVtommKFpNcWTWKrS2KrcVdirsNKyjMZg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iaYqtJrirWKrScNKtwq7FVpOKrcVcTTCqwmuKtYFdh&#10;pNNE0ySVpNcUNYodiq0nFVuFXYFaJpilaTXJUrWFC0tiypbirumKFhOKaaxS0TTFVpNcVaxV2Gld&#10;hV2KsozFYO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rScVW4q0TTFVpNckrWKtE0xVZWuKuxVaWwpW4odil2GkrScKLW4odirRNMVWk1wq1irumBK&#10;wnDStYVaJphWlpNcUtYra0nFFLcWTsVWk4qtxV2KuySuxVaTiq3FWWZisH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cVWYq7FVpbDSrcKuJpiqwmuKtY&#10;q0TTClaTXFDWBXZKmVLScK2txYuxV2KrScKrcVdgVaTilbkqV2FC0nFlS3FbaJpijmtJrilrFLRO&#10;KrMVdirsNK7CrRNMVWk1xVrFWiaYqy3MVg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0TTFVpNcVaxVommNKtJrklaxVaTiq3FXYVWk4pW4EOwpaJpkk8lpNcUW&#10;1ih2KtE0xVaTXCrWBWiaYpWk1w0rWSQ0TimlmLJ2LG1pbFNLcUtE0xVaTXFWsVdjSuySuxVaWxVb&#10;irq0xVYTXFWsVZhmKw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0tiq3FXdMVWE4aVrCrRNMVWk1xVrFWicKVnXFDsVdhplS0thW1uLF2KurTFVhNcNK1irsCrS2F&#10;K3CrRNMKrSa4pprFbaJpihaTXFk1iq0tiq3FXYq7DSuwq0TTFVpNcVaxVaTiq3FXYVWk4aVmWYbB&#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tE0xVaTXFWsVWk4aVbhV2K&#10;rScVW4q4mmFVhNcVawK7DSaaJpkkrSa4oaxQ7FVpOKrcKuwK0TTFK0muSpWsKFpbFlS3FXVpihYT&#10;XFNNYpaJpiq0muKtYq7DSuwq7FVhOKtYq0TTFVpNcVaxVonDSrMkrsVZpmEw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Wk4qtxVommKrSa5JWsVaJxVZ1xV2KrS2FK3FDsUu&#10;w0lYThRbWKHYq0TTFVpNcKtYq7pgSsJw0rWFWiaYVpaTXFLWK2tJxWluKXYqtJxVbirsVdkldiq0&#10;nFVuKuxVaTiq3FWiaYVWk1w0rWFWiaYqsrXFWcZhMH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1wMqdxxtbaIpjaObXXFVh2wpaxUtE0xQtJrilrCAl2FWiaYqtJrirWKtE0x&#10;VZWuKuxVaWyVKtwq4mmKrCa4q1irRNMVZzmEw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" w14:anchorId="61FF4C5C">
                    <v:fill type="frame" o:title="" recolor="t" rotate="t" r:id="rId19"/>
                    <v:stroke joinstyle="miter"/>
                    <v:formulas/>
                    <v:path textboxrect="0,0,7569200,9779055" arrowok="t" o:connecttype="custom" o:connectlocs="2940106,926681;7570470,544916;7570470,3172488;7570470,9777095;7570470,9777095;0,9777095;0,9777095;0,3172488;2940106,926681" o:connectangles="0,0,0,0,0,0,0,0,0"/>
                    <v:textbox>
                      <w:txbxContent>
                        <w:p w:rsidR="00B15926" w:rsidP="00B15926" w:rsidRDefault="00B15926" w14:paraId="672A6659" w14:textId="77777777">
                          <w:pPr>
                            <w:jc w:val="both"/>
                          </w:pPr>
                        </w:p>
                      </w:txbxContent>
                    </v:textbox>
                    <w10:wrap anchorx="page"/>
                    <w10:anchorlock/>
                  </v:shape>
                </w:pict>
              </mc:Fallback>
            </mc:AlternateContent>
          </w:r>
        </w:p>
        <w:p w14:paraId="17D0507F" w14:textId="77777777" w:rsidR="00B15926" w:rsidRPr="00B15926" w:rsidRDefault="00B15926" w:rsidP="00B15926">
          <w:pPr>
            <w:numPr>
              <w:ilvl w:val="1"/>
              <w:numId w:val="0"/>
            </w:num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lastRenderedPageBreak/>
            <w:t xml:space="preserve">Responding to this paper </w:t>
          </w:r>
        </w:p>
        <w:p w14:paraId="2DACE6AA"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ESMA invites comments on all matters in this call for evidence and </w:t>
          </w:r>
          <w:proofErr w:type="gramStart"/>
          <w:r w:rsidRPr="00B15926">
            <w:rPr>
              <w:rFonts w:ascii="Arial" w:eastAsia="MS PGothic" w:hAnsi="Arial" w:cs="Arial"/>
              <w:kern w:val="0"/>
              <w:sz w:val="22"/>
              <w:szCs w:val="22"/>
              <w:u w:val="dottedHeavy" w:color="BF8F00"/>
              <w14:ligatures w14:val="none"/>
            </w:rPr>
            <w:t>in particular on</w:t>
          </w:r>
          <w:proofErr w:type="gramEnd"/>
          <w:r w:rsidRPr="00B1592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indicate the specific question to which the comment relates;</w:t>
          </w:r>
        </w:p>
        <w:p w14:paraId="7381461C"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contain a clear rationale; and</w:t>
          </w:r>
        </w:p>
        <w:p w14:paraId="5D19C905" w14:textId="77777777" w:rsidR="00B15926" w:rsidRPr="00B1592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respond to the question stated;</w:t>
          </w:r>
        </w:p>
        <w:p w14:paraId="3D6E2318" w14:textId="77777777" w:rsidR="00A07103" w:rsidRPr="00B1592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ESMA will consider all comments received by</w:t>
          </w:r>
          <w:r w:rsidRPr="03BB9B2B">
            <w:rPr>
              <w:rFonts w:ascii="Arial" w:eastAsia="MS PGothic" w:hAnsi="Arial" w:cs="Arial"/>
              <w:sz w:val="22"/>
              <w:szCs w:val="22"/>
            </w:rPr>
            <w:t xml:space="preserve"> </w:t>
          </w:r>
          <w:r w:rsidR="23716F1B" w:rsidRPr="03BB9B2B">
            <w:rPr>
              <w:rFonts w:ascii="Arial" w:eastAsia="MS PGothic" w:hAnsi="Arial" w:cs="Arial"/>
              <w:b/>
              <w:bCs/>
              <w:kern w:val="0"/>
              <w:sz w:val="22"/>
              <w:szCs w:val="22"/>
              <w14:ligatures w14:val="none"/>
            </w:rPr>
            <w:t>31 May 2026</w:t>
          </w:r>
          <w:r w:rsidRPr="03BB9B2B">
            <w:rPr>
              <w:rFonts w:ascii="Arial" w:eastAsia="MS PGothic" w:hAnsi="Arial" w:cs="Arial"/>
              <w:b/>
              <w:bCs/>
              <w:sz w:val="22"/>
              <w:szCs w:val="22"/>
            </w:rPr>
            <w:t>.</w:t>
          </w:r>
          <w:r w:rsidRPr="03BB9B2B">
            <w:rPr>
              <w:rFonts w:ascii="Arial" w:eastAsia="MS PGothic" w:hAnsi="Arial" w:cs="Arial"/>
              <w:b/>
              <w:sz w:val="22"/>
              <w:szCs w:val="22"/>
            </w:rPr>
            <w:t xml:space="preserve">  </w:t>
          </w:r>
        </w:p>
        <w:p w14:paraId="7BF6725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Instructions</w:t>
          </w:r>
        </w:p>
        <w:p w14:paraId="388D2D87"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proofErr w:type="gramStart"/>
          <w:r w:rsidRPr="00B15926">
            <w:rPr>
              <w:rFonts w:ascii="Arial" w:eastAsia="MS PGothic" w:hAnsi="Arial" w:cs="Arial"/>
              <w:kern w:val="0"/>
              <w:sz w:val="22"/>
              <w:szCs w:val="22"/>
              <w14:ligatures w14:val="none"/>
            </w:rPr>
            <w:t>In order to</w:t>
          </w:r>
          <w:proofErr w:type="gramEnd"/>
          <w:r w:rsidRPr="00B15926">
            <w:rPr>
              <w:rFonts w:ascii="Arial" w:eastAsia="MS PGothic" w:hAnsi="Arial" w:cs="Arial"/>
              <w:kern w:val="0"/>
              <w:sz w:val="22"/>
              <w:szCs w:val="22"/>
              <w14:ligatures w14:val="none"/>
            </w:rPr>
            <w:t xml:space="preserve"> facilitate analysis of responses to the Call for Evidence, respondents are requested to follow the below steps when preparing and submitting their response:</w:t>
          </w:r>
        </w:p>
        <w:p w14:paraId="1B185742" w14:textId="5C3483B0"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Insert your responses to the questions in the Call for Evidence in the present response</w:t>
          </w:r>
          <w:r w:rsidR="00486630">
            <w:rPr>
              <w:rFonts w:ascii="Arial" w:eastAsia="MS PGothic" w:hAnsi="Arial" w:cs="Arial"/>
              <w:kern w:val="0"/>
              <w:sz w:val="22"/>
              <w:szCs w:val="22"/>
              <w14:ligatures w14:val="none"/>
            </w:rPr>
            <w:t xml:space="preserve"> </w:t>
          </w:r>
          <w:r w:rsidRPr="00486630">
            <w:rPr>
              <w:rFonts w:ascii="Arial" w:eastAsia="MS PGothic" w:hAnsi="Arial" w:cs="Arial"/>
              <w:kern w:val="0"/>
              <w:sz w:val="22"/>
              <w:szCs w:val="22"/>
              <w14:ligatures w14:val="none"/>
            </w:rPr>
            <w:t xml:space="preserve">form. </w:t>
          </w:r>
        </w:p>
        <w:p w14:paraId="0FD82FD5"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486630">
            <w:rPr>
              <w:rFonts w:ascii="Arial" w:eastAsia="MS PGothic" w:hAnsi="Arial" w:cs="Arial"/>
              <w:kern w:val="0"/>
              <w:sz w:val="22"/>
              <w:szCs w:val="22"/>
              <w14:ligatures w14:val="none"/>
            </w:rPr>
            <w:t>Use this form and send your responses in Word format (</w:t>
          </w:r>
          <w:r w:rsidRPr="00486630">
            <w:rPr>
              <w:rFonts w:ascii="Arial" w:eastAsia="MS PGothic" w:hAnsi="Arial" w:cs="Arial"/>
              <w:b/>
              <w:bCs/>
              <w:kern w:val="0"/>
              <w:sz w:val="22"/>
              <w:szCs w:val="22"/>
              <w:u w:val="single"/>
              <w14:ligatures w14:val="none"/>
            </w:rPr>
            <w:t>pdf documents will not be considered except for annexes</w:t>
          </w:r>
          <w:r w:rsidRPr="00486630">
            <w:rPr>
              <w:rFonts w:ascii="Arial" w:eastAsia="MS PGothic" w:hAnsi="Arial" w:cs="Arial"/>
              <w:kern w:val="0"/>
              <w:sz w:val="22"/>
              <w:szCs w:val="22"/>
              <w:u w:val="single"/>
              <w14:ligatures w14:val="none"/>
            </w:rPr>
            <w:t>);</w:t>
          </w:r>
        </w:p>
        <w:p w14:paraId="73AFC256" w14:textId="0AB1E93C" w:rsidR="00B15926" w:rsidRPr="00E337D4"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361301D0">
            <w:rPr>
              <w:rFonts w:ascii="Arial" w:eastAsia="MS PGothic" w:hAnsi="Arial" w:cs="Arial"/>
              <w:kern w:val="0"/>
              <w:sz w:val="22"/>
              <w:szCs w:val="22"/>
              <w14:ligatures w14:val="none"/>
            </w:rPr>
            <w:t>Please do not remove tags of the type &lt;ESMA_QUESTION _</w:t>
          </w:r>
          <w:r w:rsidR="39331D24" w:rsidRPr="361301D0">
            <w:rPr>
              <w:rFonts w:ascii="Arial" w:eastAsia="MS PGothic" w:hAnsi="Arial" w:cs="Arial"/>
              <w:kern w:val="0"/>
              <w:sz w:val="22"/>
              <w:szCs w:val="22"/>
              <w14:ligatures w14:val="none"/>
            </w:rPr>
            <w:t>RSR</w:t>
          </w:r>
          <w:r w:rsidRPr="361301D0">
            <w:rPr>
              <w:rFonts w:ascii="Arial" w:eastAsia="MS PGothic" w:hAnsi="Arial" w:cs="Arial"/>
              <w:kern w:val="0"/>
              <w:sz w:val="22"/>
              <w:szCs w:val="22"/>
              <w14:ligatures w14:val="none"/>
            </w:rPr>
            <w:t xml:space="preserve">_1&gt;. Your response to each question </w:t>
          </w:r>
          <w:proofErr w:type="gramStart"/>
          <w:r w:rsidRPr="361301D0">
            <w:rPr>
              <w:rFonts w:ascii="Arial" w:eastAsia="MS PGothic" w:hAnsi="Arial" w:cs="Arial"/>
              <w:kern w:val="0"/>
              <w:sz w:val="22"/>
              <w:szCs w:val="22"/>
              <w14:ligatures w14:val="none"/>
            </w:rPr>
            <w:t>has to</w:t>
          </w:r>
          <w:proofErr w:type="gramEnd"/>
          <w:r w:rsidRPr="361301D0">
            <w:rPr>
              <w:rFonts w:ascii="Arial" w:eastAsia="MS PGothic" w:hAnsi="Arial" w:cs="Arial"/>
              <w:kern w:val="0"/>
              <w:sz w:val="22"/>
              <w:szCs w:val="22"/>
              <w14:ligatures w14:val="none"/>
            </w:rPr>
            <w:t xml:space="preserve"> be framed by the two tags corresponding to the question.</w:t>
          </w:r>
        </w:p>
        <w:p w14:paraId="38BF53C8"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If you do not wish to respond to a given question, please do not delete it but simply leave the text “TYPE YOUR TEXT HERE” between the tags.</w:t>
          </w:r>
        </w:p>
        <w:p w14:paraId="1EFDE0EC" w14:textId="363B9AAD"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When you have drafted your response, name your response form according to the following convention: </w:t>
          </w:r>
          <w:proofErr w:type="spellStart"/>
          <w:r w:rsidRPr="00486630">
            <w:rPr>
              <w:rFonts w:ascii="Arial" w:eastAsia="MS PGothic" w:hAnsi="Arial" w:cs="Arial"/>
              <w:kern w:val="0"/>
              <w:sz w:val="22"/>
              <w:szCs w:val="22"/>
              <w14:ligatures w14:val="none"/>
            </w:rPr>
            <w:t>ESMA_</w:t>
          </w:r>
          <w:r w:rsidR="008B4686">
            <w:rPr>
              <w:rFonts w:ascii="Arial" w:eastAsia="MS PGothic" w:hAnsi="Arial" w:cs="Arial"/>
              <w:kern w:val="0"/>
              <w:sz w:val="22"/>
              <w:szCs w:val="22"/>
              <w14:ligatures w14:val="none"/>
            </w:rPr>
            <w:t>RSR</w:t>
          </w:r>
          <w:r w:rsidRPr="00486630">
            <w:rPr>
              <w:rFonts w:ascii="Arial" w:eastAsia="MS PGothic" w:hAnsi="Arial" w:cs="Arial"/>
              <w:kern w:val="0"/>
              <w:sz w:val="22"/>
              <w:szCs w:val="22"/>
              <w14:ligatures w14:val="none"/>
            </w:rPr>
            <w:t>_</w:t>
          </w:r>
          <w:r w:rsidRPr="361301D0">
            <w:rPr>
              <w:rFonts w:ascii="Arial" w:eastAsia="MS PGothic" w:hAnsi="Arial" w:cs="Arial"/>
              <w:sz w:val="22"/>
              <w:szCs w:val="22"/>
            </w:rPr>
            <w:t>nameofrespondent_RESPONSEFORM</w:t>
          </w:r>
          <w:proofErr w:type="spellEnd"/>
          <w:r w:rsidRPr="361301D0">
            <w:rPr>
              <w:rFonts w:ascii="Arial" w:eastAsia="MS PGothic" w:hAnsi="Arial" w:cs="Arial"/>
              <w:sz w:val="22"/>
              <w:szCs w:val="22"/>
            </w:rPr>
            <w:t>. For example, for a respondent named ABCD, the response form would be entitled ESMA_</w:t>
          </w:r>
          <w:r w:rsidR="20536DDB" w:rsidRPr="361301D0">
            <w:rPr>
              <w:rFonts w:ascii="Arial" w:eastAsia="MS PGothic" w:hAnsi="Arial" w:cs="Arial"/>
              <w:sz w:val="22"/>
              <w:szCs w:val="22"/>
            </w:rPr>
            <w:t>R</w:t>
          </w:r>
          <w:r w:rsidRPr="361301D0">
            <w:rPr>
              <w:rFonts w:ascii="Arial" w:eastAsia="MS PGothic" w:hAnsi="Arial" w:cs="Arial"/>
              <w:sz w:val="22"/>
              <w:szCs w:val="22"/>
            </w:rPr>
            <w:t>SR_ABCD_RESPONSEFORM.</w:t>
          </w:r>
        </w:p>
        <w:p w14:paraId="0CAA793B" w14:textId="24072DE7" w:rsidR="00B1592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Upload the form containing your responses, </w:t>
          </w:r>
          <w:r w:rsidRPr="00486630">
            <w:rPr>
              <w:rFonts w:ascii="Arial" w:eastAsia="MS PGothic" w:hAnsi="Arial" w:cs="Arial"/>
              <w:b/>
              <w:bCs/>
              <w:kern w:val="0"/>
              <w:sz w:val="22"/>
              <w:szCs w:val="22"/>
              <w14:ligatures w14:val="none"/>
            </w:rPr>
            <w:t>in Word format</w:t>
          </w:r>
          <w:r w:rsidRPr="00486630">
            <w:rPr>
              <w:rFonts w:ascii="Arial" w:eastAsia="MS PGothic" w:hAnsi="Arial" w:cs="Arial"/>
              <w:kern w:val="0"/>
              <w:sz w:val="22"/>
              <w:szCs w:val="22"/>
              <w14:ligatures w14:val="none"/>
            </w:rPr>
            <w:t>, to ESMA’s website (www.esma.europa.eu under the heading “Your input – Open Consultations” -</w:t>
          </w:r>
          <w:proofErr w:type="gramStart"/>
          <w:r w:rsidRPr="00486630">
            <w:rPr>
              <w:rFonts w:ascii="Arial" w:eastAsia="MS PGothic" w:hAnsi="Arial" w:cs="Arial"/>
              <w:kern w:val="0"/>
              <w:sz w:val="22"/>
              <w:szCs w:val="22"/>
              <w14:ligatures w14:val="none"/>
            </w:rPr>
            <w:t>&gt;  Call</w:t>
          </w:r>
          <w:proofErr w:type="gramEnd"/>
          <w:r w:rsidRPr="00486630">
            <w:rPr>
              <w:rFonts w:ascii="Arial" w:eastAsia="MS PGothic" w:hAnsi="Arial" w:cs="Arial"/>
              <w:kern w:val="0"/>
              <w:sz w:val="22"/>
              <w:szCs w:val="22"/>
              <w14:ligatures w14:val="none"/>
            </w:rPr>
            <w:t xml:space="preserve"> for evidence on </w:t>
          </w:r>
          <w:r w:rsidR="008B4686">
            <w:rPr>
              <w:rFonts w:ascii="Arial" w:eastAsia="MS PGothic" w:hAnsi="Arial" w:cs="Arial"/>
              <w:kern w:val="0"/>
              <w:sz w:val="22"/>
              <w:szCs w:val="22"/>
              <w14:ligatures w14:val="none"/>
            </w:rPr>
            <w:t>restricted subscription and private ratings</w:t>
          </w:r>
          <w:r w:rsidRPr="00486630">
            <w:rPr>
              <w:rFonts w:ascii="Arial" w:eastAsia="MS PGothic" w:hAnsi="Arial" w:cs="Arial"/>
              <w:kern w:val="0"/>
              <w:sz w:val="22"/>
              <w:szCs w:val="22"/>
              <w14:ligatures w14:val="none"/>
            </w:rPr>
            <w:t xml:space="preserve">”). </w:t>
          </w:r>
        </w:p>
        <w:p w14:paraId="4B21A201" w14:textId="77777777" w:rsidR="00486630" w:rsidRPr="00486630" w:rsidRDefault="00486630" w:rsidP="00486630">
          <w:pPr>
            <w:pStyle w:val="ListParagraph"/>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Publication of responses</w:t>
          </w:r>
        </w:p>
        <w:p w14:paraId="39F49093" w14:textId="42027DB8"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w:t>
          </w:r>
          <w:hyperlink r:id="rId20" w:anchor=":~:text=How%20to%20request%20access%20to,enable%20ESMA%20to%20identify%20it." w:history="1">
            <w:r w:rsidRPr="0092767A">
              <w:rPr>
                <w:rStyle w:val="Hyperlink"/>
                <w:rFonts w:ascii="Arial" w:eastAsia="MS PGothic" w:hAnsi="Arial" w:cs="Arial"/>
                <w:kern w:val="0"/>
                <w:sz w:val="22"/>
                <w:szCs w:val="22"/>
                <w14:ligatures w14:val="none"/>
              </w:rPr>
              <w:t>ESMA’s rules on access to documents</w:t>
            </w:r>
          </w:hyperlink>
          <w:r w:rsidRPr="00B15926">
            <w:rPr>
              <w:rFonts w:ascii="Arial" w:eastAsia="MS PGothic" w:hAnsi="Arial" w:cs="Arial"/>
              <w:kern w:val="0"/>
              <w:sz w:val="22"/>
              <w:szCs w:val="22"/>
              <w14:ligatures w14:val="none"/>
            </w:rPr>
            <w:t>. We may consult you if we receive such a request. Any decision we make not to disclose the response is reviewable by ESMA’s Board of Appeal and the European Ombudsman.</w:t>
          </w:r>
        </w:p>
        <w:p w14:paraId="765B275A"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Data protection</w:t>
          </w:r>
        </w:p>
        <w:p w14:paraId="22019145" w14:textId="400B946B"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Information on data protection can be found at </w:t>
          </w:r>
          <w:hyperlink r:id="rId21" w:history="1">
            <w:r w:rsidRPr="00B15926">
              <w:rPr>
                <w:rFonts w:ascii="Arial" w:eastAsia="MS PGothic" w:hAnsi="Arial" w:cs="Arial"/>
                <w:color w:val="0563C1"/>
                <w:kern w:val="0"/>
                <w:sz w:val="22"/>
                <w:szCs w:val="22"/>
                <w:u w:val="single"/>
                <w14:ligatures w14:val="none"/>
              </w:rPr>
              <w:t>www.esma.europa.eu</w:t>
            </w:r>
          </w:hyperlink>
          <w:r w:rsidRPr="00B15926">
            <w:rPr>
              <w:rFonts w:ascii="Arial" w:eastAsia="MS PGothic" w:hAnsi="Arial" w:cs="Arial"/>
              <w:kern w:val="0"/>
              <w:sz w:val="22"/>
              <w:szCs w:val="22"/>
              <w14:ligatures w14:val="none"/>
            </w:rPr>
            <w:t xml:space="preserve"> under the heading </w:t>
          </w:r>
          <w:hyperlink r:id="rId22" w:history="1">
            <w:r w:rsidRPr="00B15926">
              <w:rPr>
                <w:rFonts w:ascii="Arial" w:eastAsia="MS PGothic" w:hAnsi="Arial" w:cs="Arial"/>
                <w:color w:val="0563C1"/>
                <w:kern w:val="0"/>
                <w:sz w:val="22"/>
                <w:szCs w:val="22"/>
                <w:u w:val="single"/>
                <w14:ligatures w14:val="none"/>
              </w:rPr>
              <w:t>Legal Notice</w:t>
            </w:r>
          </w:hyperlink>
          <w:r w:rsidRPr="00B15926">
            <w:rPr>
              <w:rFonts w:ascii="Arial" w:eastAsia="MS PGothic" w:hAnsi="Arial" w:cs="Arial"/>
              <w:kern w:val="0"/>
              <w:sz w:val="22"/>
              <w:szCs w:val="22"/>
              <w14:ligatures w14:val="none"/>
            </w:rPr>
            <w:t>.</w:t>
          </w:r>
        </w:p>
      </w:sdtContent>
    </w:sdt>
    <w:p w14:paraId="1749A032" w14:textId="77777777" w:rsidR="000168E7" w:rsidRPr="000168E7" w:rsidRDefault="000168E7" w:rsidP="000168E7">
      <w:pPr>
        <w:rPr>
          <w:rFonts w:ascii="Arial" w:eastAsia="MS PGothic" w:hAnsi="Arial" w:cs="Arial"/>
          <w:b/>
          <w:bCs/>
          <w:kern w:val="0"/>
          <w:sz w:val="22"/>
          <w:szCs w:val="22"/>
          <w14:ligatures w14:val="none"/>
        </w:rPr>
      </w:pPr>
      <w:r w:rsidRPr="000168E7">
        <w:rPr>
          <w:rFonts w:ascii="Arial" w:eastAsia="MS PGothic" w:hAnsi="Arial" w:cs="Arial"/>
          <w:b/>
          <w:bCs/>
          <w:kern w:val="0"/>
          <w:sz w:val="22"/>
          <w:szCs w:val="22"/>
          <w14:ligatures w14:val="none"/>
        </w:rPr>
        <w:t>Who should read this paper?</w:t>
      </w:r>
    </w:p>
    <w:p w14:paraId="20DF4BDC" w14:textId="77777777" w:rsidR="00335E3A" w:rsidRPr="00335E3A" w:rsidRDefault="00335E3A" w:rsidP="00335E3A">
      <w:pPr>
        <w:spacing w:after="250" w:line="276" w:lineRule="auto"/>
        <w:jc w:val="both"/>
        <w:rPr>
          <w:rFonts w:ascii="Arial" w:eastAsia="MS PGothic" w:hAnsi="Arial" w:cs="Arial"/>
          <w:color w:val="181818"/>
          <w:kern w:val="0"/>
          <w:sz w:val="22"/>
          <w:szCs w:val="20"/>
          <w14:ligatures w14:val="none"/>
        </w:rPr>
      </w:pPr>
      <w:r w:rsidRPr="00335E3A">
        <w:rPr>
          <w:rFonts w:ascii="Arial" w:eastAsia="MS PGothic" w:hAnsi="Arial" w:cs="Arial"/>
          <w:color w:val="181818"/>
          <w:kern w:val="0"/>
          <w:sz w:val="22"/>
          <w:szCs w:val="20"/>
          <w14:ligatures w14:val="none"/>
        </w:rPr>
        <w:lastRenderedPageBreak/>
        <w:t>This paper is addressed to all financial market participants and in particular credit rating agencies, issuers, investors and competent authorities involved in the issuance and use of credit ratings for regulatory purposes.</w:t>
      </w:r>
    </w:p>
    <w:p w14:paraId="0C2E7987" w14:textId="77777777" w:rsidR="006807AF" w:rsidRDefault="006807AF" w:rsidP="00335E3A">
      <w:pPr>
        <w:rPr>
          <w:rFonts w:ascii="Arial" w:eastAsia="MS PGothic" w:hAnsi="Arial" w:cs="Arial"/>
          <w:kern w:val="0"/>
          <w:sz w:val="22"/>
          <w:szCs w:val="22"/>
          <w14:ligatures w14:val="none"/>
        </w:rPr>
      </w:pPr>
    </w:p>
    <w:p w14:paraId="001AB88B" w14:textId="77777777" w:rsidR="006807AF" w:rsidRDefault="006807AF" w:rsidP="006807AF">
      <w:pPr>
        <w:rPr>
          <w:rFonts w:ascii="Arial" w:eastAsia="MS PGothic" w:hAnsi="Arial" w:cs="Arial"/>
          <w:kern w:val="0"/>
          <w:sz w:val="22"/>
          <w:szCs w:val="22"/>
          <w14:ligatures w14:val="none"/>
        </w:rPr>
      </w:pPr>
    </w:p>
    <w:p w14:paraId="08DA9283" w14:textId="77777777" w:rsidR="006807AF" w:rsidRDefault="006807AF" w:rsidP="006807AF">
      <w:pPr>
        <w:rPr>
          <w:rFonts w:ascii="Arial" w:eastAsia="MS PGothic" w:hAnsi="Arial" w:cs="Arial"/>
          <w:kern w:val="0"/>
          <w:sz w:val="22"/>
          <w:szCs w:val="22"/>
          <w14:ligatures w14:val="none"/>
        </w:rPr>
      </w:pPr>
    </w:p>
    <w:p w14:paraId="0137A7D6" w14:textId="77777777" w:rsidR="006807AF" w:rsidRDefault="006807AF" w:rsidP="006807AF">
      <w:pPr>
        <w:rPr>
          <w:rFonts w:ascii="Arial" w:eastAsia="MS PGothic" w:hAnsi="Arial" w:cs="Arial"/>
          <w:kern w:val="0"/>
          <w:sz w:val="22"/>
          <w:szCs w:val="22"/>
          <w14:ligatures w14:val="none"/>
        </w:rPr>
      </w:pPr>
    </w:p>
    <w:p w14:paraId="425D73FC" w14:textId="77777777" w:rsidR="006807AF" w:rsidRDefault="006807AF" w:rsidP="006807AF">
      <w:pPr>
        <w:rPr>
          <w:rFonts w:ascii="Arial" w:eastAsia="MS PGothic" w:hAnsi="Arial" w:cs="Arial"/>
          <w:kern w:val="0"/>
          <w:sz w:val="22"/>
          <w:szCs w:val="22"/>
          <w14:ligatures w14:val="none"/>
        </w:rPr>
      </w:pPr>
    </w:p>
    <w:p w14:paraId="656F2302" w14:textId="77777777" w:rsidR="006807AF" w:rsidRDefault="006807AF" w:rsidP="006807AF">
      <w:pPr>
        <w:rPr>
          <w:rFonts w:ascii="Arial" w:eastAsia="MS PGothic" w:hAnsi="Arial" w:cs="Arial"/>
          <w:kern w:val="0"/>
          <w:sz w:val="22"/>
          <w:szCs w:val="22"/>
          <w14:ligatures w14:val="none"/>
        </w:rPr>
      </w:pPr>
    </w:p>
    <w:p w14:paraId="314AADFA" w14:textId="77777777" w:rsidR="006807AF" w:rsidRDefault="006807AF" w:rsidP="006807AF">
      <w:pPr>
        <w:rPr>
          <w:rFonts w:ascii="Arial" w:eastAsia="MS PGothic" w:hAnsi="Arial" w:cs="Arial"/>
          <w:kern w:val="0"/>
          <w:sz w:val="22"/>
          <w:szCs w:val="22"/>
          <w14:ligatures w14:val="none"/>
        </w:rPr>
      </w:pPr>
    </w:p>
    <w:p w14:paraId="5BE492DC" w14:textId="77777777" w:rsidR="006807AF" w:rsidRDefault="006807AF" w:rsidP="006807AF">
      <w:pPr>
        <w:rPr>
          <w:rFonts w:ascii="Arial" w:eastAsia="MS PGothic" w:hAnsi="Arial" w:cs="Arial"/>
          <w:kern w:val="0"/>
          <w:sz w:val="22"/>
          <w:szCs w:val="22"/>
          <w14:ligatures w14:val="none"/>
        </w:rPr>
      </w:pPr>
    </w:p>
    <w:p w14:paraId="1DC4C61D" w14:textId="77777777" w:rsidR="006807AF" w:rsidRDefault="006807AF" w:rsidP="006807AF">
      <w:pPr>
        <w:rPr>
          <w:rFonts w:ascii="Arial" w:eastAsia="MS PGothic" w:hAnsi="Arial" w:cs="Arial"/>
          <w:kern w:val="0"/>
          <w:sz w:val="22"/>
          <w:szCs w:val="22"/>
          <w14:ligatures w14:val="none"/>
        </w:rPr>
      </w:pPr>
    </w:p>
    <w:p w14:paraId="5CBBDCD3" w14:textId="77777777" w:rsidR="006807AF" w:rsidRDefault="006807AF" w:rsidP="006807AF">
      <w:pPr>
        <w:rPr>
          <w:rFonts w:ascii="Arial" w:eastAsia="MS PGothic" w:hAnsi="Arial" w:cs="Arial"/>
          <w:kern w:val="0"/>
          <w:sz w:val="22"/>
          <w:szCs w:val="22"/>
          <w14:ligatures w14:val="none"/>
        </w:rPr>
      </w:pPr>
    </w:p>
    <w:p w14:paraId="3839D080" w14:textId="77777777" w:rsidR="006807AF" w:rsidRDefault="006807AF" w:rsidP="006807AF">
      <w:pPr>
        <w:rPr>
          <w:rFonts w:ascii="Arial" w:eastAsia="MS PGothic" w:hAnsi="Arial" w:cs="Arial"/>
          <w:kern w:val="0"/>
          <w:sz w:val="22"/>
          <w:szCs w:val="22"/>
          <w14:ligatures w14:val="none"/>
        </w:rPr>
      </w:pPr>
    </w:p>
    <w:p w14:paraId="380CB3DE" w14:textId="77777777" w:rsidR="006807AF" w:rsidRDefault="006807AF" w:rsidP="006807AF">
      <w:pPr>
        <w:rPr>
          <w:rFonts w:ascii="Arial" w:eastAsia="MS PGothic" w:hAnsi="Arial" w:cs="Arial"/>
          <w:kern w:val="0"/>
          <w:sz w:val="22"/>
          <w:szCs w:val="22"/>
          <w14:ligatures w14:val="none"/>
        </w:rPr>
      </w:pPr>
    </w:p>
    <w:p w14:paraId="42CA3A34" w14:textId="77777777" w:rsidR="006807AF" w:rsidRDefault="006807AF" w:rsidP="006807AF">
      <w:pPr>
        <w:rPr>
          <w:rFonts w:ascii="Arial" w:eastAsia="MS PGothic" w:hAnsi="Arial" w:cs="Arial"/>
          <w:kern w:val="0"/>
          <w:sz w:val="22"/>
          <w:szCs w:val="22"/>
          <w14:ligatures w14:val="none"/>
        </w:rPr>
      </w:pPr>
    </w:p>
    <w:p w14:paraId="04410521" w14:textId="77777777" w:rsidR="006807AF" w:rsidRDefault="006807AF" w:rsidP="006807AF">
      <w:pPr>
        <w:rPr>
          <w:rFonts w:ascii="Arial" w:eastAsia="MS PGothic" w:hAnsi="Arial" w:cs="Arial"/>
          <w:kern w:val="0"/>
          <w:sz w:val="22"/>
          <w:szCs w:val="22"/>
          <w14:ligatures w14:val="none"/>
        </w:rPr>
      </w:pPr>
    </w:p>
    <w:p w14:paraId="21114CEC" w14:textId="77777777" w:rsidR="006807AF" w:rsidRDefault="006807AF" w:rsidP="006807AF">
      <w:pPr>
        <w:rPr>
          <w:rFonts w:ascii="Arial" w:eastAsia="MS PGothic" w:hAnsi="Arial" w:cs="Arial"/>
          <w:kern w:val="0"/>
          <w:sz w:val="22"/>
          <w:szCs w:val="22"/>
          <w14:ligatures w14:val="none"/>
        </w:rPr>
      </w:pPr>
    </w:p>
    <w:p w14:paraId="117C175B" w14:textId="77777777" w:rsidR="006807AF" w:rsidRDefault="006807AF" w:rsidP="006807AF">
      <w:pPr>
        <w:rPr>
          <w:rFonts w:ascii="Arial" w:eastAsia="MS PGothic" w:hAnsi="Arial" w:cs="Arial"/>
          <w:kern w:val="0"/>
          <w:sz w:val="22"/>
          <w:szCs w:val="22"/>
          <w14:ligatures w14:val="none"/>
        </w:rPr>
      </w:pPr>
    </w:p>
    <w:p w14:paraId="5EBCD0F9" w14:textId="77777777" w:rsidR="006807AF" w:rsidRDefault="006807AF" w:rsidP="006807AF">
      <w:pPr>
        <w:rPr>
          <w:rFonts w:ascii="Arial" w:eastAsia="MS PGothic" w:hAnsi="Arial" w:cs="Arial"/>
          <w:kern w:val="0"/>
          <w:sz w:val="22"/>
          <w:szCs w:val="22"/>
          <w14:ligatures w14:val="none"/>
        </w:rPr>
      </w:pPr>
    </w:p>
    <w:p w14:paraId="6742BCEF" w14:textId="77777777" w:rsidR="006807AF" w:rsidRDefault="006807AF" w:rsidP="006807AF">
      <w:pPr>
        <w:rPr>
          <w:rFonts w:ascii="Arial" w:eastAsia="MS PGothic" w:hAnsi="Arial" w:cs="Arial"/>
          <w:kern w:val="0"/>
          <w:sz w:val="22"/>
          <w:szCs w:val="22"/>
          <w14:ligatures w14:val="none"/>
        </w:rPr>
      </w:pPr>
    </w:p>
    <w:p w14:paraId="53864F4E" w14:textId="77777777" w:rsidR="006807AF" w:rsidRDefault="006807AF" w:rsidP="006807AF">
      <w:pPr>
        <w:rPr>
          <w:rFonts w:ascii="Arial" w:eastAsia="MS PGothic" w:hAnsi="Arial" w:cs="Arial"/>
          <w:kern w:val="0"/>
          <w:sz w:val="22"/>
          <w:szCs w:val="22"/>
          <w14:ligatures w14:val="none"/>
        </w:rPr>
      </w:pPr>
    </w:p>
    <w:p w14:paraId="46EA25E1" w14:textId="77777777" w:rsidR="006807AF" w:rsidRDefault="006807AF" w:rsidP="006807AF">
      <w:pPr>
        <w:rPr>
          <w:rFonts w:ascii="Arial" w:eastAsia="MS PGothic" w:hAnsi="Arial" w:cs="Arial"/>
          <w:kern w:val="0"/>
          <w:sz w:val="22"/>
          <w:szCs w:val="22"/>
          <w14:ligatures w14:val="none"/>
        </w:rPr>
      </w:pPr>
    </w:p>
    <w:p w14:paraId="0B3FF37E" w14:textId="77777777" w:rsidR="006807AF" w:rsidRDefault="006807AF" w:rsidP="006807AF">
      <w:pPr>
        <w:rPr>
          <w:rFonts w:ascii="Arial" w:eastAsia="MS PGothic" w:hAnsi="Arial" w:cs="Arial"/>
          <w:kern w:val="0"/>
          <w:sz w:val="22"/>
          <w:szCs w:val="22"/>
          <w14:ligatures w14:val="none"/>
        </w:rPr>
      </w:pPr>
    </w:p>
    <w:p w14:paraId="7E8F51D1" w14:textId="77777777" w:rsidR="006807AF" w:rsidRDefault="006807AF" w:rsidP="006807AF">
      <w:pPr>
        <w:rPr>
          <w:rFonts w:ascii="Arial" w:eastAsia="MS PGothic" w:hAnsi="Arial" w:cs="Arial"/>
          <w:kern w:val="0"/>
          <w:sz w:val="22"/>
          <w:szCs w:val="22"/>
          <w14:ligatures w14:val="none"/>
        </w:rPr>
      </w:pPr>
    </w:p>
    <w:p w14:paraId="27470DCB" w14:textId="77777777" w:rsidR="006807AF" w:rsidRDefault="006807AF" w:rsidP="006807AF">
      <w:pPr>
        <w:rPr>
          <w:rFonts w:ascii="Arial" w:eastAsia="MS PGothic" w:hAnsi="Arial" w:cs="Arial"/>
          <w:kern w:val="0"/>
          <w:sz w:val="22"/>
          <w:szCs w:val="22"/>
          <w14:ligatures w14:val="none"/>
        </w:rPr>
      </w:pPr>
    </w:p>
    <w:p w14:paraId="623F8BE6" w14:textId="77777777" w:rsidR="006807AF" w:rsidRDefault="006807AF" w:rsidP="006807AF">
      <w:pPr>
        <w:rPr>
          <w:rFonts w:ascii="Arial" w:eastAsia="MS PGothic" w:hAnsi="Arial" w:cs="Arial"/>
          <w:kern w:val="0"/>
          <w:sz w:val="22"/>
          <w:szCs w:val="22"/>
          <w14:ligatures w14:val="none"/>
        </w:rPr>
      </w:pPr>
    </w:p>
    <w:p w14:paraId="45F1EC0D" w14:textId="77777777" w:rsidR="006807AF" w:rsidRDefault="006807AF" w:rsidP="006807AF">
      <w:pPr>
        <w:rPr>
          <w:rFonts w:ascii="Arial" w:eastAsia="MS PGothic" w:hAnsi="Arial" w:cs="Arial"/>
          <w:kern w:val="0"/>
          <w:sz w:val="22"/>
          <w:szCs w:val="22"/>
          <w14:ligatures w14:val="none"/>
        </w:rPr>
      </w:pPr>
    </w:p>
    <w:p w14:paraId="3AC81BB2" w14:textId="77777777" w:rsidR="006807AF" w:rsidRPr="00B15926" w:rsidRDefault="006807AF" w:rsidP="006807AF">
      <w:pPr>
        <w:rPr>
          <w:rFonts w:ascii="Arial" w:eastAsia="MS PGothic" w:hAnsi="Arial" w:cs="Arial"/>
          <w:b/>
          <w:kern w:val="0"/>
          <w:sz w:val="20"/>
          <w:szCs w:val="20"/>
          <w:lang w:eastAsia="en-GB"/>
          <w14:ligatures w14:val="none"/>
        </w:rPr>
      </w:pPr>
    </w:p>
    <w:p w14:paraId="3286166E" w14:textId="77777777" w:rsidR="00B15926" w:rsidRPr="00B1592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B15926" w:rsidRDefault="00B15926" w:rsidP="00B15926">
      <w:pPr>
        <w:keepNext/>
        <w:keepLines/>
        <w:spacing w:before="320" w:after="250" w:line="276" w:lineRule="auto"/>
        <w:jc w:val="both"/>
        <w:outlineLvl w:val="0"/>
        <w:rPr>
          <w:rFonts w:ascii="Arial" w:eastAsia="MS PGothic" w:hAnsi="Arial" w:cs="Arial"/>
          <w:b/>
          <w:kern w:val="0"/>
          <w14:ligatures w14:val="none"/>
        </w:rPr>
      </w:pPr>
      <w:r w:rsidRPr="00B15926">
        <w:rPr>
          <w:rFonts w:ascii="Arial" w:eastAsia="MS PGothic" w:hAnsi="Arial" w:cs="Arial"/>
          <w:b/>
          <w:kern w:val="0"/>
          <w14:ligatures w14:val="non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15926" w:rsidRPr="00B15926" w14:paraId="2AB3F80B" w14:textId="77777777" w:rsidTr="00862BBD">
        <w:tc>
          <w:tcPr>
            <w:tcW w:w="3929" w:type="dxa"/>
          </w:tcPr>
          <w:p w14:paraId="63EDE60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Name of the company / organisation</w:t>
            </w:r>
          </w:p>
        </w:tc>
        <w:tc>
          <w:tcPr>
            <w:tcW w:w="5595" w:type="dxa"/>
          </w:tcPr>
          <w:p w14:paraId="389E446E" w14:textId="3F657287" w:rsidR="00B15926" w:rsidRPr="00B15926" w:rsidRDefault="00784CC2" w:rsidP="00B15926">
            <w:pPr>
              <w:spacing w:after="0" w:line="240" w:lineRule="auto"/>
              <w:rPr>
                <w:rFonts w:ascii="Arial" w:eastAsia="Times New Roman" w:hAnsi="Arial" w:cs="Arial"/>
                <w:color w:val="808080"/>
                <w:kern w:val="0"/>
                <w:sz w:val="16"/>
                <w:szCs w:val="20"/>
                <w:lang w:eastAsia="de-DE"/>
                <w14:ligatures w14:val="none"/>
              </w:rPr>
            </w:pPr>
            <w:r>
              <w:rPr>
                <w:rFonts w:ascii="Arial" w:eastAsia="Times New Roman" w:hAnsi="Arial" w:cs="Arial"/>
                <w:color w:val="808080"/>
                <w:kern w:val="0"/>
                <w:sz w:val="16"/>
                <w:szCs w:val="20"/>
                <w:lang w:eastAsia="de-DE"/>
                <w14:ligatures w14:val="none"/>
              </w:rPr>
              <w:t>Moody’s Ratings</w:t>
            </w:r>
          </w:p>
        </w:tc>
      </w:tr>
      <w:tr w:rsidR="00B15926" w:rsidRPr="00B15926" w14:paraId="75AA548C" w14:textId="77777777" w:rsidTr="00862BBD">
        <w:tc>
          <w:tcPr>
            <w:tcW w:w="3929" w:type="dxa"/>
          </w:tcPr>
          <w:p w14:paraId="553F8DCB"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Activity</w:t>
            </w:r>
          </w:p>
        </w:tc>
        <w:tc>
          <w:tcPr>
            <w:tcW w:w="5595" w:type="dxa"/>
          </w:tcPr>
          <w:p w14:paraId="022F8FBF" w14:textId="315AD756" w:rsidR="00B15926" w:rsidRPr="00B15926" w:rsidRDefault="00784CC2"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Credit Rating Agency</w:t>
            </w:r>
          </w:p>
        </w:tc>
      </w:tr>
      <w:tr w:rsidR="00B15926" w:rsidRPr="00B15926" w14:paraId="241F00D4" w14:textId="77777777" w:rsidTr="00862BBD">
        <w:tc>
          <w:tcPr>
            <w:tcW w:w="3929" w:type="dxa"/>
          </w:tcPr>
          <w:p w14:paraId="227A679D"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Are you representing an association?</w:t>
            </w:r>
          </w:p>
        </w:tc>
        <w:sdt>
          <w:sdtPr>
            <w:rPr>
              <w:rFonts w:ascii="Arial" w:eastAsia="Times New Roman" w:hAnsi="Arial" w:cs="Arial"/>
              <w:kern w:val="0"/>
              <w:sz w:val="16"/>
              <w:szCs w:val="20"/>
              <w:lang w:eastAsia="de-DE"/>
              <w14:ligatures w14:val="none"/>
            </w:rPr>
            <w:id w:val="-242871467"/>
            <w14:checkbox>
              <w14:checked w14:val="0"/>
              <w14:checkedState w14:val="2612" w14:font="MS Gothic"/>
              <w14:uncheckedState w14:val="2610" w14:font="MS Gothic"/>
            </w14:checkbox>
          </w:sdtPr>
          <w:sdtContent>
            <w:tc>
              <w:tcPr>
                <w:tcW w:w="5595" w:type="dxa"/>
              </w:tcPr>
              <w:p w14:paraId="4CE5BA0A" w14:textId="77777777" w:rsidR="00B15926" w:rsidRPr="00B15926" w:rsidRDefault="00B15926" w:rsidP="00B15926">
                <w:pPr>
                  <w:spacing w:after="0" w:line="240" w:lineRule="auto"/>
                  <w:rPr>
                    <w:rFonts w:ascii="Arial" w:eastAsia="Times New Roman" w:hAnsi="Arial" w:cs="Arial"/>
                    <w:kern w:val="0"/>
                    <w:sz w:val="16"/>
                    <w:szCs w:val="20"/>
                    <w:lang w:eastAsia="de-DE"/>
                    <w14:ligatures w14:val="none"/>
                  </w:rPr>
                </w:pPr>
                <w:r w:rsidRPr="00B15926">
                  <w:rPr>
                    <w:rFonts w:ascii="Segoe UI Symbol" w:eastAsia="Times New Roman" w:hAnsi="Segoe UI Symbol" w:cs="Segoe UI Symbol"/>
                    <w:kern w:val="0"/>
                    <w:sz w:val="16"/>
                    <w:szCs w:val="20"/>
                    <w:lang w:eastAsia="de-DE"/>
                    <w14:ligatures w14:val="none"/>
                  </w:rPr>
                  <w:t>☐</w:t>
                </w:r>
              </w:p>
            </w:tc>
          </w:sdtContent>
        </w:sdt>
      </w:tr>
      <w:tr w:rsidR="00B15926" w:rsidRPr="00B15926" w14:paraId="1F6EA6C1" w14:textId="77777777" w:rsidTr="00862BBD">
        <w:tc>
          <w:tcPr>
            <w:tcW w:w="3929" w:type="dxa"/>
          </w:tcPr>
          <w:p w14:paraId="546F8DC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569EA6B7" w14:textId="4C7F05A8" w:rsidR="00B15926" w:rsidRPr="00B15926" w:rsidRDefault="004B27DF"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International</w:t>
                </w:r>
              </w:p>
            </w:tc>
          </w:sdtContent>
        </w:sdt>
      </w:tr>
    </w:tbl>
    <w:p w14:paraId="72FFFFA5" w14:textId="77777777" w:rsidR="00B15926" w:rsidRPr="00B15926" w:rsidRDefault="00B15926" w:rsidP="00B15926">
      <w:pPr>
        <w:spacing w:after="120" w:line="264" w:lineRule="auto"/>
        <w:rPr>
          <w:rFonts w:ascii="Arial" w:eastAsia="Times New Roman" w:hAnsi="Arial" w:cs="Arial"/>
          <w:b/>
          <w:kern w:val="0"/>
          <w:sz w:val="22"/>
          <w:szCs w:val="22"/>
          <w:lang w:eastAsia="en-GB"/>
          <w14:ligatures w14:val="none"/>
        </w:rPr>
      </w:pPr>
      <w:r w:rsidRPr="00B15926">
        <w:rPr>
          <w:rFonts w:ascii="Arial" w:eastAsia="Times New Roman" w:hAnsi="Arial" w:cs="Arial"/>
          <w:b/>
          <w:kern w:val="0"/>
          <w:sz w:val="22"/>
          <w:szCs w:val="22"/>
          <w:lang w:eastAsia="en-GB"/>
          <w14:ligatures w14:val="none"/>
        </w:rPr>
        <w:br w:type="page"/>
      </w:r>
    </w:p>
    <w:p w14:paraId="6EE2D155" w14:textId="77777777" w:rsidR="00323E56" w:rsidRPr="00323E56" w:rsidRDefault="00323E56" w:rsidP="00323E56">
      <w:pPr>
        <w:spacing w:after="250" w:line="276" w:lineRule="auto"/>
        <w:ind w:left="360"/>
        <w:contextualSpacing/>
        <w:jc w:val="both"/>
        <w:rPr>
          <w:rFonts w:ascii="Arial" w:eastAsia="Times New Roman" w:hAnsi="Arial" w:cs="Arial"/>
          <w:b/>
          <w:bCs/>
          <w:kern w:val="0"/>
          <w:sz w:val="22"/>
          <w:szCs w:val="22"/>
          <w:lang w:eastAsia="en-GB"/>
          <w14:ligatures w14:val="none"/>
        </w:rPr>
      </w:pPr>
    </w:p>
    <w:p w14:paraId="077956E9" w14:textId="67373628"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 xml:space="preserve">uestions on restricted subscription </w:t>
      </w:r>
      <w:r w:rsidR="009C682C">
        <w:rPr>
          <w:rFonts w:ascii="Arial" w:eastAsia="MS PGothic" w:hAnsi="Arial" w:cs="Arial"/>
          <w:b/>
          <w:color w:val="00379F"/>
          <w:kern w:val="0"/>
          <w:sz w:val="32"/>
          <w:szCs w:val="32"/>
          <w14:ligatures w14:val="none"/>
        </w:rPr>
        <w:t xml:space="preserve">credit </w:t>
      </w:r>
      <w:r w:rsidR="007243AE" w:rsidRPr="007243AE">
        <w:rPr>
          <w:rFonts w:ascii="Arial" w:eastAsia="MS PGothic" w:hAnsi="Arial" w:cs="Arial"/>
          <w:b/>
          <w:color w:val="00379F"/>
          <w:kern w:val="0"/>
          <w:sz w:val="32"/>
          <w:szCs w:val="32"/>
          <w14:ligatures w14:val="none"/>
        </w:rPr>
        <w:t>ratings</w:t>
      </w:r>
    </w:p>
    <w:p w14:paraId="5507E5EF" w14:textId="446EB260"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Q.1</w:t>
      </w:r>
      <w:r w:rsidRPr="007243AE">
        <w:rPr>
          <w:rFonts w:ascii="Arial" w:eastAsia="MS PGothic" w:hAnsi="Arial" w:cs="Arial"/>
          <w:bCs/>
          <w:color w:val="181818"/>
          <w:kern w:val="0"/>
          <w:sz w:val="22"/>
          <w:szCs w:val="20"/>
          <w14:ligatures w14:val="none"/>
        </w:rPr>
        <w:t xml:space="preserve"> What are the main purposes and market needs that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are intended to serve? In what circumstances are they preferred over publicly disseminated</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or other credit assessments? Please provide concrete examples where possible.</w:t>
      </w:r>
    </w:p>
    <w:p w14:paraId="1AA9EF45" w14:textId="77777777" w:rsidR="00EF4C74"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6F79C664" w14:textId="77777777" w:rsidR="00446F54" w:rsidRPr="00323E56" w:rsidRDefault="00446F54" w:rsidP="00EF4C74">
      <w:pPr>
        <w:spacing w:after="0" w:line="240" w:lineRule="auto"/>
        <w:ind w:left="432"/>
        <w:rPr>
          <w:rFonts w:ascii="Times New Roman" w:eastAsia="Times New Roman" w:hAnsi="Times New Roman" w:cs="Times New Roman"/>
          <w:kern w:val="0"/>
          <w:lang w:eastAsia="en-GB"/>
          <w14:ligatures w14:val="none"/>
        </w:rPr>
      </w:pPr>
    </w:p>
    <w:p w14:paraId="1B8D025D" w14:textId="77777777" w:rsidR="002800CA" w:rsidRDefault="002800CA" w:rsidP="002800CA">
      <w:pPr>
        <w:spacing w:after="0" w:line="240" w:lineRule="auto"/>
        <w:ind w:left="432"/>
        <w:rPr>
          <w:rFonts w:ascii="Times New Roman" w:eastAsia="Times New Roman" w:hAnsi="Times New Roman" w:cs="Times New Roman"/>
          <w:kern w:val="0"/>
          <w:lang w:val="en-US" w:eastAsia="en-GB"/>
          <w14:ligatures w14:val="none"/>
        </w:rPr>
      </w:pPr>
      <w:r w:rsidRPr="002800CA">
        <w:rPr>
          <w:rFonts w:ascii="Times New Roman" w:eastAsia="Times New Roman" w:hAnsi="Times New Roman" w:cs="Times New Roman"/>
          <w:kern w:val="0"/>
          <w:lang w:eastAsia="en-GB"/>
          <w14:ligatures w14:val="none"/>
        </w:rPr>
        <w:t xml:space="preserve">Moody’s Ratings (MR) has developed and introduced to the market a subscription-based credit rating offering, the “Investor Subscription Credit Rating” (ISCR) that corresponds to ESMA’s description of restricted subscription credit ratings (RSCRs) as ratings whose distribution is limited to subscribers. </w:t>
      </w:r>
      <w:r w:rsidRPr="002800CA">
        <w:rPr>
          <w:rFonts w:ascii="Times New Roman" w:eastAsia="Times New Roman" w:hAnsi="Times New Roman" w:cs="Times New Roman"/>
          <w:kern w:val="0"/>
          <w:lang w:val="en-US" w:eastAsia="en-GB"/>
          <w14:ligatures w14:val="none"/>
        </w:rPr>
        <w:t>MR’s ISCR is intended to meet market demand for regulated credit ratings in private/non</w:t>
      </w:r>
      <w:r w:rsidRPr="002800CA">
        <w:rPr>
          <w:rFonts w:ascii="Times New Roman" w:eastAsia="Times New Roman" w:hAnsi="Times New Roman" w:cs="Times New Roman"/>
          <w:kern w:val="0"/>
          <w:lang w:val="en-US" w:eastAsia="en-GB"/>
          <w14:ligatures w14:val="none"/>
        </w:rPr>
        <w:noBreakHyphen/>
        <w:t xml:space="preserve">public debt markets, where instruments are not placed publicly (i.e. placed on a bilateral basis or with a limited number of investors). Issuers and borrowers seek confidentiality around the transactions for a mix of commercial, legal and strategic reasons. They wish to protect information around their investment strategies, portfolio construction and asset quality. They wish to protect key sources of competitive advantage such as pricing frameworks and deal valuations.  In the case of fund finance, private funds often have confidentiality and other legal obligations to their Limited Partner base. </w:t>
      </w:r>
    </w:p>
    <w:p w14:paraId="78E50A47" w14:textId="77777777" w:rsidR="001959F6" w:rsidRPr="002800CA" w:rsidRDefault="001959F6" w:rsidP="002800CA">
      <w:pPr>
        <w:spacing w:after="0" w:line="240" w:lineRule="auto"/>
        <w:ind w:left="432"/>
        <w:rPr>
          <w:rFonts w:ascii="Times New Roman" w:eastAsia="Times New Roman" w:hAnsi="Times New Roman" w:cs="Times New Roman"/>
          <w:kern w:val="0"/>
          <w:lang w:val="en-US" w:eastAsia="en-GB"/>
          <w14:ligatures w14:val="none"/>
        </w:rPr>
      </w:pPr>
    </w:p>
    <w:p w14:paraId="0BA061D6" w14:textId="77777777" w:rsidR="002800CA" w:rsidRPr="002800CA" w:rsidRDefault="002800CA" w:rsidP="002800CA">
      <w:pPr>
        <w:spacing w:after="0" w:line="240" w:lineRule="auto"/>
        <w:ind w:left="432"/>
        <w:rPr>
          <w:rFonts w:ascii="Times New Roman" w:eastAsia="Times New Roman" w:hAnsi="Times New Roman" w:cs="Times New Roman"/>
          <w:b/>
          <w:bCs/>
          <w:kern w:val="0"/>
          <w:lang w:eastAsia="en-GB"/>
          <w14:ligatures w14:val="none"/>
        </w:rPr>
      </w:pPr>
      <w:r w:rsidRPr="002800CA">
        <w:rPr>
          <w:rFonts w:ascii="Times New Roman" w:eastAsia="Times New Roman" w:hAnsi="Times New Roman" w:cs="Times New Roman"/>
          <w:b/>
          <w:bCs/>
          <w:kern w:val="0"/>
          <w:lang w:eastAsia="en-GB"/>
          <w14:ligatures w14:val="none"/>
        </w:rPr>
        <w:t>While private credit ratings are outside the EU CRA Regulation, RSCRs are in the scope. Hence, they are eligible for regulatory use. Indeed, demand for RSCRs is driven primarily by eligibility for regulatory use (for debt which is not publicly issued).</w:t>
      </w:r>
    </w:p>
    <w:p w14:paraId="22D5FD20" w14:textId="77777777" w:rsidR="002800CA" w:rsidRPr="002800CA" w:rsidRDefault="002800CA" w:rsidP="002800CA">
      <w:pPr>
        <w:spacing w:after="0" w:line="240" w:lineRule="auto"/>
        <w:ind w:left="432"/>
        <w:rPr>
          <w:rFonts w:ascii="Times New Roman" w:eastAsia="Times New Roman" w:hAnsi="Times New Roman" w:cs="Times New Roman"/>
          <w:kern w:val="0"/>
          <w:lang w:eastAsia="en-GB"/>
          <w14:ligatures w14:val="none"/>
        </w:rPr>
      </w:pPr>
      <w:r w:rsidRPr="002800CA">
        <w:rPr>
          <w:rFonts w:ascii="Times New Roman" w:eastAsia="Times New Roman" w:hAnsi="Times New Roman" w:cs="Times New Roman"/>
          <w:kern w:val="0"/>
          <w:lang w:eastAsia="en-GB"/>
          <w14:ligatures w14:val="none"/>
        </w:rPr>
        <w:t>Typical use cases include:</w:t>
      </w:r>
    </w:p>
    <w:p w14:paraId="065C78D0" w14:textId="77777777" w:rsidR="002800CA" w:rsidRPr="002800CA" w:rsidRDefault="002800CA" w:rsidP="002800CA">
      <w:pPr>
        <w:numPr>
          <w:ilvl w:val="0"/>
          <w:numId w:val="4"/>
        </w:numPr>
        <w:spacing w:after="0" w:line="240" w:lineRule="auto"/>
        <w:rPr>
          <w:rFonts w:ascii="Times New Roman" w:eastAsia="Times New Roman" w:hAnsi="Times New Roman" w:cs="Times New Roman"/>
          <w:kern w:val="0"/>
          <w:lang w:eastAsia="en-GB"/>
          <w14:ligatures w14:val="none"/>
        </w:rPr>
      </w:pPr>
      <w:r w:rsidRPr="002800CA">
        <w:rPr>
          <w:rFonts w:ascii="Times New Roman" w:eastAsia="Times New Roman" w:hAnsi="Times New Roman" w:cs="Times New Roman"/>
          <w:kern w:val="0"/>
          <w:lang w:eastAsia="en-GB"/>
          <w14:ligatures w14:val="none"/>
        </w:rPr>
        <w:t>Fund finance loan facilities (subscription credit facilities, net asset value facilities, rated feeder notes): loans provided by regulated (bank and insurer) lenders to private investment funds or fund-related vehicles, usually secured by the fund’s assets, investor commitments, or expected cash flows. These are financing tools for the fund structure itself, not directly for a portfolio company.</w:t>
      </w:r>
    </w:p>
    <w:p w14:paraId="24938248" w14:textId="77777777" w:rsidR="002800CA" w:rsidRPr="002800CA" w:rsidRDefault="002800CA" w:rsidP="002800CA">
      <w:pPr>
        <w:numPr>
          <w:ilvl w:val="0"/>
          <w:numId w:val="4"/>
        </w:numPr>
        <w:spacing w:after="0" w:line="240" w:lineRule="auto"/>
        <w:rPr>
          <w:rFonts w:ascii="Times New Roman" w:eastAsia="Times New Roman" w:hAnsi="Times New Roman" w:cs="Times New Roman"/>
          <w:kern w:val="0"/>
          <w:lang w:eastAsia="en-GB"/>
          <w14:ligatures w14:val="none"/>
        </w:rPr>
      </w:pPr>
      <w:r w:rsidRPr="002800CA">
        <w:rPr>
          <w:rFonts w:ascii="Times New Roman" w:eastAsia="Times New Roman" w:hAnsi="Times New Roman" w:cs="Times New Roman"/>
          <w:kern w:val="0"/>
          <w:lang w:eastAsia="en-GB"/>
          <w14:ligatures w14:val="none"/>
        </w:rPr>
        <w:t>Private loans:  Loans that are negotiated bilaterally, between the borrower and a small group of (or potentially a single) regulated (banking or insurance) lender(s), and not broadly syndicated.</w:t>
      </w:r>
    </w:p>
    <w:p w14:paraId="49F9B8E8" w14:textId="77777777" w:rsidR="002800CA" w:rsidRPr="002800CA" w:rsidRDefault="002800CA" w:rsidP="002800CA">
      <w:pPr>
        <w:numPr>
          <w:ilvl w:val="0"/>
          <w:numId w:val="4"/>
        </w:numPr>
        <w:spacing w:after="0" w:line="240" w:lineRule="auto"/>
        <w:rPr>
          <w:rFonts w:ascii="Times New Roman" w:eastAsia="Times New Roman" w:hAnsi="Times New Roman" w:cs="Times New Roman"/>
          <w:kern w:val="0"/>
          <w:lang w:eastAsia="en-GB"/>
          <w14:ligatures w14:val="none"/>
        </w:rPr>
      </w:pPr>
      <w:r w:rsidRPr="002800CA">
        <w:rPr>
          <w:rFonts w:ascii="Times New Roman" w:eastAsia="Times New Roman" w:hAnsi="Times New Roman" w:cs="Times New Roman"/>
          <w:kern w:val="0"/>
          <w:lang w:eastAsia="en-GB"/>
          <w14:ligatures w14:val="none"/>
        </w:rPr>
        <w:t>Private placements of financial instruments: debt securities, such as bonds or notes, that are sold to a limited group of regulated (banking and insurance) investors.</w:t>
      </w:r>
    </w:p>
    <w:p w14:paraId="43AEC41F" w14:textId="77777777" w:rsidR="00446F54" w:rsidRDefault="00446F54" w:rsidP="00EF4C74">
      <w:pPr>
        <w:spacing w:after="0" w:line="240" w:lineRule="auto"/>
        <w:ind w:left="432"/>
        <w:rPr>
          <w:rFonts w:ascii="Times New Roman" w:eastAsia="Times New Roman" w:hAnsi="Times New Roman" w:cs="Times New Roman"/>
          <w:kern w:val="0"/>
          <w:lang w:eastAsia="en-GB"/>
          <w14:ligatures w14:val="none"/>
        </w:rPr>
      </w:pPr>
    </w:p>
    <w:p w14:paraId="151DE0B0" w14:textId="76B2C7FA"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7D82B6C0"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B0CF1FE" w14:textId="77777777"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Q.2</w:t>
      </w:r>
      <w:r w:rsidRPr="007243AE">
        <w:rPr>
          <w:rFonts w:ascii="Arial" w:eastAsia="MS PGothic" w:hAnsi="Arial" w:cs="Arial"/>
          <w:bCs/>
          <w:color w:val="181818"/>
          <w:kern w:val="0"/>
          <w:sz w:val="22"/>
          <w:szCs w:val="20"/>
          <w14:ligatures w14:val="none"/>
        </w:rPr>
        <w:t xml:space="preserve"> How are subscribers defined in practice, including with respect to criteria for access, the assessment of “economic interests” and restrictions on onward disclosure?</w:t>
      </w:r>
    </w:p>
    <w:p w14:paraId="422C1F33" w14:textId="60FDBE60"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01056341" w14:textId="77777777" w:rsidR="00446F54" w:rsidRDefault="00446F54" w:rsidP="00EF4C74">
      <w:pPr>
        <w:spacing w:after="0" w:line="240" w:lineRule="auto"/>
        <w:ind w:left="432"/>
        <w:rPr>
          <w:rFonts w:ascii="Times New Roman" w:eastAsia="Times New Roman" w:hAnsi="Times New Roman" w:cs="Times New Roman"/>
          <w:kern w:val="0"/>
          <w:lang w:eastAsia="en-GB"/>
          <w14:ligatures w14:val="none"/>
        </w:rPr>
      </w:pPr>
    </w:p>
    <w:p w14:paraId="54246F5E" w14:textId="77777777" w:rsidR="00446F54" w:rsidRPr="00446F54" w:rsidRDefault="00446F54" w:rsidP="00446F54">
      <w:pPr>
        <w:spacing w:after="0" w:line="240" w:lineRule="auto"/>
        <w:ind w:left="432"/>
        <w:rPr>
          <w:rFonts w:ascii="Times New Roman" w:eastAsia="Times New Roman" w:hAnsi="Times New Roman" w:cs="Times New Roman"/>
          <w:kern w:val="0"/>
          <w:lang w:val="en-US" w:eastAsia="en-GB"/>
          <w14:ligatures w14:val="none"/>
        </w:rPr>
      </w:pPr>
      <w:r w:rsidRPr="00446F54">
        <w:rPr>
          <w:rFonts w:ascii="Times New Roman" w:eastAsia="Times New Roman" w:hAnsi="Times New Roman" w:cs="Times New Roman"/>
          <w:kern w:val="0"/>
          <w:lang w:val="en-US" w:eastAsia="en-GB"/>
          <w14:ligatures w14:val="none"/>
        </w:rPr>
        <w:t xml:space="preserve">MR refers to potential subscribers to ISCRs as “eligible customers”. Access to an ISCR is provided on a non-discriminatory basis to all eligible customers who have a legitimate </w:t>
      </w:r>
      <w:r w:rsidRPr="00446F54">
        <w:rPr>
          <w:rFonts w:ascii="Times New Roman" w:eastAsia="Times New Roman" w:hAnsi="Times New Roman" w:cs="Times New Roman"/>
          <w:kern w:val="0"/>
          <w:lang w:val="en-US" w:eastAsia="en-GB"/>
          <w14:ligatures w14:val="none"/>
        </w:rPr>
        <w:lastRenderedPageBreak/>
        <w:t>economic interest in the non-public debt rated. Eligibility criteria include the following (cumulative):</w:t>
      </w:r>
    </w:p>
    <w:p w14:paraId="14D148AF" w14:textId="77777777" w:rsidR="00446F54" w:rsidRPr="00446F54" w:rsidRDefault="00446F54" w:rsidP="00446F54">
      <w:pPr>
        <w:numPr>
          <w:ilvl w:val="0"/>
          <w:numId w:val="5"/>
        </w:numPr>
        <w:spacing w:after="0" w:line="240" w:lineRule="auto"/>
        <w:rPr>
          <w:rFonts w:ascii="Times New Roman" w:eastAsia="Times New Roman" w:hAnsi="Times New Roman" w:cs="Times New Roman"/>
          <w:kern w:val="0"/>
          <w:lang w:eastAsia="en-GB"/>
          <w14:ligatures w14:val="none"/>
        </w:rPr>
      </w:pPr>
      <w:r w:rsidRPr="00446F54">
        <w:rPr>
          <w:rFonts w:ascii="Times New Roman" w:eastAsia="Times New Roman" w:hAnsi="Times New Roman" w:cs="Times New Roman"/>
          <w:kern w:val="0"/>
          <w:lang w:eastAsia="en-GB"/>
          <w14:ligatures w14:val="none"/>
        </w:rPr>
        <w:t>An eligible customer should be an investor or prospective investor. Therefore, they cannot be the subject entity of the credit rating.</w:t>
      </w:r>
    </w:p>
    <w:p w14:paraId="3BDE2BC1" w14:textId="77777777" w:rsidR="00446F54" w:rsidRPr="00446F54" w:rsidRDefault="00446F54" w:rsidP="00446F54">
      <w:pPr>
        <w:numPr>
          <w:ilvl w:val="0"/>
          <w:numId w:val="5"/>
        </w:numPr>
        <w:spacing w:after="0" w:line="240" w:lineRule="auto"/>
        <w:rPr>
          <w:rFonts w:ascii="Times New Roman" w:eastAsia="Times New Roman" w:hAnsi="Times New Roman" w:cs="Times New Roman"/>
          <w:kern w:val="0"/>
          <w:lang w:eastAsia="en-GB"/>
          <w14:ligatures w14:val="none"/>
        </w:rPr>
      </w:pPr>
      <w:r w:rsidRPr="00446F54">
        <w:rPr>
          <w:rFonts w:ascii="Times New Roman" w:eastAsia="Times New Roman" w:hAnsi="Times New Roman" w:cs="Times New Roman"/>
          <w:kern w:val="0"/>
          <w:lang w:eastAsia="en-GB"/>
          <w14:ligatures w14:val="none"/>
        </w:rPr>
        <w:t>An eligible customer should have permission and rights to access relevant confidential information, as provided by the issuer.</w:t>
      </w:r>
    </w:p>
    <w:p w14:paraId="55415E35" w14:textId="77777777" w:rsidR="00446F54" w:rsidRPr="00446F54" w:rsidRDefault="00446F54" w:rsidP="00446F54">
      <w:pPr>
        <w:numPr>
          <w:ilvl w:val="0"/>
          <w:numId w:val="5"/>
        </w:numPr>
        <w:spacing w:after="0" w:line="240" w:lineRule="auto"/>
        <w:rPr>
          <w:rFonts w:ascii="Times New Roman" w:eastAsia="Times New Roman" w:hAnsi="Times New Roman" w:cs="Times New Roman"/>
          <w:kern w:val="0"/>
          <w:lang w:eastAsia="en-GB"/>
          <w14:ligatures w14:val="none"/>
        </w:rPr>
      </w:pPr>
      <w:r w:rsidRPr="00446F54">
        <w:rPr>
          <w:rFonts w:ascii="Times New Roman" w:eastAsia="Times New Roman" w:hAnsi="Times New Roman" w:cs="Times New Roman"/>
          <w:kern w:val="0"/>
          <w:lang w:eastAsia="en-GB"/>
          <w14:ligatures w14:val="none"/>
        </w:rPr>
        <w:t xml:space="preserve">An eligible customer should have an “economic interest” (defined below) in the rated debt to which the ISCR is assigned. </w:t>
      </w:r>
    </w:p>
    <w:p w14:paraId="47C801F4" w14:textId="043C1688" w:rsidR="00446F54" w:rsidRPr="00446F54" w:rsidRDefault="00446F54" w:rsidP="00446F54">
      <w:pPr>
        <w:numPr>
          <w:ilvl w:val="0"/>
          <w:numId w:val="5"/>
        </w:numPr>
        <w:spacing w:after="0" w:line="240" w:lineRule="auto"/>
        <w:rPr>
          <w:rFonts w:ascii="Times New Roman" w:eastAsia="Times New Roman" w:hAnsi="Times New Roman" w:cs="Times New Roman"/>
          <w:kern w:val="0"/>
          <w:lang w:eastAsia="en-GB"/>
          <w14:ligatures w14:val="none"/>
        </w:rPr>
      </w:pPr>
      <w:r w:rsidRPr="00446F54">
        <w:rPr>
          <w:rFonts w:ascii="Times New Roman" w:eastAsia="Times New Roman" w:hAnsi="Times New Roman" w:cs="Times New Roman"/>
          <w:kern w:val="0"/>
          <w:lang w:eastAsia="en-GB"/>
          <w14:ligatures w14:val="none"/>
        </w:rPr>
        <w:t>Eligible customers should satisfy certain other eligibility criteria</w:t>
      </w:r>
      <w:r w:rsidR="00F2463A" w:rsidRPr="017AB45F">
        <w:rPr>
          <w:rFonts w:ascii="Times New Roman" w:eastAsia="Times New Roman" w:hAnsi="Times New Roman" w:cs="Times New Roman"/>
          <w:lang w:eastAsia="en-GB"/>
        </w:rPr>
        <w:t xml:space="preserve"> des</w:t>
      </w:r>
      <w:r w:rsidR="000D74CF" w:rsidRPr="017AB45F">
        <w:rPr>
          <w:rFonts w:ascii="Times New Roman" w:eastAsia="Times New Roman" w:hAnsi="Times New Roman" w:cs="Times New Roman"/>
          <w:lang w:eastAsia="en-GB"/>
        </w:rPr>
        <w:t xml:space="preserve">igned to ensure </w:t>
      </w:r>
      <w:r w:rsidR="003373B7" w:rsidRPr="017AB45F">
        <w:rPr>
          <w:rFonts w:ascii="Times New Roman" w:eastAsia="Times New Roman" w:hAnsi="Times New Roman" w:cs="Times New Roman"/>
          <w:lang w:eastAsia="en-GB"/>
        </w:rPr>
        <w:t>appropriate</w:t>
      </w:r>
      <w:r w:rsidR="00F2463A" w:rsidRPr="017AB45F">
        <w:rPr>
          <w:rFonts w:ascii="Times New Roman" w:eastAsia="Times New Roman" w:hAnsi="Times New Roman" w:cs="Times New Roman"/>
          <w:lang w:eastAsia="en-GB"/>
        </w:rPr>
        <w:t xml:space="preserve"> confidentiality and </w:t>
      </w:r>
      <w:r w:rsidR="000D74CF" w:rsidRPr="017AB45F">
        <w:rPr>
          <w:rFonts w:ascii="Times New Roman" w:eastAsia="Times New Roman" w:hAnsi="Times New Roman" w:cs="Times New Roman"/>
          <w:lang w:eastAsia="en-GB"/>
        </w:rPr>
        <w:t>to make sure</w:t>
      </w:r>
      <w:r w:rsidR="00F2463A" w:rsidRPr="017AB45F">
        <w:rPr>
          <w:rFonts w:ascii="Times New Roman" w:eastAsia="Times New Roman" w:hAnsi="Times New Roman" w:cs="Times New Roman"/>
          <w:lang w:eastAsia="en-GB"/>
        </w:rPr>
        <w:t xml:space="preserve"> the product </w:t>
      </w:r>
      <w:r w:rsidR="000D74CF" w:rsidRPr="017AB45F">
        <w:rPr>
          <w:rFonts w:ascii="Times New Roman" w:eastAsia="Times New Roman" w:hAnsi="Times New Roman" w:cs="Times New Roman"/>
          <w:lang w:eastAsia="en-GB"/>
        </w:rPr>
        <w:t xml:space="preserve">is offered without </w:t>
      </w:r>
      <w:r w:rsidR="003373B7" w:rsidRPr="017AB45F">
        <w:rPr>
          <w:rFonts w:ascii="Times New Roman" w:eastAsia="Times New Roman" w:hAnsi="Times New Roman" w:cs="Times New Roman"/>
          <w:lang w:eastAsia="en-GB"/>
        </w:rPr>
        <w:t>bias</w:t>
      </w:r>
      <w:r w:rsidR="0000549B" w:rsidRPr="017AB45F">
        <w:rPr>
          <w:rFonts w:ascii="Times New Roman" w:eastAsia="Times New Roman" w:hAnsi="Times New Roman" w:cs="Times New Roman"/>
          <w:lang w:eastAsia="en-GB"/>
        </w:rPr>
        <w:t xml:space="preserve"> or selectivity</w:t>
      </w:r>
      <w:r w:rsidR="245746E3" w:rsidRPr="42C9D418">
        <w:rPr>
          <w:rFonts w:ascii="Times New Roman" w:eastAsia="Times New Roman" w:hAnsi="Times New Roman" w:cs="Times New Roman"/>
          <w:lang w:eastAsia="en-GB"/>
        </w:rPr>
        <w:t>.</w:t>
      </w:r>
      <w:r w:rsidR="003373B7" w:rsidRPr="017AB45F">
        <w:rPr>
          <w:rFonts w:ascii="Times New Roman" w:eastAsia="Times New Roman" w:hAnsi="Times New Roman" w:cs="Times New Roman"/>
          <w:lang w:eastAsia="en-GB"/>
        </w:rPr>
        <w:t xml:space="preserve"> </w:t>
      </w:r>
      <w:r w:rsidR="0109EE77" w:rsidRPr="71E9B8B4">
        <w:rPr>
          <w:rFonts w:ascii="Times New Roman" w:eastAsia="Times New Roman" w:hAnsi="Times New Roman" w:cs="Times New Roman"/>
          <w:lang w:eastAsia="en-GB"/>
        </w:rPr>
        <w:t>T</w:t>
      </w:r>
      <w:r w:rsidR="003373B7" w:rsidRPr="017AB45F">
        <w:rPr>
          <w:rFonts w:ascii="Times New Roman" w:eastAsia="Times New Roman" w:hAnsi="Times New Roman" w:cs="Times New Roman"/>
          <w:lang w:eastAsia="en-GB"/>
        </w:rPr>
        <w:t>hese criteria</w:t>
      </w:r>
      <w:r w:rsidRPr="00446F54">
        <w:rPr>
          <w:rFonts w:ascii="Times New Roman" w:eastAsia="Times New Roman" w:hAnsi="Times New Roman" w:cs="Times New Roman"/>
          <w:kern w:val="0"/>
          <w:lang w:eastAsia="en-GB"/>
          <w14:ligatures w14:val="none"/>
        </w:rPr>
        <w:t xml:space="preserve"> </w:t>
      </w:r>
      <w:r w:rsidR="003373B7" w:rsidRPr="017AB45F">
        <w:rPr>
          <w:rFonts w:ascii="Times New Roman" w:eastAsia="Times New Roman" w:hAnsi="Times New Roman" w:cs="Times New Roman"/>
          <w:lang w:eastAsia="en-GB"/>
        </w:rPr>
        <w:t>include</w:t>
      </w:r>
      <w:r w:rsidRPr="00446F54">
        <w:rPr>
          <w:rFonts w:ascii="Times New Roman" w:eastAsia="Times New Roman" w:hAnsi="Times New Roman" w:cs="Times New Roman"/>
          <w:kern w:val="0"/>
          <w:lang w:eastAsia="en-GB"/>
          <w14:ligatures w14:val="none"/>
        </w:rPr>
        <w:t xml:space="preserve">, but </w:t>
      </w:r>
      <w:r w:rsidR="003373B7" w:rsidRPr="017AB45F">
        <w:rPr>
          <w:rFonts w:ascii="Times New Roman" w:eastAsia="Times New Roman" w:hAnsi="Times New Roman" w:cs="Times New Roman"/>
          <w:lang w:eastAsia="en-GB"/>
        </w:rPr>
        <w:t xml:space="preserve">are </w:t>
      </w:r>
      <w:r w:rsidRPr="00446F54">
        <w:rPr>
          <w:rFonts w:ascii="Times New Roman" w:eastAsia="Times New Roman" w:hAnsi="Times New Roman" w:cs="Times New Roman"/>
          <w:kern w:val="0"/>
          <w:lang w:eastAsia="en-GB"/>
          <w14:ligatures w14:val="none"/>
        </w:rPr>
        <w:t>not limited to, providing economic and trade sanctions warranties.</w:t>
      </w:r>
    </w:p>
    <w:p w14:paraId="15F8B97E" w14:textId="77777777" w:rsidR="00F65487" w:rsidRDefault="00F65487" w:rsidP="00446F54">
      <w:pPr>
        <w:spacing w:after="0" w:line="240" w:lineRule="auto"/>
        <w:ind w:left="432"/>
        <w:rPr>
          <w:rFonts w:ascii="Times New Roman" w:eastAsia="Times New Roman" w:hAnsi="Times New Roman" w:cs="Times New Roman"/>
          <w:kern w:val="0"/>
          <w:lang w:eastAsia="en-GB"/>
          <w14:ligatures w14:val="none"/>
        </w:rPr>
      </w:pPr>
    </w:p>
    <w:p w14:paraId="5EFFBA4A" w14:textId="77777777" w:rsidR="00446F54" w:rsidRPr="00446F54" w:rsidRDefault="00446F54" w:rsidP="00446F54">
      <w:pPr>
        <w:spacing w:after="0" w:line="240" w:lineRule="auto"/>
        <w:ind w:left="432"/>
        <w:rPr>
          <w:rFonts w:ascii="Times New Roman" w:eastAsia="Times New Roman" w:hAnsi="Times New Roman" w:cs="Times New Roman"/>
          <w:kern w:val="0"/>
          <w:lang w:eastAsia="en-GB"/>
          <w14:ligatures w14:val="none"/>
        </w:rPr>
      </w:pPr>
      <w:r w:rsidRPr="00446F54">
        <w:rPr>
          <w:rFonts w:ascii="Times New Roman" w:eastAsia="Times New Roman" w:hAnsi="Times New Roman" w:cs="Times New Roman"/>
          <w:kern w:val="0"/>
          <w:lang w:eastAsia="en-GB"/>
          <w14:ligatures w14:val="none"/>
        </w:rPr>
        <w:t>Subject to meeting the eligibility criteria, ISCRs are offered on a non-discriminatory basis to all investors or prospective investors with a demonstrable economic interest in the transaction.</w:t>
      </w:r>
    </w:p>
    <w:p w14:paraId="139AA21F" w14:textId="7E2799FD" w:rsidR="00446F54" w:rsidRPr="00446F54" w:rsidRDefault="00446F54" w:rsidP="00DA4FD5">
      <w:pPr>
        <w:spacing w:after="0" w:line="240" w:lineRule="auto"/>
        <w:ind w:left="432"/>
        <w:jc w:val="both"/>
        <w:rPr>
          <w:rFonts w:ascii="Times New Roman" w:eastAsia="Times New Roman" w:hAnsi="Times New Roman" w:cs="Times New Roman"/>
          <w:kern w:val="0"/>
          <w:lang w:eastAsia="en-GB"/>
          <w14:ligatures w14:val="none"/>
        </w:rPr>
      </w:pPr>
      <w:r w:rsidRPr="00446F54">
        <w:rPr>
          <w:rFonts w:ascii="Times New Roman" w:eastAsia="Times New Roman" w:hAnsi="Times New Roman" w:cs="Times New Roman"/>
          <w:kern w:val="0"/>
          <w:lang w:eastAsia="en-GB"/>
          <w14:ligatures w14:val="none"/>
        </w:rPr>
        <w:t xml:space="preserve">MR defines this “economic interest” </w:t>
      </w:r>
      <w:r w:rsidR="007A1C54">
        <w:rPr>
          <w:rFonts w:ascii="Times New Roman" w:eastAsia="Times New Roman" w:hAnsi="Times New Roman" w:cs="Times New Roman"/>
          <w:kern w:val="0"/>
          <w:lang w:eastAsia="en-GB"/>
          <w14:ligatures w14:val="none"/>
        </w:rPr>
        <w:t xml:space="preserve">broadly so that any </w:t>
      </w:r>
      <w:r w:rsidR="00852B22">
        <w:rPr>
          <w:rFonts w:ascii="Times New Roman" w:eastAsia="Times New Roman" w:hAnsi="Times New Roman" w:cs="Times New Roman"/>
          <w:kern w:val="0"/>
          <w:lang w:eastAsia="en-GB"/>
          <w14:ligatures w14:val="none"/>
        </w:rPr>
        <w:t xml:space="preserve">party </w:t>
      </w:r>
      <w:r w:rsidR="00550BD5">
        <w:rPr>
          <w:rFonts w:ascii="Times New Roman" w:eastAsia="Times New Roman" w:hAnsi="Times New Roman" w:cs="Times New Roman"/>
          <w:kern w:val="0"/>
          <w:lang w:eastAsia="en-GB"/>
          <w14:ligatures w14:val="none"/>
        </w:rPr>
        <w:t xml:space="preserve">that </w:t>
      </w:r>
      <w:r w:rsidR="00CC6D7C">
        <w:rPr>
          <w:rFonts w:ascii="Times New Roman" w:eastAsia="Times New Roman" w:hAnsi="Times New Roman" w:cs="Times New Roman"/>
          <w:kern w:val="0"/>
          <w:lang w:eastAsia="en-GB"/>
          <w14:ligatures w14:val="none"/>
        </w:rPr>
        <w:t xml:space="preserve">can evidence that they </w:t>
      </w:r>
      <w:r w:rsidR="00550BD5">
        <w:rPr>
          <w:rFonts w:ascii="Times New Roman" w:eastAsia="Times New Roman" w:hAnsi="Times New Roman" w:cs="Times New Roman"/>
          <w:kern w:val="0"/>
          <w:lang w:eastAsia="en-GB"/>
          <w14:ligatures w14:val="none"/>
        </w:rPr>
        <w:t>currently or prospectively hold a</w:t>
      </w:r>
      <w:r w:rsidR="00B44238">
        <w:rPr>
          <w:rFonts w:ascii="Times New Roman" w:eastAsia="Times New Roman" w:hAnsi="Times New Roman" w:cs="Times New Roman"/>
          <w:kern w:val="0"/>
          <w:lang w:eastAsia="en-GB"/>
          <w14:ligatures w14:val="none"/>
        </w:rPr>
        <w:t>n economic</w:t>
      </w:r>
      <w:r w:rsidR="00550BD5">
        <w:rPr>
          <w:rFonts w:ascii="Times New Roman" w:eastAsia="Times New Roman" w:hAnsi="Times New Roman" w:cs="Times New Roman"/>
          <w:kern w:val="0"/>
          <w:lang w:eastAsia="en-GB"/>
          <w14:ligatures w14:val="none"/>
        </w:rPr>
        <w:t xml:space="preserve"> position in the rated </w:t>
      </w:r>
      <w:r w:rsidR="00ED7759">
        <w:rPr>
          <w:rFonts w:ascii="Times New Roman" w:eastAsia="Times New Roman" w:hAnsi="Times New Roman" w:cs="Times New Roman"/>
          <w:kern w:val="0"/>
          <w:lang w:eastAsia="en-GB"/>
          <w14:ligatures w14:val="none"/>
        </w:rPr>
        <w:t>exposure</w:t>
      </w:r>
      <w:r w:rsidR="00B44238">
        <w:rPr>
          <w:rFonts w:ascii="Times New Roman" w:eastAsia="Times New Roman" w:hAnsi="Times New Roman" w:cs="Times New Roman"/>
          <w:kern w:val="0"/>
          <w:lang w:eastAsia="en-GB"/>
          <w14:ligatures w14:val="none"/>
        </w:rPr>
        <w:t xml:space="preserve"> </w:t>
      </w:r>
      <w:r w:rsidR="00CC6D7C">
        <w:rPr>
          <w:rFonts w:ascii="Times New Roman" w:eastAsia="Times New Roman" w:hAnsi="Times New Roman" w:cs="Times New Roman"/>
          <w:kern w:val="0"/>
          <w:lang w:eastAsia="en-GB"/>
          <w14:ligatures w14:val="none"/>
        </w:rPr>
        <w:t xml:space="preserve">would be considered to have an </w:t>
      </w:r>
      <w:r w:rsidR="00ED7759">
        <w:rPr>
          <w:rFonts w:ascii="Times New Roman" w:eastAsia="Times New Roman" w:hAnsi="Times New Roman" w:cs="Times New Roman"/>
          <w:kern w:val="0"/>
          <w:lang w:eastAsia="en-GB"/>
          <w14:ligatures w14:val="none"/>
        </w:rPr>
        <w:t>“</w:t>
      </w:r>
      <w:r w:rsidR="00CC6D7C">
        <w:rPr>
          <w:rFonts w:ascii="Times New Roman" w:eastAsia="Times New Roman" w:hAnsi="Times New Roman" w:cs="Times New Roman"/>
          <w:kern w:val="0"/>
          <w:lang w:eastAsia="en-GB"/>
          <w14:ligatures w14:val="none"/>
        </w:rPr>
        <w:t>economic interest</w:t>
      </w:r>
      <w:r w:rsidR="00ED7759">
        <w:rPr>
          <w:rFonts w:ascii="Times New Roman" w:eastAsia="Times New Roman" w:hAnsi="Times New Roman" w:cs="Times New Roman"/>
          <w:kern w:val="0"/>
          <w:lang w:eastAsia="en-GB"/>
          <w14:ligatures w14:val="none"/>
        </w:rPr>
        <w:t>”</w:t>
      </w:r>
      <w:r w:rsidR="00CC6D7C">
        <w:rPr>
          <w:rFonts w:ascii="Times New Roman" w:eastAsia="Times New Roman" w:hAnsi="Times New Roman" w:cs="Times New Roman"/>
          <w:kern w:val="0"/>
          <w:lang w:eastAsia="en-GB"/>
          <w14:ligatures w14:val="none"/>
        </w:rPr>
        <w:t xml:space="preserve"> in the transaction and hence an </w:t>
      </w:r>
      <w:r w:rsidR="001672B9">
        <w:rPr>
          <w:rFonts w:ascii="Times New Roman" w:eastAsia="Times New Roman" w:hAnsi="Times New Roman" w:cs="Times New Roman"/>
          <w:kern w:val="0"/>
          <w:lang w:eastAsia="en-GB"/>
          <w14:ligatures w14:val="none"/>
        </w:rPr>
        <w:t>“</w:t>
      </w:r>
      <w:r w:rsidR="00CC6D7C">
        <w:rPr>
          <w:rFonts w:ascii="Times New Roman" w:eastAsia="Times New Roman" w:hAnsi="Times New Roman" w:cs="Times New Roman"/>
          <w:kern w:val="0"/>
          <w:lang w:eastAsia="en-GB"/>
          <w14:ligatures w14:val="none"/>
        </w:rPr>
        <w:t>eligible customer</w:t>
      </w:r>
      <w:r w:rsidR="001672B9">
        <w:rPr>
          <w:rFonts w:ascii="Times New Roman" w:eastAsia="Times New Roman" w:hAnsi="Times New Roman" w:cs="Times New Roman"/>
          <w:kern w:val="0"/>
          <w:lang w:eastAsia="en-GB"/>
          <w14:ligatures w14:val="none"/>
        </w:rPr>
        <w:t>”</w:t>
      </w:r>
      <w:r w:rsidR="003A53B1">
        <w:rPr>
          <w:rFonts w:ascii="Times New Roman" w:eastAsia="Times New Roman" w:hAnsi="Times New Roman" w:cs="Times New Roman"/>
          <w:kern w:val="0"/>
          <w:lang w:eastAsia="en-GB"/>
          <w14:ligatures w14:val="none"/>
        </w:rPr>
        <w:t xml:space="preserve"> (subject to meeting other eligibility criteria above)</w:t>
      </w:r>
      <w:r w:rsidR="00B44238">
        <w:rPr>
          <w:rFonts w:ascii="Times New Roman" w:eastAsia="Times New Roman" w:hAnsi="Times New Roman" w:cs="Times New Roman"/>
          <w:kern w:val="0"/>
          <w:lang w:eastAsia="en-GB"/>
          <w14:ligatures w14:val="none"/>
        </w:rPr>
        <w:t xml:space="preserve">. </w:t>
      </w:r>
      <w:r w:rsidR="00CC6D7C">
        <w:rPr>
          <w:rFonts w:ascii="Times New Roman" w:eastAsia="Times New Roman" w:hAnsi="Times New Roman" w:cs="Times New Roman"/>
          <w:kern w:val="0"/>
          <w:lang w:eastAsia="en-GB"/>
          <w14:ligatures w14:val="none"/>
        </w:rPr>
        <w:t>Key examples include:</w:t>
      </w:r>
    </w:p>
    <w:p w14:paraId="2E4A2EB1" w14:textId="77777777" w:rsidR="00446F54" w:rsidRPr="00446F54" w:rsidRDefault="00446F54" w:rsidP="00446F54">
      <w:pPr>
        <w:numPr>
          <w:ilvl w:val="0"/>
          <w:numId w:val="4"/>
        </w:numPr>
        <w:spacing w:after="0" w:line="240" w:lineRule="auto"/>
        <w:rPr>
          <w:rFonts w:ascii="Times New Roman" w:eastAsia="Times New Roman" w:hAnsi="Times New Roman" w:cs="Times New Roman"/>
          <w:kern w:val="0"/>
          <w:lang w:eastAsia="en-GB"/>
          <w14:ligatures w14:val="none"/>
        </w:rPr>
      </w:pPr>
      <w:r w:rsidRPr="00446F54">
        <w:rPr>
          <w:rFonts w:ascii="Times New Roman" w:eastAsia="Times New Roman" w:hAnsi="Times New Roman" w:cs="Times New Roman"/>
          <w:kern w:val="0"/>
          <w:lang w:eastAsia="en-GB"/>
          <w14:ligatures w14:val="none"/>
        </w:rPr>
        <w:t xml:space="preserve">An investor or lender named as such within the debt facility credit agreement documentation, </w:t>
      </w:r>
    </w:p>
    <w:p w14:paraId="6EEE1550" w14:textId="77777777" w:rsidR="00446F54" w:rsidRPr="00446F54" w:rsidRDefault="00446F54" w:rsidP="00446F54">
      <w:pPr>
        <w:numPr>
          <w:ilvl w:val="0"/>
          <w:numId w:val="4"/>
        </w:numPr>
        <w:spacing w:after="0" w:line="240" w:lineRule="auto"/>
        <w:rPr>
          <w:rFonts w:ascii="Times New Roman" w:eastAsia="Times New Roman" w:hAnsi="Times New Roman" w:cs="Times New Roman"/>
          <w:kern w:val="0"/>
          <w:lang w:eastAsia="en-GB"/>
          <w14:ligatures w14:val="none"/>
        </w:rPr>
      </w:pPr>
      <w:r w:rsidRPr="00446F54">
        <w:rPr>
          <w:rFonts w:ascii="Times New Roman" w:eastAsia="Times New Roman" w:hAnsi="Times New Roman" w:cs="Times New Roman"/>
          <w:kern w:val="0"/>
          <w:lang w:eastAsia="en-GB"/>
          <w14:ligatures w14:val="none"/>
        </w:rPr>
        <w:t xml:space="preserve">An investor or lender obtaining an interest in the rated debt facility by way of an assignment agreement, or </w:t>
      </w:r>
    </w:p>
    <w:p w14:paraId="3EB4962C" w14:textId="77777777" w:rsidR="00446F54" w:rsidRPr="00446F54" w:rsidRDefault="00446F54" w:rsidP="00446F54">
      <w:pPr>
        <w:numPr>
          <w:ilvl w:val="0"/>
          <w:numId w:val="4"/>
        </w:numPr>
        <w:spacing w:after="0" w:line="240" w:lineRule="auto"/>
        <w:rPr>
          <w:rFonts w:ascii="Times New Roman" w:eastAsia="Times New Roman" w:hAnsi="Times New Roman" w:cs="Times New Roman"/>
          <w:kern w:val="0"/>
          <w:lang w:val="en-US" w:eastAsia="en-GB"/>
          <w14:ligatures w14:val="none"/>
        </w:rPr>
      </w:pPr>
      <w:r w:rsidRPr="00446F54">
        <w:rPr>
          <w:rFonts w:ascii="Times New Roman" w:eastAsia="Times New Roman" w:hAnsi="Times New Roman" w:cs="Times New Roman"/>
          <w:kern w:val="0"/>
          <w:lang w:val="en-US" w:eastAsia="en-GB"/>
          <w14:ligatures w14:val="none"/>
        </w:rPr>
        <w:t xml:space="preserve">A prospective investor or lender with a reasonable prospect of being named within amended debt facility credit agreement documentation.  </w:t>
      </w:r>
    </w:p>
    <w:p w14:paraId="30F1F66B" w14:textId="27E2AC8D" w:rsidR="00446F54" w:rsidRPr="00446F54" w:rsidRDefault="00446F54" w:rsidP="00912225">
      <w:pPr>
        <w:spacing w:after="0" w:line="240" w:lineRule="auto"/>
        <w:rPr>
          <w:rFonts w:ascii="Times New Roman" w:eastAsia="Times New Roman" w:hAnsi="Times New Roman" w:cs="Times New Roman"/>
          <w:kern w:val="0"/>
          <w:lang w:val="en-US" w:eastAsia="en-GB"/>
          <w14:ligatures w14:val="none"/>
        </w:rPr>
      </w:pPr>
    </w:p>
    <w:p w14:paraId="7CFFEFE4" w14:textId="24F3B7AF" w:rsidR="00446F54" w:rsidRDefault="00446F54" w:rsidP="00EF4C74">
      <w:pPr>
        <w:spacing w:after="0" w:line="240" w:lineRule="auto"/>
        <w:ind w:left="432"/>
        <w:rPr>
          <w:rFonts w:ascii="Times New Roman" w:eastAsia="Times New Roman" w:hAnsi="Times New Roman" w:cs="Times New Roman"/>
          <w:kern w:val="0"/>
          <w:lang w:val="en-US" w:eastAsia="en-GB"/>
          <w14:ligatures w14:val="none"/>
        </w:rPr>
      </w:pPr>
      <w:r w:rsidRPr="00446F54">
        <w:rPr>
          <w:rFonts w:ascii="Times New Roman" w:eastAsia="Times New Roman" w:hAnsi="Times New Roman" w:cs="Times New Roman"/>
          <w:b/>
          <w:bCs/>
          <w:kern w:val="0"/>
          <w:lang w:val="en-US" w:eastAsia="en-GB"/>
          <w14:ligatures w14:val="none"/>
        </w:rPr>
        <w:t xml:space="preserve">Based on information available to us, MR takes all reasonable steps </w:t>
      </w:r>
      <w:proofErr w:type="gramStart"/>
      <w:r w:rsidR="004A6AB4">
        <w:rPr>
          <w:rFonts w:ascii="Times New Roman" w:eastAsia="Times New Roman" w:hAnsi="Times New Roman" w:cs="Times New Roman"/>
          <w:b/>
          <w:bCs/>
          <w:kern w:val="0"/>
          <w:lang w:val="en-US" w:eastAsia="en-GB"/>
          <w14:ligatures w14:val="none"/>
        </w:rPr>
        <w:t>so that</w:t>
      </w:r>
      <w:proofErr w:type="gramEnd"/>
      <w:r w:rsidRPr="00446F54">
        <w:rPr>
          <w:rFonts w:ascii="Times New Roman" w:eastAsia="Times New Roman" w:hAnsi="Times New Roman" w:cs="Times New Roman"/>
          <w:b/>
          <w:bCs/>
          <w:kern w:val="0"/>
          <w:lang w:val="en-US" w:eastAsia="en-GB"/>
          <w14:ligatures w14:val="none"/>
        </w:rPr>
        <w:t xml:space="preserve"> that access to the rating through a subscription is made available on a non-discriminatory basis to all interested parties who have a demonstrable economic interest in the rated debt instrument.</w:t>
      </w:r>
      <w:r w:rsidR="003A7978">
        <w:rPr>
          <w:rFonts w:ascii="Times New Roman" w:eastAsia="Times New Roman" w:hAnsi="Times New Roman" w:cs="Times New Roman"/>
          <w:kern w:val="0"/>
          <w:lang w:val="en-US" w:eastAsia="en-GB"/>
          <w14:ligatures w14:val="none"/>
        </w:rPr>
        <w:t xml:space="preserve"> </w:t>
      </w:r>
      <w:r w:rsidR="00C1118A" w:rsidRPr="00C1118A">
        <w:rPr>
          <w:rFonts w:ascii="Times New Roman" w:eastAsia="Times New Roman" w:hAnsi="Times New Roman" w:cs="Times New Roman"/>
          <w:kern w:val="0"/>
          <w:lang w:val="en-US" w:eastAsia="en-GB"/>
          <w14:ligatures w14:val="none"/>
        </w:rPr>
        <w:t xml:space="preserve">With a view </w:t>
      </w:r>
      <w:r w:rsidR="6D6F1DDF" w:rsidRPr="00C1118A">
        <w:rPr>
          <w:rFonts w:ascii="Times New Roman" w:eastAsia="Times New Roman" w:hAnsi="Times New Roman" w:cs="Times New Roman"/>
          <w:kern w:val="0"/>
          <w:lang w:val="en-US" w:eastAsia="en-GB"/>
          <w14:ligatures w14:val="none"/>
        </w:rPr>
        <w:t>to</w:t>
      </w:r>
      <w:r w:rsidR="007F5F05">
        <w:rPr>
          <w:rFonts w:ascii="Times New Roman" w:eastAsia="Times New Roman" w:hAnsi="Times New Roman" w:cs="Times New Roman"/>
          <w:kern w:val="0"/>
          <w:lang w:val="en-US" w:eastAsia="en-GB"/>
          <w14:ligatures w14:val="none"/>
        </w:rPr>
        <w:t xml:space="preserve"> making all</w:t>
      </w:r>
      <w:r w:rsidR="00517025" w:rsidRPr="00517025">
        <w:rPr>
          <w:rFonts w:ascii="Times New Roman" w:eastAsia="Times New Roman" w:hAnsi="Times New Roman" w:cs="Times New Roman"/>
          <w:kern w:val="0"/>
          <w:lang w:val="en-US" w:eastAsia="en-GB"/>
          <w14:ligatures w14:val="none"/>
        </w:rPr>
        <w:t xml:space="preserve"> relevant parties aware of the availability of a rating</w:t>
      </w:r>
      <w:r w:rsidR="007F5F05">
        <w:rPr>
          <w:rFonts w:ascii="Times New Roman" w:eastAsia="Times New Roman" w:hAnsi="Times New Roman" w:cs="Times New Roman"/>
          <w:kern w:val="0"/>
          <w:lang w:val="en-US" w:eastAsia="en-GB"/>
          <w14:ligatures w14:val="none"/>
        </w:rPr>
        <w:t xml:space="preserve"> for subscription</w:t>
      </w:r>
      <w:r w:rsidR="00C1118A" w:rsidRPr="00C1118A">
        <w:rPr>
          <w:rFonts w:ascii="Times New Roman" w:eastAsia="Times New Roman" w:hAnsi="Times New Roman" w:cs="Times New Roman"/>
          <w:kern w:val="0"/>
          <w:lang w:val="en-US" w:eastAsia="en-GB"/>
          <w14:ligatures w14:val="none"/>
        </w:rPr>
        <w:t>, we intend to keep under review how we define “economic interest” and to incorporate any adjustments that may be warranted, for example to take account of different types of rated transactions</w:t>
      </w:r>
      <w:r w:rsidR="00187ED4">
        <w:rPr>
          <w:rFonts w:ascii="Times New Roman" w:eastAsia="Times New Roman" w:hAnsi="Times New Roman" w:cs="Times New Roman"/>
          <w:kern w:val="0"/>
          <w:lang w:val="en-US" w:eastAsia="en-GB"/>
          <w14:ligatures w14:val="none"/>
        </w:rPr>
        <w:t>.</w:t>
      </w:r>
    </w:p>
    <w:p w14:paraId="389081EA" w14:textId="77777777" w:rsidR="00187ED4" w:rsidRDefault="00187ED4" w:rsidP="00EF4C74">
      <w:pPr>
        <w:spacing w:after="0" w:line="240" w:lineRule="auto"/>
        <w:ind w:left="432"/>
        <w:rPr>
          <w:rFonts w:ascii="Times New Roman" w:eastAsia="Times New Roman" w:hAnsi="Times New Roman" w:cs="Times New Roman"/>
          <w:kern w:val="0"/>
          <w:lang w:eastAsia="en-GB"/>
          <w14:ligatures w14:val="none"/>
        </w:rPr>
      </w:pPr>
    </w:p>
    <w:p w14:paraId="239192CA" w14:textId="46BD5342"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5CD3BDFB"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AAC73E4" w14:textId="7EB19138"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3</w:t>
      </w:r>
      <w:r w:rsidRPr="007243AE">
        <w:rPr>
          <w:rFonts w:ascii="Arial" w:eastAsia="MS PGothic" w:hAnsi="Arial" w:cs="Arial"/>
          <w:bCs/>
          <w:color w:val="181818"/>
          <w:kern w:val="0"/>
          <w:sz w:val="22"/>
          <w:szCs w:val="20"/>
          <w14:ligatures w14:val="none"/>
        </w:rPr>
        <w:t xml:space="preserve"> What information is provided to subscribers alongside the</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 (e.g., rationale, key assumptions, sensitivity analysis)? How does this information compare with that accompanying publicly disseminated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and how are any differences addressed?</w:t>
      </w:r>
    </w:p>
    <w:p w14:paraId="63520B2D" w14:textId="4399C26C"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60FBA056" w14:textId="77777777" w:rsidR="00375F67" w:rsidRDefault="00375F67" w:rsidP="00EF4C74">
      <w:pPr>
        <w:spacing w:after="0" w:line="240" w:lineRule="auto"/>
        <w:ind w:left="432"/>
        <w:rPr>
          <w:rFonts w:ascii="Times New Roman" w:eastAsia="Times New Roman" w:hAnsi="Times New Roman" w:cs="Times New Roman"/>
          <w:kern w:val="0"/>
          <w:lang w:eastAsia="en-GB"/>
          <w14:ligatures w14:val="none"/>
        </w:rPr>
      </w:pPr>
    </w:p>
    <w:p w14:paraId="6FB2AC02" w14:textId="77777777" w:rsidR="00375F67" w:rsidRPr="00375F67" w:rsidRDefault="00375F67" w:rsidP="00375F67">
      <w:pPr>
        <w:spacing w:after="0" w:line="240" w:lineRule="auto"/>
        <w:ind w:left="432"/>
        <w:rPr>
          <w:rFonts w:ascii="Times New Roman" w:eastAsia="Times New Roman" w:hAnsi="Times New Roman" w:cs="Times New Roman"/>
          <w:kern w:val="0"/>
          <w:lang w:eastAsia="en-GB"/>
          <w14:ligatures w14:val="none"/>
        </w:rPr>
      </w:pPr>
      <w:r w:rsidRPr="00375F67">
        <w:rPr>
          <w:rFonts w:ascii="Times New Roman" w:eastAsia="Times New Roman" w:hAnsi="Times New Roman" w:cs="Times New Roman"/>
          <w:kern w:val="0"/>
          <w:lang w:eastAsia="en-GB"/>
          <w14:ligatures w14:val="none"/>
        </w:rPr>
        <w:t>Subscribers to our ISCRs receive the same core analytical information and disclosures as those accompanying our publicly disseminated credit ratings</w:t>
      </w:r>
      <w:r w:rsidRPr="00375F67" w:rsidDel="00B40779">
        <w:rPr>
          <w:rFonts w:ascii="Times New Roman" w:eastAsia="Times New Roman" w:hAnsi="Times New Roman" w:cs="Times New Roman"/>
          <w:kern w:val="0"/>
          <w:lang w:eastAsia="en-GB"/>
          <w14:ligatures w14:val="none"/>
        </w:rPr>
        <w:t>,</w:t>
      </w:r>
      <w:r w:rsidRPr="00375F67">
        <w:rPr>
          <w:rFonts w:ascii="Times New Roman" w:eastAsia="Times New Roman" w:hAnsi="Times New Roman" w:cs="Times New Roman"/>
          <w:kern w:val="0"/>
          <w:lang w:eastAsia="en-GB"/>
          <w14:ligatures w14:val="none"/>
        </w:rPr>
        <w:t xml:space="preserve"> including:</w:t>
      </w:r>
    </w:p>
    <w:p w14:paraId="347DAF74" w14:textId="77777777" w:rsidR="00375F67" w:rsidRPr="00375F67" w:rsidRDefault="00375F67" w:rsidP="00375F67">
      <w:pPr>
        <w:numPr>
          <w:ilvl w:val="0"/>
          <w:numId w:val="4"/>
        </w:numPr>
        <w:spacing w:after="0" w:line="240" w:lineRule="auto"/>
        <w:rPr>
          <w:rFonts w:ascii="Times New Roman" w:eastAsia="Times New Roman" w:hAnsi="Times New Roman" w:cs="Times New Roman"/>
          <w:kern w:val="0"/>
          <w:lang w:eastAsia="en-GB"/>
          <w14:ligatures w14:val="none"/>
        </w:rPr>
      </w:pPr>
      <w:r w:rsidRPr="00375F67">
        <w:rPr>
          <w:rFonts w:ascii="Times New Roman" w:eastAsia="Times New Roman" w:hAnsi="Times New Roman" w:cs="Times New Roman"/>
          <w:kern w:val="0"/>
          <w:lang w:eastAsia="en-GB"/>
          <w14:ligatures w14:val="none"/>
        </w:rPr>
        <w:t>The credit rating outcome: a rating announcement setting out the credit rating rationale and key drivers;</w:t>
      </w:r>
    </w:p>
    <w:p w14:paraId="54C0D02D" w14:textId="77777777" w:rsidR="00375F67" w:rsidRPr="00375F67" w:rsidRDefault="00375F67" w:rsidP="00375F67">
      <w:pPr>
        <w:numPr>
          <w:ilvl w:val="0"/>
          <w:numId w:val="4"/>
        </w:numPr>
        <w:spacing w:after="0" w:line="240" w:lineRule="auto"/>
        <w:rPr>
          <w:rFonts w:ascii="Times New Roman" w:eastAsia="Times New Roman" w:hAnsi="Times New Roman" w:cs="Times New Roman"/>
          <w:kern w:val="0"/>
          <w:lang w:eastAsia="en-GB"/>
          <w14:ligatures w14:val="none"/>
        </w:rPr>
      </w:pPr>
      <w:r w:rsidRPr="00375F67">
        <w:rPr>
          <w:rFonts w:ascii="Times New Roman" w:eastAsia="Times New Roman" w:hAnsi="Times New Roman" w:cs="Times New Roman"/>
          <w:kern w:val="0"/>
          <w:lang w:eastAsia="en-GB"/>
          <w14:ligatures w14:val="none"/>
        </w:rPr>
        <w:lastRenderedPageBreak/>
        <w:t>Key assumptions and analytical considerations consistent with the applicable rating methodologies; and</w:t>
      </w:r>
    </w:p>
    <w:p w14:paraId="03FF42CA" w14:textId="77777777" w:rsidR="00375F67" w:rsidRPr="00375F67" w:rsidRDefault="00375F67" w:rsidP="00375F67">
      <w:pPr>
        <w:numPr>
          <w:ilvl w:val="0"/>
          <w:numId w:val="4"/>
        </w:numPr>
        <w:spacing w:after="0" w:line="240" w:lineRule="auto"/>
        <w:rPr>
          <w:rFonts w:ascii="Times New Roman" w:eastAsia="Times New Roman" w:hAnsi="Times New Roman" w:cs="Times New Roman"/>
          <w:kern w:val="0"/>
          <w:lang w:eastAsia="en-GB"/>
          <w14:ligatures w14:val="none"/>
        </w:rPr>
      </w:pPr>
      <w:r w:rsidRPr="00375F67">
        <w:rPr>
          <w:rFonts w:ascii="Times New Roman" w:eastAsia="Times New Roman" w:hAnsi="Times New Roman" w:cs="Times New Roman"/>
          <w:kern w:val="0"/>
          <w:lang w:eastAsia="en-GB"/>
          <w14:ligatures w14:val="none"/>
        </w:rPr>
        <w:t>The full set of regulatory disclosures required for regulated credit ratings.</w:t>
      </w:r>
    </w:p>
    <w:p w14:paraId="72B1FD32" w14:textId="77777777" w:rsidR="00375F67" w:rsidRPr="00375F67" w:rsidRDefault="00375F67" w:rsidP="00375F67">
      <w:pPr>
        <w:spacing w:after="0" w:line="240" w:lineRule="auto"/>
        <w:ind w:left="432"/>
        <w:rPr>
          <w:rFonts w:ascii="Times New Roman" w:eastAsia="Times New Roman" w:hAnsi="Times New Roman" w:cs="Times New Roman"/>
          <w:kern w:val="0"/>
          <w:lang w:eastAsia="en-GB"/>
          <w14:ligatures w14:val="none"/>
        </w:rPr>
      </w:pPr>
      <w:r w:rsidRPr="00375F67">
        <w:rPr>
          <w:rFonts w:ascii="Times New Roman" w:eastAsia="Times New Roman" w:hAnsi="Times New Roman" w:cs="Times New Roman"/>
          <w:kern w:val="0"/>
          <w:lang w:eastAsia="en-GB"/>
          <w14:ligatures w14:val="none"/>
        </w:rPr>
        <w:t>These materials mirror those produced for publicly disseminated credit ratings and are prepared using the same analytical teams, methodologies, rating committees, governance processes, and monitoring arrangements.</w:t>
      </w:r>
    </w:p>
    <w:p w14:paraId="7A4E0066" w14:textId="77777777" w:rsidR="00375F67" w:rsidRDefault="00375F67" w:rsidP="00EF4C74">
      <w:pPr>
        <w:spacing w:after="0" w:line="240" w:lineRule="auto"/>
        <w:ind w:left="432"/>
        <w:rPr>
          <w:rFonts w:ascii="Times New Roman" w:eastAsia="Times New Roman" w:hAnsi="Times New Roman" w:cs="Times New Roman"/>
          <w:kern w:val="0"/>
          <w:lang w:eastAsia="en-GB"/>
          <w14:ligatures w14:val="none"/>
        </w:rPr>
      </w:pPr>
    </w:p>
    <w:p w14:paraId="1C405EA1" w14:textId="221427F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6D6F5663"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34E6CAC5" w14:textId="74391AB4"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4</w:t>
      </w:r>
      <w:r w:rsidRPr="007243AE">
        <w:rPr>
          <w:rFonts w:ascii="Arial" w:eastAsia="MS PGothic" w:hAnsi="Arial" w:cs="Arial"/>
          <w:bCs/>
          <w:color w:val="181818"/>
          <w:kern w:val="0"/>
          <w:sz w:val="22"/>
          <w:szCs w:val="20"/>
          <w14:ligatures w14:val="none"/>
        </w:rPr>
        <w:t xml:space="preserve"> What arrangements apply in practice to ensure that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are produced in line with the requirements of the CRA Regulation, including those relating to governance, independence, conflicts of interest, internal controls, and application methodologies? How do these arrangements compare with those applicable to publicly disseminated credit ratings?</w:t>
      </w:r>
      <w:r w:rsidRPr="007243AE">
        <w:rPr>
          <w:rFonts w:ascii="Arial" w:eastAsia="MS PGothic" w:hAnsi="Arial" w:cs="Arial"/>
          <w:color w:val="181818"/>
          <w:kern w:val="0"/>
          <w:sz w:val="22"/>
          <w:szCs w:val="20"/>
          <w14:ligatures w14:val="none"/>
        </w:rPr>
        <w:t xml:space="preserve"> </w:t>
      </w:r>
    </w:p>
    <w:p w14:paraId="15691D21" w14:textId="597F46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6D9D9C33" w14:textId="77777777" w:rsidR="00A30EDA" w:rsidRDefault="00A30EDA" w:rsidP="001013E7">
      <w:pPr>
        <w:spacing w:after="0" w:line="240" w:lineRule="auto"/>
        <w:ind w:left="432"/>
        <w:rPr>
          <w:rFonts w:ascii="Times New Roman" w:eastAsia="Times New Roman" w:hAnsi="Times New Roman" w:cs="Times New Roman"/>
          <w:kern w:val="0"/>
          <w:lang w:eastAsia="en-GB"/>
          <w14:ligatures w14:val="none"/>
        </w:rPr>
      </w:pPr>
    </w:p>
    <w:p w14:paraId="291BFDFE" w14:textId="77777777" w:rsidR="008A49CE" w:rsidRDefault="00A30EDA" w:rsidP="008A49CE">
      <w:pPr>
        <w:spacing w:after="0" w:line="240" w:lineRule="auto"/>
        <w:ind w:left="432"/>
        <w:rPr>
          <w:rFonts w:ascii="Times New Roman" w:eastAsia="Times New Roman" w:hAnsi="Times New Roman" w:cs="Times New Roman"/>
          <w:kern w:val="0"/>
          <w:lang w:eastAsia="en-GB"/>
          <w14:ligatures w14:val="none"/>
        </w:rPr>
      </w:pPr>
      <w:r w:rsidRPr="00A30EDA">
        <w:rPr>
          <w:rFonts w:ascii="Times New Roman" w:eastAsia="Times New Roman" w:hAnsi="Times New Roman" w:cs="Times New Roman"/>
          <w:kern w:val="0"/>
          <w:lang w:eastAsia="en-GB"/>
          <w14:ligatures w14:val="none"/>
        </w:rPr>
        <w:t xml:space="preserve">We produce ISCRs under the same governance, independence, conflict of interest, internal control and application methodologies frameworks as for publicly disseminated credit ratings, in full application of the EU CRA Regulation. The only difference between an ISCR and a publicly disseminated credit rating is the distribution mechanism. </w:t>
      </w:r>
    </w:p>
    <w:p w14:paraId="31EBB96A" w14:textId="77777777" w:rsidR="008A49CE" w:rsidRDefault="008A49CE" w:rsidP="008A49CE">
      <w:pPr>
        <w:spacing w:after="0" w:line="240" w:lineRule="auto"/>
        <w:ind w:left="432"/>
        <w:rPr>
          <w:rFonts w:ascii="Times New Roman" w:eastAsia="Times New Roman" w:hAnsi="Times New Roman" w:cs="Times New Roman"/>
          <w:kern w:val="0"/>
          <w:lang w:eastAsia="en-GB"/>
          <w14:ligatures w14:val="none"/>
        </w:rPr>
      </w:pPr>
    </w:p>
    <w:p w14:paraId="503446FA" w14:textId="3A9D4889" w:rsidR="00A30EDA" w:rsidRPr="008A49CE" w:rsidRDefault="00A30EDA" w:rsidP="008A49CE">
      <w:pPr>
        <w:spacing w:after="0" w:line="240" w:lineRule="auto"/>
        <w:ind w:left="432"/>
        <w:rPr>
          <w:rFonts w:ascii="Times New Roman" w:eastAsia="Times New Roman" w:hAnsi="Times New Roman" w:cs="Times New Roman"/>
          <w:kern w:val="0"/>
          <w:lang w:eastAsia="en-GB"/>
          <w14:ligatures w14:val="none"/>
        </w:rPr>
      </w:pPr>
      <w:r w:rsidRPr="00A30EDA">
        <w:rPr>
          <w:rFonts w:ascii="Times New Roman" w:eastAsia="Times New Roman" w:hAnsi="Times New Roman" w:cs="Times New Roman"/>
          <w:kern w:val="0"/>
          <w:lang w:eastAsia="en-GB"/>
          <w14:ligatures w14:val="none"/>
        </w:rPr>
        <w:t>Hence, as example, under article 10 of the Regulation, our ISCR and ISCR outlook, or any decision to discontinue them with full reasons for the decision would be disclosed on a non-selective basis to “</w:t>
      </w:r>
      <w:r w:rsidRPr="00187ED4">
        <w:rPr>
          <w:rFonts w:ascii="Times New Roman" w:eastAsia="Times New Roman" w:hAnsi="Times New Roman" w:cs="Times New Roman"/>
          <w:kern w:val="0"/>
          <w:lang w:eastAsia="en-GB"/>
          <w14:ligatures w14:val="none"/>
        </w:rPr>
        <w:t>all subscribers</w:t>
      </w:r>
      <w:r w:rsidRPr="00A30EDA">
        <w:rPr>
          <w:rFonts w:ascii="Times New Roman" w:eastAsia="Times New Roman" w:hAnsi="Times New Roman" w:cs="Times New Roman"/>
          <w:kern w:val="0"/>
          <w:lang w:eastAsia="en-GB"/>
          <w14:ligatures w14:val="none"/>
        </w:rPr>
        <w:t>”, rather than “</w:t>
      </w:r>
      <w:r w:rsidRPr="00187ED4">
        <w:rPr>
          <w:rFonts w:ascii="Times New Roman" w:eastAsia="Times New Roman" w:hAnsi="Times New Roman" w:cs="Times New Roman"/>
          <w:kern w:val="0"/>
          <w:lang w:eastAsia="en-GB"/>
          <w14:ligatures w14:val="none"/>
        </w:rPr>
        <w:t>publicly</w:t>
      </w:r>
      <w:r w:rsidRPr="00A30EDA">
        <w:rPr>
          <w:rFonts w:ascii="Times New Roman" w:eastAsia="Times New Roman" w:hAnsi="Times New Roman" w:cs="Times New Roman"/>
          <w:kern w:val="0"/>
          <w:lang w:eastAsia="en-GB"/>
          <w14:ligatures w14:val="none"/>
        </w:rPr>
        <w:t>” (</w:t>
      </w:r>
      <w:r w:rsidRPr="00A30EDA">
        <w:rPr>
          <w:rFonts w:ascii="Times New Roman" w:eastAsia="Times New Roman" w:hAnsi="Times New Roman" w:cs="Times New Roman"/>
          <w:i/>
          <w:iCs/>
          <w:kern w:val="0"/>
          <w:lang w:eastAsia="en-GB"/>
          <w14:ligatures w14:val="none"/>
        </w:rPr>
        <w:t>in line with necessary adjustments in interpretation directly derived from the subscription-based model of distribution underpinning these ISCRs).</w:t>
      </w:r>
    </w:p>
    <w:p w14:paraId="3FFA8013" w14:textId="77777777" w:rsidR="00A30EDA" w:rsidRDefault="00A30EDA" w:rsidP="001013E7">
      <w:pPr>
        <w:spacing w:after="0" w:line="240" w:lineRule="auto"/>
        <w:ind w:left="432"/>
        <w:rPr>
          <w:rFonts w:ascii="Times New Roman" w:eastAsia="Times New Roman" w:hAnsi="Times New Roman" w:cs="Times New Roman"/>
          <w:kern w:val="0"/>
          <w:lang w:eastAsia="en-GB"/>
          <w14:ligatures w14:val="none"/>
        </w:rPr>
      </w:pPr>
    </w:p>
    <w:p w14:paraId="1E6340F8" w14:textId="0093C508"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32CA4941"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4FDB259" w14:textId="269767F0" w:rsidR="007243AE" w:rsidRDefault="3FBC29F4" w:rsidP="1B35BF7F">
      <w:pPr>
        <w:spacing w:after="250" w:line="276" w:lineRule="auto"/>
        <w:ind w:left="432"/>
        <w:jc w:val="both"/>
        <w:rPr>
          <w:rFonts w:ascii="Arial" w:eastAsia="MS PGothic" w:hAnsi="Arial" w:cs="Arial"/>
          <w:color w:val="181818"/>
          <w:kern w:val="0"/>
          <w:sz w:val="22"/>
          <w:szCs w:val="22"/>
          <w14:ligatures w14:val="none"/>
        </w:rPr>
      </w:pPr>
      <w:r w:rsidRPr="1B35BF7F">
        <w:rPr>
          <w:rFonts w:ascii="Arial" w:eastAsia="MS PGothic" w:hAnsi="Arial" w:cs="Arial"/>
          <w:b/>
          <w:bCs/>
          <w:color w:val="181818"/>
          <w:kern w:val="0"/>
          <w:sz w:val="22"/>
          <w:szCs w:val="22"/>
          <w14:ligatures w14:val="none"/>
        </w:rPr>
        <w:t>Q.</w:t>
      </w:r>
      <w:r w:rsidR="734EA311" w:rsidRPr="1B35BF7F">
        <w:rPr>
          <w:rFonts w:ascii="Arial" w:eastAsia="MS PGothic" w:hAnsi="Arial" w:cs="Arial"/>
          <w:b/>
          <w:bCs/>
          <w:color w:val="181818"/>
          <w:kern w:val="0"/>
          <w:sz w:val="22"/>
          <w:szCs w:val="22"/>
          <w14:ligatures w14:val="none"/>
        </w:rPr>
        <w:t>5</w:t>
      </w:r>
      <w:r w:rsidRPr="1B35BF7F">
        <w:rPr>
          <w:rFonts w:ascii="Arial" w:eastAsia="MS PGothic" w:hAnsi="Arial" w:cs="Arial"/>
          <w:color w:val="181818"/>
          <w:kern w:val="0"/>
          <w:sz w:val="22"/>
          <w:szCs w:val="22"/>
          <w14:ligatures w14:val="none"/>
        </w:rPr>
        <w:t xml:space="preserve"> What risks or unintended consequences may arise from the production, </w:t>
      </w:r>
      <w:r w:rsidRPr="05050EBA">
        <w:rPr>
          <w:rFonts w:ascii="Arial" w:eastAsia="MS PGothic" w:hAnsi="Arial" w:cs="Arial"/>
          <w:color w:val="181818"/>
          <w:sz w:val="22"/>
          <w:szCs w:val="22"/>
        </w:rPr>
        <w:t xml:space="preserve">distribution and use of restricted subscription </w:t>
      </w:r>
      <w:r w:rsidR="1316DE81" w:rsidRPr="1B35BF7F">
        <w:rPr>
          <w:rFonts w:ascii="Arial" w:eastAsia="MS PGothic" w:hAnsi="Arial" w:cs="Arial"/>
          <w:color w:val="181818"/>
          <w:kern w:val="0"/>
          <w:sz w:val="22"/>
          <w:szCs w:val="22"/>
          <w14:ligatures w14:val="none"/>
        </w:rPr>
        <w:t xml:space="preserve">credit </w:t>
      </w:r>
      <w:r w:rsidRPr="1B35BF7F">
        <w:rPr>
          <w:rFonts w:ascii="Arial" w:eastAsia="MS PGothic" w:hAnsi="Arial" w:cs="Arial"/>
          <w:color w:val="181818"/>
          <w:kern w:val="0"/>
          <w:sz w:val="22"/>
          <w:szCs w:val="22"/>
          <w14:ligatures w14:val="none"/>
        </w:rPr>
        <w:t>ratings (e.g., information asymmetry, cherry</w:t>
      </w:r>
      <w:r w:rsidR="47904793" w:rsidRPr="05050EBA">
        <w:rPr>
          <w:rFonts w:ascii="Arial" w:eastAsia="MS PGothic" w:hAnsi="Arial" w:cs="Arial"/>
          <w:color w:val="181818"/>
          <w:sz w:val="22"/>
          <w:szCs w:val="22"/>
        </w:rPr>
        <w:t xml:space="preserve"> </w:t>
      </w:r>
      <w:r w:rsidRPr="05050EBA">
        <w:rPr>
          <w:rFonts w:ascii="Arial" w:eastAsia="MS PGothic" w:hAnsi="Arial" w:cs="Arial"/>
          <w:color w:val="181818"/>
          <w:sz w:val="22"/>
          <w:szCs w:val="22"/>
        </w:rPr>
        <w:t xml:space="preserve">picking, market signalling, procyclicality)? </w:t>
      </w:r>
    </w:p>
    <w:p w14:paraId="74914203" w14:textId="3B1F215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21AEAD14" w14:textId="77777777" w:rsidR="003A3F17" w:rsidRDefault="003A3F17" w:rsidP="001013E7">
      <w:pPr>
        <w:spacing w:after="0" w:line="240" w:lineRule="auto"/>
        <w:ind w:left="432"/>
        <w:rPr>
          <w:rFonts w:ascii="Times New Roman" w:eastAsia="Times New Roman" w:hAnsi="Times New Roman" w:cs="Times New Roman"/>
          <w:kern w:val="0"/>
          <w:lang w:eastAsia="en-GB"/>
          <w14:ligatures w14:val="none"/>
        </w:rPr>
      </w:pPr>
    </w:p>
    <w:p w14:paraId="587B37C9" w14:textId="63AAC284" w:rsidR="003A3F17" w:rsidRPr="003A3F17" w:rsidRDefault="003A3F17" w:rsidP="003A3F17">
      <w:pPr>
        <w:spacing w:after="0" w:line="240" w:lineRule="auto"/>
        <w:ind w:left="432"/>
        <w:rPr>
          <w:rFonts w:ascii="Times New Roman" w:eastAsia="Times New Roman" w:hAnsi="Times New Roman" w:cs="Times New Roman"/>
          <w:kern w:val="0"/>
          <w:lang w:eastAsia="en-GB"/>
          <w14:ligatures w14:val="none"/>
        </w:rPr>
      </w:pPr>
      <w:r w:rsidRPr="003A3F17">
        <w:rPr>
          <w:rFonts w:ascii="Times New Roman" w:eastAsia="Times New Roman" w:hAnsi="Times New Roman" w:cs="Times New Roman"/>
          <w:kern w:val="0"/>
          <w:lang w:eastAsia="en-GB"/>
          <w14:ligatures w14:val="none"/>
        </w:rPr>
        <w:t xml:space="preserve">MR recognises that, as with any credit rating, the production, distribution, and use of RSCRs may give rise to potential risks or unintended consequences. These risks are not unique to subscription-based models, but for our own ISCRs, we have addressed them through product design, governance arrangements, and operational controls in compliance with the </w:t>
      </w:r>
      <w:r w:rsidR="00694894">
        <w:rPr>
          <w:rFonts w:ascii="Times New Roman" w:eastAsia="Times New Roman" w:hAnsi="Times New Roman" w:cs="Times New Roman"/>
          <w:kern w:val="0"/>
          <w:lang w:eastAsia="en-GB"/>
          <w14:ligatures w14:val="none"/>
        </w:rPr>
        <w:t xml:space="preserve">EU </w:t>
      </w:r>
      <w:r w:rsidRPr="003A3F17">
        <w:rPr>
          <w:rFonts w:ascii="Times New Roman" w:eastAsia="Times New Roman" w:hAnsi="Times New Roman" w:cs="Times New Roman"/>
          <w:kern w:val="0"/>
          <w:lang w:eastAsia="en-GB"/>
          <w14:ligatures w14:val="none"/>
        </w:rPr>
        <w:t>CRA Regulation.</w:t>
      </w:r>
    </w:p>
    <w:p w14:paraId="0A17FDC1" w14:textId="77777777" w:rsidR="003A3F17" w:rsidRPr="003A3F17" w:rsidRDefault="003A3F17" w:rsidP="003A3F17">
      <w:pPr>
        <w:spacing w:after="0" w:line="240" w:lineRule="auto"/>
        <w:ind w:left="432"/>
        <w:rPr>
          <w:rFonts w:ascii="Times New Roman" w:eastAsia="Times New Roman" w:hAnsi="Times New Roman" w:cs="Times New Roman"/>
          <w:kern w:val="0"/>
          <w:lang w:eastAsia="en-GB"/>
          <w14:ligatures w14:val="none"/>
        </w:rPr>
      </w:pPr>
      <w:r w:rsidRPr="003A3F17">
        <w:rPr>
          <w:rFonts w:ascii="Times New Roman" w:eastAsia="Times New Roman" w:hAnsi="Times New Roman" w:cs="Times New Roman"/>
          <w:kern w:val="0"/>
          <w:lang w:eastAsia="en-GB"/>
          <w14:ligatures w14:val="none"/>
        </w:rPr>
        <w:t>We are cognisant that RSCRs present questions around information asymmetry and access. We address these by giving subscription access to the rating on a non-discriminatory basis to all investors who have an economic interest in the rated debt instrument, combined with robust contractual and operational controls on access and disclosure.</w:t>
      </w:r>
    </w:p>
    <w:p w14:paraId="556E7F86" w14:textId="77777777" w:rsidR="003A3F17" w:rsidRPr="003A3F17" w:rsidRDefault="003A3F17" w:rsidP="7084A804">
      <w:pPr>
        <w:spacing w:after="0" w:line="240" w:lineRule="auto"/>
        <w:ind w:left="432"/>
        <w:rPr>
          <w:rFonts w:ascii="Times New Roman" w:eastAsia="Times New Roman" w:hAnsi="Times New Roman" w:cs="Times New Roman"/>
          <w:i/>
          <w:iCs/>
          <w:kern w:val="0"/>
          <w:lang w:eastAsia="en-GB"/>
          <w14:ligatures w14:val="none"/>
        </w:rPr>
      </w:pPr>
      <w:r w:rsidRPr="003A3F17">
        <w:rPr>
          <w:rFonts w:ascii="Times New Roman" w:eastAsia="Times New Roman" w:hAnsi="Times New Roman" w:cs="Times New Roman"/>
          <w:kern w:val="0"/>
          <w:lang w:eastAsia="en-GB"/>
          <w14:ligatures w14:val="none"/>
        </w:rPr>
        <w:t xml:space="preserve">Based on information available to us, MR takes all reasonable steps to ensure that access to the rating through a subscription is made available on a non-discriminatory basis to all </w:t>
      </w:r>
      <w:r w:rsidRPr="003A3F17">
        <w:rPr>
          <w:rFonts w:ascii="Times New Roman" w:eastAsia="Times New Roman" w:hAnsi="Times New Roman" w:cs="Times New Roman"/>
          <w:kern w:val="0"/>
          <w:lang w:eastAsia="en-GB"/>
          <w14:ligatures w14:val="none"/>
        </w:rPr>
        <w:lastRenderedPageBreak/>
        <w:t xml:space="preserve">investors who have a demonstrable economic interest in the rated debt instrument to address information asymmetry </w:t>
      </w:r>
      <w:r w:rsidRPr="7084A804">
        <w:rPr>
          <w:rFonts w:ascii="Times New Roman" w:eastAsia="Times New Roman" w:hAnsi="Times New Roman" w:cs="Times New Roman"/>
          <w:i/>
          <w:iCs/>
          <w:kern w:val="0"/>
          <w:lang w:eastAsia="en-GB"/>
          <w14:ligatures w14:val="none"/>
        </w:rPr>
        <w:t>(we remain open to explaining in more detail our process).</w:t>
      </w:r>
    </w:p>
    <w:p w14:paraId="0B1F0A2E" w14:textId="77777777" w:rsidR="003A3F17" w:rsidRPr="003A3F17" w:rsidRDefault="003A3F17" w:rsidP="003A3F17">
      <w:pPr>
        <w:spacing w:after="0" w:line="240" w:lineRule="auto"/>
        <w:ind w:left="432"/>
        <w:rPr>
          <w:rFonts w:ascii="Times New Roman" w:eastAsia="Times New Roman" w:hAnsi="Times New Roman" w:cs="Times New Roman"/>
          <w:kern w:val="0"/>
          <w:lang w:eastAsia="en-GB"/>
          <w14:ligatures w14:val="none"/>
        </w:rPr>
      </w:pPr>
      <w:r w:rsidRPr="003A3F17">
        <w:rPr>
          <w:rFonts w:ascii="Times New Roman" w:eastAsia="Times New Roman" w:hAnsi="Times New Roman" w:cs="Times New Roman"/>
          <w:kern w:val="0"/>
          <w:lang w:eastAsia="en-GB"/>
          <w14:ligatures w14:val="none"/>
        </w:rPr>
        <w:t xml:space="preserve">This approach ensures that the access model underpinning our ISCR is broad and non-discriminatory within the relevant investor community, avoiding asymmetrical communication of information to only a favoured subset. </w:t>
      </w:r>
    </w:p>
    <w:p w14:paraId="40D639AA" w14:textId="77777777" w:rsidR="003A3F17" w:rsidRPr="003A3F17" w:rsidRDefault="003A3F17" w:rsidP="003A3F17">
      <w:pPr>
        <w:spacing w:after="0" w:line="240" w:lineRule="auto"/>
        <w:ind w:left="432"/>
        <w:rPr>
          <w:rFonts w:ascii="Times New Roman" w:eastAsia="Times New Roman" w:hAnsi="Times New Roman" w:cs="Times New Roman"/>
          <w:kern w:val="0"/>
          <w:lang w:eastAsia="en-GB"/>
          <w14:ligatures w14:val="none"/>
        </w:rPr>
      </w:pPr>
      <w:r w:rsidRPr="003A3F17">
        <w:rPr>
          <w:rFonts w:ascii="Times New Roman" w:eastAsia="Times New Roman" w:hAnsi="Times New Roman" w:cs="Times New Roman"/>
          <w:kern w:val="0"/>
          <w:lang w:eastAsia="en-GB"/>
          <w14:ligatures w14:val="none"/>
        </w:rPr>
        <w:t>As they are in scope of the EU regulation and therefore subject to its requirements, our ISCRs are assigned, monitored, and withdrawn in accordance with the same governance and withdrawal policies and by applying identical analytical standards, methodologies, rating committees, as those applicable to publicly disseminated ratings, therefore reducing the likelihood of the risks mentioned by Q5.</w:t>
      </w:r>
    </w:p>
    <w:p w14:paraId="756EF603" w14:textId="77777777" w:rsidR="003A3F17" w:rsidRPr="003A3F17" w:rsidRDefault="003A3F17" w:rsidP="003A3F17">
      <w:pPr>
        <w:spacing w:after="0" w:line="240" w:lineRule="auto"/>
        <w:ind w:left="432"/>
        <w:rPr>
          <w:rFonts w:ascii="Times New Roman" w:eastAsia="Times New Roman" w:hAnsi="Times New Roman" w:cs="Times New Roman"/>
          <w:kern w:val="0"/>
          <w:lang w:eastAsia="en-GB"/>
          <w14:ligatures w14:val="none"/>
        </w:rPr>
      </w:pPr>
      <w:r w:rsidRPr="003A3F17">
        <w:rPr>
          <w:rFonts w:ascii="Times New Roman" w:eastAsia="Times New Roman" w:hAnsi="Times New Roman" w:cs="Times New Roman"/>
          <w:kern w:val="0"/>
          <w:lang w:eastAsia="en-GB"/>
          <w14:ligatures w14:val="none"/>
        </w:rPr>
        <w:t>Furthermore, sectoral regulations around regulatory use also have some built-in safeguards to prevent rating shopping on the part of investors (e.g. CRR).</w:t>
      </w:r>
    </w:p>
    <w:p w14:paraId="5DC7E72D" w14:textId="77777777" w:rsidR="003A3F17" w:rsidRDefault="003A3F17" w:rsidP="001013E7">
      <w:pPr>
        <w:spacing w:after="0" w:line="240" w:lineRule="auto"/>
        <w:ind w:left="432"/>
        <w:rPr>
          <w:rFonts w:ascii="Times New Roman" w:eastAsia="Times New Roman" w:hAnsi="Times New Roman" w:cs="Times New Roman"/>
          <w:kern w:val="0"/>
          <w:lang w:eastAsia="en-GB"/>
          <w14:ligatures w14:val="none"/>
        </w:rPr>
      </w:pPr>
    </w:p>
    <w:p w14:paraId="6E2A3B21" w14:textId="45329DC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4CFD7A9"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63AFBE72" w14:textId="6260B19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4019C6">
        <w:rPr>
          <w:rFonts w:ascii="Arial" w:eastAsia="MS PGothic" w:hAnsi="Arial" w:cs="Arial"/>
          <w:b/>
          <w:color w:val="181818"/>
          <w:kern w:val="0"/>
          <w:sz w:val="22"/>
          <w:szCs w:val="20"/>
          <w14:ligatures w14:val="none"/>
        </w:rPr>
        <w:t>Q.</w:t>
      </w:r>
      <w:r w:rsidR="001013E7" w:rsidRPr="004019C6">
        <w:rPr>
          <w:rFonts w:ascii="Arial" w:eastAsia="MS PGothic" w:hAnsi="Arial" w:cs="Arial"/>
          <w:b/>
          <w:color w:val="181818"/>
          <w:kern w:val="0"/>
          <w:sz w:val="22"/>
          <w:szCs w:val="20"/>
          <w14:ligatures w14:val="none"/>
        </w:rPr>
        <w:t>6</w:t>
      </w:r>
      <w:r w:rsidRPr="004019C6">
        <w:rPr>
          <w:rFonts w:ascii="Arial" w:eastAsia="MS PGothic" w:hAnsi="Arial" w:cs="Arial"/>
          <w:bCs/>
          <w:color w:val="181818"/>
          <w:kern w:val="0"/>
          <w:sz w:val="22"/>
          <w:szCs w:val="20"/>
          <w14:ligatures w14:val="none"/>
        </w:rPr>
        <w:t xml:space="preserve"> What mitigants are currently applied to address such risks and how effective are they? To what extent are these risks addressed by the existing requirements of the CRA Regulation?</w:t>
      </w:r>
      <w:r w:rsidRPr="007243AE">
        <w:rPr>
          <w:rFonts w:ascii="Arial" w:eastAsia="MS PGothic" w:hAnsi="Arial" w:cs="Arial"/>
          <w:bCs/>
          <w:color w:val="181818"/>
          <w:kern w:val="0"/>
          <w:sz w:val="22"/>
          <w:szCs w:val="20"/>
          <w14:ligatures w14:val="none"/>
        </w:rPr>
        <w:t xml:space="preserve"> </w:t>
      </w:r>
    </w:p>
    <w:p w14:paraId="040D4589" w14:textId="3D0E6CF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5D55E48A" w14:textId="77777777" w:rsidR="00D91B28" w:rsidRDefault="00D91B28" w:rsidP="001013E7">
      <w:pPr>
        <w:spacing w:after="0" w:line="240" w:lineRule="auto"/>
        <w:ind w:left="432"/>
        <w:rPr>
          <w:rFonts w:ascii="Times New Roman" w:eastAsia="Times New Roman" w:hAnsi="Times New Roman" w:cs="Times New Roman"/>
          <w:kern w:val="0"/>
          <w:lang w:eastAsia="en-GB"/>
          <w14:ligatures w14:val="none"/>
        </w:rPr>
      </w:pPr>
    </w:p>
    <w:p w14:paraId="3F1FA644" w14:textId="2DB3CFDE" w:rsidR="00D91B28" w:rsidRDefault="00D91B28"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Please refer to our answer to Question 5.</w:t>
      </w:r>
    </w:p>
    <w:p w14:paraId="252FE07F" w14:textId="77777777" w:rsidR="00D91B28" w:rsidRDefault="00D91B28" w:rsidP="001013E7">
      <w:pPr>
        <w:spacing w:after="0" w:line="240" w:lineRule="auto"/>
        <w:ind w:left="432"/>
        <w:rPr>
          <w:rFonts w:ascii="Times New Roman" w:eastAsia="Times New Roman" w:hAnsi="Times New Roman" w:cs="Times New Roman"/>
          <w:kern w:val="0"/>
          <w:lang w:eastAsia="en-GB"/>
          <w14:ligatures w14:val="none"/>
        </w:rPr>
      </w:pPr>
    </w:p>
    <w:p w14:paraId="598EE6D6" w14:textId="3C3A5732"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6F254677"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9E63DF5" w14:textId="675BAFCC" w:rsidR="001013E7"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7</w:t>
      </w:r>
      <w:r w:rsidRPr="007243AE">
        <w:rPr>
          <w:rFonts w:ascii="Arial" w:eastAsia="MS PGothic" w:hAnsi="Arial" w:cs="Arial"/>
          <w:bCs/>
          <w:color w:val="181818"/>
          <w:kern w:val="0"/>
          <w:sz w:val="22"/>
          <w:szCs w:val="20"/>
          <w14:ligatures w14:val="none"/>
        </w:rPr>
        <w:t xml:space="preserve"> To what extent do issuers seek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from more than one credit rating agency for the same exposure? Please describe how common this practice is and the reasons for seeking, or not seeking, multiple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w:t>
      </w:r>
    </w:p>
    <w:p w14:paraId="30E396ED" w14:textId="4015C5B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4E71FB0A" w14:textId="77777777" w:rsidR="00E4391C" w:rsidRDefault="00E4391C" w:rsidP="00E4391C">
      <w:pPr>
        <w:spacing w:after="0" w:line="240" w:lineRule="auto"/>
        <w:ind w:left="432"/>
        <w:rPr>
          <w:rFonts w:ascii="Times New Roman" w:eastAsia="Times New Roman" w:hAnsi="Times New Roman" w:cs="Times New Roman"/>
          <w:kern w:val="0"/>
          <w:lang w:eastAsia="en-GB"/>
          <w14:ligatures w14:val="none"/>
        </w:rPr>
      </w:pPr>
    </w:p>
    <w:p w14:paraId="20CAE154" w14:textId="1195D89E" w:rsidR="00E4391C" w:rsidRPr="00E4391C" w:rsidRDefault="00AC3724" w:rsidP="00E4391C">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To</w:t>
      </w:r>
      <w:r w:rsidRPr="00E4391C">
        <w:rPr>
          <w:rFonts w:ascii="Times New Roman" w:eastAsia="Times New Roman" w:hAnsi="Times New Roman" w:cs="Times New Roman"/>
          <w:kern w:val="0"/>
          <w:lang w:eastAsia="en-GB"/>
          <w14:ligatures w14:val="none"/>
        </w:rPr>
        <w:t xml:space="preserve"> </w:t>
      </w:r>
      <w:r w:rsidR="00E4391C" w:rsidRPr="00E4391C">
        <w:rPr>
          <w:rFonts w:ascii="Times New Roman" w:eastAsia="Times New Roman" w:hAnsi="Times New Roman" w:cs="Times New Roman"/>
          <w:kern w:val="0"/>
          <w:lang w:eastAsia="en-GB"/>
          <w14:ligatures w14:val="none"/>
        </w:rPr>
        <w:t xml:space="preserve">MR’s </w:t>
      </w:r>
      <w:r>
        <w:rPr>
          <w:rFonts w:ascii="Times New Roman" w:eastAsia="Times New Roman" w:hAnsi="Times New Roman" w:cs="Times New Roman"/>
          <w:kern w:val="0"/>
          <w:lang w:eastAsia="en-GB"/>
          <w14:ligatures w14:val="none"/>
        </w:rPr>
        <w:t>knowledge</w:t>
      </w:r>
      <w:r w:rsidR="00E4391C" w:rsidRPr="00E4391C">
        <w:rPr>
          <w:rFonts w:ascii="Times New Roman" w:eastAsia="Times New Roman" w:hAnsi="Times New Roman" w:cs="Times New Roman"/>
          <w:kern w:val="0"/>
          <w:lang w:eastAsia="en-GB"/>
          <w14:ligatures w14:val="none"/>
        </w:rPr>
        <w:t xml:space="preserve">, issuers and investors typically intend to seek a single RSCR per debt exposure. RSCRs are generally sought to address a specific regulatory use case for economically interested investors, rather than to support broad market pricing or public distribution. Accordingly, the incremental benefit of obtaining multiple RSCRs for the same debt exposure seems, to date, to be limited in most cases. </w:t>
      </w:r>
    </w:p>
    <w:p w14:paraId="07827E21" w14:textId="77777777" w:rsidR="00E4391C" w:rsidRDefault="00E4391C" w:rsidP="001013E7">
      <w:pPr>
        <w:spacing w:after="0" w:line="240" w:lineRule="auto"/>
        <w:ind w:left="432"/>
        <w:rPr>
          <w:rFonts w:ascii="Times New Roman" w:eastAsia="Times New Roman" w:hAnsi="Times New Roman" w:cs="Times New Roman"/>
          <w:kern w:val="0"/>
          <w:lang w:eastAsia="en-GB"/>
          <w14:ligatures w14:val="none"/>
        </w:rPr>
      </w:pPr>
    </w:p>
    <w:p w14:paraId="7CD12E6A" w14:textId="6D30E30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682A0B81" w14:textId="405BB97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2DF3C173" w14:textId="38749142" w:rsidR="00B937EE" w:rsidRPr="00B937EE" w:rsidRDefault="00B937EE" w:rsidP="00B937EE">
      <w:pPr>
        <w:spacing w:after="250" w:line="276" w:lineRule="auto"/>
        <w:ind w:left="432"/>
        <w:jc w:val="both"/>
        <w:rPr>
          <w:rFonts w:ascii="Arial" w:eastAsia="MS PGothic" w:hAnsi="Arial" w:cs="Arial"/>
          <w:bCs/>
          <w:color w:val="181818"/>
          <w:kern w:val="0"/>
          <w:sz w:val="22"/>
          <w:szCs w:val="20"/>
          <w14:ligatures w14:val="none"/>
        </w:rPr>
      </w:pPr>
      <w:r w:rsidRPr="00B937EE">
        <w:rPr>
          <w:rFonts w:ascii="Arial" w:eastAsia="MS PGothic" w:hAnsi="Arial" w:cs="Arial"/>
          <w:b/>
          <w:color w:val="181818"/>
          <w:kern w:val="0"/>
          <w:sz w:val="22"/>
          <w:szCs w:val="20"/>
          <w14:ligatures w14:val="none"/>
        </w:rPr>
        <w:t>Q.8</w:t>
      </w:r>
      <w:r w:rsidRPr="00B937EE">
        <w:rPr>
          <w:rFonts w:ascii="Arial" w:eastAsia="MS PGothic" w:hAnsi="Arial" w:cs="Arial"/>
          <w:bCs/>
          <w:color w:val="181818"/>
          <w:kern w:val="0"/>
          <w:sz w:val="22"/>
          <w:szCs w:val="20"/>
          <w14:ligatures w14:val="none"/>
        </w:rPr>
        <w:t xml:space="preserve"> Are there any additional considerations or evidence related to restricted subscription </w:t>
      </w:r>
      <w:r w:rsidR="009C682C">
        <w:rPr>
          <w:rFonts w:ascii="Arial" w:eastAsia="MS PGothic" w:hAnsi="Arial" w:cs="Arial"/>
          <w:bCs/>
          <w:color w:val="181818"/>
          <w:kern w:val="0"/>
          <w:sz w:val="22"/>
          <w:szCs w:val="20"/>
          <w14:ligatures w14:val="none"/>
        </w:rPr>
        <w:t xml:space="preserve">credit </w:t>
      </w:r>
      <w:r w:rsidRPr="00B937EE">
        <w:rPr>
          <w:rFonts w:ascii="Arial" w:eastAsia="MS PGothic" w:hAnsi="Arial" w:cs="Arial"/>
          <w:bCs/>
          <w:color w:val="181818"/>
          <w:kern w:val="0"/>
          <w:sz w:val="22"/>
          <w:szCs w:val="20"/>
          <w14:ligatures w14:val="none"/>
        </w:rPr>
        <w:t>ratings that stakeholders consider relevant for the purposes of this Call for Evidence, but which have not been addressed in the questions above?</w:t>
      </w:r>
    </w:p>
    <w:p w14:paraId="51122821" w14:textId="2F6387E1"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0DEB1FAF" w14:textId="77777777" w:rsidR="00AC62C2" w:rsidRDefault="00AC62C2" w:rsidP="00B937EE">
      <w:pPr>
        <w:spacing w:after="0" w:line="240" w:lineRule="auto"/>
        <w:ind w:left="432"/>
        <w:rPr>
          <w:rFonts w:ascii="Times New Roman" w:eastAsia="Times New Roman" w:hAnsi="Times New Roman" w:cs="Times New Roman"/>
          <w:kern w:val="0"/>
          <w:lang w:eastAsia="en-GB"/>
          <w14:ligatures w14:val="none"/>
        </w:rPr>
      </w:pPr>
    </w:p>
    <w:p w14:paraId="31B91D91" w14:textId="77777777" w:rsidR="00AC62C2" w:rsidRPr="00AC62C2" w:rsidRDefault="00AC62C2" w:rsidP="00AC62C2">
      <w:pPr>
        <w:spacing w:after="0" w:line="240" w:lineRule="auto"/>
        <w:ind w:left="432"/>
        <w:rPr>
          <w:rFonts w:ascii="Times New Roman" w:eastAsia="Times New Roman" w:hAnsi="Times New Roman" w:cs="Times New Roman"/>
          <w:b/>
          <w:bCs/>
          <w:kern w:val="0"/>
          <w:lang w:eastAsia="en-GB"/>
          <w14:ligatures w14:val="none"/>
        </w:rPr>
      </w:pPr>
      <w:r w:rsidRPr="00AC62C2">
        <w:rPr>
          <w:rFonts w:ascii="Times New Roman" w:eastAsia="Times New Roman" w:hAnsi="Times New Roman" w:cs="Times New Roman"/>
          <w:b/>
          <w:bCs/>
          <w:kern w:val="0"/>
          <w:lang w:eastAsia="en-GB"/>
          <w14:ligatures w14:val="none"/>
        </w:rPr>
        <w:lastRenderedPageBreak/>
        <w:t>MR welcomes this opportunity to explain further how ISCR works and the market needs they serve, while being fully subject to the EU CRA regulation.</w:t>
      </w:r>
    </w:p>
    <w:p w14:paraId="25B003D1" w14:textId="77777777" w:rsidR="00AC62C2" w:rsidRPr="00AC62C2" w:rsidRDefault="00AC62C2" w:rsidP="00AC62C2">
      <w:pPr>
        <w:spacing w:after="0" w:line="240" w:lineRule="auto"/>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We also welcome ESMA’s attempt to propose working definitions (para 5 of section 2 and para 3 of section 3). In that regard, we would like to suggest some clarification around this new definition for RSCR.</w:t>
      </w:r>
    </w:p>
    <w:p w14:paraId="6C8F2EFB" w14:textId="2B17E854" w:rsidR="00AC62C2" w:rsidRPr="00AC62C2" w:rsidRDefault="0048327D" w:rsidP="0009413C">
      <w:pPr>
        <w:numPr>
          <w:ilvl w:val="0"/>
          <w:numId w:val="7"/>
        </w:numPr>
        <w:spacing w:after="0" w:line="240" w:lineRule="auto"/>
        <w:jc w:val="both"/>
        <w:rPr>
          <w:rFonts w:ascii="Times New Roman" w:eastAsia="Times New Roman" w:hAnsi="Times New Roman" w:cs="Times New Roman"/>
          <w:i/>
          <w:iCs/>
          <w:kern w:val="0"/>
          <w:lang w:eastAsia="en-GB"/>
          <w14:ligatures w14:val="none"/>
        </w:rPr>
      </w:pPr>
      <w:r>
        <w:rPr>
          <w:rFonts w:ascii="Times New Roman" w:eastAsia="Times New Roman" w:hAnsi="Times New Roman" w:cs="Times New Roman"/>
          <w:kern w:val="0"/>
          <w:lang w:eastAsia="en-GB"/>
          <w14:ligatures w14:val="none"/>
        </w:rPr>
        <w:t>O</w:t>
      </w:r>
      <w:r w:rsidR="00AC62C2" w:rsidRPr="00AC62C2">
        <w:rPr>
          <w:rFonts w:ascii="Times New Roman" w:eastAsia="Times New Roman" w:hAnsi="Times New Roman" w:cs="Times New Roman"/>
          <w:kern w:val="0"/>
          <w:lang w:eastAsia="en-GB"/>
          <w14:ligatures w14:val="none"/>
        </w:rPr>
        <w:t>ur ISCRs are</w:t>
      </w:r>
      <w:r>
        <w:rPr>
          <w:rFonts w:ascii="Times New Roman" w:eastAsia="Times New Roman" w:hAnsi="Times New Roman" w:cs="Times New Roman"/>
          <w:kern w:val="0"/>
          <w:lang w:eastAsia="en-GB"/>
          <w14:ligatures w14:val="none"/>
        </w:rPr>
        <w:t xml:space="preserve"> </w:t>
      </w:r>
      <w:r w:rsidR="00AC62C2" w:rsidRPr="00AC62C2">
        <w:rPr>
          <w:rFonts w:ascii="Times New Roman" w:eastAsia="Times New Roman" w:hAnsi="Times New Roman" w:cs="Times New Roman"/>
          <w:kern w:val="0"/>
          <w:lang w:eastAsia="en-GB"/>
          <w14:ligatures w14:val="none"/>
        </w:rPr>
        <w:t xml:space="preserve">disseminated through subscription (for a fee) </w:t>
      </w:r>
      <w:r w:rsidR="00EC34DC">
        <w:rPr>
          <w:rFonts w:ascii="Times New Roman" w:eastAsia="Times New Roman" w:hAnsi="Times New Roman" w:cs="Times New Roman"/>
          <w:kern w:val="0"/>
          <w:lang w:eastAsia="en-GB"/>
          <w14:ligatures w14:val="none"/>
        </w:rPr>
        <w:t xml:space="preserve">available to </w:t>
      </w:r>
      <w:r w:rsidR="00AC62C2" w:rsidRPr="00AC62C2">
        <w:rPr>
          <w:rFonts w:ascii="Times New Roman" w:eastAsia="Times New Roman" w:hAnsi="Times New Roman" w:cs="Times New Roman"/>
          <w:kern w:val="0"/>
          <w:lang w:eastAsia="en-GB"/>
          <w14:ligatures w14:val="none"/>
        </w:rPr>
        <w:t>all eligible investors who have a demonstrable economic interest in the debt rated</w:t>
      </w:r>
      <w:r w:rsidR="00B96569" w:rsidRPr="00AF03A6">
        <w:rPr>
          <w:rFonts w:ascii="Times New Roman" w:eastAsia="Times New Roman" w:hAnsi="Times New Roman" w:cs="Times New Roman"/>
          <w:i/>
          <w:iCs/>
          <w:kern w:val="0"/>
          <w:lang w:eastAsia="en-GB"/>
          <w14:ligatures w14:val="none"/>
        </w:rPr>
        <w:t xml:space="preserve"> (see also our answer to question 2 for further details</w:t>
      </w:r>
      <w:r w:rsidR="00B96569">
        <w:rPr>
          <w:rFonts w:ascii="Times New Roman" w:eastAsia="Times New Roman" w:hAnsi="Times New Roman" w:cs="Times New Roman"/>
          <w:kern w:val="0"/>
          <w:lang w:eastAsia="en-GB"/>
          <w14:ligatures w14:val="none"/>
        </w:rPr>
        <w:t>).</w:t>
      </w:r>
    </w:p>
    <w:p w14:paraId="4C0A4D04" w14:textId="7C785B9D" w:rsidR="00AC62C2" w:rsidRPr="00AC62C2" w:rsidRDefault="00AC62C2" w:rsidP="0009413C">
      <w:pPr>
        <w:numPr>
          <w:ilvl w:val="0"/>
          <w:numId w:val="7"/>
        </w:numPr>
        <w:spacing w:after="0" w:line="240" w:lineRule="auto"/>
        <w:jc w:val="both"/>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 xml:space="preserve">Therefore, to improve consistency with the EU CRA Regulation, MR would suggest </w:t>
      </w:r>
      <w:proofErr w:type="gramStart"/>
      <w:r w:rsidRPr="00AC62C2">
        <w:rPr>
          <w:rFonts w:ascii="Times New Roman" w:eastAsia="Times New Roman" w:hAnsi="Times New Roman" w:cs="Times New Roman"/>
          <w:kern w:val="0"/>
          <w:lang w:eastAsia="en-GB"/>
          <w14:ligatures w14:val="none"/>
        </w:rPr>
        <w:t>to</w:t>
      </w:r>
      <w:r w:rsidR="00B96569">
        <w:rPr>
          <w:rFonts w:ascii="Times New Roman" w:eastAsia="Times New Roman" w:hAnsi="Times New Roman" w:cs="Times New Roman"/>
          <w:kern w:val="0"/>
          <w:lang w:eastAsia="en-GB"/>
          <w14:ligatures w14:val="none"/>
        </w:rPr>
        <w:t xml:space="preserve"> </w:t>
      </w:r>
      <w:r w:rsidRPr="00AC62C2">
        <w:rPr>
          <w:rFonts w:ascii="Times New Roman" w:eastAsia="Times New Roman" w:hAnsi="Times New Roman" w:cs="Times New Roman"/>
          <w:kern w:val="0"/>
          <w:lang w:eastAsia="en-GB"/>
          <w14:ligatures w14:val="none"/>
        </w:rPr>
        <w:t>rephrase</w:t>
      </w:r>
      <w:proofErr w:type="gramEnd"/>
      <w:r w:rsidRPr="00AC62C2">
        <w:rPr>
          <w:rFonts w:ascii="Times New Roman" w:eastAsia="Times New Roman" w:hAnsi="Times New Roman" w:cs="Times New Roman"/>
          <w:kern w:val="0"/>
          <w:lang w:eastAsia="en-GB"/>
          <w14:ligatures w14:val="none"/>
        </w:rPr>
        <w:t xml:space="preserve"> the definition of RSCRs proposed under section 3 on working definitions: </w:t>
      </w:r>
    </w:p>
    <w:p w14:paraId="423979C8" w14:textId="77777777" w:rsidR="00AC62C2" w:rsidRPr="00AC62C2" w:rsidRDefault="00AC62C2" w:rsidP="0009413C">
      <w:pPr>
        <w:numPr>
          <w:ilvl w:val="1"/>
          <w:numId w:val="7"/>
        </w:numPr>
        <w:spacing w:after="0" w:line="240" w:lineRule="auto"/>
        <w:jc w:val="both"/>
        <w:rPr>
          <w:rFonts w:ascii="Times New Roman" w:eastAsia="Times New Roman" w:hAnsi="Times New Roman" w:cs="Times New Roman"/>
          <w:i/>
          <w:iCs/>
          <w:kern w:val="0"/>
          <w:lang w:val="en-US" w:eastAsia="en-GB"/>
          <w14:ligatures w14:val="none"/>
        </w:rPr>
      </w:pPr>
      <w:r w:rsidRPr="00AC62C2">
        <w:rPr>
          <w:rFonts w:ascii="Times New Roman" w:eastAsia="Times New Roman" w:hAnsi="Times New Roman" w:cs="Times New Roman"/>
          <w:kern w:val="0"/>
          <w:lang w:eastAsia="en-GB"/>
          <w14:ligatures w14:val="none"/>
        </w:rPr>
        <w:t xml:space="preserve">From </w:t>
      </w:r>
      <w:r w:rsidRPr="00AC62C2">
        <w:rPr>
          <w:rFonts w:ascii="Times New Roman" w:eastAsia="Times New Roman" w:hAnsi="Times New Roman" w:cs="Times New Roman"/>
          <w:i/>
          <w:iCs/>
          <w:kern w:val="0"/>
          <w:lang w:val="en-US" w:eastAsia="en-GB"/>
          <w14:ligatures w14:val="none"/>
        </w:rPr>
        <w:t>(ii) “distributed on a selective basis to a limited number of subscribers”,</w:t>
      </w:r>
    </w:p>
    <w:p w14:paraId="3201B3A4" w14:textId="77777777" w:rsidR="00AC62C2" w:rsidRPr="00AC62C2" w:rsidRDefault="00AC62C2" w:rsidP="0009413C">
      <w:pPr>
        <w:numPr>
          <w:ilvl w:val="1"/>
          <w:numId w:val="7"/>
        </w:numPr>
        <w:spacing w:after="0" w:line="240" w:lineRule="auto"/>
        <w:jc w:val="both"/>
        <w:rPr>
          <w:rFonts w:ascii="Times New Roman" w:eastAsia="Times New Roman" w:hAnsi="Times New Roman" w:cs="Times New Roman"/>
          <w:kern w:val="0"/>
          <w:lang w:val="en-US" w:eastAsia="en-GB"/>
          <w14:ligatures w14:val="none"/>
        </w:rPr>
      </w:pPr>
      <w:r w:rsidRPr="00AC62C2">
        <w:rPr>
          <w:rFonts w:ascii="Times New Roman" w:eastAsia="Times New Roman" w:hAnsi="Times New Roman" w:cs="Times New Roman"/>
          <w:i/>
          <w:iCs/>
          <w:kern w:val="0"/>
          <w:lang w:val="en-US" w:eastAsia="en-GB"/>
          <w14:ligatures w14:val="none"/>
        </w:rPr>
        <w:t>to “</w:t>
      </w:r>
      <w:r w:rsidRPr="00AC62C2">
        <w:rPr>
          <w:rFonts w:ascii="Times New Roman" w:eastAsia="Times New Roman" w:hAnsi="Times New Roman" w:cs="Times New Roman"/>
          <w:b/>
          <w:bCs/>
          <w:i/>
          <w:iCs/>
          <w:kern w:val="0"/>
          <w:lang w:eastAsia="en-GB"/>
          <w14:ligatures w14:val="none"/>
        </w:rPr>
        <w:t>(ii) distributed by subscription for a fee</w:t>
      </w:r>
      <w:r w:rsidRPr="00AC62C2">
        <w:rPr>
          <w:rFonts w:ascii="Times New Roman" w:eastAsia="Times New Roman" w:hAnsi="Times New Roman" w:cs="Times New Roman"/>
          <w:i/>
          <w:iCs/>
          <w:kern w:val="0"/>
          <w:lang w:val="en-US" w:eastAsia="en-GB"/>
          <w14:ligatures w14:val="none"/>
        </w:rPr>
        <w:t>,</w:t>
      </w:r>
      <w:r w:rsidRPr="00AC62C2">
        <w:rPr>
          <w:rFonts w:ascii="Times New Roman" w:eastAsia="Times New Roman" w:hAnsi="Times New Roman" w:cs="Times New Roman"/>
          <w:b/>
          <w:bCs/>
          <w:i/>
          <w:iCs/>
          <w:kern w:val="0"/>
          <w:lang w:eastAsia="en-GB"/>
          <w14:ligatures w14:val="none"/>
        </w:rPr>
        <w:t xml:space="preserve"> to any eligible subscribers on the basis of a non-discriminatory assessment of economic interest</w:t>
      </w:r>
      <w:r w:rsidRPr="00AC62C2">
        <w:rPr>
          <w:rFonts w:ascii="Times New Roman" w:eastAsia="Times New Roman" w:hAnsi="Times New Roman" w:cs="Times New Roman"/>
          <w:i/>
          <w:iCs/>
          <w:kern w:val="0"/>
          <w:lang w:val="en-US" w:eastAsia="en-GB"/>
          <w14:ligatures w14:val="none"/>
        </w:rPr>
        <w:t>”</w:t>
      </w:r>
      <w:r w:rsidRPr="00AC62C2">
        <w:rPr>
          <w:rFonts w:ascii="Times New Roman" w:eastAsia="Times New Roman" w:hAnsi="Times New Roman" w:cs="Times New Roman"/>
          <w:kern w:val="0"/>
          <w:lang w:val="en-US" w:eastAsia="en-GB"/>
          <w14:ligatures w14:val="none"/>
        </w:rPr>
        <w:t xml:space="preserve">. </w:t>
      </w:r>
    </w:p>
    <w:p w14:paraId="06556715" w14:textId="77777777" w:rsidR="00AC62C2" w:rsidRPr="00AC62C2" w:rsidRDefault="00AC62C2" w:rsidP="0009413C">
      <w:pPr>
        <w:numPr>
          <w:ilvl w:val="1"/>
          <w:numId w:val="7"/>
        </w:numPr>
        <w:spacing w:after="0" w:line="240" w:lineRule="auto"/>
        <w:jc w:val="both"/>
        <w:rPr>
          <w:rFonts w:ascii="Times New Roman" w:eastAsia="Times New Roman" w:hAnsi="Times New Roman" w:cs="Times New Roman"/>
          <w:kern w:val="0"/>
          <w:lang w:val="en-US" w:eastAsia="en-GB"/>
          <w14:ligatures w14:val="none"/>
        </w:rPr>
      </w:pPr>
      <w:r w:rsidRPr="00AC62C2">
        <w:rPr>
          <w:rFonts w:ascii="Times New Roman" w:eastAsia="Times New Roman" w:hAnsi="Times New Roman" w:cs="Times New Roman"/>
          <w:kern w:val="0"/>
          <w:lang w:val="en-US" w:eastAsia="en-GB"/>
          <w14:ligatures w14:val="none"/>
        </w:rPr>
        <w:t xml:space="preserve">The rationale is that this would be meant to avoid any conflation under the CRA Regulation between the key concept  of “non-selective” ongoing disclosure around ratings and key information (an issue already addressed under Article 10 paragraph 1 of the EU CRA Regulation, which again fully applies to both publicly disseminated and subscription-distributed ratings), and the question of “non-discriminatory” access to subscription at entry point. </w:t>
      </w:r>
    </w:p>
    <w:p w14:paraId="15605591" w14:textId="0576BBE5" w:rsidR="00AC62C2" w:rsidRPr="00AC62C2" w:rsidRDefault="00AC62C2" w:rsidP="0009413C">
      <w:pPr>
        <w:numPr>
          <w:ilvl w:val="1"/>
          <w:numId w:val="7"/>
        </w:numPr>
        <w:spacing w:after="0" w:line="240" w:lineRule="auto"/>
        <w:jc w:val="both"/>
        <w:rPr>
          <w:rFonts w:ascii="Times New Roman" w:eastAsia="Times New Roman" w:hAnsi="Times New Roman" w:cs="Times New Roman"/>
          <w:kern w:val="0"/>
          <w:lang w:val="en-US" w:eastAsia="en-GB"/>
          <w14:ligatures w14:val="none"/>
        </w:rPr>
      </w:pPr>
      <w:r w:rsidRPr="00AC62C2">
        <w:rPr>
          <w:rFonts w:ascii="Times New Roman" w:eastAsia="Times New Roman" w:hAnsi="Times New Roman" w:cs="Times New Roman"/>
          <w:kern w:val="0"/>
          <w:lang w:val="en-US" w:eastAsia="en-GB"/>
          <w14:ligatures w14:val="none"/>
        </w:rPr>
        <w:t>This would also help make clearer the direct link to subscription-based ratings, and the fact that RSCRs are within the scope of the</w:t>
      </w:r>
      <w:r w:rsidR="00694894">
        <w:rPr>
          <w:rFonts w:ascii="Times New Roman" w:eastAsia="Times New Roman" w:hAnsi="Times New Roman" w:cs="Times New Roman"/>
          <w:kern w:val="0"/>
          <w:lang w:val="en-US" w:eastAsia="en-GB"/>
          <w14:ligatures w14:val="none"/>
        </w:rPr>
        <w:t xml:space="preserve"> EU</w:t>
      </w:r>
      <w:r w:rsidRPr="00AC62C2">
        <w:rPr>
          <w:rFonts w:ascii="Times New Roman" w:eastAsia="Times New Roman" w:hAnsi="Times New Roman" w:cs="Times New Roman"/>
          <w:kern w:val="0"/>
          <w:lang w:val="en-US" w:eastAsia="en-GB"/>
          <w14:ligatures w14:val="none"/>
        </w:rPr>
        <w:t xml:space="preserve"> CRA Regulation. On this basis, the possibility of using ratings for regulatory </w:t>
      </w:r>
      <w:r w:rsidR="006B69A0" w:rsidRPr="00AC62C2">
        <w:rPr>
          <w:rFonts w:ascii="Times New Roman" w:eastAsia="Times New Roman" w:hAnsi="Times New Roman" w:cs="Times New Roman"/>
          <w:kern w:val="0"/>
          <w:lang w:val="en-US" w:eastAsia="en-GB"/>
          <w14:ligatures w14:val="none"/>
        </w:rPr>
        <w:t>purposes</w:t>
      </w:r>
      <w:r w:rsidRPr="00AC62C2">
        <w:rPr>
          <w:rFonts w:ascii="Times New Roman" w:eastAsia="Times New Roman" w:hAnsi="Times New Roman" w:cs="Times New Roman"/>
          <w:kern w:val="0"/>
          <w:lang w:val="en-US" w:eastAsia="en-GB"/>
          <w14:ligatures w14:val="none"/>
        </w:rPr>
        <w:t xml:space="preserve"> derives from article 4 of the EU Regulation (rather than from the definition</w:t>
      </w:r>
      <w:r w:rsidR="00681E34" w:rsidRPr="00AC62C2">
        <w:rPr>
          <w:rFonts w:ascii="Times New Roman" w:eastAsia="Times New Roman" w:hAnsi="Times New Roman" w:cs="Times New Roman"/>
          <w:kern w:val="0"/>
          <w:lang w:val="en-US" w:eastAsia="en-GB"/>
          <w14:ligatures w14:val="none"/>
        </w:rPr>
        <w:t>) and</w:t>
      </w:r>
      <w:r w:rsidRPr="00AC62C2">
        <w:rPr>
          <w:rFonts w:ascii="Times New Roman" w:eastAsia="Times New Roman" w:hAnsi="Times New Roman" w:cs="Times New Roman"/>
          <w:kern w:val="0"/>
          <w:lang w:val="en-US" w:eastAsia="en-GB"/>
          <w14:ligatures w14:val="none"/>
        </w:rPr>
        <w:t xml:space="preserve"> does not need to be reiterated in the definition.</w:t>
      </w:r>
    </w:p>
    <w:p w14:paraId="2BBF5359" w14:textId="77777777" w:rsidR="00AC62C2" w:rsidRPr="00AC62C2" w:rsidRDefault="00AC62C2" w:rsidP="00AC62C2">
      <w:pPr>
        <w:spacing w:after="0" w:line="240" w:lineRule="auto"/>
        <w:ind w:left="432"/>
        <w:rPr>
          <w:rFonts w:ascii="Times New Roman" w:eastAsia="Times New Roman" w:hAnsi="Times New Roman" w:cs="Times New Roman"/>
          <w:kern w:val="0"/>
          <w:lang w:val="en-US" w:eastAsia="en-GB"/>
          <w14:ligatures w14:val="none"/>
        </w:rPr>
      </w:pPr>
    </w:p>
    <w:tbl>
      <w:tblPr>
        <w:tblStyle w:val="TableGrid"/>
        <w:tblW w:w="0" w:type="auto"/>
        <w:tblInd w:w="720" w:type="dxa"/>
        <w:tblLayout w:type="fixed"/>
        <w:tblLook w:val="04A0" w:firstRow="1" w:lastRow="0" w:firstColumn="1" w:lastColumn="0" w:noHBand="0" w:noVBand="1"/>
      </w:tblPr>
      <w:tblGrid>
        <w:gridCol w:w="4176"/>
        <w:gridCol w:w="4176"/>
      </w:tblGrid>
      <w:tr w:rsidR="00AC62C2" w:rsidRPr="00AC62C2" w14:paraId="2642F231" w14:textId="77777777">
        <w:trPr>
          <w:trHeight w:val="300"/>
        </w:trPr>
        <w:tc>
          <w:tcPr>
            <w:tcW w:w="4176" w:type="dxa"/>
          </w:tcPr>
          <w:p w14:paraId="65ED5598"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 xml:space="preserve">Restricted Subscription Credit </w:t>
            </w:r>
          </w:p>
          <w:p w14:paraId="5CF9A75F"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Ratings</w:t>
            </w:r>
          </w:p>
          <w:p w14:paraId="7096CAB7" w14:textId="77777777" w:rsidR="00AC62C2" w:rsidRPr="00AC62C2" w:rsidRDefault="00AC62C2" w:rsidP="00AC62C2">
            <w:pPr>
              <w:ind w:left="432"/>
              <w:rPr>
                <w:rFonts w:ascii="Times New Roman" w:eastAsia="Times New Roman" w:hAnsi="Times New Roman" w:cs="Times New Roman"/>
                <w:kern w:val="0"/>
                <w:lang w:eastAsia="en-GB"/>
                <w14:ligatures w14:val="none"/>
              </w:rPr>
            </w:pPr>
          </w:p>
        </w:tc>
        <w:tc>
          <w:tcPr>
            <w:tcW w:w="4176" w:type="dxa"/>
          </w:tcPr>
          <w:p w14:paraId="63EBBB33"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 xml:space="preserve">Restricted Subscription Credit </w:t>
            </w:r>
          </w:p>
          <w:p w14:paraId="657982F2"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Ratings</w:t>
            </w:r>
          </w:p>
          <w:p w14:paraId="01A15B94" w14:textId="77777777" w:rsidR="00AC62C2" w:rsidRPr="00AC62C2" w:rsidRDefault="00AC62C2" w:rsidP="00AC62C2">
            <w:pPr>
              <w:ind w:left="432"/>
              <w:rPr>
                <w:rFonts w:ascii="Times New Roman" w:eastAsia="Times New Roman" w:hAnsi="Times New Roman" w:cs="Times New Roman"/>
                <w:kern w:val="0"/>
                <w:lang w:eastAsia="en-GB"/>
                <w14:ligatures w14:val="none"/>
              </w:rPr>
            </w:pPr>
          </w:p>
        </w:tc>
      </w:tr>
      <w:tr w:rsidR="00AC62C2" w:rsidRPr="00AC62C2" w14:paraId="68E6BA5F" w14:textId="77777777">
        <w:trPr>
          <w:trHeight w:val="300"/>
        </w:trPr>
        <w:tc>
          <w:tcPr>
            <w:tcW w:w="4176" w:type="dxa"/>
          </w:tcPr>
          <w:p w14:paraId="715208D5"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 xml:space="preserve">Credit ratings that are: </w:t>
            </w:r>
          </w:p>
          <w:p w14:paraId="7329C036"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w:t>
            </w:r>
            <w:proofErr w:type="spellStart"/>
            <w:r w:rsidRPr="00AC62C2">
              <w:rPr>
                <w:rFonts w:ascii="Times New Roman" w:eastAsia="Times New Roman" w:hAnsi="Times New Roman" w:cs="Times New Roman"/>
                <w:kern w:val="0"/>
                <w:lang w:eastAsia="en-GB"/>
                <w14:ligatures w14:val="none"/>
              </w:rPr>
              <w:t>i</w:t>
            </w:r>
            <w:proofErr w:type="spellEnd"/>
            <w:r w:rsidRPr="00AC62C2">
              <w:rPr>
                <w:rFonts w:ascii="Times New Roman" w:eastAsia="Times New Roman" w:hAnsi="Times New Roman" w:cs="Times New Roman"/>
                <w:kern w:val="0"/>
                <w:lang w:eastAsia="en-GB"/>
                <w14:ligatures w14:val="none"/>
              </w:rPr>
              <w:t>) issued by a credit rating agency</w:t>
            </w:r>
          </w:p>
          <w:p w14:paraId="23BFBE59"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 xml:space="preserve">registered or certified under the CRA Regulation; </w:t>
            </w:r>
          </w:p>
          <w:p w14:paraId="0DF61103" w14:textId="77777777" w:rsidR="00AC62C2" w:rsidRPr="00270CAF" w:rsidRDefault="00AC62C2" w:rsidP="00AC62C2">
            <w:pPr>
              <w:ind w:left="432"/>
              <w:rPr>
                <w:rFonts w:ascii="Times New Roman" w:eastAsia="Times New Roman" w:hAnsi="Times New Roman" w:cs="Times New Roman"/>
                <w:strike/>
                <w:kern w:val="0"/>
                <w:lang w:eastAsia="en-GB"/>
                <w14:ligatures w14:val="none"/>
              </w:rPr>
            </w:pPr>
            <w:r w:rsidRPr="00270CAF">
              <w:rPr>
                <w:rFonts w:ascii="Times New Roman" w:eastAsia="Times New Roman" w:hAnsi="Times New Roman" w:cs="Times New Roman"/>
                <w:strike/>
                <w:kern w:val="0"/>
                <w:lang w:eastAsia="en-GB"/>
                <w14:ligatures w14:val="none"/>
              </w:rPr>
              <w:t xml:space="preserve">(ii) distributed on a selective basis to a limited number of subscribers; </w:t>
            </w:r>
          </w:p>
          <w:p w14:paraId="33F747CE" w14:textId="77777777" w:rsidR="00AC62C2" w:rsidRPr="00270CAF" w:rsidRDefault="00AC62C2" w:rsidP="00AC62C2">
            <w:pPr>
              <w:ind w:left="432"/>
              <w:rPr>
                <w:rFonts w:ascii="Times New Roman" w:eastAsia="Times New Roman" w:hAnsi="Times New Roman" w:cs="Times New Roman"/>
                <w:strike/>
                <w:kern w:val="0"/>
                <w:lang w:eastAsia="en-GB"/>
                <w14:ligatures w14:val="none"/>
              </w:rPr>
            </w:pPr>
            <w:r w:rsidRPr="00270CAF">
              <w:rPr>
                <w:rFonts w:ascii="Times New Roman" w:eastAsia="Times New Roman" w:hAnsi="Times New Roman" w:cs="Times New Roman"/>
                <w:strike/>
                <w:kern w:val="0"/>
                <w:lang w:eastAsia="en-GB"/>
                <w14:ligatures w14:val="none"/>
              </w:rPr>
              <w:t xml:space="preserve">(iii) used for regulatory purposes; </w:t>
            </w:r>
          </w:p>
          <w:p w14:paraId="308A67A7"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 xml:space="preserve">and </w:t>
            </w:r>
          </w:p>
          <w:p w14:paraId="48B745E3"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(iv) subject to contractual or technical restrictions on onward disclosure.</w:t>
            </w:r>
          </w:p>
        </w:tc>
        <w:tc>
          <w:tcPr>
            <w:tcW w:w="4176" w:type="dxa"/>
          </w:tcPr>
          <w:p w14:paraId="3A00F599"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 xml:space="preserve">Credit ratings that are: </w:t>
            </w:r>
          </w:p>
          <w:p w14:paraId="51DACA25"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w:t>
            </w:r>
            <w:proofErr w:type="spellStart"/>
            <w:r w:rsidRPr="00AC62C2">
              <w:rPr>
                <w:rFonts w:ascii="Times New Roman" w:eastAsia="Times New Roman" w:hAnsi="Times New Roman" w:cs="Times New Roman"/>
                <w:kern w:val="0"/>
                <w:lang w:eastAsia="en-GB"/>
                <w14:ligatures w14:val="none"/>
              </w:rPr>
              <w:t>i</w:t>
            </w:r>
            <w:proofErr w:type="spellEnd"/>
            <w:r w:rsidRPr="00AC62C2">
              <w:rPr>
                <w:rFonts w:ascii="Times New Roman" w:eastAsia="Times New Roman" w:hAnsi="Times New Roman" w:cs="Times New Roman"/>
                <w:kern w:val="0"/>
                <w:lang w:eastAsia="en-GB"/>
                <w14:ligatures w14:val="none"/>
              </w:rPr>
              <w:t>) issued by a credit rating agency</w:t>
            </w:r>
          </w:p>
          <w:p w14:paraId="5189C5EE"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registered or certified under the CRA Regulation;</w:t>
            </w:r>
            <w:r w:rsidRPr="00AC62C2">
              <w:rPr>
                <w:rFonts w:ascii="Times New Roman" w:eastAsia="Times New Roman" w:hAnsi="Times New Roman" w:cs="Times New Roman"/>
                <w:b/>
                <w:bCs/>
                <w:i/>
                <w:iCs/>
                <w:kern w:val="0"/>
                <w:lang w:eastAsia="en-GB"/>
                <w14:ligatures w14:val="none"/>
              </w:rPr>
              <w:t xml:space="preserve">(ii) distributed by subscription, for a fee, to any eligible subscribers </w:t>
            </w:r>
            <w:proofErr w:type="gramStart"/>
            <w:r w:rsidRPr="00AC62C2">
              <w:rPr>
                <w:rFonts w:ascii="Times New Roman" w:eastAsia="Times New Roman" w:hAnsi="Times New Roman" w:cs="Times New Roman"/>
                <w:b/>
                <w:bCs/>
                <w:i/>
                <w:iCs/>
                <w:kern w:val="0"/>
                <w:lang w:eastAsia="en-GB"/>
                <w14:ligatures w14:val="none"/>
              </w:rPr>
              <w:t>on the basis of</w:t>
            </w:r>
            <w:proofErr w:type="gramEnd"/>
            <w:r w:rsidRPr="00AC62C2">
              <w:rPr>
                <w:rFonts w:ascii="Times New Roman" w:eastAsia="Times New Roman" w:hAnsi="Times New Roman" w:cs="Times New Roman"/>
                <w:b/>
                <w:bCs/>
                <w:i/>
                <w:iCs/>
                <w:kern w:val="0"/>
                <w:lang w:eastAsia="en-GB"/>
                <w14:ligatures w14:val="none"/>
              </w:rPr>
              <w:t xml:space="preserve"> a non-discriminatory assessment of economic interest,” </w:t>
            </w:r>
            <w:r w:rsidRPr="00AC62C2">
              <w:rPr>
                <w:rFonts w:ascii="Times New Roman" w:eastAsia="Times New Roman" w:hAnsi="Times New Roman" w:cs="Times New Roman"/>
                <w:kern w:val="0"/>
                <w:lang w:eastAsia="en-GB"/>
                <w14:ligatures w14:val="none"/>
              </w:rPr>
              <w:t xml:space="preserve">and </w:t>
            </w:r>
          </w:p>
          <w:p w14:paraId="2D7B2928" w14:textId="77777777" w:rsidR="00AC62C2" w:rsidRPr="00AC62C2" w:rsidRDefault="00AC62C2" w:rsidP="00AC62C2">
            <w:pPr>
              <w:ind w:left="432"/>
              <w:rPr>
                <w:rFonts w:ascii="Times New Roman" w:eastAsia="Times New Roman" w:hAnsi="Times New Roman" w:cs="Times New Roman"/>
                <w:kern w:val="0"/>
                <w:lang w:eastAsia="en-GB"/>
                <w14:ligatures w14:val="none"/>
              </w:rPr>
            </w:pPr>
            <w:r w:rsidRPr="00AC62C2">
              <w:rPr>
                <w:rFonts w:ascii="Times New Roman" w:eastAsia="Times New Roman" w:hAnsi="Times New Roman" w:cs="Times New Roman"/>
                <w:kern w:val="0"/>
                <w:lang w:eastAsia="en-GB"/>
                <w14:ligatures w14:val="none"/>
              </w:rPr>
              <w:t>(iv) subject to contractual or technical restrictions on onward disclosure.</w:t>
            </w:r>
          </w:p>
        </w:tc>
      </w:tr>
    </w:tbl>
    <w:p w14:paraId="661B3AA8" w14:textId="77777777" w:rsidR="00AC62C2" w:rsidRDefault="00AC62C2" w:rsidP="00B937EE">
      <w:pPr>
        <w:spacing w:after="0" w:line="240" w:lineRule="auto"/>
        <w:ind w:left="432"/>
        <w:rPr>
          <w:rFonts w:ascii="Times New Roman" w:eastAsia="Times New Roman" w:hAnsi="Times New Roman" w:cs="Times New Roman"/>
          <w:kern w:val="0"/>
          <w:lang w:eastAsia="en-GB"/>
          <w14:ligatures w14:val="none"/>
        </w:rPr>
      </w:pPr>
    </w:p>
    <w:p w14:paraId="2B98AC35" w14:textId="77777777" w:rsidR="00AC62C2" w:rsidRDefault="00AC62C2" w:rsidP="00B937EE">
      <w:pPr>
        <w:spacing w:after="0" w:line="240" w:lineRule="auto"/>
        <w:ind w:left="432"/>
        <w:rPr>
          <w:rFonts w:ascii="Times New Roman" w:eastAsia="Times New Roman" w:hAnsi="Times New Roman" w:cs="Times New Roman"/>
          <w:kern w:val="0"/>
          <w:lang w:eastAsia="en-GB"/>
          <w14:ligatures w14:val="none"/>
        </w:rPr>
      </w:pPr>
    </w:p>
    <w:p w14:paraId="7F0CB577" w14:textId="3DA63053"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189210CD" w14:textId="77777777" w:rsidR="004D3080" w:rsidRPr="007243AE" w:rsidRDefault="004D3080" w:rsidP="007243AE">
      <w:pPr>
        <w:spacing w:after="250" w:line="276" w:lineRule="auto"/>
        <w:ind w:left="432"/>
        <w:jc w:val="both"/>
        <w:rPr>
          <w:rFonts w:ascii="Arial" w:eastAsia="MS PGothic" w:hAnsi="Arial" w:cs="Arial"/>
          <w:bCs/>
          <w:color w:val="181818"/>
          <w:kern w:val="0"/>
          <w:sz w:val="22"/>
          <w:szCs w:val="20"/>
          <w14:ligatures w14:val="none"/>
        </w:rPr>
      </w:pPr>
    </w:p>
    <w:p w14:paraId="4906F370" w14:textId="2C75F18C"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0" w:name="_Toc224749793"/>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uestions on private credit ratings</w:t>
      </w:r>
      <w:bookmarkEnd w:id="0"/>
    </w:p>
    <w:p w14:paraId="2AB5DA18" w14:textId="449E9B0B"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9</w:t>
      </w:r>
      <w:r w:rsidRPr="007243AE">
        <w:rPr>
          <w:rFonts w:ascii="Arial" w:eastAsia="MS PGothic" w:hAnsi="Arial" w:cs="Arial"/>
          <w:color w:val="181818"/>
          <w:kern w:val="0"/>
          <w:sz w:val="22"/>
          <w:szCs w:val="20"/>
          <w14:ligatures w14:val="none"/>
        </w:rPr>
        <w:t xml:space="preserve"> What are the main purposes and market needs that private credit ratings are intended to serve? In what circumstances are they used instead of, or alongside, publicly </w:t>
      </w:r>
      <w:r w:rsidRPr="007243AE">
        <w:rPr>
          <w:rFonts w:ascii="Arial" w:eastAsia="MS PGothic" w:hAnsi="Arial" w:cs="Arial"/>
          <w:color w:val="181818"/>
          <w:kern w:val="0"/>
          <w:sz w:val="22"/>
          <w:szCs w:val="20"/>
          <w14:ligatures w14:val="none"/>
        </w:rPr>
        <w:lastRenderedPageBreak/>
        <w:t>disseminated ratings or other forms of credit assessment? Please provide concrete examples where possible.</w:t>
      </w:r>
    </w:p>
    <w:p w14:paraId="608B75F5" w14:textId="66572F58"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13CF4EAD" w14:textId="77777777" w:rsidR="00A7213A" w:rsidRDefault="00A7213A" w:rsidP="001013E7">
      <w:pPr>
        <w:spacing w:after="0" w:line="240" w:lineRule="auto"/>
        <w:ind w:left="432"/>
        <w:rPr>
          <w:rFonts w:ascii="Times New Roman" w:eastAsia="Times New Roman" w:hAnsi="Times New Roman" w:cs="Times New Roman"/>
          <w:kern w:val="0"/>
          <w:lang w:eastAsia="en-GB"/>
          <w14:ligatures w14:val="none"/>
        </w:rPr>
      </w:pPr>
    </w:p>
    <w:p w14:paraId="05FDB520" w14:textId="7122FBDE" w:rsidR="000E4B4B" w:rsidRPr="000E4B4B" w:rsidRDefault="000E4B4B" w:rsidP="00E26566">
      <w:pPr>
        <w:spacing w:after="0" w:line="240" w:lineRule="auto"/>
        <w:ind w:left="432"/>
        <w:jc w:val="both"/>
        <w:rPr>
          <w:rFonts w:ascii="Times New Roman" w:eastAsia="Times New Roman" w:hAnsi="Times New Roman" w:cs="Times New Roman"/>
          <w:kern w:val="0"/>
          <w:lang w:eastAsia="en-GB"/>
          <w14:ligatures w14:val="none"/>
        </w:rPr>
      </w:pPr>
      <w:r w:rsidRPr="000E4B4B">
        <w:rPr>
          <w:rFonts w:ascii="Times New Roman" w:eastAsia="Times New Roman" w:hAnsi="Times New Roman" w:cs="Times New Roman"/>
          <w:kern w:val="0"/>
          <w:lang w:eastAsia="en-GB"/>
          <w14:ligatures w14:val="none"/>
        </w:rPr>
        <w:t xml:space="preserve">Private credit ratings are </w:t>
      </w:r>
      <w:r w:rsidR="00BE25B7">
        <w:rPr>
          <w:rFonts w:ascii="Times New Roman" w:eastAsia="Times New Roman" w:hAnsi="Times New Roman" w:cs="Times New Roman"/>
          <w:kern w:val="0"/>
          <w:lang w:eastAsia="en-GB"/>
          <w14:ligatures w14:val="none"/>
        </w:rPr>
        <w:t xml:space="preserve">primarily </w:t>
      </w:r>
      <w:r w:rsidRPr="000E4B4B">
        <w:rPr>
          <w:rFonts w:ascii="Times New Roman" w:eastAsia="Times New Roman" w:hAnsi="Times New Roman" w:cs="Times New Roman"/>
          <w:kern w:val="0"/>
          <w:lang w:eastAsia="en-GB"/>
          <w14:ligatures w14:val="none"/>
        </w:rPr>
        <w:t xml:space="preserve">intended to serve targeted, bilateral or limited audience use cases where the underlying instrument or transaction is inherently private, such as the syndicated loan markets, bilateral or relationship lending markets and private placement markets. They allow for a high level of confidentiality around issuer information, transaction terms, or strategic plans. </w:t>
      </w:r>
    </w:p>
    <w:p w14:paraId="711A3CBA" w14:textId="51415EA7" w:rsidR="000E4B4B" w:rsidRPr="000E4B4B" w:rsidRDefault="000E4B4B" w:rsidP="000E4B4B">
      <w:pPr>
        <w:spacing w:after="0" w:line="240" w:lineRule="auto"/>
        <w:ind w:left="432"/>
        <w:rPr>
          <w:rFonts w:ascii="Times New Roman" w:eastAsia="Times New Roman" w:hAnsi="Times New Roman" w:cs="Times New Roman"/>
          <w:kern w:val="0"/>
          <w:lang w:eastAsia="en-GB"/>
          <w14:ligatures w14:val="none"/>
        </w:rPr>
      </w:pPr>
      <w:r w:rsidRPr="000E4B4B">
        <w:rPr>
          <w:rFonts w:ascii="Times New Roman" w:eastAsia="Times New Roman" w:hAnsi="Times New Roman" w:cs="Times New Roman"/>
          <w:kern w:val="0"/>
          <w:lang w:eastAsia="en-GB"/>
          <w14:ligatures w14:val="none"/>
        </w:rPr>
        <w:t>Their primary objective is to support internal decision-making, inform financial planning and internal benchmarking against publicly rated peers and/or support the pricing and distribution of issuance in alternative debt markets.</w:t>
      </w:r>
    </w:p>
    <w:p w14:paraId="16989CF1" w14:textId="77777777" w:rsidR="000E4B4B" w:rsidRPr="000E4B4B" w:rsidRDefault="000E4B4B" w:rsidP="000E4B4B">
      <w:pPr>
        <w:spacing w:after="0" w:line="240" w:lineRule="auto"/>
        <w:ind w:left="432"/>
        <w:rPr>
          <w:rFonts w:ascii="Times New Roman" w:eastAsia="Times New Roman" w:hAnsi="Times New Roman" w:cs="Times New Roman"/>
          <w:kern w:val="0"/>
          <w:lang w:eastAsia="en-GB"/>
          <w14:ligatures w14:val="none"/>
        </w:rPr>
      </w:pPr>
      <w:r w:rsidRPr="000E4B4B">
        <w:rPr>
          <w:rFonts w:ascii="Times New Roman" w:eastAsia="Times New Roman" w:hAnsi="Times New Roman" w:cs="Times New Roman"/>
          <w:kern w:val="0"/>
          <w:lang w:eastAsia="en-GB"/>
          <w14:ligatures w14:val="none"/>
        </w:rPr>
        <w:t xml:space="preserve">For example, private credit ratings may be used to: </w:t>
      </w:r>
    </w:p>
    <w:p w14:paraId="77C97648" w14:textId="77777777" w:rsidR="000E4B4B" w:rsidRPr="000E4B4B" w:rsidRDefault="000E4B4B" w:rsidP="000E4B4B">
      <w:pPr>
        <w:numPr>
          <w:ilvl w:val="0"/>
          <w:numId w:val="8"/>
        </w:numPr>
        <w:spacing w:after="0" w:line="240" w:lineRule="auto"/>
        <w:rPr>
          <w:rFonts w:ascii="Times New Roman" w:eastAsia="Times New Roman" w:hAnsi="Times New Roman" w:cs="Times New Roman"/>
          <w:kern w:val="0"/>
          <w:lang w:eastAsia="en-GB"/>
          <w14:ligatures w14:val="none"/>
        </w:rPr>
      </w:pPr>
      <w:r w:rsidRPr="000E4B4B">
        <w:rPr>
          <w:rFonts w:ascii="Times New Roman" w:eastAsia="Times New Roman" w:hAnsi="Times New Roman" w:cs="Times New Roman"/>
          <w:kern w:val="0"/>
          <w:lang w:eastAsia="en-GB"/>
          <w14:ligatures w14:val="none"/>
        </w:rPr>
        <w:t>Support internal credit analysis and risk assessment, particularly for issuers or investors seeking an independent external view to complement internal models;</w:t>
      </w:r>
    </w:p>
    <w:p w14:paraId="06CB92DC" w14:textId="77777777" w:rsidR="000E4B4B" w:rsidRPr="000E4B4B" w:rsidRDefault="000E4B4B" w:rsidP="000E4B4B">
      <w:pPr>
        <w:numPr>
          <w:ilvl w:val="0"/>
          <w:numId w:val="8"/>
        </w:numPr>
        <w:spacing w:after="0" w:line="240" w:lineRule="auto"/>
        <w:rPr>
          <w:rFonts w:ascii="Times New Roman" w:eastAsia="Times New Roman" w:hAnsi="Times New Roman" w:cs="Times New Roman"/>
          <w:kern w:val="0"/>
          <w:lang w:eastAsia="en-GB"/>
          <w14:ligatures w14:val="none"/>
        </w:rPr>
      </w:pPr>
      <w:r w:rsidRPr="000E4B4B">
        <w:rPr>
          <w:rFonts w:ascii="Times New Roman" w:eastAsia="Times New Roman" w:hAnsi="Times New Roman" w:cs="Times New Roman"/>
          <w:kern w:val="0"/>
          <w:lang w:eastAsia="en-GB"/>
          <w14:ligatures w14:val="none"/>
        </w:rPr>
        <w:t>Inform transaction pricing and support placement; and/or</w:t>
      </w:r>
    </w:p>
    <w:p w14:paraId="4ACDA836" w14:textId="77777777" w:rsidR="000E4B4B" w:rsidRPr="000E4B4B" w:rsidRDefault="000E4B4B" w:rsidP="000E4B4B">
      <w:pPr>
        <w:numPr>
          <w:ilvl w:val="0"/>
          <w:numId w:val="8"/>
        </w:numPr>
        <w:spacing w:after="0" w:line="240" w:lineRule="auto"/>
        <w:rPr>
          <w:rFonts w:ascii="Times New Roman" w:eastAsia="Times New Roman" w:hAnsi="Times New Roman" w:cs="Times New Roman"/>
          <w:kern w:val="0"/>
          <w:lang w:eastAsia="en-GB"/>
          <w14:ligatures w14:val="none"/>
        </w:rPr>
      </w:pPr>
      <w:r w:rsidRPr="000E4B4B">
        <w:rPr>
          <w:rFonts w:ascii="Times New Roman" w:eastAsia="Times New Roman" w:hAnsi="Times New Roman" w:cs="Times New Roman"/>
          <w:kern w:val="0"/>
          <w:lang w:eastAsia="en-GB"/>
          <w14:ligatures w14:val="none"/>
        </w:rPr>
        <w:t>Facilitate capital planning or strategic decision‑making.</w:t>
      </w:r>
    </w:p>
    <w:p w14:paraId="4EBAF27D" w14:textId="77777777" w:rsidR="000E4B4B" w:rsidRPr="000E4B4B" w:rsidRDefault="000E4B4B" w:rsidP="000E4B4B">
      <w:pPr>
        <w:spacing w:after="0" w:line="240" w:lineRule="auto"/>
        <w:ind w:left="432"/>
        <w:rPr>
          <w:rFonts w:ascii="Times New Roman" w:eastAsia="Times New Roman" w:hAnsi="Times New Roman" w:cs="Times New Roman"/>
          <w:kern w:val="0"/>
          <w:lang w:eastAsia="en-GB"/>
          <w14:ligatures w14:val="none"/>
        </w:rPr>
      </w:pPr>
      <w:r w:rsidRPr="000E4B4B">
        <w:rPr>
          <w:rFonts w:ascii="Times New Roman" w:eastAsia="Times New Roman" w:hAnsi="Times New Roman" w:cs="Times New Roman"/>
          <w:kern w:val="0"/>
          <w:lang w:eastAsia="en-GB"/>
          <w14:ligatures w14:val="none"/>
        </w:rPr>
        <w:t>Private entity-level credit ratings also permit issuers to establish an analytical track-record with a chosen CRA on a private basis in advance of executing a debt issuance transaction. This can allow for an expedited issuance timeline where a public rating is subsequently requested to support a debt issuance transaction and can offer greater certainty of execution, particularly in times of uncertainty and market volatility.</w:t>
      </w:r>
    </w:p>
    <w:p w14:paraId="1524D652" w14:textId="77777777" w:rsidR="00A7213A" w:rsidRDefault="00A7213A" w:rsidP="001013E7">
      <w:pPr>
        <w:spacing w:after="0" w:line="240" w:lineRule="auto"/>
        <w:ind w:left="432"/>
        <w:rPr>
          <w:rFonts w:ascii="Times New Roman" w:eastAsia="Times New Roman" w:hAnsi="Times New Roman" w:cs="Times New Roman"/>
          <w:kern w:val="0"/>
          <w:lang w:eastAsia="en-GB"/>
          <w14:ligatures w14:val="none"/>
        </w:rPr>
      </w:pPr>
    </w:p>
    <w:p w14:paraId="69D52A71" w14:textId="78D4C20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31CA2C9C" w14:textId="77777777" w:rsidR="001013E7" w:rsidRPr="007243AE" w:rsidRDefault="001013E7" w:rsidP="001013E7">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1D7C8C5C" w14:textId="5466EE8E"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10</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 xml:space="preserve">To what extent do private credit ratings support investment decisions, credit risk assessments, risk management or internal capital allocation by market participants? </w:t>
      </w:r>
      <w:proofErr w:type="gramStart"/>
      <w:r w:rsidRPr="007243AE">
        <w:rPr>
          <w:rFonts w:ascii="Arial" w:eastAsia="MS PGothic" w:hAnsi="Arial" w:cs="Arial"/>
          <w:color w:val="181818"/>
          <w:kern w:val="0"/>
          <w:sz w:val="22"/>
          <w:szCs w:val="20"/>
          <w14:ligatures w14:val="none"/>
        </w:rPr>
        <w:t>In particular, how</w:t>
      </w:r>
      <w:proofErr w:type="gramEnd"/>
      <w:r w:rsidRPr="007243AE">
        <w:rPr>
          <w:rFonts w:ascii="Arial" w:eastAsia="MS PGothic" w:hAnsi="Arial" w:cs="Arial"/>
          <w:color w:val="181818"/>
          <w:kern w:val="0"/>
          <w:sz w:val="22"/>
          <w:szCs w:val="20"/>
          <w14:ligatures w14:val="none"/>
        </w:rPr>
        <w:t xml:space="preserve"> do they contribute to credit risk assessment and price discovery, including in private markets? Please provide examples where possible</w:t>
      </w:r>
    </w:p>
    <w:p w14:paraId="4090D7F9" w14:textId="381D1139"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41CF7B62" w14:textId="77777777" w:rsidR="000431FC" w:rsidRPr="00323E56" w:rsidRDefault="000431FC" w:rsidP="001013E7">
      <w:pPr>
        <w:spacing w:after="0" w:line="240" w:lineRule="auto"/>
        <w:ind w:left="432"/>
        <w:rPr>
          <w:rFonts w:ascii="Times New Roman" w:eastAsia="Times New Roman" w:hAnsi="Times New Roman" w:cs="Times New Roman"/>
          <w:kern w:val="0"/>
          <w:lang w:eastAsia="en-GB"/>
          <w14:ligatures w14:val="none"/>
        </w:rPr>
      </w:pPr>
    </w:p>
    <w:p w14:paraId="065E3646" w14:textId="77777777" w:rsidR="000431FC" w:rsidRDefault="000431FC" w:rsidP="000431FC">
      <w:pPr>
        <w:spacing w:after="0" w:line="240" w:lineRule="auto"/>
        <w:ind w:left="432"/>
        <w:rPr>
          <w:rFonts w:ascii="Times New Roman" w:eastAsia="Times New Roman" w:hAnsi="Times New Roman" w:cs="Times New Roman"/>
          <w:kern w:val="0"/>
          <w:lang w:eastAsia="en-GB"/>
          <w14:ligatures w14:val="none"/>
        </w:rPr>
      </w:pPr>
      <w:r w:rsidRPr="000431FC">
        <w:rPr>
          <w:rFonts w:ascii="Times New Roman" w:eastAsia="Times New Roman" w:hAnsi="Times New Roman" w:cs="Times New Roman"/>
          <w:kern w:val="0"/>
          <w:lang w:eastAsia="en-GB"/>
          <w14:ligatures w14:val="none"/>
        </w:rPr>
        <w:t xml:space="preserve">Private credit ratings may be used for </w:t>
      </w:r>
      <w:proofErr w:type="gramStart"/>
      <w:r w:rsidRPr="000431FC">
        <w:rPr>
          <w:rFonts w:ascii="Times New Roman" w:eastAsia="Times New Roman" w:hAnsi="Times New Roman" w:cs="Times New Roman"/>
          <w:kern w:val="0"/>
          <w:lang w:eastAsia="en-GB"/>
          <w14:ligatures w14:val="none"/>
        </w:rPr>
        <w:t>all of</w:t>
      </w:r>
      <w:proofErr w:type="gramEnd"/>
      <w:r w:rsidRPr="000431FC">
        <w:rPr>
          <w:rFonts w:ascii="Times New Roman" w:eastAsia="Times New Roman" w:hAnsi="Times New Roman" w:cs="Times New Roman"/>
          <w:kern w:val="0"/>
          <w:lang w:eastAsia="en-GB"/>
          <w14:ligatures w14:val="none"/>
        </w:rPr>
        <w:t xml:space="preserve"> the purposes specified in the question and can thereby help to facilitate secondary market trading and liquidity, promoting transparency and efficient operation of the secondary debt markets. </w:t>
      </w:r>
    </w:p>
    <w:p w14:paraId="6B6D04B7" w14:textId="77777777" w:rsidR="00DC2A57" w:rsidRPr="000431FC" w:rsidRDefault="00DC2A57" w:rsidP="000431FC">
      <w:pPr>
        <w:spacing w:after="0" w:line="240" w:lineRule="auto"/>
        <w:ind w:left="432"/>
        <w:rPr>
          <w:rFonts w:ascii="Times New Roman" w:eastAsia="Times New Roman" w:hAnsi="Times New Roman" w:cs="Times New Roman"/>
          <w:kern w:val="0"/>
          <w:lang w:eastAsia="en-GB"/>
          <w14:ligatures w14:val="none"/>
        </w:rPr>
      </w:pPr>
    </w:p>
    <w:p w14:paraId="6754C3AA" w14:textId="77777777" w:rsidR="000431FC" w:rsidRPr="000431FC" w:rsidRDefault="000431FC" w:rsidP="000431FC">
      <w:pPr>
        <w:spacing w:after="0" w:line="240" w:lineRule="auto"/>
        <w:ind w:left="432"/>
        <w:rPr>
          <w:rFonts w:ascii="Times New Roman" w:eastAsia="Times New Roman" w:hAnsi="Times New Roman" w:cs="Times New Roman"/>
          <w:kern w:val="0"/>
          <w:u w:val="single"/>
          <w:lang w:eastAsia="en-GB"/>
          <w14:ligatures w14:val="none"/>
        </w:rPr>
      </w:pPr>
      <w:r w:rsidRPr="000431FC">
        <w:rPr>
          <w:rFonts w:ascii="Times New Roman" w:eastAsia="Times New Roman" w:hAnsi="Times New Roman" w:cs="Times New Roman"/>
          <w:kern w:val="0"/>
          <w:u w:val="single"/>
          <w:lang w:eastAsia="en-GB"/>
          <w14:ligatures w14:val="none"/>
        </w:rPr>
        <w:t>Support for investment decisions and credit risk assessment</w:t>
      </w:r>
    </w:p>
    <w:p w14:paraId="39E33F5A" w14:textId="4E074A09" w:rsidR="000431FC" w:rsidRPr="000431FC" w:rsidRDefault="000431FC" w:rsidP="000431FC">
      <w:pPr>
        <w:spacing w:after="0" w:line="240" w:lineRule="auto"/>
        <w:ind w:left="432"/>
        <w:rPr>
          <w:rFonts w:ascii="Times New Roman" w:eastAsia="Times New Roman" w:hAnsi="Times New Roman" w:cs="Times New Roman"/>
          <w:kern w:val="0"/>
          <w:lang w:eastAsia="en-GB"/>
          <w14:ligatures w14:val="none"/>
        </w:rPr>
      </w:pPr>
      <w:r w:rsidRPr="000431FC">
        <w:rPr>
          <w:rFonts w:ascii="Times New Roman" w:eastAsia="Times New Roman" w:hAnsi="Times New Roman" w:cs="Times New Roman"/>
          <w:kern w:val="0"/>
          <w:lang w:eastAsia="en-GB"/>
          <w14:ligatures w14:val="none"/>
        </w:rPr>
        <w:t xml:space="preserve">Existing or prospective lenders/investors </w:t>
      </w:r>
      <w:r w:rsidR="00A2365D">
        <w:rPr>
          <w:rFonts w:ascii="Times New Roman" w:eastAsia="Times New Roman" w:hAnsi="Times New Roman" w:cs="Times New Roman"/>
          <w:kern w:val="0"/>
          <w:lang w:eastAsia="en-GB"/>
          <w14:ligatures w14:val="none"/>
        </w:rPr>
        <w:t>may</w:t>
      </w:r>
      <w:r w:rsidRPr="000431FC">
        <w:rPr>
          <w:rFonts w:ascii="Times New Roman" w:eastAsia="Times New Roman" w:hAnsi="Times New Roman" w:cs="Times New Roman"/>
          <w:kern w:val="0"/>
          <w:lang w:eastAsia="en-GB"/>
          <w14:ligatures w14:val="none"/>
        </w:rPr>
        <w:t xml:space="preserve"> then use the private credit rating outcome and associated credit analysis rationale to supplement any internal credit analysis performed themselves, submit a bid to the borrower to take a commitment in the debt instrument and ultimately inform their decision to invest and at what price. </w:t>
      </w:r>
    </w:p>
    <w:p w14:paraId="5E023D6E" w14:textId="77777777" w:rsidR="000431FC" w:rsidRPr="000431FC" w:rsidRDefault="000431FC" w:rsidP="000431FC">
      <w:pPr>
        <w:spacing w:after="0" w:line="240" w:lineRule="auto"/>
        <w:ind w:left="432"/>
        <w:rPr>
          <w:rFonts w:ascii="Times New Roman" w:eastAsia="Times New Roman" w:hAnsi="Times New Roman" w:cs="Times New Roman"/>
          <w:kern w:val="0"/>
          <w:lang w:eastAsia="en-GB"/>
          <w14:ligatures w14:val="none"/>
        </w:rPr>
      </w:pPr>
      <w:r w:rsidRPr="000431FC">
        <w:rPr>
          <w:rFonts w:ascii="Times New Roman" w:eastAsia="Times New Roman" w:hAnsi="Times New Roman" w:cs="Times New Roman"/>
          <w:kern w:val="0"/>
          <w:lang w:eastAsia="en-GB"/>
          <w14:ligatures w14:val="none"/>
        </w:rPr>
        <w:t xml:space="preserve">A good example would be a corporate issuer looking to execute a broadly syndicated loan transaction with a varied syndicate of traditional banking, alternative asset manager, private equity and collateral manager lenders. </w:t>
      </w:r>
    </w:p>
    <w:p w14:paraId="16FB87B8" w14:textId="77777777" w:rsidR="000431FC" w:rsidRPr="000431FC" w:rsidRDefault="000431FC" w:rsidP="000431FC">
      <w:pPr>
        <w:spacing w:after="0" w:line="240" w:lineRule="auto"/>
        <w:ind w:left="432"/>
        <w:rPr>
          <w:rFonts w:ascii="Times New Roman" w:eastAsia="Times New Roman" w:hAnsi="Times New Roman" w:cs="Times New Roman"/>
          <w:kern w:val="0"/>
          <w:lang w:eastAsia="en-GB"/>
          <w14:ligatures w14:val="none"/>
        </w:rPr>
      </w:pPr>
      <w:r w:rsidRPr="000431FC">
        <w:rPr>
          <w:rFonts w:ascii="Times New Roman" w:eastAsia="Times New Roman" w:hAnsi="Times New Roman" w:cs="Times New Roman"/>
          <w:kern w:val="0"/>
          <w:lang w:eastAsia="en-GB"/>
          <w14:ligatures w14:val="none"/>
        </w:rPr>
        <w:t xml:space="preserve">Investors may also request private credit ratings to assist their investment decision with respect to unrated debt issuance. Where borrowers have elected to execute a debt issuance without the support of a public or private credit rating, investors and prospective investors may request the assignment of a private credit rating. This is </w:t>
      </w:r>
      <w:proofErr w:type="gramStart"/>
      <w:r w:rsidRPr="000431FC">
        <w:rPr>
          <w:rFonts w:ascii="Times New Roman" w:eastAsia="Times New Roman" w:hAnsi="Times New Roman" w:cs="Times New Roman"/>
          <w:kern w:val="0"/>
          <w:lang w:eastAsia="en-GB"/>
          <w14:ligatures w14:val="none"/>
        </w:rPr>
        <w:lastRenderedPageBreak/>
        <w:t>provided that</w:t>
      </w:r>
      <w:proofErr w:type="gramEnd"/>
      <w:r w:rsidRPr="000431FC">
        <w:rPr>
          <w:rFonts w:ascii="Times New Roman" w:eastAsia="Times New Roman" w:hAnsi="Times New Roman" w:cs="Times New Roman"/>
          <w:kern w:val="0"/>
          <w:lang w:eastAsia="en-GB"/>
          <w14:ligatures w14:val="none"/>
        </w:rPr>
        <w:t xml:space="preserve"> they have the permission to access and provide the issuer information upon which the private credit rating is to be assigned.  </w:t>
      </w:r>
    </w:p>
    <w:p w14:paraId="4A9260C1" w14:textId="77777777" w:rsidR="000431FC" w:rsidRDefault="000431FC" w:rsidP="000431FC">
      <w:pPr>
        <w:spacing w:after="0" w:line="240" w:lineRule="auto"/>
        <w:ind w:left="432"/>
        <w:rPr>
          <w:rFonts w:ascii="Times New Roman" w:eastAsia="Times New Roman" w:hAnsi="Times New Roman" w:cs="Times New Roman"/>
          <w:kern w:val="0"/>
          <w:lang w:eastAsia="en-GB"/>
          <w14:ligatures w14:val="none"/>
        </w:rPr>
      </w:pPr>
      <w:r w:rsidRPr="000431FC">
        <w:rPr>
          <w:rFonts w:ascii="Times New Roman" w:eastAsia="Times New Roman" w:hAnsi="Times New Roman" w:cs="Times New Roman"/>
          <w:kern w:val="0"/>
          <w:lang w:eastAsia="en-GB"/>
          <w14:ligatures w14:val="none"/>
        </w:rPr>
        <w:t>Private credit ratings can support comparability across privately rated issuances and assets within a portfolio, helping lenders or investors identify key credit risk drivers, sensitivities, and downside scenarios relevant to a specific exposure. For example, an investor participating in a private loan or private placement may use a private credit rating to inform internal views on default risk, recovery prospects, or covenant strength, alongside and supplemental to its own credit analysis.</w:t>
      </w:r>
    </w:p>
    <w:p w14:paraId="45E0F3FC" w14:textId="77777777" w:rsidR="00DC2A57" w:rsidRPr="000431FC" w:rsidRDefault="00DC2A57" w:rsidP="000431FC">
      <w:pPr>
        <w:spacing w:after="0" w:line="240" w:lineRule="auto"/>
        <w:ind w:left="432"/>
        <w:rPr>
          <w:rFonts w:ascii="Times New Roman" w:eastAsia="Times New Roman" w:hAnsi="Times New Roman" w:cs="Times New Roman"/>
          <w:kern w:val="0"/>
          <w:lang w:eastAsia="en-GB"/>
          <w14:ligatures w14:val="none"/>
        </w:rPr>
      </w:pPr>
    </w:p>
    <w:p w14:paraId="6C96ADD1" w14:textId="77777777" w:rsidR="000431FC" w:rsidRPr="000431FC" w:rsidRDefault="000431FC" w:rsidP="000431FC">
      <w:pPr>
        <w:spacing w:after="0" w:line="240" w:lineRule="auto"/>
        <w:ind w:left="432"/>
        <w:rPr>
          <w:rFonts w:ascii="Times New Roman" w:eastAsia="Times New Roman" w:hAnsi="Times New Roman" w:cs="Times New Roman"/>
          <w:kern w:val="0"/>
          <w:lang w:eastAsia="en-GB"/>
          <w14:ligatures w14:val="none"/>
        </w:rPr>
      </w:pPr>
      <w:r w:rsidRPr="000431FC">
        <w:rPr>
          <w:rFonts w:ascii="Times New Roman" w:eastAsia="Times New Roman" w:hAnsi="Times New Roman" w:cs="Times New Roman"/>
          <w:kern w:val="0"/>
          <w:u w:val="single"/>
          <w:lang w:eastAsia="en-GB"/>
          <w14:ligatures w14:val="none"/>
        </w:rPr>
        <w:t>Role in risk management and internal capital allocation</w:t>
      </w:r>
    </w:p>
    <w:p w14:paraId="6B9725BB" w14:textId="77777777" w:rsidR="000431FC" w:rsidRDefault="000431FC" w:rsidP="000431FC">
      <w:pPr>
        <w:spacing w:after="0" w:line="240" w:lineRule="auto"/>
        <w:ind w:left="432"/>
        <w:rPr>
          <w:rFonts w:ascii="Times New Roman" w:eastAsia="Times New Roman" w:hAnsi="Times New Roman" w:cs="Times New Roman"/>
          <w:kern w:val="0"/>
          <w:lang w:eastAsia="en-GB"/>
          <w14:ligatures w14:val="none"/>
        </w:rPr>
      </w:pPr>
      <w:r w:rsidRPr="000431FC">
        <w:rPr>
          <w:rFonts w:ascii="Times New Roman" w:eastAsia="Times New Roman" w:hAnsi="Times New Roman" w:cs="Times New Roman"/>
          <w:kern w:val="0"/>
          <w:lang w:eastAsia="en-GB"/>
          <w14:ligatures w14:val="none"/>
        </w:rPr>
        <w:t>Private credit ratings may also be used as an input into internal risk management and capital allocation frameworks and to inform financial planning and issuance timelines. Private credit ratings requested for these purposes would usually be private entity-level credit ratings where the private credit rating is assigned to an issuer entity and not a specific debt issuance.</w:t>
      </w:r>
    </w:p>
    <w:p w14:paraId="3CD2A726" w14:textId="77777777" w:rsidR="00DC2A57" w:rsidRPr="000431FC" w:rsidRDefault="00DC2A57" w:rsidP="000431FC">
      <w:pPr>
        <w:spacing w:after="0" w:line="240" w:lineRule="auto"/>
        <w:ind w:left="432"/>
        <w:rPr>
          <w:rFonts w:ascii="Times New Roman" w:eastAsia="Times New Roman" w:hAnsi="Times New Roman" w:cs="Times New Roman"/>
          <w:kern w:val="0"/>
          <w:lang w:eastAsia="en-GB"/>
          <w14:ligatures w14:val="none"/>
        </w:rPr>
      </w:pPr>
    </w:p>
    <w:p w14:paraId="208F6C0C" w14:textId="77777777" w:rsidR="000431FC" w:rsidRPr="000431FC" w:rsidRDefault="000431FC" w:rsidP="000431FC">
      <w:pPr>
        <w:spacing w:after="0" w:line="240" w:lineRule="auto"/>
        <w:ind w:left="432"/>
        <w:rPr>
          <w:rFonts w:ascii="Times New Roman" w:eastAsia="Times New Roman" w:hAnsi="Times New Roman" w:cs="Times New Roman"/>
          <w:kern w:val="0"/>
          <w:lang w:eastAsia="en-GB"/>
          <w14:ligatures w14:val="none"/>
        </w:rPr>
      </w:pPr>
      <w:r w:rsidRPr="000431FC">
        <w:rPr>
          <w:rFonts w:ascii="Times New Roman" w:eastAsia="Times New Roman" w:hAnsi="Times New Roman" w:cs="Times New Roman"/>
          <w:kern w:val="0"/>
          <w:u w:val="single"/>
          <w:lang w:eastAsia="en-GB"/>
          <w14:ligatures w14:val="none"/>
        </w:rPr>
        <w:t>Contribution to price discovery in private markets</w:t>
      </w:r>
    </w:p>
    <w:p w14:paraId="3930DE9A" w14:textId="77777777" w:rsidR="000431FC" w:rsidRPr="000431FC" w:rsidRDefault="000431FC" w:rsidP="000431FC">
      <w:pPr>
        <w:spacing w:after="0" w:line="240" w:lineRule="auto"/>
        <w:ind w:left="432"/>
        <w:rPr>
          <w:rFonts w:ascii="Times New Roman" w:eastAsia="Times New Roman" w:hAnsi="Times New Roman" w:cs="Times New Roman"/>
          <w:kern w:val="0"/>
          <w:lang w:eastAsia="en-GB"/>
          <w14:ligatures w14:val="none"/>
        </w:rPr>
      </w:pPr>
      <w:r w:rsidRPr="000431FC">
        <w:rPr>
          <w:rFonts w:ascii="Times New Roman" w:eastAsia="Times New Roman" w:hAnsi="Times New Roman" w:cs="Times New Roman"/>
          <w:kern w:val="0"/>
          <w:lang w:eastAsia="en-GB"/>
          <w14:ligatures w14:val="none"/>
        </w:rPr>
        <w:t>Private credit ratings can contribute to price discovery and pricing agreements within loan markets, private placement markets and private direct lending markets. In the non-public markets, price agreement is typically achieved through negotiation, and private credit ratings can offer insight for lenders into the credit quality of the borrower.  For example, in a privately negotiated loan, a private credit rating may be used by lenders to support discussions around pricing or covenant requirements.</w:t>
      </w:r>
    </w:p>
    <w:p w14:paraId="3C1280B6" w14:textId="77777777" w:rsidR="000431FC" w:rsidRDefault="000431FC" w:rsidP="001013E7">
      <w:pPr>
        <w:spacing w:after="0" w:line="240" w:lineRule="auto"/>
        <w:ind w:left="432"/>
        <w:rPr>
          <w:rFonts w:ascii="Times New Roman" w:eastAsia="Times New Roman" w:hAnsi="Times New Roman" w:cs="Times New Roman"/>
          <w:kern w:val="0"/>
          <w:lang w:eastAsia="en-GB"/>
          <w14:ligatures w14:val="none"/>
        </w:rPr>
      </w:pPr>
    </w:p>
    <w:p w14:paraId="7A378CCD" w14:textId="39F661CB"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43B98E31"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4E215D65" w14:textId="5D7410CF"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B937EE">
        <w:rPr>
          <w:rFonts w:ascii="Arial" w:eastAsia="MS PGothic" w:hAnsi="Arial" w:cs="Arial"/>
          <w:b/>
          <w:bCs/>
          <w:color w:val="181818"/>
          <w:kern w:val="0"/>
          <w:sz w:val="22"/>
          <w:szCs w:val="20"/>
          <w14:ligatures w14:val="none"/>
        </w:rPr>
        <w:t>1</w:t>
      </w:r>
      <w:r w:rsidRPr="007243AE">
        <w:rPr>
          <w:rFonts w:ascii="Arial" w:eastAsia="MS PGothic" w:hAnsi="Arial" w:cs="Arial"/>
          <w:color w:val="181818"/>
          <w:kern w:val="0"/>
          <w:sz w:val="22"/>
          <w:szCs w:val="20"/>
          <w14:ligatures w14:val="none"/>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7CC310E" w14:textId="7CE64B5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15224753" w14:textId="77777777" w:rsidR="00037557" w:rsidRDefault="00037557" w:rsidP="00037557">
      <w:pPr>
        <w:spacing w:after="0" w:line="240" w:lineRule="auto"/>
        <w:ind w:left="432"/>
        <w:rPr>
          <w:rFonts w:ascii="Times New Roman" w:eastAsia="Times New Roman" w:hAnsi="Times New Roman" w:cs="Times New Roman"/>
          <w:kern w:val="0"/>
          <w:lang w:eastAsia="en-GB"/>
          <w14:ligatures w14:val="none"/>
        </w:rPr>
      </w:pPr>
    </w:p>
    <w:p w14:paraId="54ABA052" w14:textId="11C030F1" w:rsidR="00037557" w:rsidRPr="00037557" w:rsidRDefault="00037557" w:rsidP="00037557">
      <w:pPr>
        <w:spacing w:after="0" w:line="240" w:lineRule="auto"/>
        <w:ind w:left="432"/>
        <w:rPr>
          <w:rFonts w:ascii="Times New Roman" w:eastAsia="Times New Roman" w:hAnsi="Times New Roman" w:cs="Times New Roman"/>
          <w:kern w:val="0"/>
          <w:lang w:eastAsia="en-GB"/>
          <w14:ligatures w14:val="none"/>
        </w:rPr>
      </w:pPr>
      <w:r w:rsidRPr="00037557">
        <w:rPr>
          <w:rFonts w:ascii="Times New Roman" w:eastAsia="Times New Roman" w:hAnsi="Times New Roman" w:cs="Times New Roman"/>
          <w:kern w:val="0"/>
          <w:lang w:eastAsia="en-GB"/>
          <w14:ligatures w14:val="none"/>
        </w:rPr>
        <w:t>Private credit ratings are intended to be used by market participants as one input into their overall credit assessment process and are not designed to replace internal credit analysis, due diligence, or market judgement. This reflects long</w:t>
      </w:r>
      <w:r w:rsidRPr="00037557">
        <w:rPr>
          <w:rFonts w:ascii="Times New Roman" w:eastAsia="Times New Roman" w:hAnsi="Times New Roman" w:cs="Times New Roman"/>
          <w:kern w:val="0"/>
          <w:lang w:val="en-US" w:eastAsia="en-GB"/>
          <w14:ligatures w14:val="none"/>
        </w:rPr>
        <w:noBreakHyphen/>
      </w:r>
      <w:r w:rsidRPr="00037557">
        <w:rPr>
          <w:rFonts w:ascii="Times New Roman" w:eastAsia="Times New Roman" w:hAnsi="Times New Roman" w:cs="Times New Roman"/>
          <w:kern w:val="0"/>
          <w:lang w:eastAsia="en-GB"/>
          <w14:ligatures w14:val="none"/>
        </w:rPr>
        <w:t>standing market practice and applies in the same way in both private and public markets. Credit ratings, whether public or private, express an independent opinion on relative credit risk based on available information.</w:t>
      </w:r>
    </w:p>
    <w:p w14:paraId="57323D7C" w14:textId="0C9794BA" w:rsidR="00037557" w:rsidRPr="00037557" w:rsidRDefault="00037557" w:rsidP="00037557">
      <w:pPr>
        <w:spacing w:after="0" w:line="240" w:lineRule="auto"/>
        <w:ind w:left="432"/>
        <w:rPr>
          <w:rFonts w:ascii="Times New Roman" w:eastAsia="Times New Roman" w:hAnsi="Times New Roman" w:cs="Times New Roman"/>
          <w:kern w:val="0"/>
          <w:lang w:eastAsia="en-GB"/>
          <w14:ligatures w14:val="none"/>
        </w:rPr>
      </w:pPr>
      <w:r w:rsidRPr="00037557">
        <w:rPr>
          <w:rFonts w:ascii="Times New Roman" w:eastAsia="Times New Roman" w:hAnsi="Times New Roman" w:cs="Times New Roman"/>
          <w:kern w:val="0"/>
          <w:lang w:eastAsia="en-GB"/>
          <w14:ligatures w14:val="none"/>
        </w:rPr>
        <w:t xml:space="preserve">Concerns that are sometimes raised in relation to private credit markets - such as those linked to market growth, structural complexity, or varying levels of standardisation - are not </w:t>
      </w:r>
      <w:r w:rsidR="005A28DC">
        <w:rPr>
          <w:rFonts w:ascii="Times New Roman" w:eastAsia="Times New Roman" w:hAnsi="Times New Roman" w:cs="Times New Roman"/>
          <w:kern w:val="0"/>
          <w:lang w:eastAsia="en-GB"/>
          <w14:ligatures w14:val="none"/>
        </w:rPr>
        <w:t xml:space="preserve">driven </w:t>
      </w:r>
      <w:proofErr w:type="gramStart"/>
      <w:r w:rsidR="005A28DC">
        <w:rPr>
          <w:rFonts w:ascii="Times New Roman" w:eastAsia="Times New Roman" w:hAnsi="Times New Roman" w:cs="Times New Roman"/>
          <w:kern w:val="0"/>
          <w:lang w:eastAsia="en-GB"/>
          <w14:ligatures w14:val="none"/>
        </w:rPr>
        <w:t>by</w:t>
      </w:r>
      <w:r w:rsidR="005A28DC" w:rsidRPr="00037557">
        <w:rPr>
          <w:rFonts w:ascii="Times New Roman" w:eastAsia="Times New Roman" w:hAnsi="Times New Roman" w:cs="Times New Roman"/>
          <w:kern w:val="0"/>
          <w:lang w:eastAsia="en-GB"/>
          <w14:ligatures w14:val="none"/>
        </w:rPr>
        <w:t xml:space="preserve"> </w:t>
      </w:r>
      <w:r w:rsidRPr="00037557">
        <w:rPr>
          <w:rFonts w:ascii="Times New Roman" w:eastAsia="Times New Roman" w:hAnsi="Times New Roman" w:cs="Times New Roman"/>
          <w:kern w:val="0"/>
          <w:lang w:eastAsia="en-GB"/>
          <w14:ligatures w14:val="none"/>
        </w:rPr>
        <w:t>the use of</w:t>
      </w:r>
      <w:proofErr w:type="gramEnd"/>
      <w:r w:rsidRPr="00037557">
        <w:rPr>
          <w:rFonts w:ascii="Times New Roman" w:eastAsia="Times New Roman" w:hAnsi="Times New Roman" w:cs="Times New Roman"/>
          <w:kern w:val="0"/>
          <w:lang w:eastAsia="en-GB"/>
          <w14:ligatures w14:val="none"/>
        </w:rPr>
        <w:t xml:space="preserve"> private credit ratings. Rather, they reflect broader characteristics of private markets and </w:t>
      </w:r>
      <w:proofErr w:type="spellStart"/>
      <w:r w:rsidRPr="00037557">
        <w:rPr>
          <w:rFonts w:ascii="Times New Roman" w:eastAsia="Times New Roman" w:hAnsi="Times New Roman" w:cs="Times New Roman"/>
          <w:kern w:val="0"/>
          <w:lang w:eastAsia="en-GB"/>
          <w14:ligatures w14:val="none"/>
        </w:rPr>
        <w:t>non</w:t>
      </w:r>
      <w:r w:rsidRPr="00037557">
        <w:rPr>
          <w:rFonts w:ascii="Times New Roman" w:eastAsia="Times New Roman" w:hAnsi="Times New Roman" w:cs="Times New Roman"/>
          <w:kern w:val="0"/>
          <w:lang w:val="en-US" w:eastAsia="en-GB"/>
          <w14:ligatures w14:val="none"/>
        </w:rPr>
        <w:noBreakHyphen/>
      </w:r>
      <w:r w:rsidRPr="00037557">
        <w:rPr>
          <w:rFonts w:ascii="Times New Roman" w:eastAsia="Times New Roman" w:hAnsi="Times New Roman" w:cs="Times New Roman"/>
          <w:kern w:val="0"/>
          <w:lang w:eastAsia="en-GB"/>
          <w14:ligatures w14:val="none"/>
        </w:rPr>
        <w:t>public</w:t>
      </w:r>
      <w:proofErr w:type="spellEnd"/>
      <w:r w:rsidRPr="00037557">
        <w:rPr>
          <w:rFonts w:ascii="Times New Roman" w:eastAsia="Times New Roman" w:hAnsi="Times New Roman" w:cs="Times New Roman"/>
          <w:kern w:val="0"/>
          <w:lang w:eastAsia="en-GB"/>
          <w14:ligatures w14:val="none"/>
        </w:rPr>
        <w:t xml:space="preserve"> transactions. Private credit ratings do not create or amplify these characteristics and should be assessed </w:t>
      </w:r>
      <w:proofErr w:type="gramStart"/>
      <w:r w:rsidRPr="00037557">
        <w:rPr>
          <w:rFonts w:ascii="Times New Roman" w:eastAsia="Times New Roman" w:hAnsi="Times New Roman" w:cs="Times New Roman"/>
          <w:kern w:val="0"/>
          <w:lang w:eastAsia="en-GB"/>
          <w14:ligatures w14:val="none"/>
        </w:rPr>
        <w:t>in light of</w:t>
      </w:r>
      <w:proofErr w:type="gramEnd"/>
      <w:r w:rsidRPr="00037557">
        <w:rPr>
          <w:rFonts w:ascii="Times New Roman" w:eastAsia="Times New Roman" w:hAnsi="Times New Roman" w:cs="Times New Roman"/>
          <w:kern w:val="0"/>
          <w:lang w:eastAsia="en-GB"/>
          <w14:ligatures w14:val="none"/>
        </w:rPr>
        <w:t xml:space="preserve"> their intended, limited</w:t>
      </w:r>
      <w:r w:rsidRPr="00037557">
        <w:rPr>
          <w:rFonts w:ascii="Times New Roman" w:eastAsia="Times New Roman" w:hAnsi="Times New Roman" w:cs="Times New Roman"/>
          <w:kern w:val="0"/>
          <w:lang w:val="en-US" w:eastAsia="en-GB"/>
          <w14:ligatures w14:val="none"/>
        </w:rPr>
        <w:noBreakHyphen/>
      </w:r>
      <w:r w:rsidRPr="00037557">
        <w:rPr>
          <w:rFonts w:ascii="Times New Roman" w:eastAsia="Times New Roman" w:hAnsi="Times New Roman" w:cs="Times New Roman"/>
          <w:kern w:val="0"/>
          <w:lang w:eastAsia="en-GB"/>
          <w14:ligatures w14:val="none"/>
        </w:rPr>
        <w:t>audience role.</w:t>
      </w:r>
    </w:p>
    <w:p w14:paraId="0E0F8530" w14:textId="77777777" w:rsidR="00037557" w:rsidRDefault="00037557" w:rsidP="001013E7">
      <w:pPr>
        <w:spacing w:after="0" w:line="240" w:lineRule="auto"/>
        <w:ind w:left="432"/>
        <w:rPr>
          <w:rFonts w:ascii="Times New Roman" w:eastAsia="Times New Roman" w:hAnsi="Times New Roman" w:cs="Times New Roman"/>
          <w:kern w:val="0"/>
          <w:lang w:eastAsia="en-GB"/>
          <w14:ligatures w14:val="none"/>
        </w:rPr>
      </w:pPr>
    </w:p>
    <w:p w14:paraId="53AE13ED" w14:textId="5F16F05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1E33E45B"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049BA1FF" w14:textId="0FCFB5C6" w:rsidR="0028075F"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lastRenderedPageBreak/>
        <w:t>Q.</w:t>
      </w:r>
      <w:r w:rsidR="001013E7">
        <w:rPr>
          <w:rFonts w:ascii="Arial" w:eastAsia="MS PGothic" w:hAnsi="Arial" w:cs="Arial"/>
          <w:b/>
          <w:bCs/>
          <w:color w:val="181818"/>
          <w:kern w:val="0"/>
          <w:sz w:val="22"/>
          <w:szCs w:val="20"/>
          <w14:ligatures w14:val="none"/>
        </w:rPr>
        <w:t>1</w:t>
      </w:r>
      <w:r w:rsidR="002C79EF">
        <w:rPr>
          <w:rFonts w:ascii="Arial" w:eastAsia="MS PGothic" w:hAnsi="Arial" w:cs="Arial"/>
          <w:b/>
          <w:bCs/>
          <w:color w:val="181818"/>
          <w:kern w:val="0"/>
          <w:sz w:val="22"/>
          <w:szCs w:val="20"/>
          <w14:ligatures w14:val="none"/>
        </w:rPr>
        <w:t>2</w:t>
      </w:r>
      <w:r w:rsidRPr="007243AE">
        <w:rPr>
          <w:rFonts w:ascii="Arial" w:eastAsia="MS PGothic" w:hAnsi="Arial" w:cs="Arial"/>
          <w:color w:val="181818"/>
          <w:kern w:val="0"/>
          <w:sz w:val="22"/>
          <w:szCs w:val="20"/>
          <w14:ligatures w14:val="none"/>
        </w:rPr>
        <w:t xml:space="preserve"> To what extent</w:t>
      </w:r>
      <w:r w:rsidR="0028075F" w:rsidRPr="0028075F">
        <w:rPr>
          <w:rFonts w:ascii="Arial" w:eastAsia="MS PGothic" w:hAnsi="Arial" w:cs="Arial"/>
          <w:color w:val="181818"/>
          <w:kern w:val="0"/>
          <w:sz w:val="22"/>
          <w:szCs w:val="20"/>
          <w14:ligatures w14:val="none"/>
        </w:rPr>
        <w:t>, if any, do private credit ratings differ from publicly disseminated regulated ratings in terms of governance, independence, conflicts of interest, internal controls, and application methodologies; and what risks, if any, arise from such differences? Please provide examples where possible.</w:t>
      </w:r>
    </w:p>
    <w:p w14:paraId="4BAAD45E"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3E0817C9" w14:textId="77777777" w:rsidR="00E92CCA" w:rsidRDefault="00E92CCA" w:rsidP="0028075F">
      <w:pPr>
        <w:spacing w:after="0" w:line="240" w:lineRule="auto"/>
        <w:ind w:left="432"/>
        <w:rPr>
          <w:rFonts w:ascii="Times New Roman" w:eastAsia="Times New Roman" w:hAnsi="Times New Roman" w:cs="Times New Roman"/>
          <w:kern w:val="0"/>
          <w:lang w:eastAsia="en-GB"/>
          <w14:ligatures w14:val="none"/>
        </w:rPr>
      </w:pPr>
    </w:p>
    <w:p w14:paraId="5CE5089A" w14:textId="77777777" w:rsidR="00E92CCA" w:rsidRDefault="00E92CCA" w:rsidP="00E92CCA">
      <w:pPr>
        <w:spacing w:after="0" w:line="240" w:lineRule="auto"/>
        <w:ind w:left="432"/>
        <w:rPr>
          <w:rFonts w:ascii="Times New Roman" w:eastAsia="Times New Roman" w:hAnsi="Times New Roman" w:cs="Times New Roman"/>
          <w:kern w:val="0"/>
          <w:lang w:eastAsia="en-GB"/>
          <w14:ligatures w14:val="none"/>
        </w:rPr>
      </w:pPr>
      <w:r w:rsidRPr="00E92CCA">
        <w:rPr>
          <w:rFonts w:ascii="Times New Roman" w:eastAsia="Times New Roman" w:hAnsi="Times New Roman" w:cs="Times New Roman"/>
          <w:kern w:val="0"/>
          <w:lang w:eastAsia="en-GB"/>
          <w14:ligatures w14:val="none"/>
        </w:rPr>
        <w:t>MR applies the same core analytical standards, methodologies, governance arrangements, and internal control frameworks to private credit ratings as it does to publicly disseminated regulated credit ratings and ISCRs regarding governance, independence, and conflicts of interest, internal controls and analytical processes and application of methodologies.</w:t>
      </w:r>
    </w:p>
    <w:p w14:paraId="3E795705" w14:textId="77777777" w:rsidR="008D647D" w:rsidRPr="00E92CCA" w:rsidRDefault="008D647D" w:rsidP="00E92CCA">
      <w:pPr>
        <w:spacing w:after="0" w:line="240" w:lineRule="auto"/>
        <w:ind w:left="432"/>
        <w:rPr>
          <w:rFonts w:ascii="Times New Roman" w:eastAsia="Times New Roman" w:hAnsi="Times New Roman" w:cs="Times New Roman"/>
          <w:kern w:val="0"/>
          <w:lang w:eastAsia="en-GB"/>
          <w14:ligatures w14:val="none"/>
        </w:rPr>
      </w:pPr>
    </w:p>
    <w:p w14:paraId="5987E72B" w14:textId="79EDE0A5" w:rsidR="00E92CCA" w:rsidRPr="00E92CCA" w:rsidRDefault="00210319" w:rsidP="00E92CCA">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u w:val="single"/>
          <w:lang w:eastAsia="en-GB"/>
          <w14:ligatures w14:val="none"/>
        </w:rPr>
        <w:t>Examples of r</w:t>
      </w:r>
      <w:r w:rsidR="00E92CCA" w:rsidRPr="00E92CCA">
        <w:rPr>
          <w:rFonts w:ascii="Times New Roman" w:eastAsia="Times New Roman" w:hAnsi="Times New Roman" w:cs="Times New Roman"/>
          <w:kern w:val="0"/>
          <w:u w:val="single"/>
          <w:lang w:eastAsia="en-GB"/>
          <w14:ligatures w14:val="none"/>
        </w:rPr>
        <w:t>isks arising from these differences</w:t>
      </w:r>
    </w:p>
    <w:p w14:paraId="4DBC33B0" w14:textId="0C9AC2AC" w:rsidR="00E92CCA" w:rsidRPr="00E92CCA" w:rsidRDefault="00E92CCA" w:rsidP="00E92CCA">
      <w:pPr>
        <w:spacing w:after="0" w:line="240" w:lineRule="auto"/>
        <w:ind w:left="432"/>
        <w:rPr>
          <w:rFonts w:ascii="Times New Roman" w:eastAsia="Times New Roman" w:hAnsi="Times New Roman" w:cs="Times New Roman"/>
          <w:kern w:val="0"/>
          <w:lang w:eastAsia="en-GB"/>
          <w14:ligatures w14:val="none"/>
        </w:rPr>
      </w:pPr>
      <w:r w:rsidRPr="00E92CCA">
        <w:rPr>
          <w:rFonts w:ascii="Times New Roman" w:eastAsia="Times New Roman" w:hAnsi="Times New Roman" w:cs="Times New Roman"/>
          <w:kern w:val="0"/>
          <w:lang w:eastAsia="en-GB"/>
          <w14:ligatures w14:val="none"/>
        </w:rPr>
        <w:t>By their nature, private credit ratings cannot provide market-wide transparency or a common measure of relative risk across the broader “private credit” segment, in the way that publicly disseminated credit ratings do. This characteristic may limit comparability across transactions from investors’ perspective. However, it reflects the needs of private markets and does not constitute a deficiency in the rating process.</w:t>
      </w:r>
      <w:r w:rsidR="000F4384">
        <w:rPr>
          <w:rFonts w:ascii="Times New Roman" w:eastAsia="Times New Roman" w:hAnsi="Times New Roman" w:cs="Times New Roman"/>
          <w:kern w:val="0"/>
          <w:lang w:eastAsia="en-GB"/>
          <w14:ligatures w14:val="none"/>
        </w:rPr>
        <w:t xml:space="preserve"> We believe that the market is served well </w:t>
      </w:r>
      <w:r w:rsidR="004B7DF9">
        <w:rPr>
          <w:rFonts w:ascii="Times New Roman" w:eastAsia="Times New Roman" w:hAnsi="Times New Roman" w:cs="Times New Roman"/>
          <w:kern w:val="0"/>
          <w:lang w:eastAsia="en-GB"/>
          <w14:ligatures w14:val="none"/>
        </w:rPr>
        <w:t xml:space="preserve">where CRAs </w:t>
      </w:r>
      <w:r w:rsidR="00180F29">
        <w:rPr>
          <w:rFonts w:ascii="Times New Roman" w:eastAsia="Times New Roman" w:hAnsi="Times New Roman" w:cs="Times New Roman"/>
          <w:kern w:val="0"/>
          <w:lang w:eastAsia="en-GB"/>
          <w14:ligatures w14:val="none"/>
        </w:rPr>
        <w:t xml:space="preserve">operate high standards that are consistent across </w:t>
      </w:r>
      <w:r w:rsidR="002D4833">
        <w:rPr>
          <w:rFonts w:ascii="Times New Roman" w:eastAsia="Times New Roman" w:hAnsi="Times New Roman" w:cs="Times New Roman"/>
          <w:kern w:val="0"/>
          <w:lang w:eastAsia="en-GB"/>
          <w14:ligatures w14:val="none"/>
        </w:rPr>
        <w:t xml:space="preserve">all types of credit ratings, including private ratings. </w:t>
      </w:r>
    </w:p>
    <w:p w14:paraId="1D325728" w14:textId="77777777" w:rsidR="00E92CCA" w:rsidRDefault="00E92CCA" w:rsidP="0028075F">
      <w:pPr>
        <w:spacing w:after="0" w:line="240" w:lineRule="auto"/>
        <w:ind w:left="432"/>
        <w:rPr>
          <w:rFonts w:ascii="Times New Roman" w:eastAsia="Times New Roman" w:hAnsi="Times New Roman" w:cs="Times New Roman"/>
          <w:kern w:val="0"/>
          <w:lang w:eastAsia="en-GB"/>
          <w14:ligatures w14:val="none"/>
        </w:rPr>
      </w:pPr>
    </w:p>
    <w:p w14:paraId="2764BF39" w14:textId="6BA7BE09"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2E74740B" w14:textId="77777777" w:rsidR="0028075F" w:rsidRDefault="0028075F" w:rsidP="007243AE">
      <w:pPr>
        <w:spacing w:after="250" w:line="276" w:lineRule="auto"/>
        <w:ind w:left="432"/>
        <w:jc w:val="both"/>
        <w:rPr>
          <w:rFonts w:ascii="Arial" w:eastAsia="MS PGothic" w:hAnsi="Arial" w:cs="Arial"/>
          <w:color w:val="181818"/>
          <w:kern w:val="0"/>
          <w:sz w:val="22"/>
          <w:szCs w:val="20"/>
          <w14:ligatures w14:val="none"/>
        </w:rPr>
      </w:pPr>
    </w:p>
    <w:p w14:paraId="7108B977" w14:textId="44FC0354" w:rsidR="007243AE" w:rsidRDefault="0028075F" w:rsidP="007243AE">
      <w:pPr>
        <w:spacing w:after="250" w:line="276" w:lineRule="auto"/>
        <w:ind w:left="432"/>
        <w:jc w:val="both"/>
        <w:rPr>
          <w:rFonts w:ascii="Arial" w:eastAsia="MS PGothic" w:hAnsi="Arial" w:cs="Arial"/>
          <w:color w:val="181818"/>
          <w:kern w:val="0"/>
          <w:sz w:val="22"/>
          <w:szCs w:val="20"/>
          <w14:ligatures w14:val="none"/>
        </w:rPr>
      </w:pPr>
      <w:r w:rsidRPr="0028075F">
        <w:rPr>
          <w:rFonts w:ascii="Arial" w:eastAsia="MS PGothic" w:hAnsi="Arial" w:cs="Arial"/>
          <w:b/>
          <w:bCs/>
          <w:color w:val="181818"/>
          <w:kern w:val="0"/>
          <w:sz w:val="22"/>
          <w:szCs w:val="20"/>
          <w14:ligatures w14:val="none"/>
        </w:rPr>
        <w:t>Q.13</w:t>
      </w:r>
      <w:r w:rsidRPr="0028075F">
        <w:rPr>
          <w:rFonts w:ascii="Arial" w:eastAsia="MS PGothic" w:hAnsi="Arial" w:cs="Arial"/>
          <w:color w:val="181818"/>
          <w:kern w:val="0"/>
          <w:sz w:val="22"/>
          <w:szCs w:val="20"/>
          <w14:ligatures w14:val="none"/>
        </w:rPr>
        <w:t xml:space="preserve"> </w:t>
      </w:r>
      <w:r w:rsidR="007243AE" w:rsidRPr="007243AE">
        <w:rPr>
          <w:rFonts w:ascii="Arial" w:eastAsia="MS PGothic" w:hAnsi="Arial" w:cs="Arial"/>
          <w:color w:val="181818"/>
          <w:kern w:val="0"/>
          <w:sz w:val="22"/>
          <w:szCs w:val="20"/>
          <w14:ligatures w14:val="none"/>
        </w:rPr>
        <w:t>To what extent do current disclosure practices and market practices around private credit ratings adequately support market transparency and investor protection? If relevant, please indicate areas where improvements may be warranted.</w:t>
      </w:r>
    </w:p>
    <w:p w14:paraId="74039A15" w14:textId="53A496E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047F6BCE" w14:textId="77777777" w:rsidR="009A6C45" w:rsidRDefault="009A6C45" w:rsidP="001013E7">
      <w:pPr>
        <w:spacing w:after="0" w:line="240" w:lineRule="auto"/>
        <w:ind w:left="432"/>
        <w:rPr>
          <w:rFonts w:ascii="Times New Roman" w:eastAsia="Times New Roman" w:hAnsi="Times New Roman" w:cs="Times New Roman"/>
          <w:kern w:val="0"/>
          <w:lang w:eastAsia="en-GB"/>
          <w14:ligatures w14:val="none"/>
        </w:rPr>
      </w:pPr>
    </w:p>
    <w:p w14:paraId="1ACBDEB1" w14:textId="0C0778BE" w:rsidR="009A6C45" w:rsidRPr="009A6C45" w:rsidRDefault="00A2365D" w:rsidP="00A2365D">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As </w:t>
      </w:r>
      <w:r w:rsidR="006F4BB2">
        <w:rPr>
          <w:rFonts w:ascii="Times New Roman" w:eastAsia="Times New Roman" w:hAnsi="Times New Roman" w:cs="Times New Roman"/>
          <w:kern w:val="0"/>
          <w:lang w:eastAsia="en-GB"/>
          <w14:ligatures w14:val="none"/>
        </w:rPr>
        <w:t>set out</w:t>
      </w:r>
      <w:r>
        <w:rPr>
          <w:rFonts w:ascii="Times New Roman" w:eastAsia="Times New Roman" w:hAnsi="Times New Roman" w:cs="Times New Roman"/>
          <w:kern w:val="0"/>
          <w:lang w:eastAsia="en-GB"/>
          <w14:ligatures w14:val="none"/>
        </w:rPr>
        <w:t xml:space="preserve"> under Q9, </w:t>
      </w:r>
      <w:r w:rsidR="009A6C45" w:rsidRPr="009A6C45">
        <w:rPr>
          <w:rFonts w:ascii="Times New Roman" w:eastAsia="Times New Roman" w:hAnsi="Times New Roman" w:cs="Times New Roman"/>
          <w:kern w:val="0"/>
          <w:lang w:eastAsia="en-GB"/>
          <w14:ligatures w14:val="none"/>
        </w:rPr>
        <w:t>MR provides private credit ratings to issuers</w:t>
      </w:r>
      <w:r>
        <w:rPr>
          <w:rFonts w:ascii="Times New Roman" w:eastAsia="Times New Roman" w:hAnsi="Times New Roman" w:cs="Times New Roman"/>
          <w:kern w:val="0"/>
          <w:lang w:eastAsia="en-GB"/>
          <w14:ligatures w14:val="none"/>
        </w:rPr>
        <w:t xml:space="preserve"> in </w:t>
      </w:r>
      <w:proofErr w:type="gramStart"/>
      <w:r>
        <w:rPr>
          <w:rFonts w:ascii="Times New Roman" w:eastAsia="Times New Roman" w:hAnsi="Times New Roman" w:cs="Times New Roman"/>
          <w:kern w:val="0"/>
          <w:lang w:eastAsia="en-GB"/>
          <w14:ligatures w14:val="none"/>
        </w:rPr>
        <w:t>a number of</w:t>
      </w:r>
      <w:proofErr w:type="gramEnd"/>
      <w:r>
        <w:rPr>
          <w:rFonts w:ascii="Times New Roman" w:eastAsia="Times New Roman" w:hAnsi="Times New Roman" w:cs="Times New Roman"/>
          <w:kern w:val="0"/>
          <w:lang w:eastAsia="en-GB"/>
          <w14:ligatures w14:val="none"/>
        </w:rPr>
        <w:t xml:space="preserve"> use cases and would no</w:t>
      </w:r>
      <w:r w:rsidR="006F4BB2">
        <w:rPr>
          <w:rFonts w:ascii="Times New Roman" w:eastAsia="Times New Roman" w:hAnsi="Times New Roman" w:cs="Times New Roman"/>
          <w:kern w:val="0"/>
          <w:lang w:eastAsia="en-GB"/>
          <w14:ligatures w14:val="none"/>
        </w:rPr>
        <w:t>w like to focus more specifically on</w:t>
      </w:r>
      <w:r w:rsidR="009A6C45" w:rsidRPr="009A6C45">
        <w:rPr>
          <w:rFonts w:ascii="Times New Roman" w:eastAsia="Times New Roman" w:hAnsi="Times New Roman" w:cs="Times New Roman"/>
          <w:kern w:val="0"/>
          <w:lang w:eastAsia="en-GB"/>
          <w14:ligatures w14:val="none"/>
        </w:rPr>
        <w:t xml:space="preserve"> two key market use cases in the EU: the broadly syndicated loan market and the private placement market.</w:t>
      </w:r>
    </w:p>
    <w:p w14:paraId="1A2ADB95" w14:textId="61AD1C0D" w:rsidR="009A6C45" w:rsidRPr="009A6C45" w:rsidRDefault="009A6C45" w:rsidP="009A6C45">
      <w:pPr>
        <w:spacing w:after="0" w:line="240" w:lineRule="auto"/>
        <w:ind w:left="432"/>
        <w:rPr>
          <w:rFonts w:ascii="Times New Roman" w:eastAsia="Times New Roman" w:hAnsi="Times New Roman" w:cs="Times New Roman"/>
          <w:kern w:val="0"/>
          <w:lang w:eastAsia="en-GB"/>
          <w14:ligatures w14:val="none"/>
        </w:rPr>
      </w:pPr>
      <w:r w:rsidRPr="009A6C45">
        <w:rPr>
          <w:rFonts w:ascii="Times New Roman" w:eastAsia="Times New Roman" w:hAnsi="Times New Roman" w:cs="Times New Roman"/>
          <w:kern w:val="0"/>
          <w:lang w:eastAsia="en-GB"/>
          <w14:ligatures w14:val="none"/>
        </w:rPr>
        <w:t xml:space="preserve">However, since the 2022 Guidelines on the Scope of the CRA Regulation (ESMA80-196-6345, adopted on 28 October 2022) were introduced, MR has not assigned a single private credit rating to a broadly syndicated loan transaction in the EU. We think it is because, as formulated, the guideline is unduly restrictive and has inhibited the development of the EU’s syndicated loan market. Issuers who would previously have sought placement with a syndicated loan now face the choice between requesting a public credit rating or executing the loan transaction in the bilateral, direct lending and private credit markets where credit ratings are not routinely obtained or required. In practice, the latter appears to be the most common choice for </w:t>
      </w:r>
      <w:proofErr w:type="gramStart"/>
      <w:r w:rsidRPr="009A6C45">
        <w:rPr>
          <w:rFonts w:ascii="Times New Roman" w:eastAsia="Times New Roman" w:hAnsi="Times New Roman" w:cs="Times New Roman"/>
          <w:kern w:val="0"/>
          <w:lang w:eastAsia="en-GB"/>
          <w14:ligatures w14:val="none"/>
        </w:rPr>
        <w:t>issuers</w:t>
      </w:r>
      <w:proofErr w:type="gramEnd"/>
      <w:r w:rsidRPr="009A6C45">
        <w:rPr>
          <w:rFonts w:ascii="Times New Roman" w:eastAsia="Times New Roman" w:hAnsi="Times New Roman" w:cs="Times New Roman"/>
          <w:kern w:val="0"/>
          <w:lang w:eastAsia="en-GB"/>
          <w14:ligatures w14:val="none"/>
        </w:rPr>
        <w:t xml:space="preserve"> and we have observed an increasing transaction count and increasing issuance volume going through the bilateral, direct lending and private credit markets. </w:t>
      </w:r>
    </w:p>
    <w:p w14:paraId="7936AE34" w14:textId="77777777" w:rsidR="009A6C45" w:rsidRPr="009A6C45" w:rsidRDefault="009A6C45" w:rsidP="009A6C45">
      <w:pPr>
        <w:spacing w:after="0" w:line="240" w:lineRule="auto"/>
        <w:ind w:left="432"/>
        <w:rPr>
          <w:rFonts w:ascii="Times New Roman" w:eastAsia="Times New Roman" w:hAnsi="Times New Roman" w:cs="Times New Roman"/>
          <w:kern w:val="0"/>
          <w:lang w:eastAsia="en-GB"/>
          <w14:ligatures w14:val="none"/>
        </w:rPr>
      </w:pPr>
    </w:p>
    <w:p w14:paraId="41C6013E" w14:textId="77777777" w:rsidR="009A6C45" w:rsidRPr="009A6C45" w:rsidRDefault="009A6C45" w:rsidP="009A6C45">
      <w:pPr>
        <w:spacing w:after="0" w:line="240" w:lineRule="auto"/>
        <w:ind w:left="432"/>
        <w:rPr>
          <w:rFonts w:ascii="Times New Roman" w:eastAsia="Times New Roman" w:hAnsi="Times New Roman" w:cs="Times New Roman"/>
          <w:kern w:val="0"/>
          <w:lang w:eastAsia="en-GB"/>
          <w14:ligatures w14:val="none"/>
        </w:rPr>
      </w:pPr>
      <w:r w:rsidRPr="009A6C45">
        <w:rPr>
          <w:rFonts w:ascii="Times New Roman" w:eastAsia="Times New Roman" w:hAnsi="Times New Roman" w:cs="Times New Roman"/>
          <w:kern w:val="0"/>
          <w:lang w:eastAsia="en-GB"/>
          <w14:ligatures w14:val="none"/>
        </w:rPr>
        <w:t xml:space="preserve">For the benefit of market efficiency, diversity and transparency, we suggest that: </w:t>
      </w:r>
    </w:p>
    <w:p w14:paraId="642A8734" w14:textId="2D386AE4" w:rsidR="009A6C45" w:rsidRPr="009A6C45" w:rsidRDefault="009A6C45" w:rsidP="009A6C45">
      <w:pPr>
        <w:numPr>
          <w:ilvl w:val="0"/>
          <w:numId w:val="9"/>
        </w:numPr>
        <w:spacing w:after="0" w:line="240" w:lineRule="auto"/>
        <w:rPr>
          <w:rFonts w:ascii="Times New Roman" w:eastAsia="Times New Roman" w:hAnsi="Times New Roman" w:cs="Times New Roman"/>
          <w:kern w:val="0"/>
          <w:lang w:eastAsia="en-GB"/>
          <w14:ligatures w14:val="none"/>
        </w:rPr>
      </w:pPr>
      <w:r w:rsidRPr="009A6C45">
        <w:rPr>
          <w:rFonts w:ascii="Times New Roman" w:eastAsia="Times New Roman" w:hAnsi="Times New Roman" w:cs="Times New Roman"/>
          <w:kern w:val="0"/>
          <w:lang w:eastAsia="en-GB"/>
          <w14:ligatures w14:val="none"/>
        </w:rPr>
        <w:t>ESMA reconsider</w:t>
      </w:r>
      <w:r w:rsidR="00D850B3">
        <w:rPr>
          <w:rFonts w:ascii="Times New Roman" w:eastAsia="Times New Roman" w:hAnsi="Times New Roman" w:cs="Times New Roman"/>
          <w:kern w:val="0"/>
          <w:lang w:eastAsia="en-GB"/>
          <w14:ligatures w14:val="none"/>
        </w:rPr>
        <w:t>s</w:t>
      </w:r>
      <w:r w:rsidRPr="009A6C45">
        <w:rPr>
          <w:rFonts w:ascii="Times New Roman" w:eastAsia="Times New Roman" w:hAnsi="Times New Roman" w:cs="Times New Roman"/>
          <w:kern w:val="0"/>
          <w:lang w:eastAsia="en-GB"/>
          <w14:ligatures w14:val="none"/>
        </w:rPr>
        <w:t xml:space="preserve"> its guidance on the 150</w:t>
      </w:r>
      <w:r w:rsidRPr="009A6C45">
        <w:rPr>
          <w:rFonts w:ascii="Times New Roman" w:eastAsia="Times New Roman" w:hAnsi="Times New Roman" w:cs="Times New Roman"/>
          <w:kern w:val="0"/>
          <w:lang w:val="en-US" w:eastAsia="en-GB"/>
          <w14:ligatures w14:val="none"/>
        </w:rPr>
        <w:noBreakHyphen/>
      </w:r>
      <w:r w:rsidRPr="009A6C45">
        <w:rPr>
          <w:rFonts w:ascii="Times New Roman" w:eastAsia="Times New Roman" w:hAnsi="Times New Roman" w:cs="Times New Roman"/>
          <w:kern w:val="0"/>
          <w:lang w:eastAsia="en-GB"/>
          <w14:ligatures w14:val="none"/>
        </w:rPr>
        <w:t xml:space="preserve">person limit to apply </w:t>
      </w:r>
      <w:r w:rsidR="0057133E">
        <w:rPr>
          <w:rFonts w:ascii="Times New Roman" w:eastAsia="Times New Roman" w:hAnsi="Times New Roman" w:cs="Times New Roman"/>
          <w:kern w:val="0"/>
          <w:lang w:eastAsia="en-GB"/>
          <w14:ligatures w14:val="none"/>
        </w:rPr>
        <w:t xml:space="preserve">this </w:t>
      </w:r>
      <w:r w:rsidR="00FC6DFC">
        <w:rPr>
          <w:rFonts w:ascii="Times New Roman" w:eastAsia="Times New Roman" w:hAnsi="Times New Roman" w:cs="Times New Roman"/>
          <w:kern w:val="0"/>
          <w:lang w:eastAsia="en-GB"/>
          <w14:ligatures w14:val="none"/>
        </w:rPr>
        <w:t>as a</w:t>
      </w:r>
      <w:r w:rsidRPr="009A6C45">
        <w:rPr>
          <w:rFonts w:ascii="Times New Roman" w:eastAsia="Times New Roman" w:hAnsi="Times New Roman" w:cs="Times New Roman"/>
          <w:kern w:val="0"/>
          <w:lang w:eastAsia="en-GB"/>
          <w14:ligatures w14:val="none"/>
        </w:rPr>
        <w:t xml:space="preserve"> </w:t>
      </w:r>
      <w:r w:rsidR="0057133E">
        <w:rPr>
          <w:rFonts w:ascii="Times New Roman" w:eastAsia="Times New Roman" w:hAnsi="Times New Roman" w:cs="Times New Roman"/>
          <w:kern w:val="0"/>
          <w:lang w:eastAsia="en-GB"/>
          <w14:ligatures w14:val="none"/>
        </w:rPr>
        <w:t>“</w:t>
      </w:r>
      <w:r w:rsidRPr="009A6C45">
        <w:rPr>
          <w:rFonts w:ascii="Times New Roman" w:eastAsia="Times New Roman" w:hAnsi="Times New Roman" w:cs="Times New Roman"/>
          <w:kern w:val="0"/>
          <w:lang w:eastAsia="en-GB"/>
          <w14:ligatures w14:val="none"/>
        </w:rPr>
        <w:t>150</w:t>
      </w:r>
      <w:r w:rsidR="00FC6DFC">
        <w:rPr>
          <w:rFonts w:ascii="Times New Roman" w:eastAsia="Times New Roman" w:hAnsi="Times New Roman" w:cs="Times New Roman"/>
          <w:kern w:val="0"/>
          <w:lang w:eastAsia="en-GB"/>
          <w14:ligatures w14:val="none"/>
        </w:rPr>
        <w:t xml:space="preserve"> legal</w:t>
      </w:r>
      <w:r w:rsidR="00FC6DFC">
        <w:rPr>
          <w:rFonts w:ascii="Times New Roman" w:eastAsia="Times New Roman" w:hAnsi="Times New Roman" w:cs="Times New Roman"/>
          <w:kern w:val="0"/>
          <w:lang w:val="en-US" w:eastAsia="en-GB"/>
          <w14:ligatures w14:val="none"/>
        </w:rPr>
        <w:t xml:space="preserve"> </w:t>
      </w:r>
      <w:r w:rsidRPr="009A6C45">
        <w:rPr>
          <w:rFonts w:ascii="Times New Roman" w:eastAsia="Times New Roman" w:hAnsi="Times New Roman" w:cs="Times New Roman"/>
          <w:kern w:val="0"/>
          <w:lang w:eastAsia="en-GB"/>
          <w14:ligatures w14:val="none"/>
        </w:rPr>
        <w:t>person</w:t>
      </w:r>
      <w:r w:rsidR="0057133E">
        <w:rPr>
          <w:rFonts w:ascii="Times New Roman" w:eastAsia="Times New Roman" w:hAnsi="Times New Roman" w:cs="Times New Roman"/>
          <w:kern w:val="0"/>
          <w:lang w:eastAsia="en-GB"/>
          <w14:ligatures w14:val="none"/>
        </w:rPr>
        <w:t>”</w:t>
      </w:r>
      <w:r w:rsidRPr="009A6C45">
        <w:rPr>
          <w:rFonts w:ascii="Times New Roman" w:eastAsia="Times New Roman" w:hAnsi="Times New Roman" w:cs="Times New Roman"/>
          <w:kern w:val="0"/>
          <w:lang w:eastAsia="en-GB"/>
          <w14:ligatures w14:val="none"/>
        </w:rPr>
        <w:t xml:space="preserve"> </w:t>
      </w:r>
      <w:r w:rsidR="00FB520C">
        <w:rPr>
          <w:rFonts w:ascii="Times New Roman" w:eastAsia="Times New Roman" w:hAnsi="Times New Roman" w:cs="Times New Roman"/>
          <w:kern w:val="0"/>
          <w:lang w:eastAsia="en-GB"/>
          <w14:ligatures w14:val="none"/>
        </w:rPr>
        <w:t xml:space="preserve">only </w:t>
      </w:r>
      <w:r w:rsidR="00D63054" w:rsidRPr="009A6C45">
        <w:rPr>
          <w:rFonts w:ascii="Times New Roman" w:eastAsia="Times New Roman" w:hAnsi="Times New Roman" w:cs="Times New Roman"/>
          <w:kern w:val="0"/>
          <w:lang w:eastAsia="en-GB"/>
          <w14:ligatures w14:val="none"/>
        </w:rPr>
        <w:t>limit:</w:t>
      </w:r>
    </w:p>
    <w:p w14:paraId="3450BE90" w14:textId="1A0BEB02" w:rsidR="002835B4" w:rsidRPr="002835B4" w:rsidRDefault="00DB0B61" w:rsidP="00EF6E1C">
      <w:pPr>
        <w:numPr>
          <w:ilvl w:val="1"/>
          <w:numId w:val="9"/>
        </w:numPr>
        <w:spacing w:after="0" w:line="240" w:lineRule="auto"/>
        <w:rPr>
          <w:rFonts w:ascii="Times New Roman" w:eastAsia="Times New Roman" w:hAnsi="Times New Roman" w:cs="Times New Roman"/>
          <w:kern w:val="0"/>
          <w:lang w:eastAsia="en-GB"/>
          <w14:ligatures w14:val="none"/>
        </w:rPr>
      </w:pPr>
      <w:r w:rsidRPr="00DB0B61">
        <w:rPr>
          <w:rFonts w:ascii="Times New Roman" w:eastAsia="Times New Roman" w:hAnsi="Times New Roman" w:cs="Times New Roman"/>
          <w:kern w:val="0"/>
          <w:lang w:eastAsia="en-GB"/>
          <w14:ligatures w14:val="none"/>
        </w:rPr>
        <w:lastRenderedPageBreak/>
        <w:t>The rationale is that</w:t>
      </w:r>
      <w:r w:rsidR="00BF3A74">
        <w:rPr>
          <w:rFonts w:ascii="Times New Roman" w:eastAsia="Times New Roman" w:hAnsi="Times New Roman" w:cs="Times New Roman"/>
          <w:kern w:val="0"/>
          <w:lang w:eastAsia="en-GB"/>
          <w14:ligatures w14:val="none"/>
        </w:rPr>
        <w:t>,</w:t>
      </w:r>
      <w:r w:rsidRPr="00DB0B61">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while we understand why</w:t>
      </w:r>
      <w:r w:rsidR="002835B4" w:rsidRPr="002835B4">
        <w:rPr>
          <w:rFonts w:ascii="Times New Roman" w:eastAsia="Times New Roman" w:hAnsi="Times New Roman" w:cs="Times New Roman"/>
          <w:kern w:val="0"/>
          <w:lang w:eastAsia="en-GB"/>
          <w14:ligatures w14:val="none"/>
        </w:rPr>
        <w:t xml:space="preserve"> </w:t>
      </w:r>
      <w:r w:rsidR="00CE10AF">
        <w:rPr>
          <w:rFonts w:ascii="Times New Roman" w:eastAsia="Times New Roman" w:hAnsi="Times New Roman" w:cs="Times New Roman"/>
          <w:kern w:val="0"/>
          <w:lang w:eastAsia="en-GB"/>
          <w14:ligatures w14:val="none"/>
        </w:rPr>
        <w:t>ESMA wants to use the</w:t>
      </w:r>
      <w:r w:rsidR="002835B4" w:rsidRPr="002835B4">
        <w:rPr>
          <w:rFonts w:ascii="Times New Roman" w:eastAsia="Times New Roman" w:hAnsi="Times New Roman" w:cs="Times New Roman"/>
          <w:kern w:val="0"/>
          <w:lang w:eastAsia="en-GB"/>
          <w14:ligatures w14:val="none"/>
        </w:rPr>
        <w:t xml:space="preserve"> Prospectus Regulation for interpreting “a limited number of parties,” ESMA’s </w:t>
      </w:r>
      <w:r w:rsidR="00CE10AF">
        <w:rPr>
          <w:rFonts w:ascii="Times New Roman" w:eastAsia="Times New Roman" w:hAnsi="Times New Roman" w:cs="Times New Roman"/>
          <w:kern w:val="0"/>
          <w:lang w:eastAsia="en-GB"/>
          <w14:ligatures w14:val="none"/>
        </w:rPr>
        <w:t>current</w:t>
      </w:r>
      <w:r w:rsidR="002835B4" w:rsidRPr="002835B4">
        <w:rPr>
          <w:rFonts w:ascii="Times New Roman" w:eastAsia="Times New Roman" w:hAnsi="Times New Roman" w:cs="Times New Roman"/>
          <w:kern w:val="0"/>
          <w:lang w:eastAsia="en-GB"/>
          <w14:ligatures w14:val="none"/>
        </w:rPr>
        <w:t xml:space="preserve"> formulation </w:t>
      </w:r>
      <w:r w:rsidR="00CE10AF">
        <w:rPr>
          <w:rFonts w:ascii="Times New Roman" w:eastAsia="Times New Roman" w:hAnsi="Times New Roman" w:cs="Times New Roman"/>
          <w:kern w:val="0"/>
          <w:lang w:eastAsia="en-GB"/>
          <w14:ligatures w14:val="none"/>
        </w:rPr>
        <w:t xml:space="preserve">referring to </w:t>
      </w:r>
      <w:r w:rsidR="00CE10AF" w:rsidRPr="002835B4">
        <w:rPr>
          <w:rFonts w:ascii="Times New Roman" w:eastAsia="Times New Roman" w:hAnsi="Times New Roman" w:cs="Times New Roman"/>
          <w:kern w:val="0"/>
          <w:lang w:eastAsia="en-GB"/>
          <w14:ligatures w14:val="none"/>
        </w:rPr>
        <w:t>“150 natural or legal persons</w:t>
      </w:r>
      <w:r w:rsidR="00CE10AF">
        <w:rPr>
          <w:rFonts w:ascii="Times New Roman" w:eastAsia="Times New Roman" w:hAnsi="Times New Roman" w:cs="Times New Roman"/>
          <w:kern w:val="0"/>
          <w:lang w:eastAsia="en-GB"/>
          <w14:ligatures w14:val="none"/>
        </w:rPr>
        <w:t>” (rather than “1</w:t>
      </w:r>
      <w:r w:rsidR="002835B4" w:rsidRPr="002835B4">
        <w:rPr>
          <w:rFonts w:ascii="Times New Roman" w:eastAsia="Times New Roman" w:hAnsi="Times New Roman" w:cs="Times New Roman"/>
          <w:kern w:val="0"/>
          <w:lang w:eastAsia="en-GB"/>
          <w14:ligatures w14:val="none"/>
        </w:rPr>
        <w:t>50 legal persons</w:t>
      </w:r>
      <w:r w:rsidR="00CE10AF">
        <w:rPr>
          <w:rFonts w:ascii="Times New Roman" w:eastAsia="Times New Roman" w:hAnsi="Times New Roman" w:cs="Times New Roman"/>
          <w:kern w:val="0"/>
          <w:lang w:eastAsia="en-GB"/>
          <w14:ligatures w14:val="none"/>
        </w:rPr>
        <w:t xml:space="preserve">”) </w:t>
      </w:r>
      <w:r w:rsidR="002835B4" w:rsidRPr="002835B4">
        <w:rPr>
          <w:rFonts w:ascii="Times New Roman" w:eastAsia="Times New Roman" w:hAnsi="Times New Roman" w:cs="Times New Roman"/>
          <w:kern w:val="0"/>
          <w:lang w:eastAsia="en-GB"/>
          <w14:ligatures w14:val="none"/>
        </w:rPr>
        <w:t>capture</w:t>
      </w:r>
      <w:r w:rsidR="4A330709" w:rsidRPr="002835B4">
        <w:rPr>
          <w:rFonts w:ascii="Times New Roman" w:eastAsia="Times New Roman" w:hAnsi="Times New Roman" w:cs="Times New Roman"/>
          <w:kern w:val="0"/>
          <w:lang w:eastAsia="en-GB"/>
          <w14:ligatures w14:val="none"/>
        </w:rPr>
        <w:t>s</w:t>
      </w:r>
      <w:r w:rsidR="002835B4" w:rsidRPr="002835B4">
        <w:rPr>
          <w:rFonts w:ascii="Times New Roman" w:eastAsia="Times New Roman" w:hAnsi="Times New Roman" w:cs="Times New Roman"/>
          <w:kern w:val="0"/>
          <w:lang w:eastAsia="en-GB"/>
          <w14:ligatures w14:val="none"/>
        </w:rPr>
        <w:t xml:space="preserve"> multiple individuals within the same institution and create</w:t>
      </w:r>
      <w:r w:rsidR="63A41FEB" w:rsidRPr="002835B4">
        <w:rPr>
          <w:rFonts w:ascii="Times New Roman" w:eastAsia="Times New Roman" w:hAnsi="Times New Roman" w:cs="Times New Roman"/>
          <w:kern w:val="0"/>
          <w:lang w:eastAsia="en-GB"/>
          <w14:ligatures w14:val="none"/>
        </w:rPr>
        <w:t>s</w:t>
      </w:r>
      <w:r w:rsidR="002835B4" w:rsidRPr="002835B4">
        <w:rPr>
          <w:rFonts w:ascii="Times New Roman" w:eastAsia="Times New Roman" w:hAnsi="Times New Roman" w:cs="Times New Roman"/>
          <w:kern w:val="0"/>
          <w:lang w:eastAsia="en-GB"/>
          <w14:ligatures w14:val="none"/>
        </w:rPr>
        <w:t xml:space="preserve"> undue restriction.</w:t>
      </w:r>
    </w:p>
    <w:p w14:paraId="5EF3536C" w14:textId="18374799" w:rsidR="002835B4" w:rsidRDefault="00CE10AF" w:rsidP="00EF6E1C">
      <w:pPr>
        <w:numPr>
          <w:ilvl w:val="1"/>
          <w:numId w:val="9"/>
        </w:num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Indeed c</w:t>
      </w:r>
      <w:r w:rsidR="002835B4" w:rsidRPr="002835B4">
        <w:rPr>
          <w:rFonts w:ascii="Times New Roman" w:eastAsia="Times New Roman" w:hAnsi="Times New Roman" w:cs="Times New Roman"/>
          <w:kern w:val="0"/>
          <w:lang w:eastAsia="en-GB"/>
          <w14:ligatures w14:val="none"/>
        </w:rPr>
        <w:t xml:space="preserve">ounting dissemination </w:t>
      </w:r>
      <w:r>
        <w:rPr>
          <w:rFonts w:ascii="Times New Roman" w:eastAsia="Times New Roman" w:hAnsi="Times New Roman" w:cs="Times New Roman"/>
          <w:kern w:val="0"/>
          <w:lang w:eastAsia="en-GB"/>
          <w14:ligatures w14:val="none"/>
        </w:rPr>
        <w:t xml:space="preserve">for a rating </w:t>
      </w:r>
      <w:r w:rsidR="002835B4" w:rsidRPr="002835B4">
        <w:rPr>
          <w:rFonts w:ascii="Times New Roman" w:eastAsia="Times New Roman" w:hAnsi="Times New Roman" w:cs="Times New Roman"/>
          <w:kern w:val="0"/>
          <w:lang w:eastAsia="en-GB"/>
          <w14:ligatures w14:val="none"/>
        </w:rPr>
        <w:t>at the level of natural persons is fundamentally different from counting investors</w:t>
      </w:r>
      <w:r w:rsidR="0057133E">
        <w:rPr>
          <w:rFonts w:ascii="Times New Roman" w:eastAsia="Times New Roman" w:hAnsi="Times New Roman" w:cs="Times New Roman"/>
          <w:kern w:val="0"/>
          <w:lang w:eastAsia="en-GB"/>
          <w14:ligatures w14:val="none"/>
        </w:rPr>
        <w:t xml:space="preserve"> in a given security</w:t>
      </w:r>
      <w:r w:rsidR="002835B4" w:rsidRPr="002835B4">
        <w:rPr>
          <w:rFonts w:ascii="Times New Roman" w:eastAsia="Times New Roman" w:hAnsi="Times New Roman" w:cs="Times New Roman"/>
          <w:kern w:val="0"/>
          <w:lang w:eastAsia="en-GB"/>
          <w14:ligatures w14:val="none"/>
        </w:rPr>
        <w:t xml:space="preserve"> under the Prospectus Regulation: a single legal entity counts </w:t>
      </w:r>
      <w:r w:rsidR="00BF3A74">
        <w:rPr>
          <w:rFonts w:ascii="Times New Roman" w:eastAsia="Times New Roman" w:hAnsi="Times New Roman" w:cs="Times New Roman"/>
          <w:kern w:val="0"/>
          <w:lang w:eastAsia="en-GB"/>
          <w14:ligatures w14:val="none"/>
        </w:rPr>
        <w:t xml:space="preserve">only </w:t>
      </w:r>
      <w:r w:rsidR="002835B4" w:rsidRPr="002835B4">
        <w:rPr>
          <w:rFonts w:ascii="Times New Roman" w:eastAsia="Times New Roman" w:hAnsi="Times New Roman" w:cs="Times New Roman"/>
          <w:kern w:val="0"/>
          <w:lang w:eastAsia="en-GB"/>
          <w14:ligatures w14:val="none"/>
        </w:rPr>
        <w:t xml:space="preserve">once for a securities sale, </w:t>
      </w:r>
      <w:r w:rsidR="0057133E">
        <w:rPr>
          <w:rFonts w:ascii="Times New Roman" w:eastAsia="Times New Roman" w:hAnsi="Times New Roman" w:cs="Times New Roman"/>
          <w:kern w:val="0"/>
          <w:lang w:eastAsia="en-GB"/>
          <w14:ligatures w14:val="none"/>
        </w:rPr>
        <w:t>whereas</w:t>
      </w:r>
      <w:r w:rsidR="002835B4" w:rsidRPr="002835B4">
        <w:rPr>
          <w:rFonts w:ascii="Times New Roman" w:eastAsia="Times New Roman" w:hAnsi="Times New Roman" w:cs="Times New Roman"/>
          <w:kern w:val="0"/>
          <w:lang w:eastAsia="en-GB"/>
          <w14:ligatures w14:val="none"/>
        </w:rPr>
        <w:t xml:space="preserve"> multiple employees within that same</w:t>
      </w:r>
      <w:r w:rsidR="00BF3A74">
        <w:rPr>
          <w:rFonts w:ascii="Times New Roman" w:eastAsia="Times New Roman" w:hAnsi="Times New Roman" w:cs="Times New Roman"/>
          <w:kern w:val="0"/>
          <w:lang w:eastAsia="en-GB"/>
          <w14:ligatures w14:val="none"/>
        </w:rPr>
        <w:t xml:space="preserve"> legal</w:t>
      </w:r>
      <w:r w:rsidR="002835B4" w:rsidRPr="002835B4">
        <w:rPr>
          <w:rFonts w:ascii="Times New Roman" w:eastAsia="Times New Roman" w:hAnsi="Times New Roman" w:cs="Times New Roman"/>
          <w:kern w:val="0"/>
          <w:lang w:eastAsia="en-GB"/>
          <w14:ligatures w14:val="none"/>
        </w:rPr>
        <w:t xml:space="preserve"> entity could each count separately </w:t>
      </w:r>
      <w:r w:rsidR="0057133E">
        <w:rPr>
          <w:rFonts w:ascii="Times New Roman" w:eastAsia="Times New Roman" w:hAnsi="Times New Roman" w:cs="Times New Roman"/>
          <w:kern w:val="0"/>
          <w:lang w:eastAsia="en-GB"/>
          <w14:ligatures w14:val="none"/>
        </w:rPr>
        <w:t>when using</w:t>
      </w:r>
      <w:r w:rsidR="002835B4" w:rsidRPr="002835B4">
        <w:rPr>
          <w:rFonts w:ascii="Times New Roman" w:eastAsia="Times New Roman" w:hAnsi="Times New Roman" w:cs="Times New Roman"/>
          <w:kern w:val="0"/>
          <w:lang w:eastAsia="en-GB"/>
          <w14:ligatures w14:val="none"/>
        </w:rPr>
        <w:t xml:space="preserve"> a</w:t>
      </w:r>
      <w:r w:rsidR="00BF3A74">
        <w:rPr>
          <w:rFonts w:ascii="Times New Roman" w:eastAsia="Times New Roman" w:hAnsi="Times New Roman" w:cs="Times New Roman"/>
          <w:kern w:val="0"/>
          <w:lang w:eastAsia="en-GB"/>
          <w14:ligatures w14:val="none"/>
        </w:rPr>
        <w:t xml:space="preserve"> given</w:t>
      </w:r>
      <w:r w:rsidR="002835B4" w:rsidRPr="002835B4">
        <w:rPr>
          <w:rFonts w:ascii="Times New Roman" w:eastAsia="Times New Roman" w:hAnsi="Times New Roman" w:cs="Times New Roman"/>
          <w:kern w:val="0"/>
          <w:lang w:eastAsia="en-GB"/>
          <w14:ligatures w14:val="none"/>
        </w:rPr>
        <w:t xml:space="preserve"> rating,</w:t>
      </w:r>
      <w:r w:rsidR="0057133E">
        <w:rPr>
          <w:rFonts w:ascii="Times New Roman" w:eastAsia="Times New Roman" w:hAnsi="Times New Roman" w:cs="Times New Roman"/>
          <w:kern w:val="0"/>
          <w:lang w:eastAsia="en-GB"/>
          <w14:ligatures w14:val="none"/>
        </w:rPr>
        <w:t xml:space="preserve"> therefore</w:t>
      </w:r>
      <w:r w:rsidR="002835B4" w:rsidRPr="002835B4">
        <w:rPr>
          <w:rFonts w:ascii="Times New Roman" w:eastAsia="Times New Roman" w:hAnsi="Times New Roman" w:cs="Times New Roman"/>
          <w:kern w:val="0"/>
          <w:lang w:eastAsia="en-GB"/>
          <w14:ligatures w14:val="none"/>
        </w:rPr>
        <w:t xml:space="preserve"> undermining internal risk assessment and misaligning the CRA framework with</w:t>
      </w:r>
      <w:r w:rsidR="0063218D">
        <w:rPr>
          <w:rFonts w:ascii="Times New Roman" w:eastAsia="Times New Roman" w:hAnsi="Times New Roman" w:cs="Times New Roman"/>
          <w:kern w:val="0"/>
          <w:lang w:eastAsia="en-GB"/>
          <w14:ligatures w14:val="none"/>
        </w:rPr>
        <w:t>in</w:t>
      </w:r>
      <w:r w:rsidR="002835B4" w:rsidRPr="002835B4">
        <w:rPr>
          <w:rFonts w:ascii="Times New Roman" w:eastAsia="Times New Roman" w:hAnsi="Times New Roman" w:cs="Times New Roman"/>
          <w:kern w:val="0"/>
          <w:lang w:eastAsia="en-GB"/>
          <w14:ligatures w14:val="none"/>
        </w:rPr>
        <w:t xml:space="preserve"> established private placement practice.</w:t>
      </w:r>
    </w:p>
    <w:p w14:paraId="4E91D45E" w14:textId="7D85EDD0" w:rsidR="009A6C45" w:rsidRDefault="00D33E6E" w:rsidP="009A6C45">
      <w:pPr>
        <w:numPr>
          <w:ilvl w:val="0"/>
          <w:numId w:val="9"/>
        </w:num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w:t>
      </w:r>
      <w:r w:rsidR="009A6C45" w:rsidRPr="009A6C45">
        <w:rPr>
          <w:rFonts w:ascii="Times New Roman" w:eastAsia="Times New Roman" w:hAnsi="Times New Roman" w:cs="Times New Roman"/>
          <w:kern w:val="0"/>
          <w:lang w:eastAsia="en-GB"/>
          <w14:ligatures w14:val="none"/>
        </w:rPr>
        <w:t>he expectations placed on CRAs be amended for the enforcement of the control requirements (</w:t>
      </w:r>
      <w:r w:rsidR="009A6C45" w:rsidRPr="009A6C45">
        <w:rPr>
          <w:rFonts w:ascii="Times New Roman" w:eastAsia="Times New Roman" w:hAnsi="Times New Roman" w:cs="Times New Roman"/>
          <w:kern w:val="0"/>
          <w:lang w:val="en-US" w:eastAsia="en-GB"/>
          <w14:ligatures w14:val="none"/>
        </w:rPr>
        <w:t>whereby CRAs are solely made responsible for the adherence to the 150 natural person limit)</w:t>
      </w:r>
      <w:r w:rsidR="009A6C45" w:rsidRPr="009A6C45">
        <w:rPr>
          <w:rFonts w:ascii="Times New Roman" w:eastAsia="Times New Roman" w:hAnsi="Times New Roman" w:cs="Times New Roman"/>
          <w:kern w:val="0"/>
          <w:lang w:eastAsia="en-GB"/>
          <w14:ligatures w14:val="none"/>
        </w:rPr>
        <w:t>, so that CRAs’ responsibilities are confined to primary distribution, which is effectively under their control</w:t>
      </w:r>
      <w:r w:rsidR="00DF19EE">
        <w:rPr>
          <w:rFonts w:ascii="Times New Roman" w:eastAsia="Times New Roman" w:hAnsi="Times New Roman" w:cs="Times New Roman"/>
          <w:kern w:val="0"/>
          <w:lang w:eastAsia="en-GB"/>
          <w14:ligatures w14:val="none"/>
        </w:rPr>
        <w:t>.</w:t>
      </w:r>
      <w:r w:rsidR="00843146">
        <w:rPr>
          <w:rFonts w:ascii="Times New Roman" w:eastAsia="Times New Roman" w:hAnsi="Times New Roman" w:cs="Times New Roman"/>
          <w:kern w:val="0"/>
          <w:lang w:eastAsia="en-GB"/>
          <w14:ligatures w14:val="none"/>
        </w:rPr>
        <w:t xml:space="preserve"> </w:t>
      </w:r>
    </w:p>
    <w:p w14:paraId="2812AD2C" w14:textId="77777777" w:rsidR="007C4266" w:rsidRDefault="007C4266" w:rsidP="00ED4DE5">
      <w:pPr>
        <w:spacing w:after="0" w:line="240" w:lineRule="auto"/>
        <w:ind w:left="770"/>
        <w:rPr>
          <w:rFonts w:ascii="Times New Roman" w:eastAsia="Times New Roman" w:hAnsi="Times New Roman" w:cs="Times New Roman"/>
          <w:kern w:val="0"/>
          <w:lang w:eastAsia="en-GB"/>
          <w14:ligatures w14:val="none"/>
        </w:rPr>
      </w:pPr>
    </w:p>
    <w:tbl>
      <w:tblPr>
        <w:tblStyle w:val="TableGrid"/>
        <w:tblW w:w="0" w:type="auto"/>
        <w:tblInd w:w="720" w:type="dxa"/>
        <w:tblLayout w:type="fixed"/>
        <w:tblLook w:val="04A0" w:firstRow="1" w:lastRow="0" w:firstColumn="1" w:lastColumn="0" w:noHBand="0" w:noVBand="1"/>
      </w:tblPr>
      <w:tblGrid>
        <w:gridCol w:w="4176"/>
        <w:gridCol w:w="4176"/>
      </w:tblGrid>
      <w:tr w:rsidR="007C4266" w:rsidRPr="00AC62C2" w14:paraId="04289276" w14:textId="77777777" w:rsidTr="00843146">
        <w:trPr>
          <w:trHeight w:val="300"/>
        </w:trPr>
        <w:tc>
          <w:tcPr>
            <w:tcW w:w="4176" w:type="dxa"/>
          </w:tcPr>
          <w:p w14:paraId="6AD02DD9" w14:textId="77777777" w:rsidR="00B96569" w:rsidRDefault="00BD5160" w:rsidP="00EB3109">
            <w:pPr>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Guidelines </w:t>
            </w:r>
            <w:r w:rsidR="007C4617" w:rsidRPr="007C4617">
              <w:rPr>
                <w:rFonts w:ascii="Times New Roman" w:eastAsia="Times New Roman" w:hAnsi="Times New Roman" w:cs="Times New Roman"/>
                <w:kern w:val="0"/>
                <w:lang w:eastAsia="en-GB"/>
                <w14:ligatures w14:val="none"/>
              </w:rPr>
              <w:t xml:space="preserve">on the Scope of the CRA Regulation </w:t>
            </w:r>
          </w:p>
          <w:p w14:paraId="24959664" w14:textId="2779C898" w:rsidR="007C4266" w:rsidRPr="00AC62C2" w:rsidRDefault="00BD5160" w:rsidP="00EB3109">
            <w:pPr>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Section V – para 15 (</w:t>
            </w:r>
            <w:r w:rsidR="007C4266">
              <w:rPr>
                <w:rFonts w:ascii="Times New Roman" w:eastAsia="Times New Roman" w:hAnsi="Times New Roman" w:cs="Times New Roman"/>
                <w:kern w:val="0"/>
                <w:lang w:eastAsia="en-GB"/>
                <w14:ligatures w14:val="none"/>
              </w:rPr>
              <w:t>150 limit</w:t>
            </w:r>
            <w:r>
              <w:rPr>
                <w:rFonts w:ascii="Times New Roman" w:eastAsia="Times New Roman" w:hAnsi="Times New Roman" w:cs="Times New Roman"/>
                <w:kern w:val="0"/>
                <w:lang w:eastAsia="en-GB"/>
                <w14:ligatures w14:val="none"/>
              </w:rPr>
              <w:t>)</w:t>
            </w:r>
            <w:r w:rsidR="00843146">
              <w:rPr>
                <w:rFonts w:ascii="Times New Roman" w:eastAsia="Times New Roman" w:hAnsi="Times New Roman" w:cs="Times New Roman"/>
                <w:kern w:val="0"/>
                <w:lang w:eastAsia="en-GB"/>
                <w14:ligatures w14:val="none"/>
              </w:rPr>
              <w:t xml:space="preserve"> </w:t>
            </w:r>
          </w:p>
          <w:p w14:paraId="19B738AC" w14:textId="77777777" w:rsidR="007C4266" w:rsidRPr="00AC62C2" w:rsidRDefault="007C4266" w:rsidP="00EB3109">
            <w:pPr>
              <w:ind w:left="432"/>
              <w:rPr>
                <w:rFonts w:ascii="Times New Roman" w:eastAsia="Times New Roman" w:hAnsi="Times New Roman" w:cs="Times New Roman"/>
                <w:kern w:val="0"/>
                <w:lang w:eastAsia="en-GB"/>
                <w14:ligatures w14:val="none"/>
              </w:rPr>
            </w:pPr>
          </w:p>
        </w:tc>
        <w:tc>
          <w:tcPr>
            <w:tcW w:w="4176" w:type="dxa"/>
          </w:tcPr>
          <w:p w14:paraId="7DA0AFF2" w14:textId="77777777" w:rsidR="00B96569" w:rsidRDefault="007C4617" w:rsidP="00EB3109">
            <w:pPr>
              <w:ind w:left="432"/>
              <w:rPr>
                <w:rFonts w:ascii="Times New Roman" w:eastAsia="Times New Roman" w:hAnsi="Times New Roman" w:cs="Times New Roman"/>
                <w:kern w:val="0"/>
                <w:lang w:eastAsia="en-GB"/>
                <w14:ligatures w14:val="none"/>
              </w:rPr>
            </w:pPr>
            <w:r w:rsidRPr="007C4617">
              <w:rPr>
                <w:rFonts w:ascii="Times New Roman" w:eastAsia="Times New Roman" w:hAnsi="Times New Roman" w:cs="Times New Roman"/>
                <w:kern w:val="0"/>
                <w:lang w:eastAsia="en-GB"/>
                <w14:ligatures w14:val="none"/>
              </w:rPr>
              <w:t xml:space="preserve">Guidelines on the Scope of the CRA Regulation </w:t>
            </w:r>
          </w:p>
          <w:p w14:paraId="398D7E07" w14:textId="263941DE" w:rsidR="007C4266" w:rsidRPr="00AC62C2" w:rsidRDefault="007C4617" w:rsidP="00EB3109">
            <w:pPr>
              <w:ind w:left="432"/>
              <w:rPr>
                <w:rFonts w:ascii="Times New Roman" w:eastAsia="Times New Roman" w:hAnsi="Times New Roman" w:cs="Times New Roman"/>
                <w:kern w:val="0"/>
                <w:lang w:eastAsia="en-GB"/>
                <w14:ligatures w14:val="none"/>
              </w:rPr>
            </w:pPr>
            <w:r w:rsidRPr="007C4617">
              <w:rPr>
                <w:rFonts w:ascii="Times New Roman" w:eastAsia="Times New Roman" w:hAnsi="Times New Roman" w:cs="Times New Roman"/>
                <w:kern w:val="0"/>
                <w:lang w:eastAsia="en-GB"/>
                <w14:ligatures w14:val="none"/>
              </w:rPr>
              <w:t>Section V – para 15 (150 limit)</w:t>
            </w:r>
          </w:p>
        </w:tc>
      </w:tr>
      <w:tr w:rsidR="007C4266" w:rsidRPr="00AC62C2" w14:paraId="6BEF99F8" w14:textId="77777777" w:rsidTr="00843146">
        <w:trPr>
          <w:trHeight w:val="300"/>
        </w:trPr>
        <w:tc>
          <w:tcPr>
            <w:tcW w:w="4176" w:type="dxa"/>
          </w:tcPr>
          <w:p w14:paraId="60C7DE6E" w14:textId="77777777" w:rsidR="00BD5160" w:rsidRPr="00EF6E1C" w:rsidRDefault="00BD5160" w:rsidP="00BD5160">
            <w:pPr>
              <w:ind w:left="432"/>
              <w:rPr>
                <w:rFonts w:ascii="Times New Roman" w:eastAsia="Times New Roman" w:hAnsi="Times New Roman" w:cs="Times New Roman"/>
                <w:i/>
                <w:iCs/>
                <w:kern w:val="0"/>
                <w:lang w:eastAsia="en-GB"/>
                <w14:ligatures w14:val="none"/>
              </w:rPr>
            </w:pPr>
            <w:r w:rsidRPr="00EF6E1C">
              <w:rPr>
                <w:rFonts w:ascii="Times New Roman" w:eastAsia="Times New Roman" w:hAnsi="Times New Roman" w:cs="Times New Roman"/>
                <w:i/>
                <w:iCs/>
                <w:kern w:val="0"/>
                <w:lang w:eastAsia="en-GB"/>
                <w14:ligatures w14:val="none"/>
              </w:rPr>
              <w:t xml:space="preserve">ESMA also expects that the receiving party only shares the private credit rating </w:t>
            </w:r>
          </w:p>
          <w:p w14:paraId="6EAD17D2" w14:textId="77777777" w:rsidR="00BD5160" w:rsidRPr="00EF6E1C" w:rsidRDefault="00BD5160" w:rsidP="00BD5160">
            <w:pPr>
              <w:ind w:left="432"/>
              <w:rPr>
                <w:rFonts w:ascii="Times New Roman" w:eastAsia="Times New Roman" w:hAnsi="Times New Roman" w:cs="Times New Roman"/>
                <w:i/>
                <w:iCs/>
                <w:kern w:val="0"/>
                <w:lang w:eastAsia="en-GB"/>
                <w14:ligatures w14:val="none"/>
              </w:rPr>
            </w:pPr>
            <w:r w:rsidRPr="00EF6E1C">
              <w:rPr>
                <w:rFonts w:ascii="Times New Roman" w:eastAsia="Times New Roman" w:hAnsi="Times New Roman" w:cs="Times New Roman"/>
                <w:i/>
                <w:iCs/>
                <w:kern w:val="0"/>
                <w:lang w:eastAsia="en-GB"/>
                <w14:ligatures w14:val="none"/>
              </w:rPr>
              <w:t xml:space="preserve">on a confidential basis and with a selected and definite number of natural or legal persons. This </w:t>
            </w:r>
          </w:p>
          <w:p w14:paraId="0177C8C8" w14:textId="77777777" w:rsidR="00BD5160" w:rsidRPr="00EF6E1C" w:rsidRDefault="00BD5160" w:rsidP="00BD5160">
            <w:pPr>
              <w:ind w:left="432"/>
              <w:rPr>
                <w:rFonts w:ascii="Times New Roman" w:eastAsia="Times New Roman" w:hAnsi="Times New Roman" w:cs="Times New Roman"/>
                <w:i/>
                <w:iCs/>
                <w:kern w:val="0"/>
                <w:lang w:eastAsia="en-GB"/>
                <w14:ligatures w14:val="none"/>
              </w:rPr>
            </w:pPr>
            <w:r w:rsidRPr="00EF6E1C">
              <w:rPr>
                <w:rFonts w:ascii="Times New Roman" w:eastAsia="Times New Roman" w:hAnsi="Times New Roman" w:cs="Times New Roman"/>
                <w:i/>
                <w:iCs/>
                <w:kern w:val="0"/>
                <w:lang w:eastAsia="en-GB"/>
                <w14:ligatures w14:val="none"/>
              </w:rPr>
              <w:t xml:space="preserve">number should be limited and can never exceed a total of 150 persons. To ensure that this </w:t>
            </w:r>
          </w:p>
          <w:p w14:paraId="6B5E4CF0" w14:textId="77777777" w:rsidR="00BD5160" w:rsidRPr="00EF6E1C" w:rsidRDefault="00BD5160" w:rsidP="00BD5160">
            <w:pPr>
              <w:ind w:left="432"/>
              <w:rPr>
                <w:rFonts w:ascii="Times New Roman" w:eastAsia="Times New Roman" w:hAnsi="Times New Roman" w:cs="Times New Roman"/>
                <w:i/>
                <w:iCs/>
                <w:kern w:val="0"/>
                <w:lang w:eastAsia="en-GB"/>
                <w14:ligatures w14:val="none"/>
              </w:rPr>
            </w:pPr>
            <w:r w:rsidRPr="00EF6E1C">
              <w:rPr>
                <w:rFonts w:ascii="Times New Roman" w:eastAsia="Times New Roman" w:hAnsi="Times New Roman" w:cs="Times New Roman"/>
                <w:i/>
                <w:iCs/>
                <w:kern w:val="0"/>
                <w:lang w:eastAsia="en-GB"/>
                <w14:ligatures w14:val="none"/>
              </w:rPr>
              <w:t>maximum limit is adhered to, appropriate controls should be implemented by the rating provider</w:t>
            </w:r>
          </w:p>
          <w:p w14:paraId="2E48D80D" w14:textId="1BBA7A71" w:rsidR="007C4266" w:rsidRPr="00AC62C2" w:rsidRDefault="00BD5160" w:rsidP="00BD5160">
            <w:pPr>
              <w:ind w:left="432"/>
              <w:rPr>
                <w:rFonts w:ascii="Times New Roman" w:eastAsia="Times New Roman" w:hAnsi="Times New Roman" w:cs="Times New Roman"/>
                <w:kern w:val="0"/>
                <w:lang w:eastAsia="en-GB"/>
                <w14:ligatures w14:val="none"/>
              </w:rPr>
            </w:pPr>
            <w:r w:rsidRPr="00EF6E1C">
              <w:rPr>
                <w:rFonts w:ascii="Times New Roman" w:eastAsia="Times New Roman" w:hAnsi="Times New Roman" w:cs="Times New Roman"/>
                <w:i/>
                <w:iCs/>
                <w:kern w:val="0"/>
                <w:lang w:eastAsia="en-GB"/>
                <w14:ligatures w14:val="none"/>
              </w:rPr>
              <w:t>to allow for the monitoring of the distribution</w:t>
            </w:r>
            <w:r w:rsidRPr="00BD5160">
              <w:rPr>
                <w:rFonts w:ascii="Times New Roman" w:eastAsia="Times New Roman" w:hAnsi="Times New Roman" w:cs="Times New Roman"/>
                <w:kern w:val="0"/>
                <w:lang w:eastAsia="en-GB"/>
                <w14:ligatures w14:val="none"/>
              </w:rPr>
              <w:t>.</w:t>
            </w:r>
          </w:p>
        </w:tc>
        <w:tc>
          <w:tcPr>
            <w:tcW w:w="4176" w:type="dxa"/>
          </w:tcPr>
          <w:p w14:paraId="4FF38C50" w14:textId="77777777" w:rsidR="00BD5160" w:rsidRPr="00EF6E1C" w:rsidRDefault="00BD5160" w:rsidP="00BD5160">
            <w:pPr>
              <w:ind w:left="432"/>
              <w:rPr>
                <w:rFonts w:ascii="Times New Roman" w:eastAsia="Times New Roman" w:hAnsi="Times New Roman" w:cs="Times New Roman"/>
                <w:i/>
                <w:iCs/>
                <w:kern w:val="0"/>
                <w:lang w:eastAsia="en-GB"/>
                <w14:ligatures w14:val="none"/>
              </w:rPr>
            </w:pPr>
            <w:r w:rsidRPr="00EF6E1C">
              <w:rPr>
                <w:rFonts w:ascii="Times New Roman" w:eastAsia="Times New Roman" w:hAnsi="Times New Roman" w:cs="Times New Roman"/>
                <w:i/>
                <w:iCs/>
                <w:kern w:val="0"/>
                <w:lang w:eastAsia="en-GB"/>
                <w14:ligatures w14:val="none"/>
              </w:rPr>
              <w:t xml:space="preserve">ESMA also expects that the receiving party only shares the private credit rating </w:t>
            </w:r>
          </w:p>
          <w:p w14:paraId="4D5AB167" w14:textId="77777777" w:rsidR="00BD5160" w:rsidRPr="00EF6E1C" w:rsidRDefault="00BD5160" w:rsidP="00BD5160">
            <w:pPr>
              <w:ind w:left="432"/>
              <w:rPr>
                <w:rFonts w:ascii="Times New Roman" w:eastAsia="Times New Roman" w:hAnsi="Times New Roman" w:cs="Times New Roman"/>
                <w:i/>
                <w:iCs/>
                <w:kern w:val="0"/>
                <w:lang w:eastAsia="en-GB"/>
                <w14:ligatures w14:val="none"/>
              </w:rPr>
            </w:pPr>
            <w:r w:rsidRPr="00EF6E1C">
              <w:rPr>
                <w:rFonts w:ascii="Times New Roman" w:eastAsia="Times New Roman" w:hAnsi="Times New Roman" w:cs="Times New Roman"/>
                <w:i/>
                <w:iCs/>
                <w:kern w:val="0"/>
                <w:lang w:eastAsia="en-GB"/>
                <w14:ligatures w14:val="none"/>
              </w:rPr>
              <w:t xml:space="preserve">on a confidential basis and with a selected and definite number of </w:t>
            </w:r>
            <w:r w:rsidRPr="00EF6E1C">
              <w:rPr>
                <w:rFonts w:ascii="Times New Roman" w:eastAsia="Times New Roman" w:hAnsi="Times New Roman" w:cs="Times New Roman"/>
                <w:i/>
                <w:iCs/>
                <w:strike/>
                <w:kern w:val="0"/>
                <w:lang w:eastAsia="en-GB"/>
                <w14:ligatures w14:val="none"/>
              </w:rPr>
              <w:t>natural or</w:t>
            </w:r>
            <w:r w:rsidRPr="00EF6E1C">
              <w:rPr>
                <w:rFonts w:ascii="Times New Roman" w:eastAsia="Times New Roman" w:hAnsi="Times New Roman" w:cs="Times New Roman"/>
                <w:i/>
                <w:iCs/>
                <w:kern w:val="0"/>
                <w:lang w:eastAsia="en-GB"/>
                <w14:ligatures w14:val="none"/>
              </w:rPr>
              <w:t xml:space="preserve"> legal persons. This </w:t>
            </w:r>
          </w:p>
          <w:p w14:paraId="2B549C2E" w14:textId="77777777" w:rsidR="00BD5160" w:rsidRPr="00EF6E1C" w:rsidRDefault="00BD5160" w:rsidP="00BD5160">
            <w:pPr>
              <w:ind w:left="432"/>
              <w:rPr>
                <w:rFonts w:ascii="Times New Roman" w:eastAsia="Times New Roman" w:hAnsi="Times New Roman" w:cs="Times New Roman"/>
                <w:i/>
                <w:iCs/>
                <w:kern w:val="0"/>
                <w:lang w:eastAsia="en-GB"/>
                <w14:ligatures w14:val="none"/>
              </w:rPr>
            </w:pPr>
            <w:r w:rsidRPr="00EF6E1C">
              <w:rPr>
                <w:rFonts w:ascii="Times New Roman" w:eastAsia="Times New Roman" w:hAnsi="Times New Roman" w:cs="Times New Roman"/>
                <w:i/>
                <w:iCs/>
                <w:kern w:val="0"/>
                <w:lang w:eastAsia="en-GB"/>
                <w14:ligatures w14:val="none"/>
              </w:rPr>
              <w:t xml:space="preserve">number should be limited and can never exceed a total of 150 persons. To ensure that this </w:t>
            </w:r>
          </w:p>
          <w:p w14:paraId="67F8496E" w14:textId="670DA906" w:rsidR="00BD5160" w:rsidRPr="00EF6E1C" w:rsidRDefault="00BD5160" w:rsidP="00BD5160">
            <w:pPr>
              <w:ind w:left="432"/>
              <w:rPr>
                <w:rFonts w:ascii="Times New Roman" w:eastAsia="Times New Roman" w:hAnsi="Times New Roman" w:cs="Times New Roman"/>
                <w:i/>
                <w:iCs/>
                <w:kern w:val="0"/>
                <w:lang w:eastAsia="en-GB"/>
                <w14:ligatures w14:val="none"/>
              </w:rPr>
            </w:pPr>
            <w:r w:rsidRPr="00EF6E1C">
              <w:rPr>
                <w:rFonts w:ascii="Times New Roman" w:eastAsia="Times New Roman" w:hAnsi="Times New Roman" w:cs="Times New Roman"/>
                <w:i/>
                <w:iCs/>
                <w:kern w:val="0"/>
                <w:lang w:eastAsia="en-GB"/>
                <w14:ligatures w14:val="none"/>
              </w:rPr>
              <w:t xml:space="preserve">maximum limit is adhered to, appropriate controls should be implemented by the rating provider </w:t>
            </w:r>
          </w:p>
          <w:p w14:paraId="7EA71C24" w14:textId="75D9FA65" w:rsidR="007C4266" w:rsidRPr="00AC62C2" w:rsidRDefault="00BD5160" w:rsidP="00BD5160">
            <w:pPr>
              <w:ind w:left="432"/>
              <w:rPr>
                <w:rFonts w:ascii="Times New Roman" w:eastAsia="Times New Roman" w:hAnsi="Times New Roman" w:cs="Times New Roman"/>
                <w:kern w:val="0"/>
                <w:lang w:eastAsia="en-GB"/>
                <w14:ligatures w14:val="none"/>
              </w:rPr>
            </w:pPr>
            <w:r w:rsidRPr="00EF6E1C">
              <w:rPr>
                <w:rFonts w:ascii="Times New Roman" w:eastAsia="Times New Roman" w:hAnsi="Times New Roman" w:cs="Times New Roman"/>
                <w:i/>
                <w:iCs/>
                <w:kern w:val="0"/>
                <w:lang w:eastAsia="en-GB"/>
                <w14:ligatures w14:val="none"/>
              </w:rPr>
              <w:t xml:space="preserve">to allow for the monitoring </w:t>
            </w:r>
            <w:r w:rsidR="0048438F" w:rsidRPr="00EF6E1C">
              <w:rPr>
                <w:rFonts w:ascii="Times New Roman" w:eastAsia="Times New Roman" w:hAnsi="Times New Roman" w:cs="Times New Roman"/>
                <w:b/>
                <w:bCs/>
                <w:i/>
                <w:iCs/>
                <w:kern w:val="0"/>
                <w:u w:val="single"/>
                <w:lang w:eastAsia="en-GB"/>
                <w14:ligatures w14:val="none"/>
              </w:rPr>
              <w:t xml:space="preserve">at primary point </w:t>
            </w:r>
            <w:r w:rsidRPr="00EF6E1C">
              <w:rPr>
                <w:rFonts w:ascii="Times New Roman" w:eastAsia="Times New Roman" w:hAnsi="Times New Roman" w:cs="Times New Roman"/>
                <w:b/>
                <w:bCs/>
                <w:i/>
                <w:iCs/>
                <w:kern w:val="0"/>
                <w:u w:val="single"/>
                <w:lang w:eastAsia="en-GB"/>
                <w14:ligatures w14:val="none"/>
              </w:rPr>
              <w:t>of</w:t>
            </w:r>
            <w:r w:rsidRPr="00EF6E1C">
              <w:rPr>
                <w:rFonts w:ascii="Times New Roman" w:eastAsia="Times New Roman" w:hAnsi="Times New Roman" w:cs="Times New Roman"/>
                <w:i/>
                <w:iCs/>
                <w:kern w:val="0"/>
                <w:lang w:eastAsia="en-GB"/>
                <w14:ligatures w14:val="none"/>
              </w:rPr>
              <w:t xml:space="preserve"> distribution</w:t>
            </w:r>
            <w:r w:rsidR="0048438F" w:rsidRPr="00EF6E1C">
              <w:rPr>
                <w:rFonts w:ascii="Times New Roman" w:eastAsia="Times New Roman" w:hAnsi="Times New Roman" w:cs="Times New Roman"/>
                <w:i/>
                <w:iCs/>
                <w:kern w:val="0"/>
                <w:lang w:eastAsia="en-GB"/>
                <w14:ligatures w14:val="none"/>
              </w:rPr>
              <w:t>.</w:t>
            </w:r>
          </w:p>
        </w:tc>
      </w:tr>
    </w:tbl>
    <w:p w14:paraId="41AF33D2" w14:textId="77777777" w:rsidR="007C4266" w:rsidRPr="009A6C45" w:rsidRDefault="007C4266" w:rsidP="00BD5160">
      <w:pPr>
        <w:spacing w:after="0" w:line="240" w:lineRule="auto"/>
        <w:rPr>
          <w:rFonts w:ascii="Times New Roman" w:eastAsia="Times New Roman" w:hAnsi="Times New Roman" w:cs="Times New Roman"/>
          <w:kern w:val="0"/>
          <w:lang w:eastAsia="en-GB"/>
          <w14:ligatures w14:val="none"/>
        </w:rPr>
      </w:pPr>
    </w:p>
    <w:p w14:paraId="4B8D0B5D" w14:textId="77777777" w:rsidR="009A6C45" w:rsidRPr="009A6C45" w:rsidRDefault="009A6C45" w:rsidP="009A6C45">
      <w:pPr>
        <w:spacing w:after="0" w:line="240" w:lineRule="auto"/>
        <w:ind w:left="432"/>
        <w:rPr>
          <w:rFonts w:ascii="Times New Roman" w:eastAsia="Times New Roman" w:hAnsi="Times New Roman" w:cs="Times New Roman"/>
          <w:kern w:val="0"/>
          <w:lang w:eastAsia="en-GB"/>
          <w14:ligatures w14:val="none"/>
        </w:rPr>
      </w:pPr>
    </w:p>
    <w:p w14:paraId="7CF9DA3B" w14:textId="425F54F9" w:rsidR="009A6C45" w:rsidRPr="009A6C45" w:rsidRDefault="009A6C45" w:rsidP="009A6C45">
      <w:pPr>
        <w:spacing w:after="0" w:line="240" w:lineRule="auto"/>
        <w:ind w:left="432"/>
        <w:rPr>
          <w:rFonts w:ascii="Times New Roman" w:eastAsia="Times New Roman" w:hAnsi="Times New Roman" w:cs="Times New Roman"/>
          <w:kern w:val="0"/>
          <w:lang w:eastAsia="en-GB"/>
          <w14:ligatures w14:val="none"/>
        </w:rPr>
      </w:pPr>
      <w:r w:rsidRPr="009A6C45">
        <w:rPr>
          <w:rFonts w:ascii="Times New Roman" w:eastAsia="Times New Roman" w:hAnsi="Times New Roman" w:cs="Times New Roman"/>
          <w:kern w:val="0"/>
          <w:lang w:eastAsia="en-GB"/>
          <w14:ligatures w14:val="none"/>
        </w:rPr>
        <w:t>We would be pleased to engage further with ESMA on targeted amendments to ensure that an appropriate balance is struck to ensure private ratings do not effectively become publici</w:t>
      </w:r>
      <w:r w:rsidR="00E70CCB">
        <w:rPr>
          <w:rFonts w:ascii="Times New Roman" w:eastAsia="Times New Roman" w:hAnsi="Times New Roman" w:cs="Times New Roman"/>
          <w:kern w:val="0"/>
          <w:lang w:eastAsia="en-GB"/>
          <w14:ligatures w14:val="none"/>
        </w:rPr>
        <w:t>s</w:t>
      </w:r>
      <w:r w:rsidRPr="009A6C45">
        <w:rPr>
          <w:rFonts w:ascii="Times New Roman" w:eastAsia="Times New Roman" w:hAnsi="Times New Roman" w:cs="Times New Roman"/>
          <w:kern w:val="0"/>
          <w:lang w:eastAsia="en-GB"/>
          <w14:ligatures w14:val="none"/>
        </w:rPr>
        <w:t>ed and to allow appropriate market development. </w:t>
      </w:r>
    </w:p>
    <w:p w14:paraId="2E7CC33C" w14:textId="77777777" w:rsidR="009A6C45" w:rsidRDefault="009A6C45" w:rsidP="009A6C45">
      <w:pPr>
        <w:spacing w:after="0" w:line="240" w:lineRule="auto"/>
        <w:rPr>
          <w:rFonts w:ascii="Times New Roman" w:eastAsia="Times New Roman" w:hAnsi="Times New Roman" w:cs="Times New Roman"/>
          <w:kern w:val="0"/>
          <w:lang w:eastAsia="en-GB"/>
          <w14:ligatures w14:val="none"/>
        </w:rPr>
      </w:pPr>
    </w:p>
    <w:p w14:paraId="79A3E86B" w14:textId="2164AE3B"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1917B493"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76BFF8E6" w14:textId="2F247EB2"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4</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What are the main benefits associated with the use of private credit ratings by market participants? In which areas do they provide added value, and in which contexts are they considered a desirable product (e.g. private markets)? Please explain and provide examples where possible.</w:t>
      </w:r>
    </w:p>
    <w:p w14:paraId="28A5EBDA" w14:textId="5013FF6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02253DF3" w14:textId="77777777" w:rsidR="009A6C45" w:rsidRDefault="009A6C45" w:rsidP="001013E7">
      <w:pPr>
        <w:spacing w:after="0" w:line="240" w:lineRule="auto"/>
        <w:ind w:left="432"/>
        <w:rPr>
          <w:rFonts w:ascii="Times New Roman" w:eastAsia="Times New Roman" w:hAnsi="Times New Roman" w:cs="Times New Roman"/>
          <w:kern w:val="0"/>
          <w:lang w:eastAsia="en-GB"/>
          <w14:ligatures w14:val="none"/>
        </w:rPr>
      </w:pPr>
    </w:p>
    <w:p w14:paraId="21807409" w14:textId="77777777" w:rsidR="004327A2" w:rsidRPr="004327A2" w:rsidRDefault="004327A2" w:rsidP="004327A2">
      <w:pPr>
        <w:spacing w:after="0" w:line="240" w:lineRule="auto"/>
        <w:ind w:left="432"/>
        <w:rPr>
          <w:rFonts w:ascii="Times New Roman" w:eastAsia="Times New Roman" w:hAnsi="Times New Roman" w:cs="Times New Roman"/>
          <w:kern w:val="0"/>
          <w:lang w:eastAsia="en-GB"/>
          <w14:ligatures w14:val="none"/>
        </w:rPr>
      </w:pPr>
      <w:r w:rsidRPr="004327A2">
        <w:rPr>
          <w:rFonts w:ascii="Times New Roman" w:eastAsia="Times New Roman" w:hAnsi="Times New Roman" w:cs="Times New Roman"/>
          <w:kern w:val="0"/>
          <w:lang w:eastAsia="en-GB"/>
          <w14:ligatures w14:val="none"/>
        </w:rPr>
        <w:t>Private credit ratings can support investment decisions in private/</w:t>
      </w:r>
      <w:proofErr w:type="spellStart"/>
      <w:r w:rsidRPr="004327A2">
        <w:rPr>
          <w:rFonts w:ascii="Times New Roman" w:eastAsia="Times New Roman" w:hAnsi="Times New Roman" w:cs="Times New Roman"/>
          <w:kern w:val="0"/>
          <w:lang w:eastAsia="en-GB"/>
          <w14:ligatures w14:val="none"/>
        </w:rPr>
        <w:t>non</w:t>
      </w:r>
      <w:r w:rsidRPr="004327A2">
        <w:rPr>
          <w:rFonts w:ascii="Times New Roman" w:eastAsia="Times New Roman" w:hAnsi="Times New Roman" w:cs="Times New Roman"/>
          <w:kern w:val="0"/>
          <w:lang w:val="en-US" w:eastAsia="en-GB"/>
          <w14:ligatures w14:val="none"/>
        </w:rPr>
        <w:noBreakHyphen/>
      </w:r>
      <w:r w:rsidRPr="004327A2">
        <w:rPr>
          <w:rFonts w:ascii="Times New Roman" w:eastAsia="Times New Roman" w:hAnsi="Times New Roman" w:cs="Times New Roman"/>
          <w:kern w:val="0"/>
          <w:lang w:eastAsia="en-GB"/>
          <w14:ligatures w14:val="none"/>
        </w:rPr>
        <w:t>public</w:t>
      </w:r>
      <w:proofErr w:type="spellEnd"/>
      <w:r w:rsidRPr="004327A2">
        <w:rPr>
          <w:rFonts w:ascii="Times New Roman" w:eastAsia="Times New Roman" w:hAnsi="Times New Roman" w:cs="Times New Roman"/>
          <w:kern w:val="0"/>
          <w:lang w:eastAsia="en-GB"/>
          <w14:ligatures w14:val="none"/>
        </w:rPr>
        <w:t xml:space="preserve"> markets, where ratings are not required for regulatory purposes.</w:t>
      </w:r>
    </w:p>
    <w:p w14:paraId="57F050BD" w14:textId="77777777" w:rsidR="004327A2" w:rsidRPr="004327A2" w:rsidRDefault="004327A2" w:rsidP="004327A2">
      <w:pPr>
        <w:spacing w:after="0" w:line="240" w:lineRule="auto"/>
        <w:ind w:left="432"/>
        <w:rPr>
          <w:rFonts w:ascii="Times New Roman" w:eastAsia="Times New Roman" w:hAnsi="Times New Roman" w:cs="Times New Roman"/>
          <w:kern w:val="0"/>
          <w:lang w:eastAsia="en-GB"/>
          <w14:ligatures w14:val="none"/>
        </w:rPr>
      </w:pPr>
      <w:r w:rsidRPr="004327A2">
        <w:rPr>
          <w:rFonts w:ascii="Times New Roman" w:eastAsia="Times New Roman" w:hAnsi="Times New Roman" w:cs="Times New Roman"/>
          <w:kern w:val="0"/>
          <w:lang w:eastAsia="en-GB"/>
          <w14:ligatures w14:val="none"/>
        </w:rPr>
        <w:t xml:space="preserve">Investors, lenders, and issuers may use private credit ratings as an input into internal credit committees, portfolio reviews, or transaction approval processes, alongside their own internal analysis. </w:t>
      </w:r>
    </w:p>
    <w:p w14:paraId="39565557" w14:textId="77777777" w:rsidR="004327A2" w:rsidRPr="004327A2" w:rsidRDefault="004327A2" w:rsidP="004327A2">
      <w:pPr>
        <w:spacing w:after="0" w:line="240" w:lineRule="auto"/>
        <w:ind w:left="432"/>
        <w:rPr>
          <w:rFonts w:ascii="Times New Roman" w:eastAsia="Times New Roman" w:hAnsi="Times New Roman" w:cs="Times New Roman"/>
          <w:kern w:val="0"/>
          <w:lang w:eastAsia="en-GB"/>
          <w14:ligatures w14:val="none"/>
        </w:rPr>
      </w:pPr>
      <w:r w:rsidRPr="004327A2">
        <w:rPr>
          <w:rFonts w:ascii="Times New Roman" w:eastAsia="Times New Roman" w:hAnsi="Times New Roman" w:cs="Times New Roman"/>
          <w:kern w:val="0"/>
          <w:lang w:eastAsia="en-GB"/>
          <w14:ligatures w14:val="none"/>
        </w:rPr>
        <w:t xml:space="preserve">Private credit ratings also add value in transaction execution and pricing discussions in private markets. </w:t>
      </w:r>
    </w:p>
    <w:p w14:paraId="4014B157" w14:textId="77777777" w:rsidR="004327A2" w:rsidRPr="004327A2" w:rsidRDefault="004327A2" w:rsidP="004327A2">
      <w:pPr>
        <w:numPr>
          <w:ilvl w:val="0"/>
          <w:numId w:val="10"/>
        </w:numPr>
        <w:spacing w:after="0" w:line="240" w:lineRule="auto"/>
        <w:rPr>
          <w:rFonts w:ascii="Times New Roman" w:eastAsia="Times New Roman" w:hAnsi="Times New Roman" w:cs="Times New Roman"/>
          <w:kern w:val="0"/>
          <w:lang w:eastAsia="en-GB"/>
          <w14:ligatures w14:val="none"/>
        </w:rPr>
      </w:pPr>
      <w:r w:rsidRPr="004327A2">
        <w:rPr>
          <w:rFonts w:ascii="Times New Roman" w:eastAsia="Times New Roman" w:hAnsi="Times New Roman" w:cs="Times New Roman"/>
          <w:kern w:val="0"/>
          <w:lang w:eastAsia="en-GB"/>
          <w14:ligatures w14:val="none"/>
        </w:rPr>
        <w:t>For example, a borrower may obtain a private credit rating on a specific debt issuance to support discussions with a limited number of prospective lenders or investors. The rating outcome and associated analytical rationale can help inform bids, pricing decisions, and investment appetite.</w:t>
      </w:r>
    </w:p>
    <w:p w14:paraId="74E41C10" w14:textId="77777777" w:rsidR="004327A2" w:rsidRPr="004327A2" w:rsidRDefault="004327A2" w:rsidP="004327A2">
      <w:pPr>
        <w:numPr>
          <w:ilvl w:val="0"/>
          <w:numId w:val="10"/>
        </w:numPr>
        <w:spacing w:after="0" w:line="240" w:lineRule="auto"/>
        <w:rPr>
          <w:rFonts w:ascii="Times New Roman" w:eastAsia="Times New Roman" w:hAnsi="Times New Roman" w:cs="Times New Roman"/>
          <w:kern w:val="0"/>
          <w:lang w:eastAsia="en-GB"/>
          <w14:ligatures w14:val="none"/>
        </w:rPr>
      </w:pPr>
      <w:r w:rsidRPr="004327A2">
        <w:rPr>
          <w:rFonts w:ascii="Times New Roman" w:eastAsia="Times New Roman" w:hAnsi="Times New Roman" w:cs="Times New Roman"/>
          <w:kern w:val="0"/>
          <w:lang w:eastAsia="en-GB"/>
          <w14:ligatures w14:val="none"/>
        </w:rPr>
        <w:t>Issuers may use private credit ratings for internal benchmarking and financial planning. An issuer may request a private entity</w:t>
      </w:r>
      <w:r w:rsidRPr="004327A2">
        <w:rPr>
          <w:rFonts w:ascii="Times New Roman" w:eastAsia="Times New Roman" w:hAnsi="Times New Roman" w:cs="Times New Roman"/>
          <w:kern w:val="0"/>
          <w:lang w:val="en-US" w:eastAsia="en-GB"/>
          <w14:ligatures w14:val="none"/>
        </w:rPr>
        <w:noBreakHyphen/>
      </w:r>
      <w:r w:rsidRPr="004327A2">
        <w:rPr>
          <w:rFonts w:ascii="Times New Roman" w:eastAsia="Times New Roman" w:hAnsi="Times New Roman" w:cs="Times New Roman"/>
          <w:kern w:val="0"/>
          <w:lang w:eastAsia="en-GB"/>
          <w14:ligatures w14:val="none"/>
        </w:rPr>
        <w:t>level credit rating to benchmark its credit profile against publicly rated peers, assess the potential impact of strategic or financial decisions, or establish an analytical track record with a credit rating agency in anticipation of future financing needs. In some cases, an existing private credit rating may support a more efficient transition to a publicly disseminated rating if market conditions or funding needs change.</w:t>
      </w:r>
    </w:p>
    <w:p w14:paraId="74CF0038" w14:textId="77777777" w:rsidR="009A6C45" w:rsidRDefault="009A6C45" w:rsidP="001013E7">
      <w:pPr>
        <w:spacing w:after="0" w:line="240" w:lineRule="auto"/>
        <w:ind w:left="432"/>
        <w:rPr>
          <w:rFonts w:ascii="Times New Roman" w:eastAsia="Times New Roman" w:hAnsi="Times New Roman" w:cs="Times New Roman"/>
          <w:kern w:val="0"/>
          <w:lang w:eastAsia="en-GB"/>
          <w14:ligatures w14:val="none"/>
        </w:rPr>
      </w:pPr>
    </w:p>
    <w:p w14:paraId="7699274A" w14:textId="69C63AE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041D56F"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3DBC7455" w14:textId="4DCA7A00" w:rsidR="007243AE" w:rsidRP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5</w:t>
      </w:r>
      <w:r w:rsidRPr="007243AE">
        <w:rPr>
          <w:rFonts w:ascii="Arial" w:eastAsia="MS PGothic" w:hAnsi="Arial" w:cs="Arial"/>
          <w:color w:val="181818"/>
          <w:kern w:val="0"/>
          <w:sz w:val="22"/>
          <w:szCs w:val="20"/>
          <w14:ligatures w14:val="none"/>
        </w:rPr>
        <w:t xml:space="preserve"> In your view, does the current regulatory framework adequately support the market need for external credit risk assessments in private markets? If not, please indicate in which areas improvements may be warranted.</w:t>
      </w:r>
    </w:p>
    <w:p w14:paraId="0D046171" w14:textId="3186249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06892B2C" w14:textId="77777777" w:rsidR="001E3AE4" w:rsidRDefault="001E3AE4" w:rsidP="001013E7">
      <w:pPr>
        <w:spacing w:after="0" w:line="240" w:lineRule="auto"/>
        <w:ind w:left="432"/>
        <w:rPr>
          <w:rFonts w:ascii="Times New Roman" w:eastAsia="Times New Roman" w:hAnsi="Times New Roman" w:cs="Times New Roman"/>
          <w:kern w:val="0"/>
          <w:lang w:eastAsia="en-GB"/>
          <w14:ligatures w14:val="none"/>
        </w:rPr>
      </w:pPr>
    </w:p>
    <w:p w14:paraId="2D502941" w14:textId="410995AD" w:rsidR="001E3AE4" w:rsidRDefault="001E3AE4"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Please see our answer to Question 13.</w:t>
      </w:r>
    </w:p>
    <w:p w14:paraId="4B1BD25F" w14:textId="77777777" w:rsidR="001E3AE4" w:rsidRDefault="001E3AE4" w:rsidP="001013E7">
      <w:pPr>
        <w:spacing w:after="0" w:line="240" w:lineRule="auto"/>
        <w:ind w:left="432"/>
        <w:rPr>
          <w:rFonts w:ascii="Times New Roman" w:eastAsia="Times New Roman" w:hAnsi="Times New Roman" w:cs="Times New Roman"/>
          <w:kern w:val="0"/>
          <w:lang w:eastAsia="en-GB"/>
          <w14:ligatures w14:val="none"/>
        </w:rPr>
      </w:pPr>
    </w:p>
    <w:p w14:paraId="303A15FB" w14:textId="5749F3D3"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1C2F1F6" w14:textId="77777777"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B614A62" w14:textId="31013C2D"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59EC67C5" w14:textId="6C842F80" w:rsidR="001D60A4" w:rsidRDefault="001D60A4" w:rsidP="001D60A4">
      <w:pPr>
        <w:spacing w:after="250" w:line="276" w:lineRule="auto"/>
        <w:ind w:left="432"/>
        <w:jc w:val="both"/>
        <w:rPr>
          <w:rFonts w:ascii="Arial" w:eastAsia="MS PGothic" w:hAnsi="Arial" w:cs="Arial"/>
          <w:color w:val="181818"/>
          <w:kern w:val="0"/>
          <w:sz w:val="22"/>
          <w:szCs w:val="20"/>
          <w14:ligatures w14:val="none"/>
        </w:rPr>
      </w:pPr>
      <w:r w:rsidRPr="001D60A4">
        <w:rPr>
          <w:rFonts w:ascii="Arial" w:eastAsia="MS PGothic" w:hAnsi="Arial" w:cs="Arial"/>
          <w:b/>
          <w:bCs/>
          <w:color w:val="181818"/>
          <w:kern w:val="0"/>
          <w:sz w:val="22"/>
          <w:szCs w:val="20"/>
          <w14:ligatures w14:val="none"/>
        </w:rPr>
        <w:t>Q.1</w:t>
      </w:r>
      <w:r w:rsidR="0028075F">
        <w:rPr>
          <w:rFonts w:ascii="Arial" w:eastAsia="MS PGothic" w:hAnsi="Arial" w:cs="Arial"/>
          <w:b/>
          <w:bCs/>
          <w:color w:val="181818"/>
          <w:kern w:val="0"/>
          <w:sz w:val="22"/>
          <w:szCs w:val="20"/>
          <w14:ligatures w14:val="none"/>
        </w:rPr>
        <w:t>6</w:t>
      </w:r>
      <w:r w:rsidRPr="001D60A4">
        <w:rPr>
          <w:rFonts w:ascii="Arial" w:eastAsia="MS PGothic" w:hAnsi="Arial" w:cs="Arial"/>
          <w:color w:val="181818"/>
          <w:kern w:val="0"/>
          <w:sz w:val="22"/>
          <w:szCs w:val="20"/>
          <w14:ligatures w14:val="none"/>
        </w:rPr>
        <w:t xml:space="preserve"> Are there any additional considerations or evidence related to private ratings that stakeholders consider relevant for the purposes of this Call for Evidence, but which have not been addressed in the questions above?</w:t>
      </w:r>
    </w:p>
    <w:p w14:paraId="6EAA6780" w14:textId="6F9A89ED" w:rsidR="00EB22E2" w:rsidRPr="00323E56"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23CACBD4" w14:textId="5C49F7F0" w:rsidR="348D6163" w:rsidRDefault="348D6163" w:rsidP="348D6163">
      <w:pPr>
        <w:ind w:left="420"/>
      </w:pPr>
      <w:r w:rsidRPr="348D6163">
        <w:rPr>
          <w:rFonts w:ascii="Times New Roman" w:eastAsia="Times New Roman" w:hAnsi="Times New Roman" w:cs="Times New Roman"/>
          <w:b/>
          <w:bCs/>
        </w:rPr>
        <w:t>Comparison of restricted subscription ratings and private ratings</w:t>
      </w:r>
    </w:p>
    <w:tbl>
      <w:tblPr>
        <w:tblStyle w:val="TableGrid"/>
        <w:tblW w:w="0" w:type="auto"/>
        <w:tblLook w:val="04A0" w:firstRow="1" w:lastRow="0" w:firstColumn="1" w:lastColumn="0" w:noHBand="0" w:noVBand="1"/>
      </w:tblPr>
      <w:tblGrid>
        <w:gridCol w:w="3300"/>
        <w:gridCol w:w="3300"/>
      </w:tblGrid>
      <w:tr w:rsidR="348D6163" w14:paraId="1710A826" w14:textId="77777777" w:rsidTr="348D6163">
        <w:tc>
          <w:tcPr>
            <w:tcW w:w="3300" w:type="dxa"/>
          </w:tcPr>
          <w:p w14:paraId="581CBE39" w14:textId="2DF4FBD3" w:rsidR="348D6163" w:rsidRDefault="348D6163" w:rsidP="348D6163">
            <w:pPr>
              <w:ind w:left="420"/>
            </w:pPr>
            <w:r w:rsidRPr="348D6163">
              <w:rPr>
                <w:rFonts w:ascii="Times New Roman" w:eastAsia="Times New Roman" w:hAnsi="Times New Roman" w:cs="Times New Roman"/>
                <w:b/>
                <w:bCs/>
              </w:rPr>
              <w:t>Restricted subscription ratings</w:t>
            </w:r>
          </w:p>
        </w:tc>
        <w:tc>
          <w:tcPr>
            <w:tcW w:w="3300" w:type="dxa"/>
          </w:tcPr>
          <w:p w14:paraId="2A6E5A96" w14:textId="556A60B2" w:rsidR="348D6163" w:rsidRDefault="348D6163" w:rsidP="348D6163">
            <w:pPr>
              <w:ind w:left="420"/>
            </w:pPr>
            <w:r w:rsidRPr="348D6163">
              <w:rPr>
                <w:rFonts w:ascii="Times New Roman" w:eastAsia="Times New Roman" w:hAnsi="Times New Roman" w:cs="Times New Roman"/>
                <w:b/>
                <w:bCs/>
              </w:rPr>
              <w:t>Private ratings</w:t>
            </w:r>
          </w:p>
        </w:tc>
      </w:tr>
      <w:tr w:rsidR="348D6163" w14:paraId="3284314E" w14:textId="77777777" w:rsidTr="348D6163">
        <w:tc>
          <w:tcPr>
            <w:tcW w:w="3300" w:type="dxa"/>
          </w:tcPr>
          <w:p w14:paraId="2569E8E1" w14:textId="1073987D" w:rsidR="348D6163" w:rsidRDefault="348D6163" w:rsidP="348D6163">
            <w:pPr>
              <w:ind w:left="420"/>
            </w:pPr>
            <w:r w:rsidRPr="348D6163">
              <w:rPr>
                <w:rFonts w:ascii="Times New Roman" w:eastAsia="Times New Roman" w:hAnsi="Times New Roman" w:cs="Times New Roman"/>
                <w:b/>
                <w:bCs/>
              </w:rPr>
              <w:t>Regulatory status:</w:t>
            </w:r>
            <w:r w:rsidRPr="348D6163">
              <w:rPr>
                <w:rFonts w:ascii="Times New Roman" w:eastAsia="Times New Roman" w:hAnsi="Times New Roman" w:cs="Times New Roman"/>
              </w:rPr>
              <w:t xml:space="preserve"> In scope of the EU CRA Regulation.</w:t>
            </w:r>
          </w:p>
        </w:tc>
        <w:tc>
          <w:tcPr>
            <w:tcW w:w="3300" w:type="dxa"/>
          </w:tcPr>
          <w:p w14:paraId="2B56607A" w14:textId="27699CF5" w:rsidR="348D6163" w:rsidRDefault="348D6163" w:rsidP="348D6163">
            <w:pPr>
              <w:ind w:left="420"/>
            </w:pPr>
            <w:r w:rsidRPr="348D6163">
              <w:rPr>
                <w:rFonts w:ascii="Times New Roman" w:eastAsia="Times New Roman" w:hAnsi="Times New Roman" w:cs="Times New Roman"/>
                <w:b/>
                <w:bCs/>
              </w:rPr>
              <w:t>Regulatory status:</w:t>
            </w:r>
            <w:r w:rsidRPr="348D6163">
              <w:rPr>
                <w:rFonts w:ascii="Times New Roman" w:eastAsia="Times New Roman" w:hAnsi="Times New Roman" w:cs="Times New Roman"/>
              </w:rPr>
              <w:t xml:space="preserve"> Outside the EU CRA Regulation as described in the document.</w:t>
            </w:r>
          </w:p>
        </w:tc>
      </w:tr>
      <w:tr w:rsidR="348D6163" w14:paraId="2FABF8EF" w14:textId="77777777" w:rsidTr="348D6163">
        <w:tc>
          <w:tcPr>
            <w:tcW w:w="3300" w:type="dxa"/>
          </w:tcPr>
          <w:p w14:paraId="26B25D09" w14:textId="3D715C7C" w:rsidR="348D6163" w:rsidRDefault="348D6163" w:rsidP="348D6163">
            <w:pPr>
              <w:ind w:left="420"/>
            </w:pPr>
            <w:r w:rsidRPr="348D6163">
              <w:rPr>
                <w:rFonts w:ascii="Times New Roman" w:eastAsia="Times New Roman" w:hAnsi="Times New Roman" w:cs="Times New Roman"/>
                <w:b/>
                <w:bCs/>
              </w:rPr>
              <w:t>Primary purpose:</w:t>
            </w:r>
            <w:r w:rsidRPr="348D6163">
              <w:rPr>
                <w:rFonts w:ascii="Times New Roman" w:eastAsia="Times New Roman" w:hAnsi="Times New Roman" w:cs="Times New Roman"/>
              </w:rPr>
              <w:t xml:space="preserve"> Provide regulated, regulatory-</w:t>
            </w:r>
            <w:r w:rsidRPr="348D6163">
              <w:rPr>
                <w:rFonts w:ascii="Times New Roman" w:eastAsia="Times New Roman" w:hAnsi="Times New Roman" w:cs="Times New Roman"/>
              </w:rPr>
              <w:lastRenderedPageBreak/>
              <w:t>usable ratings for private or non-public debt markets.</w:t>
            </w:r>
          </w:p>
        </w:tc>
        <w:tc>
          <w:tcPr>
            <w:tcW w:w="3300" w:type="dxa"/>
          </w:tcPr>
          <w:p w14:paraId="1113DC2E" w14:textId="227850A6" w:rsidR="348D6163" w:rsidRDefault="348D6163" w:rsidP="348D6163">
            <w:pPr>
              <w:ind w:left="420"/>
            </w:pPr>
            <w:r w:rsidRPr="348D6163">
              <w:rPr>
                <w:rFonts w:ascii="Times New Roman" w:eastAsia="Times New Roman" w:hAnsi="Times New Roman" w:cs="Times New Roman"/>
                <w:b/>
                <w:bCs/>
              </w:rPr>
              <w:lastRenderedPageBreak/>
              <w:t>Primary purpose:</w:t>
            </w:r>
            <w:r w:rsidRPr="348D6163">
              <w:rPr>
                <w:rFonts w:ascii="Times New Roman" w:eastAsia="Times New Roman" w:hAnsi="Times New Roman" w:cs="Times New Roman"/>
              </w:rPr>
              <w:t xml:space="preserve"> Support internal decision-making, pricing, benchmarking, </w:t>
            </w:r>
            <w:r w:rsidRPr="348D6163">
              <w:rPr>
                <w:rFonts w:ascii="Times New Roman" w:eastAsia="Times New Roman" w:hAnsi="Times New Roman" w:cs="Times New Roman"/>
              </w:rPr>
              <w:lastRenderedPageBreak/>
              <w:t>capital planning, and transaction execution.</w:t>
            </w:r>
          </w:p>
        </w:tc>
      </w:tr>
      <w:tr w:rsidR="348D6163" w14:paraId="6E87C43A" w14:textId="77777777" w:rsidTr="348D6163">
        <w:tc>
          <w:tcPr>
            <w:tcW w:w="3300" w:type="dxa"/>
          </w:tcPr>
          <w:p w14:paraId="273E825A" w14:textId="4BD42B8E" w:rsidR="348D6163" w:rsidRDefault="348D6163" w:rsidP="348D6163">
            <w:pPr>
              <w:ind w:left="420"/>
            </w:pPr>
            <w:r w:rsidRPr="348D6163">
              <w:rPr>
                <w:rFonts w:ascii="Times New Roman" w:eastAsia="Times New Roman" w:hAnsi="Times New Roman" w:cs="Times New Roman"/>
                <w:b/>
                <w:bCs/>
              </w:rPr>
              <w:lastRenderedPageBreak/>
              <w:t>Regulatory use:</w:t>
            </w:r>
            <w:r w:rsidRPr="348D6163">
              <w:rPr>
                <w:rFonts w:ascii="Times New Roman" w:eastAsia="Times New Roman" w:hAnsi="Times New Roman" w:cs="Times New Roman"/>
              </w:rPr>
              <w:t xml:space="preserve"> Eligible for regulatory use.</w:t>
            </w:r>
          </w:p>
        </w:tc>
        <w:tc>
          <w:tcPr>
            <w:tcW w:w="3300" w:type="dxa"/>
          </w:tcPr>
          <w:p w14:paraId="0E168B5D" w14:textId="3E07A296" w:rsidR="348D6163" w:rsidRDefault="348D6163" w:rsidP="348D6163">
            <w:pPr>
              <w:ind w:left="420"/>
            </w:pPr>
            <w:r w:rsidRPr="348D6163">
              <w:rPr>
                <w:rFonts w:ascii="Times New Roman" w:eastAsia="Times New Roman" w:hAnsi="Times New Roman" w:cs="Times New Roman"/>
                <w:b/>
                <w:bCs/>
              </w:rPr>
              <w:t>Regulatory use:</w:t>
            </w:r>
            <w:r w:rsidRPr="348D6163">
              <w:rPr>
                <w:rFonts w:ascii="Times New Roman" w:eastAsia="Times New Roman" w:hAnsi="Times New Roman" w:cs="Times New Roman"/>
              </w:rPr>
              <w:t xml:space="preserve"> Not intended for direct regulatory use.</w:t>
            </w:r>
          </w:p>
        </w:tc>
      </w:tr>
      <w:tr w:rsidR="348D6163" w14:paraId="5F1EC067" w14:textId="77777777" w:rsidTr="348D6163">
        <w:tc>
          <w:tcPr>
            <w:tcW w:w="3300" w:type="dxa"/>
          </w:tcPr>
          <w:p w14:paraId="02D6415B" w14:textId="6DFD56B2" w:rsidR="348D6163" w:rsidRDefault="348D6163" w:rsidP="348D6163">
            <w:pPr>
              <w:ind w:left="420"/>
            </w:pPr>
            <w:r w:rsidRPr="348D6163">
              <w:rPr>
                <w:rFonts w:ascii="Times New Roman" w:eastAsia="Times New Roman" w:hAnsi="Times New Roman" w:cs="Times New Roman"/>
                <w:b/>
                <w:bCs/>
              </w:rPr>
              <w:t>Access model:</w:t>
            </w:r>
            <w:r w:rsidRPr="348D6163">
              <w:rPr>
                <w:rFonts w:ascii="Times New Roman" w:eastAsia="Times New Roman" w:hAnsi="Times New Roman" w:cs="Times New Roman"/>
              </w:rPr>
              <w:t xml:space="preserve"> Distributed by subscription, for a fee, to eligible subscribers with a demonstrable economic interest on a non-discriminatory basis.</w:t>
            </w:r>
          </w:p>
        </w:tc>
        <w:tc>
          <w:tcPr>
            <w:tcW w:w="3300" w:type="dxa"/>
          </w:tcPr>
          <w:p w14:paraId="4A5754C2" w14:textId="48C4704F" w:rsidR="348D6163" w:rsidRDefault="348D6163" w:rsidP="348D6163">
            <w:pPr>
              <w:ind w:left="420"/>
            </w:pPr>
            <w:r w:rsidRPr="348D6163">
              <w:rPr>
                <w:rFonts w:ascii="Times New Roman" w:eastAsia="Times New Roman" w:hAnsi="Times New Roman" w:cs="Times New Roman"/>
                <w:b/>
                <w:bCs/>
              </w:rPr>
              <w:t>Access model:</w:t>
            </w:r>
            <w:r w:rsidRPr="348D6163">
              <w:rPr>
                <w:rFonts w:ascii="Times New Roman" w:eastAsia="Times New Roman" w:hAnsi="Times New Roman" w:cs="Times New Roman"/>
              </w:rPr>
              <w:t xml:space="preserve"> Used for targeted, bilateral, or limited-audience purposes tied to a specific transaction or issuer need.</w:t>
            </w:r>
          </w:p>
        </w:tc>
      </w:tr>
      <w:tr w:rsidR="348D6163" w14:paraId="66E1624F" w14:textId="77777777" w:rsidTr="348D6163">
        <w:tc>
          <w:tcPr>
            <w:tcW w:w="3300" w:type="dxa"/>
          </w:tcPr>
          <w:p w14:paraId="2A5CA7D7" w14:textId="03702D46" w:rsidR="348D6163" w:rsidRDefault="348D6163" w:rsidP="348D6163">
            <w:pPr>
              <w:ind w:left="420"/>
            </w:pPr>
            <w:r w:rsidRPr="348D6163">
              <w:rPr>
                <w:rFonts w:ascii="Times New Roman" w:eastAsia="Times New Roman" w:hAnsi="Times New Roman" w:cs="Times New Roman"/>
                <w:b/>
                <w:bCs/>
              </w:rPr>
              <w:t>Typical use cases:</w:t>
            </w:r>
            <w:r w:rsidRPr="348D6163">
              <w:rPr>
                <w:rFonts w:ascii="Times New Roman" w:eastAsia="Times New Roman" w:hAnsi="Times New Roman" w:cs="Times New Roman"/>
              </w:rPr>
              <w:t xml:space="preserve"> Fund finance facilities, private loans, and private placements sold to a limited group of regulated investors.</w:t>
            </w:r>
          </w:p>
        </w:tc>
        <w:tc>
          <w:tcPr>
            <w:tcW w:w="3300" w:type="dxa"/>
          </w:tcPr>
          <w:p w14:paraId="71D696D3" w14:textId="5B69BE66" w:rsidR="348D6163" w:rsidRDefault="348D6163" w:rsidP="348D6163">
            <w:pPr>
              <w:ind w:left="420"/>
            </w:pPr>
            <w:r w:rsidRPr="348D6163">
              <w:rPr>
                <w:rFonts w:ascii="Times New Roman" w:eastAsia="Times New Roman" w:hAnsi="Times New Roman" w:cs="Times New Roman"/>
                <w:b/>
                <w:bCs/>
              </w:rPr>
              <w:t>Typical use cases:</w:t>
            </w:r>
            <w:r w:rsidRPr="348D6163">
              <w:rPr>
                <w:rFonts w:ascii="Times New Roman" w:eastAsia="Times New Roman" w:hAnsi="Times New Roman" w:cs="Times New Roman"/>
              </w:rPr>
              <w:t xml:space="preserve"> Internal credit assessment, transaction pricing, private placements, syndicated or bilateral lending, peer benchmarking, and building a track record before a possible public rating.</w:t>
            </w:r>
          </w:p>
        </w:tc>
      </w:tr>
      <w:tr w:rsidR="348D6163" w14:paraId="5A4435F9" w14:textId="77777777" w:rsidTr="348D6163">
        <w:tc>
          <w:tcPr>
            <w:tcW w:w="3300" w:type="dxa"/>
          </w:tcPr>
          <w:p w14:paraId="427223CC" w14:textId="375E1FC5" w:rsidR="348D6163" w:rsidRDefault="348D6163" w:rsidP="348D6163">
            <w:pPr>
              <w:ind w:left="420"/>
            </w:pPr>
            <w:r w:rsidRPr="348D6163">
              <w:rPr>
                <w:rFonts w:ascii="Times New Roman" w:eastAsia="Times New Roman" w:hAnsi="Times New Roman" w:cs="Times New Roman"/>
                <w:b/>
                <w:bCs/>
              </w:rPr>
              <w:t>Governance and methodology:</w:t>
            </w:r>
            <w:r w:rsidRPr="348D6163">
              <w:rPr>
                <w:rFonts w:ascii="Times New Roman" w:eastAsia="Times New Roman" w:hAnsi="Times New Roman" w:cs="Times New Roman"/>
              </w:rPr>
              <w:t xml:space="preserve"> </w:t>
            </w:r>
            <w:r w:rsidR="00C81668">
              <w:rPr>
                <w:rFonts w:ascii="Times New Roman" w:eastAsia="Times New Roman" w:hAnsi="Times New Roman" w:cs="Times New Roman"/>
              </w:rPr>
              <w:t>Use of</w:t>
            </w:r>
            <w:r w:rsidR="006B18B3">
              <w:rPr>
                <w:rFonts w:ascii="Times New Roman" w:eastAsia="Times New Roman" w:hAnsi="Times New Roman" w:cs="Times New Roman"/>
              </w:rPr>
              <w:t xml:space="preserve"> </w:t>
            </w:r>
            <w:r w:rsidRPr="348D6163">
              <w:rPr>
                <w:rFonts w:ascii="Times New Roman" w:eastAsia="Times New Roman" w:hAnsi="Times New Roman" w:cs="Times New Roman"/>
              </w:rPr>
              <w:t>the same analytical teams, methodologies, governance, and monitoring as</w:t>
            </w:r>
            <w:r w:rsidR="004C75E0">
              <w:rPr>
                <w:rFonts w:ascii="Times New Roman" w:eastAsia="Times New Roman" w:hAnsi="Times New Roman" w:cs="Times New Roman"/>
              </w:rPr>
              <w:t xml:space="preserve"> </w:t>
            </w:r>
            <w:r w:rsidR="00635716">
              <w:rPr>
                <w:rFonts w:ascii="Times New Roman" w:eastAsia="Times New Roman" w:hAnsi="Times New Roman" w:cs="Times New Roman"/>
              </w:rPr>
              <w:t xml:space="preserve">for </w:t>
            </w:r>
            <w:r w:rsidR="004C75E0">
              <w:rPr>
                <w:rFonts w:ascii="Times New Roman" w:eastAsia="Times New Roman" w:hAnsi="Times New Roman" w:cs="Times New Roman"/>
              </w:rPr>
              <w:t>widely disseminated</w:t>
            </w:r>
            <w:r w:rsidRPr="348D6163">
              <w:rPr>
                <w:rFonts w:ascii="Times New Roman" w:eastAsia="Times New Roman" w:hAnsi="Times New Roman" w:cs="Times New Roman"/>
              </w:rPr>
              <w:t xml:space="preserve"> ratings.</w:t>
            </w:r>
          </w:p>
        </w:tc>
        <w:tc>
          <w:tcPr>
            <w:tcW w:w="3300" w:type="dxa"/>
          </w:tcPr>
          <w:p w14:paraId="33B4A49F" w14:textId="77E42D34" w:rsidR="348D6163" w:rsidRDefault="348D6163" w:rsidP="348D6163">
            <w:pPr>
              <w:ind w:left="420"/>
            </w:pPr>
            <w:r w:rsidRPr="348D6163">
              <w:rPr>
                <w:rFonts w:ascii="Times New Roman" w:eastAsia="Times New Roman" w:hAnsi="Times New Roman" w:cs="Times New Roman"/>
                <w:b/>
                <w:bCs/>
              </w:rPr>
              <w:t>Governance and methodology:</w:t>
            </w:r>
            <w:r w:rsidRPr="348D6163">
              <w:rPr>
                <w:rFonts w:ascii="Times New Roman" w:eastAsia="Times New Roman" w:hAnsi="Times New Roman" w:cs="Times New Roman"/>
              </w:rPr>
              <w:t xml:space="preserve"> </w:t>
            </w:r>
            <w:r w:rsidR="007E0F9C">
              <w:rPr>
                <w:rFonts w:ascii="Times New Roman" w:eastAsia="Times New Roman" w:hAnsi="Times New Roman" w:cs="Times New Roman"/>
              </w:rPr>
              <w:t xml:space="preserve">Use of </w:t>
            </w:r>
            <w:r w:rsidRPr="348D6163">
              <w:rPr>
                <w:rFonts w:ascii="Times New Roman" w:eastAsia="Times New Roman" w:hAnsi="Times New Roman" w:cs="Times New Roman"/>
              </w:rPr>
              <w:t>the same core analytical standards, governance arrangements, and internal controls as for</w:t>
            </w:r>
            <w:r w:rsidR="00E1304C">
              <w:rPr>
                <w:rFonts w:ascii="Times New Roman" w:eastAsia="Times New Roman" w:hAnsi="Times New Roman" w:cs="Times New Roman"/>
              </w:rPr>
              <w:t xml:space="preserve"> widely </w:t>
            </w:r>
            <w:r w:rsidR="001C5773">
              <w:rPr>
                <w:rFonts w:ascii="Times New Roman" w:eastAsia="Times New Roman" w:hAnsi="Times New Roman" w:cs="Times New Roman"/>
              </w:rPr>
              <w:t>disseminated</w:t>
            </w:r>
            <w:r w:rsidR="001C5773" w:rsidRPr="348D6163">
              <w:rPr>
                <w:rFonts w:ascii="Times New Roman" w:eastAsia="Times New Roman" w:hAnsi="Times New Roman" w:cs="Times New Roman"/>
              </w:rPr>
              <w:t xml:space="preserve"> ratings</w:t>
            </w:r>
            <w:r w:rsidRPr="348D6163">
              <w:rPr>
                <w:rFonts w:ascii="Times New Roman" w:eastAsia="Times New Roman" w:hAnsi="Times New Roman" w:cs="Times New Roman"/>
              </w:rPr>
              <w:t>.</w:t>
            </w:r>
          </w:p>
        </w:tc>
      </w:tr>
      <w:tr w:rsidR="348D6163" w14:paraId="01D5C85C" w14:textId="77777777" w:rsidTr="348D6163">
        <w:tc>
          <w:tcPr>
            <w:tcW w:w="3300" w:type="dxa"/>
          </w:tcPr>
          <w:p w14:paraId="5F6C8DF5" w14:textId="4D1CB684" w:rsidR="348D6163" w:rsidRDefault="348D6163" w:rsidP="348D6163">
            <w:pPr>
              <w:ind w:left="420"/>
            </w:pPr>
            <w:r w:rsidRPr="348D6163">
              <w:rPr>
                <w:rFonts w:ascii="Times New Roman" w:eastAsia="Times New Roman" w:hAnsi="Times New Roman" w:cs="Times New Roman"/>
                <w:b/>
                <w:bCs/>
              </w:rPr>
              <w:t>Market role:</w:t>
            </w:r>
            <w:r w:rsidRPr="348D6163">
              <w:rPr>
                <w:rFonts w:ascii="Times New Roman" w:eastAsia="Times New Roman" w:hAnsi="Times New Roman" w:cs="Times New Roman"/>
              </w:rPr>
              <w:t xml:space="preserve"> A regulated rating product adapted to private markets while preserving confidentiality.</w:t>
            </w:r>
          </w:p>
        </w:tc>
        <w:tc>
          <w:tcPr>
            <w:tcW w:w="3300" w:type="dxa"/>
          </w:tcPr>
          <w:p w14:paraId="6CC4FC00" w14:textId="7B1AF4F8" w:rsidR="348D6163" w:rsidRDefault="348D6163" w:rsidP="348D6163">
            <w:pPr>
              <w:ind w:left="420"/>
            </w:pPr>
            <w:r w:rsidRPr="348D6163">
              <w:rPr>
                <w:rFonts w:ascii="Times New Roman" w:eastAsia="Times New Roman" w:hAnsi="Times New Roman" w:cs="Times New Roman"/>
                <w:b/>
                <w:bCs/>
              </w:rPr>
              <w:t>Market role:</w:t>
            </w:r>
            <w:r w:rsidRPr="348D6163">
              <w:rPr>
                <w:rFonts w:ascii="Times New Roman" w:eastAsia="Times New Roman" w:hAnsi="Times New Roman" w:cs="Times New Roman"/>
              </w:rPr>
              <w:t xml:space="preserve"> A limited-audience analytical tool that does not provide market-wide transparency in the same way as public ratings.</w:t>
            </w:r>
          </w:p>
        </w:tc>
      </w:tr>
    </w:tbl>
    <w:p w14:paraId="3EEC517A" w14:textId="77777777" w:rsidR="00460D51" w:rsidRDefault="00460D51" w:rsidP="00EB22E2">
      <w:pPr>
        <w:spacing w:after="0" w:line="240" w:lineRule="auto"/>
        <w:ind w:left="432"/>
        <w:rPr>
          <w:rFonts w:ascii="Times New Roman" w:eastAsia="Times New Roman" w:hAnsi="Times New Roman" w:cs="Times New Roman"/>
          <w:kern w:val="0"/>
          <w:lang w:eastAsia="en-GB"/>
          <w14:ligatures w14:val="none"/>
        </w:rPr>
      </w:pPr>
    </w:p>
    <w:p w14:paraId="436C0F36" w14:textId="4C99AF71" w:rsidR="00EB22E2"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7F8D66B7" w14:textId="77777777" w:rsidR="00EB22E2" w:rsidRDefault="00EB22E2" w:rsidP="001D60A4">
      <w:pPr>
        <w:spacing w:after="250" w:line="276" w:lineRule="auto"/>
        <w:ind w:left="432"/>
        <w:jc w:val="both"/>
        <w:rPr>
          <w:rFonts w:ascii="Arial" w:eastAsia="MS PGothic" w:hAnsi="Arial" w:cs="Arial"/>
          <w:color w:val="181818"/>
          <w:kern w:val="0"/>
          <w:sz w:val="22"/>
          <w:szCs w:val="20"/>
          <w14:ligatures w14:val="none"/>
        </w:rPr>
      </w:pPr>
    </w:p>
    <w:p w14:paraId="70D24EF5" w14:textId="77777777" w:rsidR="001D60A4" w:rsidRPr="001D60A4" w:rsidRDefault="001D60A4" w:rsidP="001D60A4">
      <w:pPr>
        <w:spacing w:after="250" w:line="276" w:lineRule="auto"/>
        <w:ind w:left="432"/>
        <w:jc w:val="both"/>
        <w:rPr>
          <w:rFonts w:ascii="Arial" w:eastAsia="MS PGothic" w:hAnsi="Arial" w:cs="Arial"/>
          <w:color w:val="181818"/>
          <w:kern w:val="0"/>
          <w:sz w:val="22"/>
          <w:szCs w:val="20"/>
          <w14:ligatures w14:val="none"/>
        </w:rPr>
      </w:pPr>
    </w:p>
    <w:p w14:paraId="7ED8B032" w14:textId="77777777" w:rsidR="001D60A4" w:rsidRPr="00323E56"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252AB52" w14:textId="52D8CFBE" w:rsidR="003B1400" w:rsidRDefault="003B1400" w:rsidP="006807AF">
      <w:pPr>
        <w:spacing w:after="0" w:line="240" w:lineRule="auto"/>
        <w:ind w:left="432"/>
      </w:pPr>
    </w:p>
    <w:sectPr w:rsidR="003B14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C4A9" w14:textId="77777777" w:rsidR="00565DF1" w:rsidRDefault="00565DF1" w:rsidP="00B15926">
      <w:pPr>
        <w:spacing w:after="0" w:line="240" w:lineRule="auto"/>
      </w:pPr>
      <w:r>
        <w:separator/>
      </w:r>
    </w:p>
  </w:endnote>
  <w:endnote w:type="continuationSeparator" w:id="0">
    <w:p w14:paraId="2DF4AA12" w14:textId="77777777" w:rsidR="00565DF1" w:rsidRDefault="00565DF1" w:rsidP="00B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E261" w14:textId="77777777" w:rsidR="00671CAA" w:rsidRDefault="0067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77777777" w:rsidR="00B15926" w:rsidRDefault="00B15926" w:rsidP="00862BBD">
    <w:pPr>
      <w:pStyle w:val="Footer"/>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3D61B" w14:textId="77777777" w:rsidR="00565DF1" w:rsidRDefault="00565DF1" w:rsidP="00B15926">
      <w:pPr>
        <w:spacing w:after="0" w:line="240" w:lineRule="auto"/>
      </w:pPr>
      <w:r>
        <w:separator/>
      </w:r>
    </w:p>
  </w:footnote>
  <w:footnote w:type="continuationSeparator" w:id="0">
    <w:p w14:paraId="0BFD4D73" w14:textId="77777777" w:rsidR="00565DF1" w:rsidRDefault="00565DF1" w:rsidP="00B1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183" w14:textId="77777777" w:rsidR="00671CAA" w:rsidRDefault="00671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Header"/>
    </w:pPr>
  </w:p>
  <w:p w14:paraId="4DEE31CB" w14:textId="77777777" w:rsidR="00B15926" w:rsidRDefault="00B15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Header"/>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Header"/>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C2ECEB8">
            <v:shape id="Freeform: Shape 7" style="position:absolute;margin-left:70.85pt;margin-top:13.75pt;width:596.1pt;height:76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w14:anchorId="6201E15B">
              <v:fill type="frame" o:title="" recolor="t" rotate="t" r:id="rId3"/>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tuC3iJMkPorFU" int2:id="HxPcGdH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EDB2"/>
    <w:multiLevelType w:val="hybridMultilevel"/>
    <w:tmpl w:val="44C0E45C"/>
    <w:lvl w:ilvl="0" w:tplc="3DB0FD2E">
      <w:start w:val="1"/>
      <w:numFmt w:val="bullet"/>
      <w:lvlText w:val=""/>
      <w:lvlJc w:val="left"/>
      <w:pPr>
        <w:ind w:left="720" w:hanging="360"/>
      </w:pPr>
      <w:rPr>
        <w:rFonts w:ascii="Symbol" w:hAnsi="Symbol" w:hint="default"/>
      </w:rPr>
    </w:lvl>
    <w:lvl w:ilvl="1" w:tplc="66C8A1FE">
      <w:start w:val="1"/>
      <w:numFmt w:val="bullet"/>
      <w:lvlText w:val="o"/>
      <w:lvlJc w:val="left"/>
      <w:pPr>
        <w:ind w:left="1440" w:hanging="360"/>
      </w:pPr>
      <w:rPr>
        <w:rFonts w:ascii="Courier New" w:hAnsi="Courier New" w:hint="default"/>
      </w:rPr>
    </w:lvl>
    <w:lvl w:ilvl="2" w:tplc="3A786902">
      <w:start w:val="1"/>
      <w:numFmt w:val="bullet"/>
      <w:lvlText w:val=""/>
      <w:lvlJc w:val="left"/>
      <w:pPr>
        <w:ind w:left="2160" w:hanging="360"/>
      </w:pPr>
      <w:rPr>
        <w:rFonts w:ascii="Wingdings" w:hAnsi="Wingdings" w:hint="default"/>
      </w:rPr>
    </w:lvl>
    <w:lvl w:ilvl="3" w:tplc="0D8AD48E">
      <w:start w:val="1"/>
      <w:numFmt w:val="bullet"/>
      <w:lvlText w:val=""/>
      <w:lvlJc w:val="left"/>
      <w:pPr>
        <w:ind w:left="2880" w:hanging="360"/>
      </w:pPr>
      <w:rPr>
        <w:rFonts w:ascii="Symbol" w:hAnsi="Symbol" w:hint="default"/>
      </w:rPr>
    </w:lvl>
    <w:lvl w:ilvl="4" w:tplc="CF301506">
      <w:start w:val="1"/>
      <w:numFmt w:val="bullet"/>
      <w:lvlText w:val="o"/>
      <w:lvlJc w:val="left"/>
      <w:pPr>
        <w:ind w:left="3600" w:hanging="360"/>
      </w:pPr>
      <w:rPr>
        <w:rFonts w:ascii="Courier New" w:hAnsi="Courier New" w:hint="default"/>
      </w:rPr>
    </w:lvl>
    <w:lvl w:ilvl="5" w:tplc="C5A28296">
      <w:start w:val="1"/>
      <w:numFmt w:val="bullet"/>
      <w:lvlText w:val=""/>
      <w:lvlJc w:val="left"/>
      <w:pPr>
        <w:ind w:left="4320" w:hanging="360"/>
      </w:pPr>
      <w:rPr>
        <w:rFonts w:ascii="Wingdings" w:hAnsi="Wingdings" w:hint="default"/>
      </w:rPr>
    </w:lvl>
    <w:lvl w:ilvl="6" w:tplc="260E618C">
      <w:start w:val="1"/>
      <w:numFmt w:val="bullet"/>
      <w:lvlText w:val=""/>
      <w:lvlJc w:val="left"/>
      <w:pPr>
        <w:ind w:left="5040" w:hanging="360"/>
      </w:pPr>
      <w:rPr>
        <w:rFonts w:ascii="Symbol" w:hAnsi="Symbol" w:hint="default"/>
      </w:rPr>
    </w:lvl>
    <w:lvl w:ilvl="7" w:tplc="C6286932">
      <w:start w:val="1"/>
      <w:numFmt w:val="bullet"/>
      <w:lvlText w:val="o"/>
      <w:lvlJc w:val="left"/>
      <w:pPr>
        <w:ind w:left="5760" w:hanging="360"/>
      </w:pPr>
      <w:rPr>
        <w:rFonts w:ascii="Courier New" w:hAnsi="Courier New" w:hint="default"/>
      </w:rPr>
    </w:lvl>
    <w:lvl w:ilvl="8" w:tplc="0A50140E">
      <w:start w:val="1"/>
      <w:numFmt w:val="bullet"/>
      <w:lvlText w:val=""/>
      <w:lvlJc w:val="left"/>
      <w:pPr>
        <w:ind w:left="6480" w:hanging="360"/>
      </w:pPr>
      <w:rPr>
        <w:rFonts w:ascii="Wingdings" w:hAnsi="Wingdings" w:hint="default"/>
      </w:rPr>
    </w:lvl>
  </w:abstractNum>
  <w:abstractNum w:abstractNumId="1" w15:restartNumberingAfterBreak="0">
    <w:nsid w:val="0D0646D4"/>
    <w:multiLevelType w:val="hybridMultilevel"/>
    <w:tmpl w:val="4506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00301"/>
    <w:multiLevelType w:val="hybridMultilevel"/>
    <w:tmpl w:val="DAB0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F68C5"/>
    <w:multiLevelType w:val="hybridMultilevel"/>
    <w:tmpl w:val="3F6EBC36"/>
    <w:lvl w:ilvl="0" w:tplc="36582850">
      <w:numFmt w:val="bullet"/>
      <w:lvlText w:val="-"/>
      <w:lvlJc w:val="left"/>
      <w:pPr>
        <w:ind w:left="720" w:hanging="360"/>
      </w:pPr>
      <w:rPr>
        <w:rFonts w:ascii="Aptos" w:eastAsiaTheme="minorEastAsia" w:hAnsi="Aptos" w:cstheme="minorBidi"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F6CDB"/>
    <w:multiLevelType w:val="hybridMultilevel"/>
    <w:tmpl w:val="FC96A34A"/>
    <w:lvl w:ilvl="0" w:tplc="36582850">
      <w:numFmt w:val="bullet"/>
      <w:lvlText w:val="-"/>
      <w:lvlJc w:val="left"/>
      <w:pPr>
        <w:ind w:left="720" w:hanging="360"/>
      </w:pPr>
      <w:rPr>
        <w:rFonts w:ascii="Aptos" w:eastAsiaTheme="minorEastAsia" w:hAnsi="Aptos" w:cstheme="minorBidi"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63617"/>
    <w:multiLevelType w:val="hybridMultilevel"/>
    <w:tmpl w:val="954051A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2E261C6"/>
    <w:multiLevelType w:val="hybridMultilevel"/>
    <w:tmpl w:val="5F804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6476960">
    <w:abstractNumId w:val="9"/>
  </w:num>
  <w:num w:numId="2" w16cid:durableId="837424337">
    <w:abstractNumId w:val="8"/>
  </w:num>
  <w:num w:numId="3" w16cid:durableId="160125971">
    <w:abstractNumId w:val="6"/>
  </w:num>
  <w:num w:numId="4" w16cid:durableId="1802074453">
    <w:abstractNumId w:val="2"/>
  </w:num>
  <w:num w:numId="5" w16cid:durableId="1410300345">
    <w:abstractNumId w:val="7"/>
  </w:num>
  <w:num w:numId="6" w16cid:durableId="235864871">
    <w:abstractNumId w:val="4"/>
  </w:num>
  <w:num w:numId="7" w16cid:durableId="1685131858">
    <w:abstractNumId w:val="3"/>
  </w:num>
  <w:num w:numId="8" w16cid:durableId="987247726">
    <w:abstractNumId w:val="1"/>
  </w:num>
  <w:num w:numId="9" w16cid:durableId="806581897">
    <w:abstractNumId w:val="5"/>
  </w:num>
  <w:num w:numId="10" w16cid:durableId="4299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025F6"/>
    <w:rsid w:val="0000549B"/>
    <w:rsid w:val="000168E7"/>
    <w:rsid w:val="00031411"/>
    <w:rsid w:val="00037557"/>
    <w:rsid w:val="000431FC"/>
    <w:rsid w:val="00050E6D"/>
    <w:rsid w:val="00052BDA"/>
    <w:rsid w:val="00053AC6"/>
    <w:rsid w:val="00054C93"/>
    <w:rsid w:val="00055B9F"/>
    <w:rsid w:val="00065BF4"/>
    <w:rsid w:val="00075F06"/>
    <w:rsid w:val="0009413C"/>
    <w:rsid w:val="00097A8E"/>
    <w:rsid w:val="000A27F6"/>
    <w:rsid w:val="000A5F51"/>
    <w:rsid w:val="000C0033"/>
    <w:rsid w:val="000D74CF"/>
    <w:rsid w:val="000E412D"/>
    <w:rsid w:val="000E4B4B"/>
    <w:rsid w:val="000E71AA"/>
    <w:rsid w:val="000E7C31"/>
    <w:rsid w:val="000F364F"/>
    <w:rsid w:val="000F4384"/>
    <w:rsid w:val="000F518A"/>
    <w:rsid w:val="001013E7"/>
    <w:rsid w:val="0010150E"/>
    <w:rsid w:val="00112E4F"/>
    <w:rsid w:val="001161AB"/>
    <w:rsid w:val="001336D6"/>
    <w:rsid w:val="00144BBB"/>
    <w:rsid w:val="001455DC"/>
    <w:rsid w:val="001672B9"/>
    <w:rsid w:val="00177DBB"/>
    <w:rsid w:val="00180F29"/>
    <w:rsid w:val="00187ED4"/>
    <w:rsid w:val="001959F6"/>
    <w:rsid w:val="001A0A9F"/>
    <w:rsid w:val="001A1BA1"/>
    <w:rsid w:val="001A48AD"/>
    <w:rsid w:val="001B34C1"/>
    <w:rsid w:val="001C5773"/>
    <w:rsid w:val="001C6A3B"/>
    <w:rsid w:val="001D2FF6"/>
    <w:rsid w:val="001D60A4"/>
    <w:rsid w:val="001E3AE4"/>
    <w:rsid w:val="00210319"/>
    <w:rsid w:val="00215472"/>
    <w:rsid w:val="00226594"/>
    <w:rsid w:val="0024665E"/>
    <w:rsid w:val="00247731"/>
    <w:rsid w:val="00247D09"/>
    <w:rsid w:val="00270CAF"/>
    <w:rsid w:val="0027357E"/>
    <w:rsid w:val="002800CA"/>
    <w:rsid w:val="0028075F"/>
    <w:rsid w:val="00281F5B"/>
    <w:rsid w:val="0028324D"/>
    <w:rsid w:val="002835B4"/>
    <w:rsid w:val="0028439C"/>
    <w:rsid w:val="002A3144"/>
    <w:rsid w:val="002C79EF"/>
    <w:rsid w:val="002D2C54"/>
    <w:rsid w:val="002D4833"/>
    <w:rsid w:val="002E048C"/>
    <w:rsid w:val="002E470D"/>
    <w:rsid w:val="00301F6C"/>
    <w:rsid w:val="00323073"/>
    <w:rsid w:val="00323E56"/>
    <w:rsid w:val="00332036"/>
    <w:rsid w:val="00335E3A"/>
    <w:rsid w:val="003373B7"/>
    <w:rsid w:val="003526D4"/>
    <w:rsid w:val="00373E9B"/>
    <w:rsid w:val="00375F67"/>
    <w:rsid w:val="00376B4D"/>
    <w:rsid w:val="00385D1C"/>
    <w:rsid w:val="003A3F17"/>
    <w:rsid w:val="003A53B1"/>
    <w:rsid w:val="003A5FE5"/>
    <w:rsid w:val="003A7978"/>
    <w:rsid w:val="003B1400"/>
    <w:rsid w:val="003B5873"/>
    <w:rsid w:val="003E292D"/>
    <w:rsid w:val="003E4107"/>
    <w:rsid w:val="003E5F13"/>
    <w:rsid w:val="003F55E1"/>
    <w:rsid w:val="00401868"/>
    <w:rsid w:val="004019C6"/>
    <w:rsid w:val="00403BF9"/>
    <w:rsid w:val="004061B4"/>
    <w:rsid w:val="00431B98"/>
    <w:rsid w:val="00432248"/>
    <w:rsid w:val="004327A2"/>
    <w:rsid w:val="00433B83"/>
    <w:rsid w:val="00446F54"/>
    <w:rsid w:val="00452678"/>
    <w:rsid w:val="00452B2F"/>
    <w:rsid w:val="00454A38"/>
    <w:rsid w:val="00460D51"/>
    <w:rsid w:val="004642B8"/>
    <w:rsid w:val="00474E0B"/>
    <w:rsid w:val="0048327D"/>
    <w:rsid w:val="004841A5"/>
    <w:rsid w:val="00484316"/>
    <w:rsid w:val="0048438F"/>
    <w:rsid w:val="00486630"/>
    <w:rsid w:val="0049060D"/>
    <w:rsid w:val="00490AD0"/>
    <w:rsid w:val="004A189D"/>
    <w:rsid w:val="004A43F6"/>
    <w:rsid w:val="004A6AB4"/>
    <w:rsid w:val="004A74E5"/>
    <w:rsid w:val="004B1977"/>
    <w:rsid w:val="004B27DF"/>
    <w:rsid w:val="004B7DF9"/>
    <w:rsid w:val="004C60B1"/>
    <w:rsid w:val="004C75E0"/>
    <w:rsid w:val="004D3080"/>
    <w:rsid w:val="004D492C"/>
    <w:rsid w:val="004D4F4B"/>
    <w:rsid w:val="004E3FED"/>
    <w:rsid w:val="004E5E2E"/>
    <w:rsid w:val="004E5F33"/>
    <w:rsid w:val="004F16CA"/>
    <w:rsid w:val="004F6C65"/>
    <w:rsid w:val="0050533B"/>
    <w:rsid w:val="005129EB"/>
    <w:rsid w:val="005147E0"/>
    <w:rsid w:val="00514C6F"/>
    <w:rsid w:val="00514F9F"/>
    <w:rsid w:val="00517025"/>
    <w:rsid w:val="00535757"/>
    <w:rsid w:val="00537492"/>
    <w:rsid w:val="00550BD5"/>
    <w:rsid w:val="0055180D"/>
    <w:rsid w:val="00565DF1"/>
    <w:rsid w:val="0057133E"/>
    <w:rsid w:val="005738B2"/>
    <w:rsid w:val="00573EB5"/>
    <w:rsid w:val="00574B1E"/>
    <w:rsid w:val="0057564D"/>
    <w:rsid w:val="00581AF9"/>
    <w:rsid w:val="00590CBC"/>
    <w:rsid w:val="0059279F"/>
    <w:rsid w:val="00594E68"/>
    <w:rsid w:val="005A28DC"/>
    <w:rsid w:val="005B72DF"/>
    <w:rsid w:val="005C2315"/>
    <w:rsid w:val="005D2B67"/>
    <w:rsid w:val="005D69BE"/>
    <w:rsid w:val="005E3F89"/>
    <w:rsid w:val="005E73E4"/>
    <w:rsid w:val="005F0BE0"/>
    <w:rsid w:val="00615FE8"/>
    <w:rsid w:val="0063218D"/>
    <w:rsid w:val="00635716"/>
    <w:rsid w:val="00653FE2"/>
    <w:rsid w:val="00663E3D"/>
    <w:rsid w:val="00663EA9"/>
    <w:rsid w:val="00671CAA"/>
    <w:rsid w:val="00680197"/>
    <w:rsid w:val="006807AF"/>
    <w:rsid w:val="00681E34"/>
    <w:rsid w:val="0068450B"/>
    <w:rsid w:val="00694894"/>
    <w:rsid w:val="00697F58"/>
    <w:rsid w:val="006B18B3"/>
    <w:rsid w:val="006B69A0"/>
    <w:rsid w:val="006B7140"/>
    <w:rsid w:val="006D2A84"/>
    <w:rsid w:val="006F4BB2"/>
    <w:rsid w:val="00714057"/>
    <w:rsid w:val="007243AE"/>
    <w:rsid w:val="00736622"/>
    <w:rsid w:val="007446AF"/>
    <w:rsid w:val="0076274A"/>
    <w:rsid w:val="007733B9"/>
    <w:rsid w:val="00774E90"/>
    <w:rsid w:val="00784CC2"/>
    <w:rsid w:val="00792D28"/>
    <w:rsid w:val="007A1C54"/>
    <w:rsid w:val="007A4168"/>
    <w:rsid w:val="007A479D"/>
    <w:rsid w:val="007A53A9"/>
    <w:rsid w:val="007C00EE"/>
    <w:rsid w:val="007C3C10"/>
    <w:rsid w:val="007C4266"/>
    <w:rsid w:val="007C45B9"/>
    <w:rsid w:val="007C4617"/>
    <w:rsid w:val="007D0044"/>
    <w:rsid w:val="007D2EDC"/>
    <w:rsid w:val="007E0F9C"/>
    <w:rsid w:val="007E118A"/>
    <w:rsid w:val="007E21CC"/>
    <w:rsid w:val="007F5F05"/>
    <w:rsid w:val="00801091"/>
    <w:rsid w:val="0080292B"/>
    <w:rsid w:val="0083726A"/>
    <w:rsid w:val="00840330"/>
    <w:rsid w:val="00843146"/>
    <w:rsid w:val="008433CF"/>
    <w:rsid w:val="00846BC0"/>
    <w:rsid w:val="008504D3"/>
    <w:rsid w:val="00852B22"/>
    <w:rsid w:val="00854343"/>
    <w:rsid w:val="00862BBD"/>
    <w:rsid w:val="008641E7"/>
    <w:rsid w:val="008A49CE"/>
    <w:rsid w:val="008A4FF4"/>
    <w:rsid w:val="008B4686"/>
    <w:rsid w:val="008D647D"/>
    <w:rsid w:val="008E60A9"/>
    <w:rsid w:val="008F0021"/>
    <w:rsid w:val="008F7E65"/>
    <w:rsid w:val="009041CA"/>
    <w:rsid w:val="00912225"/>
    <w:rsid w:val="00912374"/>
    <w:rsid w:val="0092767A"/>
    <w:rsid w:val="00927D98"/>
    <w:rsid w:val="009303E0"/>
    <w:rsid w:val="00941068"/>
    <w:rsid w:val="009572C5"/>
    <w:rsid w:val="009777DB"/>
    <w:rsid w:val="00996349"/>
    <w:rsid w:val="009A1695"/>
    <w:rsid w:val="009A6C45"/>
    <w:rsid w:val="009C3929"/>
    <w:rsid w:val="009C682C"/>
    <w:rsid w:val="009E68E9"/>
    <w:rsid w:val="009F2BAC"/>
    <w:rsid w:val="00A07103"/>
    <w:rsid w:val="00A2365D"/>
    <w:rsid w:val="00A30EDA"/>
    <w:rsid w:val="00A32440"/>
    <w:rsid w:val="00A4055F"/>
    <w:rsid w:val="00A4449F"/>
    <w:rsid w:val="00A4762D"/>
    <w:rsid w:val="00A54613"/>
    <w:rsid w:val="00A63CC3"/>
    <w:rsid w:val="00A7213A"/>
    <w:rsid w:val="00A7220E"/>
    <w:rsid w:val="00A90B52"/>
    <w:rsid w:val="00AA7ECE"/>
    <w:rsid w:val="00AB0180"/>
    <w:rsid w:val="00AC3724"/>
    <w:rsid w:val="00AC4B69"/>
    <w:rsid w:val="00AC62C2"/>
    <w:rsid w:val="00AD0AAC"/>
    <w:rsid w:val="00AE2D0F"/>
    <w:rsid w:val="00AE2EDF"/>
    <w:rsid w:val="00AE30D1"/>
    <w:rsid w:val="00AF03A6"/>
    <w:rsid w:val="00AF0D75"/>
    <w:rsid w:val="00AF29A9"/>
    <w:rsid w:val="00AF7CDD"/>
    <w:rsid w:val="00B03EF6"/>
    <w:rsid w:val="00B041A7"/>
    <w:rsid w:val="00B15926"/>
    <w:rsid w:val="00B346F5"/>
    <w:rsid w:val="00B40552"/>
    <w:rsid w:val="00B44238"/>
    <w:rsid w:val="00B46B4C"/>
    <w:rsid w:val="00B7208E"/>
    <w:rsid w:val="00B8430E"/>
    <w:rsid w:val="00B85E9D"/>
    <w:rsid w:val="00B87F7A"/>
    <w:rsid w:val="00B937EE"/>
    <w:rsid w:val="00B96569"/>
    <w:rsid w:val="00BA2B51"/>
    <w:rsid w:val="00BC15A7"/>
    <w:rsid w:val="00BC69DF"/>
    <w:rsid w:val="00BD0A00"/>
    <w:rsid w:val="00BD5160"/>
    <w:rsid w:val="00BD6A71"/>
    <w:rsid w:val="00BE1894"/>
    <w:rsid w:val="00BE25B7"/>
    <w:rsid w:val="00BE3724"/>
    <w:rsid w:val="00BE68DE"/>
    <w:rsid w:val="00BE76DA"/>
    <w:rsid w:val="00BF3A74"/>
    <w:rsid w:val="00BF40E6"/>
    <w:rsid w:val="00C004DD"/>
    <w:rsid w:val="00C01CA5"/>
    <w:rsid w:val="00C07400"/>
    <w:rsid w:val="00C1118A"/>
    <w:rsid w:val="00C15000"/>
    <w:rsid w:val="00C172C3"/>
    <w:rsid w:val="00C24F8E"/>
    <w:rsid w:val="00C417EC"/>
    <w:rsid w:val="00C45976"/>
    <w:rsid w:val="00C56E2E"/>
    <w:rsid w:val="00C73745"/>
    <w:rsid w:val="00C80163"/>
    <w:rsid w:val="00C81668"/>
    <w:rsid w:val="00C93956"/>
    <w:rsid w:val="00C979F1"/>
    <w:rsid w:val="00CA22AB"/>
    <w:rsid w:val="00CC3438"/>
    <w:rsid w:val="00CC3BC0"/>
    <w:rsid w:val="00CC6340"/>
    <w:rsid w:val="00CC6D7C"/>
    <w:rsid w:val="00CD0C93"/>
    <w:rsid w:val="00CD3C3D"/>
    <w:rsid w:val="00CE08A5"/>
    <w:rsid w:val="00CE10AF"/>
    <w:rsid w:val="00CE4114"/>
    <w:rsid w:val="00CF05E2"/>
    <w:rsid w:val="00CF061A"/>
    <w:rsid w:val="00D01952"/>
    <w:rsid w:val="00D11CDF"/>
    <w:rsid w:val="00D14ACF"/>
    <w:rsid w:val="00D23B24"/>
    <w:rsid w:val="00D265CC"/>
    <w:rsid w:val="00D33E6E"/>
    <w:rsid w:val="00D41138"/>
    <w:rsid w:val="00D50BCE"/>
    <w:rsid w:val="00D63054"/>
    <w:rsid w:val="00D64CA3"/>
    <w:rsid w:val="00D64DC1"/>
    <w:rsid w:val="00D7198A"/>
    <w:rsid w:val="00D850B3"/>
    <w:rsid w:val="00D91B28"/>
    <w:rsid w:val="00DA4FD5"/>
    <w:rsid w:val="00DB0B61"/>
    <w:rsid w:val="00DC2A57"/>
    <w:rsid w:val="00DD1678"/>
    <w:rsid w:val="00DD2EB3"/>
    <w:rsid w:val="00DD312A"/>
    <w:rsid w:val="00DD3E67"/>
    <w:rsid w:val="00DE7F93"/>
    <w:rsid w:val="00DF19EE"/>
    <w:rsid w:val="00E00B3D"/>
    <w:rsid w:val="00E05969"/>
    <w:rsid w:val="00E1304C"/>
    <w:rsid w:val="00E130AD"/>
    <w:rsid w:val="00E1747E"/>
    <w:rsid w:val="00E2178B"/>
    <w:rsid w:val="00E26566"/>
    <w:rsid w:val="00E337D4"/>
    <w:rsid w:val="00E4391C"/>
    <w:rsid w:val="00E661A2"/>
    <w:rsid w:val="00E70CCB"/>
    <w:rsid w:val="00E70CE2"/>
    <w:rsid w:val="00E7186A"/>
    <w:rsid w:val="00E73F33"/>
    <w:rsid w:val="00E8052A"/>
    <w:rsid w:val="00E87C95"/>
    <w:rsid w:val="00E92CCA"/>
    <w:rsid w:val="00E97D41"/>
    <w:rsid w:val="00EA0FCE"/>
    <w:rsid w:val="00EA3B90"/>
    <w:rsid w:val="00EA3EA5"/>
    <w:rsid w:val="00EA5442"/>
    <w:rsid w:val="00EB1E62"/>
    <w:rsid w:val="00EB22E2"/>
    <w:rsid w:val="00EB329F"/>
    <w:rsid w:val="00EC34DC"/>
    <w:rsid w:val="00ED4DE5"/>
    <w:rsid w:val="00ED7759"/>
    <w:rsid w:val="00EE24A3"/>
    <w:rsid w:val="00EE25F0"/>
    <w:rsid w:val="00EE4A48"/>
    <w:rsid w:val="00EF4C74"/>
    <w:rsid w:val="00EF6E1C"/>
    <w:rsid w:val="00F05D3F"/>
    <w:rsid w:val="00F2463A"/>
    <w:rsid w:val="00F318CF"/>
    <w:rsid w:val="00F4494F"/>
    <w:rsid w:val="00F52BA2"/>
    <w:rsid w:val="00F6147A"/>
    <w:rsid w:val="00F64D8F"/>
    <w:rsid w:val="00F64F62"/>
    <w:rsid w:val="00F65487"/>
    <w:rsid w:val="00F8268A"/>
    <w:rsid w:val="00FA144B"/>
    <w:rsid w:val="00FA5DFA"/>
    <w:rsid w:val="00FA6E29"/>
    <w:rsid w:val="00FB520C"/>
    <w:rsid w:val="00FC507D"/>
    <w:rsid w:val="00FC6DFC"/>
    <w:rsid w:val="00FC742C"/>
    <w:rsid w:val="00FE7DC1"/>
    <w:rsid w:val="00FF1577"/>
    <w:rsid w:val="0109EE77"/>
    <w:rsid w:val="017AB45F"/>
    <w:rsid w:val="03BB9B2B"/>
    <w:rsid w:val="05050EBA"/>
    <w:rsid w:val="1316DE81"/>
    <w:rsid w:val="158B64C3"/>
    <w:rsid w:val="1B35BF7F"/>
    <w:rsid w:val="20536DDB"/>
    <w:rsid w:val="23716F1B"/>
    <w:rsid w:val="245746E3"/>
    <w:rsid w:val="2AF6A231"/>
    <w:rsid w:val="326D3CB9"/>
    <w:rsid w:val="348D6163"/>
    <w:rsid w:val="361301D0"/>
    <w:rsid w:val="39331D24"/>
    <w:rsid w:val="3A2E0561"/>
    <w:rsid w:val="3E323A2C"/>
    <w:rsid w:val="3FBC29F4"/>
    <w:rsid w:val="42C9D418"/>
    <w:rsid w:val="47904793"/>
    <w:rsid w:val="4A330709"/>
    <w:rsid w:val="63A41FEB"/>
    <w:rsid w:val="677E4726"/>
    <w:rsid w:val="6D6F1DDF"/>
    <w:rsid w:val="7084A804"/>
    <w:rsid w:val="71E9B8B4"/>
    <w:rsid w:val="734EA3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7105"/>
  <w15:chartTrackingRefBased/>
  <w15:docId w15:val="{F3D12A45-4C28-479B-AA02-5601A618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26"/>
    <w:rPr>
      <w:rFonts w:eastAsiaTheme="majorEastAsia" w:cstheme="majorBidi"/>
      <w:color w:val="272727" w:themeColor="text1" w:themeTint="D8"/>
    </w:rPr>
  </w:style>
  <w:style w:type="paragraph" w:styleId="Title">
    <w:name w:val="Title"/>
    <w:basedOn w:val="Normal"/>
    <w:next w:val="Normal"/>
    <w:link w:val="TitleChar"/>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26"/>
    <w:pPr>
      <w:spacing w:before="160"/>
      <w:jc w:val="center"/>
    </w:pPr>
    <w:rPr>
      <w:i/>
      <w:iCs/>
      <w:color w:val="404040" w:themeColor="text1" w:themeTint="BF"/>
    </w:rPr>
  </w:style>
  <w:style w:type="character" w:customStyle="1" w:styleId="QuoteChar">
    <w:name w:val="Quote Char"/>
    <w:basedOn w:val="DefaultParagraphFont"/>
    <w:link w:val="Quote"/>
    <w:uiPriority w:val="29"/>
    <w:rsid w:val="00B15926"/>
    <w:rPr>
      <w:i/>
      <w:iCs/>
      <w:color w:val="404040" w:themeColor="text1" w:themeTint="BF"/>
    </w:rPr>
  </w:style>
  <w:style w:type="paragraph" w:styleId="ListParagraph">
    <w:name w:val="List Paragraph"/>
    <w:basedOn w:val="Normal"/>
    <w:uiPriority w:val="34"/>
    <w:qFormat/>
    <w:rsid w:val="00B15926"/>
    <w:pPr>
      <w:ind w:left="720"/>
      <w:contextualSpacing/>
    </w:pPr>
  </w:style>
  <w:style w:type="character" w:styleId="IntenseEmphasis">
    <w:name w:val="Intense Emphasis"/>
    <w:basedOn w:val="DefaultParagraphFont"/>
    <w:uiPriority w:val="21"/>
    <w:qFormat/>
    <w:rsid w:val="00B15926"/>
    <w:rPr>
      <w:i/>
      <w:iCs/>
      <w:color w:val="0F4761" w:themeColor="accent1" w:themeShade="BF"/>
    </w:rPr>
  </w:style>
  <w:style w:type="paragraph" w:styleId="IntenseQuote">
    <w:name w:val="Intense Quote"/>
    <w:basedOn w:val="Normal"/>
    <w:next w:val="Normal"/>
    <w:link w:val="IntenseQuoteChar"/>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26"/>
    <w:rPr>
      <w:i/>
      <w:iCs/>
      <w:color w:val="0F4761" w:themeColor="accent1" w:themeShade="BF"/>
    </w:rPr>
  </w:style>
  <w:style w:type="character" w:styleId="IntenseReference">
    <w:name w:val="Intense Reference"/>
    <w:basedOn w:val="DefaultParagraphFont"/>
    <w:uiPriority w:val="32"/>
    <w:qFormat/>
    <w:rsid w:val="00B15926"/>
    <w:rPr>
      <w:b/>
      <w:bCs/>
      <w:smallCaps/>
      <w:color w:val="0F4761" w:themeColor="accent1" w:themeShade="BF"/>
      <w:spacing w:val="5"/>
    </w:rPr>
  </w:style>
  <w:style w:type="paragraph" w:styleId="Header">
    <w:name w:val="header"/>
    <w:basedOn w:val="Normal"/>
    <w:link w:val="HeaderChar"/>
    <w:uiPriority w:val="99"/>
    <w:unhideWhenUsed/>
    <w:rsid w:val="00B15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6"/>
  </w:style>
  <w:style w:type="paragraph" w:styleId="Footer">
    <w:name w:val="footer"/>
    <w:basedOn w:val="Normal"/>
    <w:link w:val="FooterChar"/>
    <w:uiPriority w:val="99"/>
    <w:unhideWhenUsed/>
    <w:rsid w:val="00B15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6"/>
  </w:style>
  <w:style w:type="character" w:styleId="CommentReference">
    <w:name w:val="annotation reference"/>
    <w:basedOn w:val="DefaultParagraphFont"/>
    <w:uiPriority w:val="99"/>
    <w:semiHidden/>
    <w:unhideWhenUsed/>
    <w:rsid w:val="00AE30D1"/>
    <w:rPr>
      <w:sz w:val="16"/>
      <w:szCs w:val="16"/>
    </w:rPr>
  </w:style>
  <w:style w:type="paragraph" w:styleId="CommentText">
    <w:name w:val="annotation text"/>
    <w:basedOn w:val="Normal"/>
    <w:link w:val="CommentTextChar"/>
    <w:uiPriority w:val="99"/>
    <w:unhideWhenUsed/>
    <w:rsid w:val="00AE30D1"/>
    <w:pPr>
      <w:spacing w:line="240" w:lineRule="auto"/>
    </w:pPr>
    <w:rPr>
      <w:sz w:val="20"/>
      <w:szCs w:val="20"/>
    </w:rPr>
  </w:style>
  <w:style w:type="character" w:customStyle="1" w:styleId="CommentTextChar">
    <w:name w:val="Comment Text Char"/>
    <w:basedOn w:val="DefaultParagraphFont"/>
    <w:link w:val="CommentText"/>
    <w:uiPriority w:val="99"/>
    <w:rsid w:val="00AE30D1"/>
    <w:rPr>
      <w:sz w:val="20"/>
      <w:szCs w:val="20"/>
    </w:rPr>
  </w:style>
  <w:style w:type="paragraph" w:styleId="CommentSubject">
    <w:name w:val="annotation subject"/>
    <w:basedOn w:val="CommentText"/>
    <w:next w:val="CommentText"/>
    <w:link w:val="CommentSubjectChar"/>
    <w:uiPriority w:val="99"/>
    <w:semiHidden/>
    <w:unhideWhenUsed/>
    <w:rsid w:val="00AE30D1"/>
    <w:rPr>
      <w:b/>
      <w:bCs/>
    </w:rPr>
  </w:style>
  <w:style w:type="character" w:customStyle="1" w:styleId="CommentSubjectChar">
    <w:name w:val="Comment Subject Char"/>
    <w:basedOn w:val="CommentTextChar"/>
    <w:link w:val="CommentSubject"/>
    <w:uiPriority w:val="99"/>
    <w:semiHidden/>
    <w:rsid w:val="00AE30D1"/>
    <w:rPr>
      <w:b/>
      <w:bCs/>
      <w:sz w:val="20"/>
      <w:szCs w:val="20"/>
    </w:rPr>
  </w:style>
  <w:style w:type="character" w:styleId="Hyperlink">
    <w:name w:val="Hyperlink"/>
    <w:basedOn w:val="DefaultParagraphFont"/>
    <w:uiPriority w:val="99"/>
    <w:unhideWhenUsed/>
    <w:rsid w:val="0092767A"/>
    <w:rPr>
      <w:color w:val="467886" w:themeColor="hyperlink"/>
      <w:u w:val="single"/>
    </w:rPr>
  </w:style>
  <w:style w:type="character" w:styleId="UnresolvedMention">
    <w:name w:val="Unresolved Mention"/>
    <w:basedOn w:val="DefaultParagraphFont"/>
    <w:uiPriority w:val="99"/>
    <w:semiHidden/>
    <w:unhideWhenUsed/>
    <w:rsid w:val="0092767A"/>
    <w:rPr>
      <w:color w:val="605E5C"/>
      <w:shd w:val="clear" w:color="auto" w:fill="E1DFDD"/>
    </w:rPr>
  </w:style>
  <w:style w:type="character" w:styleId="FollowedHyperlink">
    <w:name w:val="FollowedHyperlink"/>
    <w:basedOn w:val="DefaultParagraphFont"/>
    <w:uiPriority w:val="99"/>
    <w:semiHidden/>
    <w:unhideWhenUsed/>
    <w:rsid w:val="0092767A"/>
    <w:rPr>
      <w:color w:val="96607D" w:themeColor="followedHyperlink"/>
      <w:u w:val="single"/>
    </w:rPr>
  </w:style>
  <w:style w:type="table" w:styleId="TableGrid">
    <w:name w:val="Table Grid"/>
    <w:basedOn w:val="TableNormal"/>
    <w:uiPriority w:val="39"/>
    <w:rsid w:val="00AC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2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sma.europa.eu/about-esma/transparency-and-access-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sma.europa.eu/legal-notic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4DB2685C0A345968AD2B19D614F1A" ma:contentTypeVersion="15" ma:contentTypeDescription="Create a new document." ma:contentTypeScope="" ma:versionID="99134888e59a75eecc24191bda062fe0">
  <xsd:schema xmlns:xsd="http://www.w3.org/2001/XMLSchema" xmlns:xs="http://www.w3.org/2001/XMLSchema" xmlns:p="http://schemas.microsoft.com/office/2006/metadata/properties" xmlns:ns2="1bead324-0d0e-4f47-9152-d23062d84951" xmlns:ns3="4dc1433e-11d4-4261-bcf1-714ae3181302" targetNamespace="http://schemas.microsoft.com/office/2006/metadata/properties" ma:root="true" ma:fieldsID="46c2dc4892194f46c1165512da8feccb" ns2:_="" ns3:_="">
    <xsd:import namespace="1bead324-0d0e-4f47-9152-d23062d84951"/>
    <xsd:import namespace="4dc1433e-11d4-4261-bcf1-714ae31813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d324-0d0e-4f47-9152-d23062d84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463ce4-1673-456b-b56a-569ad750cc1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1433e-11d4-4261-bcf1-714ae31813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ead324-0d0e-4f47-9152-d23062d849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044845-2A63-4549-BE5D-814EF8BCFF10}">
  <ds:schemaRefs>
    <ds:schemaRef ds:uri="http://schemas.openxmlformats.org/officeDocument/2006/bibliography"/>
  </ds:schemaRefs>
</ds:datastoreItem>
</file>

<file path=customXml/itemProps2.xml><?xml version="1.0" encoding="utf-8"?>
<ds:datastoreItem xmlns:ds="http://schemas.openxmlformats.org/officeDocument/2006/customXml" ds:itemID="{C7F9EC67-083F-4484-9A18-D5016239A559}">
  <ds:schemaRefs>
    <ds:schemaRef ds:uri="http://schemas.microsoft.com/sharepoint/v3/contenttype/forms"/>
  </ds:schemaRefs>
</ds:datastoreItem>
</file>

<file path=customXml/itemProps3.xml><?xml version="1.0" encoding="utf-8"?>
<ds:datastoreItem xmlns:ds="http://schemas.openxmlformats.org/officeDocument/2006/customXml" ds:itemID="{B279D803-00E8-4701-A92B-AED5C4EFF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d324-0d0e-4f47-9152-d23062d84951"/>
    <ds:schemaRef ds:uri="4dc1433e-11d4-4261-bcf1-714ae318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C291A-880E-40B9-94D3-3979D15FFE55}">
  <ds:schemaRefs>
    <ds:schemaRef ds:uri="http://schemas.microsoft.com/office/2006/metadata/properties"/>
    <ds:schemaRef ds:uri="http://schemas.microsoft.com/office/infopath/2007/PartnerControls"/>
    <ds:schemaRef ds:uri="1bead324-0d0e-4f47-9152-d23062d849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4533</Words>
  <Characters>26630</Characters>
  <Application>Microsoft Office Word</Application>
  <DocSecurity>2</DocSecurity>
  <Lines>652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Menagias</dc:creator>
  <cp:keywords/>
  <dc:description/>
  <cp:lastModifiedBy>Natacha Paree (Moody's)</cp:lastModifiedBy>
  <cp:revision>231</cp:revision>
  <dcterms:created xsi:type="dcterms:W3CDTF">2026-03-06T10:36:00Z</dcterms:created>
  <dcterms:modified xsi:type="dcterms:W3CDTF">2026-06-05T12:09:00Z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0x0101007DB4DB2685C0A345968AD2B19D614F1A</vt:lpwstr>
  </property>
  <property fmtid="{D5CDD505-2E9C-101B-9397-08002B2CF9AE}" pid="3" name="MediaServiceImageTags">
    <vt:lpwstr/>
  </property>
  <property fmtid="{D5CDD505-2E9C-101B-9397-08002B2CF9AE}" pid="4" name="DocumentType">
    <vt:lpwstr>5;#Note|b9e1c92e-303a-4555-86f0-5c711c65937e</vt:lpwstr>
  </property>
  <property fmtid="{D5CDD505-2E9C-101B-9397-08002B2CF9AE}" pid="5" name="ConfidentialityLevel">
    <vt:lpwstr>6;#Restricted|187aa7e6-627f-4951-b138-6ff841dc883d</vt:lpwstr>
  </property>
  <property fmtid="{D5CDD505-2E9C-101B-9397-08002B2CF9AE}" pid="6" name="_dlc_DocIdItemGuid">
    <vt:lpwstr>1a09b33f-bc38-4182-b521-cf4c60e3758f</vt:lpwstr>
  </property>
  <property fmtid="{D5CDD505-2E9C-101B-9397-08002B2CF9AE}" pid="7" name="MSIP_Label_b3cfbd93-c43e-4bce-a166-2a991588cdff_Removed">
    <vt:lpwstr>False</vt:lpwstr>
  </property>
  <property fmtid="{D5CDD505-2E9C-101B-9397-08002B2CF9AE}" pid="8" name="MSIP_Label_b3cfbd93-c43e-4bce-a166-2a991588cdff_ActionId">
    <vt:lpwstr>ece4a6e9-ea44-43f6-bb57-71977e5bd9b7</vt:lpwstr>
  </property>
  <property fmtid="{D5CDD505-2E9C-101B-9397-08002B2CF9AE}" pid="9" name="MSIP_Label_b3cfbd93-c43e-4bce-a166-2a991588cdff_Name">
    <vt:lpwstr>Restricted</vt:lpwstr>
  </property>
  <property fmtid="{D5CDD505-2E9C-101B-9397-08002B2CF9AE}" pid="10" name="MSIP_Label_b3cfbd93-c43e-4bce-a166-2a991588cdff_SetDate">
    <vt:lpwstr>2026-03-06T10:45:56Z</vt:lpwstr>
  </property>
  <property fmtid="{D5CDD505-2E9C-101B-9397-08002B2CF9AE}" pid="11" name="MSIP_Label_b3cfbd93-c43e-4bce-a166-2a991588cdff_SiteId">
    <vt:lpwstr>e406f268-4ae7-4c80-8994-02493da00c03</vt:lpwstr>
  </property>
  <property fmtid="{D5CDD505-2E9C-101B-9397-08002B2CF9AE}" pid="12" name="MSIP_Label_b3cfbd93-c43e-4bce-a166-2a991588cdff_Enabled">
    <vt:lpwstr>True</vt:lpwstr>
  </property>
  <property fmtid="{D5CDD505-2E9C-101B-9397-08002B2CF9AE}" pid="13" name="MSIP_Label_b3cfbd93-c43e-4bce-a166-2a991588cdff_Extended_MSFT_Method">
    <vt:lpwstr>Standard</vt:lpwstr>
  </property>
  <property fmtid="{D5CDD505-2E9C-101B-9397-08002B2CF9AE}" pid="14" name="Sensitivity">
    <vt:lpwstr>Restricted</vt:lpwstr>
  </property>
  <property fmtid="{D5CDD505-2E9C-101B-9397-08002B2CF9AE}" pid="15" name="TeamName">
    <vt:lpwstr>9</vt:lpwstr>
  </property>
  <property fmtid="{D5CDD505-2E9C-101B-9397-08002B2CF9AE}" pid="16" name="Topic">
    <vt:lpwstr>131</vt:lpwstr>
  </property>
</Properties>
</file>