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kern w:val="0"/>
          <w:sz w:val="22"/>
          <w:szCs w:val="22"/>
          <w:lang w:eastAsia="en-GB"/>
          <w14:ligatures w14:val="none"/>
        </w:rPr>
        <w:id w:val="-178738304"/>
        <w:docPartObj>
          <w:docPartGallery w:val="Cover Pages"/>
          <w:docPartUnique/>
        </w:docPartObj>
      </w:sdtPr>
      <w:sdtEndPr>
        <w:rPr>
          <w:rFonts w:eastAsia="MS PGothic"/>
          <w:lang w:eastAsia="en-US"/>
        </w:rPr>
      </w:sdtEndPr>
      <w:sdtContent>
        <w:p w14:paraId="26F809EE"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4A1B1DA"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A30A920"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37A5837E" w14:textId="77777777"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44394CA" w14:textId="3F1F87B2"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r w:rsidRPr="00B15926">
            <w:rPr>
              <w:rFonts w:ascii="Arial" w:eastAsia="MS PGothic" w:hAnsi="Arial" w:cs="Arial"/>
              <w:b/>
              <w:color w:val="2F5496"/>
              <w:spacing w:val="-10"/>
              <w:kern w:val="0"/>
              <w:sz w:val="40"/>
              <w:szCs w:val="40"/>
              <w:lang w:eastAsia="en-GB"/>
              <w14:ligatures w14:val="none"/>
            </w:rPr>
            <w:t xml:space="preserve">Reply form </w:t>
          </w:r>
        </w:p>
        <w:p w14:paraId="4FAFD18A" w14:textId="77777777" w:rsidR="006807AF" w:rsidRPr="00B15926"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70671E7" w14:textId="5E44FBF5" w:rsidR="006807AF" w:rsidRPr="00B15926" w:rsidRDefault="006807AF" w:rsidP="006807AF">
          <w:pPr>
            <w:framePr w:hSpace="8505" w:wrap="around" w:vAnchor="page" w:hAnchor="page" w:x="1286" w:y="2461"/>
            <w:spacing w:after="0" w:line="240" w:lineRule="auto"/>
            <w:rPr>
              <w:rFonts w:ascii="Times New Roman" w:eastAsia="Times New Roman" w:hAnsi="Times New Roman" w:cs="Times New Roman"/>
              <w:kern w:val="0"/>
              <w:sz w:val="22"/>
              <w:szCs w:val="22"/>
              <w:lang w:eastAsia="en-GB"/>
              <w14:ligatures w14:val="none"/>
            </w:rPr>
          </w:pPr>
          <w:r w:rsidRPr="00B15926">
            <w:rPr>
              <w:rFonts w:ascii="Arial" w:eastAsia="MS PGothic" w:hAnsi="Arial" w:cs="Arial"/>
              <w:b/>
              <w:spacing w:val="-10"/>
              <w:kern w:val="0"/>
              <w:sz w:val="28"/>
              <w:szCs w:val="28"/>
              <w:lang w:eastAsia="en-GB"/>
              <w14:ligatures w14:val="none"/>
            </w:rPr>
            <w:t xml:space="preserve">for </w:t>
          </w:r>
          <w:r w:rsidRPr="00B15926">
            <w:rPr>
              <w:rFonts w:ascii="Arial" w:eastAsia="MS PGothic" w:hAnsi="Arial" w:cs="Arial"/>
              <w:b/>
              <w:bCs/>
              <w:spacing w:val="-10"/>
              <w:kern w:val="0"/>
              <w:sz w:val="28"/>
              <w:szCs w:val="28"/>
              <w:lang w:eastAsia="en-GB"/>
              <w14:ligatures w14:val="none"/>
            </w:rPr>
            <w:t>the Call for Evidence on restricted subscription and private</w:t>
          </w:r>
          <w:r w:rsidR="001013E7">
            <w:rPr>
              <w:rFonts w:ascii="Arial" w:eastAsia="MS PGothic" w:hAnsi="Arial" w:cs="Arial"/>
              <w:b/>
              <w:bCs/>
              <w:spacing w:val="-10"/>
              <w:kern w:val="0"/>
              <w:sz w:val="28"/>
              <w:szCs w:val="28"/>
              <w:lang w:eastAsia="en-GB"/>
              <w14:ligatures w14:val="none"/>
            </w:rPr>
            <w:t xml:space="preserve"> credit </w:t>
          </w:r>
          <w:r w:rsidRPr="00B15926">
            <w:rPr>
              <w:rFonts w:ascii="Arial" w:eastAsia="MS PGothic" w:hAnsi="Arial" w:cs="Arial"/>
              <w:b/>
              <w:bCs/>
              <w:spacing w:val="-10"/>
              <w:kern w:val="0"/>
              <w:sz w:val="28"/>
              <w:szCs w:val="28"/>
              <w:lang w:eastAsia="en-GB"/>
              <w14:ligatures w14:val="none"/>
            </w:rPr>
            <w:t>ratings</w:t>
          </w:r>
        </w:p>
        <w:p w14:paraId="57D4FB8D" w14:textId="77777777" w:rsidR="00B15926" w:rsidRPr="00B15926" w:rsidRDefault="00B15926" w:rsidP="00B15926">
          <w:pPr>
            <w:spacing w:after="250" w:line="276" w:lineRule="auto"/>
            <w:jc w:val="both"/>
            <w:rPr>
              <w:rFonts w:ascii="Arial" w:eastAsia="Times New Roman" w:hAnsi="Arial" w:cs="Times New Roman"/>
              <w:color w:val="181818"/>
              <w:kern w:val="0"/>
              <w:sz w:val="40"/>
              <w:szCs w:val="40"/>
              <w14:ligatures w14:val="none"/>
            </w:rPr>
          </w:pPr>
        </w:p>
        <w:p w14:paraId="21460F93" w14:textId="6B62858B" w:rsidR="00B15926" w:rsidRPr="00B15926" w:rsidRDefault="00B15926" w:rsidP="00B15926">
          <w:pPr>
            <w:keepNext/>
            <w:keepLines/>
            <w:spacing w:before="320" w:after="0" w:line="240" w:lineRule="auto"/>
            <w:outlineLvl w:val="1"/>
            <w:rPr>
              <w:rFonts w:ascii="Arial" w:eastAsia="MS PGothic" w:hAnsi="Arial" w:cs="Arial"/>
              <w:b/>
              <w:kern w:val="0"/>
              <w:sz w:val="28"/>
              <w:szCs w:val="28"/>
              <w:lang w:eastAsia="en-GB"/>
              <w14:ligatures w14:val="none"/>
            </w:rPr>
            <w:sectPr w:rsidR="00B15926" w:rsidRPr="00B15926" w:rsidSect="00B1592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sidRPr="00B15926">
            <w:rPr>
              <w:rFonts w:ascii="Arial" w:eastAsia="MS PGothic" w:hAnsi="Arial" w:cs="Arial"/>
              <w:b/>
              <w:noProof/>
              <w:kern w:val="0"/>
              <w:sz w:val="28"/>
              <w:szCs w:val="28"/>
              <w:lang w:eastAsia="en-GB"/>
              <w14:ligatures w14:val="none"/>
            </w:rPr>
            <mc:AlternateContent>
              <mc:Choice Requires="wps">
                <w:drawing>
                  <wp:anchor distT="0" distB="0" distL="114300" distR="114300" simplePos="0" relativeHeight="251658240" behindDoc="1" locked="1" layoutInCell="1" allowOverlap="0" wp14:anchorId="61FF4C5C" wp14:editId="1A214329">
                    <wp:simplePos x="0" y="0"/>
                    <wp:positionH relativeFrom="page">
                      <wp:posOffset>-19050</wp:posOffset>
                    </wp:positionH>
                    <wp:positionV relativeFrom="paragraph">
                      <wp:posOffset>936625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w="12700" cap="flat" cmpd="sng" algn="ctr">
                              <a:noFill/>
                              <a:prstDash val="solid"/>
                              <a:miter lim="800000"/>
                            </a:ln>
                            <a:effectLst/>
                          </wps:spPr>
                          <wps:txbx>
                            <w:txbxContent>
                              <w:p w14:paraId="75DFC3B5" w14:textId="77777777" w:rsidR="00B15926" w:rsidRDefault="00B15926" w:rsidP="00B1592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F4C5C" id="Freeform: Shape 8" o:spid="_x0000_s1026" style="position:absolute;margin-left:-1.5pt;margin-top:7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t="1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VuPNhgkAALZ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aJpire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cVW4qq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0TiqzFXYqtLYaVWwK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0TTFVpNcVaxV&#10;ommNKtJrklaxVEZ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tLYqtxV3TFVhOGlawq0TTFVpNcVReR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tE0xVaTXFWsVWk4aVbhV2KrScVW4q4mmFUZkF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Wk4qtxVommKrSa5JWsVaJpiqytcVdiq0thStxQmGQ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onFVmKuxVaWw0q3CriaYqsJri&#10;rWKtE0wpWk1xQ1gV2SplSYZWx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aJpiq&#10;0muKtYq0TTGlWk1yStYqtJxVbirsKrScUrcCHYUtE0ySeS0muKLTPKkO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aWxVbirumKrCcNK1hVommKrSa4q1irROFKzrih2Kuw0ypaWwra3Fi&#10;7FU0yp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m2VK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tJx&#10;VbirRNMVWk1yStYq0TTFVla4q7FVpbClbih2KXYaStJwotbih2KtE0xVaTXCrWKpxl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tE4qsxV2KrS2GlW4VcTTFVhNcVaxVommFK0muKGsCuyVMqaJwrazFD&#10;sUOxVaThVbirsCrScUp1lSH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aYqtJrirWKtE0xpVpNckrWKrSc&#10;VW4q7Cq0nFK3Ah2FLRNMknktJrii2sUOxVommKrSa4VawK0TTFK0muGlaySE8zH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rS2KrcVd0xVYThpWsKtE0xVaTXFWsVaJwpWdcUOxV2GmVLS2FbW4sXYq6tMVWE1w0&#10;rWKuwKtLYUrcKtE0wqtJrimk/wAx2L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aJpiq0muKtYqtJw0q3CrsVWk4qtx&#10;VxNMKrCa4q1gV2Gk00TTJJWk1xQ1ih2KrScVW4VdgVommKVpNclStYULS2LKluKu6YoZBmOh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aTiq3FWiaYqtJrklaxVommKrK1xV2KrS2FK3FDsUuw0laThRa3FDsVaJpiq0muFW&#10;sVd0wJWE4aVrCrRNMK0tJrilrFbWk4opbiyZJmOw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aJxVZirsVWlsNKtwq4mmKrCa4&#10;q1irRNMKVpNcUNYFdkqZU0ThW1mKHYodiq0nCq3FXYFWk4pW5KldhQtJxZUtxW2iaYo5rSa4paxS&#10;0TirJcx2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RNMVWk1xVrFWiaY0q0muSVrFVpOKrcVdhVaTilbgQ7ClommSTyWk1xRbWKHYq&#10;0TTFVpNcKtYFaJpilaTXDStZJDROKaWYsnYsbWlsU0txS0TTFVpNcVaxVlGY7B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rS2KrcVd0xV&#10;YThpWsKtE0xVaTXFWsVaJwpWdcUOxV2GmVLS2FbW4sXYq6tMVWE1w0rWKuwKtLYUrcKtE0wqtJri&#10;mmsVtommKFpNcWTWKrS2KrcVdirsNKyjMZg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WiaYqtJrirWKrScNKtwq7FVpOKrcVcTTCqwmuKtYFdh&#10;pNNE0ySVpNcUNYodiq0nFVuFXYFaJpilaTXJUrWFC0tiypbirumKFhOKaaxS0TTFVpNcVaxV2Gld&#10;hV2KsozFYO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rScVW4q0TTFVpNckrWKtE0xVZWuKuxVaWwpW4odil2GkrScKLW4odirRNMVWk1wq1irumBK&#10;wnDStYVaJphWlpNcUtYra0nFFLcWTsVWk4qtxV2KuySuxVaTiq3FWWZisH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cVWYq7FVpbDSrcKuJpiqwmuKtY&#10;q0TTClaTXFDWBXZKmVLScK2txYuxV2KrScKrcVdgVaTilbkqV2FC0nFlS3FbaJpijmtJrilrFLRO&#10;KrMVdirsNK7CrRNMVWk1xVrFWiaYqy3MVg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0TTFVpNcVaxVommNKtJrklaxVaTiq3FXYVWk4pW4EOwpaJpkk8lpNcUW&#10;1ih2KtE0xVaTXCrWBWiaYpWk1w0rWSQ0TimlmLJ2LG1pbFNLcUtE0xVaTXFWsVdjSuySuxVaWxVb&#10;irq0xVYTXFWsVZhmKw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q0tiq3FXdMVWE4aVrCrRNMVWk1xVrFWicKVnXFDsVdhplS0thW1uLF2KurTFVhNcNK1irsCrS2F&#10;K3CrRNMKrSa4pprFbaJpihaTXFk1iq0tiq3FXYq7DSuwq0TTFVpNcVaxVaTiq3FXYVWk4aVmWYbB&#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tE0xVaTXFWsVWk4aVbhV2K&#10;rScVW4q4mmFVhNcVawK7DSaaJpkkrSa4oaxQ7FVpOKrcKuwK0TTFK0muSpWsKFpbFlS3FXVpihYT&#10;XFNNYpaJpiq0muKtYq7DSuwq7FVhOKtYq0TTFVpNcVaxVonDSrMkrsVZpmEw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Wk4qtxVommKrSa5JWsVaJxVZ1xV2KrS2FK3FDsUu&#10;w0lYThRbWKHYq0TTFVpNcKtYq7pgSsJw0rWFWiaYVpaTXFLWK2tJxWluKXYqtJxVbirsVdkldiq0&#10;nFVuKuxVaTiq3FWiaYVWk1w0rWFWiaYqsrXFWcZhMH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WicVWYq7FVpbDSrcKuJpiqwmuKtYq0TTClaTXFDWBXZKmVLScK2txYuxV2KrScKr&#10;cVdgVaTilbkqV2FC01wMqdxxtbaIpjaObXXFVh2wpaxUtE0xQtJrilrCAl2FWiaYqtJrirWKtE0x&#10;VZWuKuxVaWyVKtwq4mmKrCa4q1irRNMVZzmEw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" o:allowoverlap="f" adj="-11796480,,5400" path="m2939613,926867c5038819,-714379,6826523,267027,7569200,545025r,2628099l7569200,9779055r,l,9779055r,l,3173124,2939613,926867xe" stroked="f" strokeweight="1pt">
                    <v:fill r:id="rId17" o:title="" recolor="t" rotate="t" type="frame"/>
                    <v:stroke joinstyle="miter"/>
                    <v:formulas/>
                    <v:path arrowok="t" o:connecttype="custom" o:connectlocs="2940106,926681;7570470,544916;7570470,3172488;7570470,9777095;7570470,9777095;0,9777095;0,9777095;0,3172488;2940106,926681" o:connectangles="0,0,0,0,0,0,0,0,0" textboxrect="0,0,7569200,9779055"/>
                    <v:textbox>
                      <w:txbxContent>
                        <w:p w14:paraId="75DFC3B5" w14:textId="77777777" w:rsidR="00B15926" w:rsidRDefault="00B15926" w:rsidP="00B15926">
                          <w:pPr>
                            <w:jc w:val="both"/>
                          </w:pPr>
                        </w:p>
                      </w:txbxContent>
                    </v:textbox>
                    <w10:wrap anchorx="page"/>
                    <w10:anchorlock/>
                  </v:shape>
                </w:pict>
              </mc:Fallback>
            </mc:AlternateContent>
          </w:r>
        </w:p>
        <w:p w14:paraId="17D0507F" w14:textId="77777777" w:rsidR="00B15926" w:rsidRPr="00B15926" w:rsidRDefault="00B15926" w:rsidP="00B15926">
          <w:pPr>
            <w:numPr>
              <w:ilvl w:val="1"/>
              <w:numId w:val="0"/>
            </w:num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lastRenderedPageBreak/>
            <w:t xml:space="preserve">Responding to this paper </w:t>
          </w:r>
        </w:p>
        <w:p w14:paraId="2DACE6AA"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ESMA invites comments on all matters in this call for evidence and </w:t>
          </w:r>
          <w:proofErr w:type="gramStart"/>
          <w:r w:rsidRPr="00B15926">
            <w:rPr>
              <w:rFonts w:ascii="Arial" w:eastAsia="MS PGothic" w:hAnsi="Arial" w:cs="Arial"/>
              <w:kern w:val="0"/>
              <w:sz w:val="22"/>
              <w:szCs w:val="22"/>
              <w:u w:val="dottedHeavy" w:color="BF8F00"/>
              <w14:ligatures w14:val="none"/>
            </w:rPr>
            <w:t>in particular on</w:t>
          </w:r>
          <w:proofErr w:type="gramEnd"/>
          <w:r w:rsidRPr="00B15926">
            <w:rPr>
              <w:rFonts w:ascii="Arial" w:eastAsia="MS PGothic" w:hAnsi="Arial" w:cs="Arial"/>
              <w:kern w:val="0"/>
              <w:sz w:val="22"/>
              <w:szCs w:val="22"/>
              <w14:ligatures w14:val="none"/>
            </w:rPr>
            <w:t xml:space="preserve"> the specific questions. Comments are most helpful if they:</w:t>
          </w:r>
        </w:p>
        <w:p w14:paraId="357F6638"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indicate the specific question to which the comment relates;</w:t>
          </w:r>
        </w:p>
        <w:p w14:paraId="7381461C"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contain a clear rationale; and</w:t>
          </w:r>
        </w:p>
        <w:p w14:paraId="5D19C905" w14:textId="77777777" w:rsidR="00B15926" w:rsidRPr="00B15926" w:rsidRDefault="00B15926" w:rsidP="00B15926">
          <w:pPr>
            <w:numPr>
              <w:ilvl w:val="0"/>
              <w:numId w:val="1"/>
            </w:numPr>
            <w:spacing w:after="0" w:line="24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respond to the question stated;</w:t>
          </w:r>
        </w:p>
        <w:p w14:paraId="3D6E2318" w14:textId="77777777" w:rsidR="00A07103" w:rsidRPr="00B15926" w:rsidRDefault="00A07103" w:rsidP="00A07103">
          <w:pPr>
            <w:spacing w:after="0" w:line="240" w:lineRule="auto"/>
            <w:ind w:left="928"/>
            <w:jc w:val="both"/>
            <w:rPr>
              <w:rFonts w:ascii="Arial" w:eastAsia="MS PGothic" w:hAnsi="Arial" w:cs="Arial"/>
              <w:kern w:val="0"/>
              <w:sz w:val="22"/>
              <w:szCs w:val="22"/>
              <w14:ligatures w14:val="none"/>
            </w:rPr>
          </w:pPr>
        </w:p>
        <w:p w14:paraId="65C61A93" w14:textId="1FBAA271"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ESMA will consider all comments received by</w:t>
          </w:r>
          <w:r w:rsidRPr="03BB9B2B">
            <w:rPr>
              <w:rFonts w:ascii="Arial" w:eastAsia="MS PGothic" w:hAnsi="Arial" w:cs="Arial"/>
              <w:sz w:val="22"/>
              <w:szCs w:val="22"/>
            </w:rPr>
            <w:t xml:space="preserve"> </w:t>
          </w:r>
          <w:r w:rsidR="23716F1B" w:rsidRPr="03BB9B2B">
            <w:rPr>
              <w:rFonts w:ascii="Arial" w:eastAsia="MS PGothic" w:hAnsi="Arial" w:cs="Arial"/>
              <w:b/>
              <w:bCs/>
              <w:kern w:val="0"/>
              <w:sz w:val="22"/>
              <w:szCs w:val="22"/>
              <w14:ligatures w14:val="none"/>
            </w:rPr>
            <w:t>31 May 2026</w:t>
          </w:r>
          <w:r w:rsidRPr="03BB9B2B">
            <w:rPr>
              <w:rFonts w:ascii="Arial" w:eastAsia="MS PGothic" w:hAnsi="Arial" w:cs="Arial"/>
              <w:b/>
              <w:bCs/>
              <w:sz w:val="22"/>
              <w:szCs w:val="22"/>
            </w:rPr>
            <w:t>.</w:t>
          </w:r>
          <w:r w:rsidRPr="03BB9B2B">
            <w:rPr>
              <w:rFonts w:ascii="Arial" w:eastAsia="MS PGothic" w:hAnsi="Arial" w:cs="Arial"/>
              <w:b/>
              <w:sz w:val="22"/>
              <w:szCs w:val="22"/>
            </w:rPr>
            <w:t xml:space="preserve">  </w:t>
          </w:r>
        </w:p>
        <w:p w14:paraId="7BF6725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Instructions</w:t>
          </w:r>
        </w:p>
        <w:p w14:paraId="388D2D87"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proofErr w:type="gramStart"/>
          <w:r w:rsidRPr="00B15926">
            <w:rPr>
              <w:rFonts w:ascii="Arial" w:eastAsia="MS PGothic" w:hAnsi="Arial" w:cs="Arial"/>
              <w:kern w:val="0"/>
              <w:sz w:val="22"/>
              <w:szCs w:val="22"/>
              <w14:ligatures w14:val="none"/>
            </w:rPr>
            <w:t>In order to</w:t>
          </w:r>
          <w:proofErr w:type="gramEnd"/>
          <w:r w:rsidRPr="00B15926">
            <w:rPr>
              <w:rFonts w:ascii="Arial" w:eastAsia="MS PGothic" w:hAnsi="Arial" w:cs="Arial"/>
              <w:kern w:val="0"/>
              <w:sz w:val="22"/>
              <w:szCs w:val="22"/>
              <w14:ligatures w14:val="none"/>
            </w:rPr>
            <w:t xml:space="preserve"> facilitate analysis of responses to the Call for Evidence, respondents are requested to follow the below steps when preparing and submitting their response:</w:t>
          </w:r>
        </w:p>
        <w:p w14:paraId="1B185742" w14:textId="5C3483B0"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Insert your responses to the questions in the Call for Evidence in the present response</w:t>
          </w:r>
          <w:r w:rsidR="00486630">
            <w:rPr>
              <w:rFonts w:ascii="Arial" w:eastAsia="MS PGothic" w:hAnsi="Arial" w:cs="Arial"/>
              <w:kern w:val="0"/>
              <w:sz w:val="22"/>
              <w:szCs w:val="22"/>
              <w14:ligatures w14:val="none"/>
            </w:rPr>
            <w:t xml:space="preserve"> </w:t>
          </w:r>
          <w:r w:rsidRPr="00486630">
            <w:rPr>
              <w:rFonts w:ascii="Arial" w:eastAsia="MS PGothic" w:hAnsi="Arial" w:cs="Arial"/>
              <w:kern w:val="0"/>
              <w:sz w:val="22"/>
              <w:szCs w:val="22"/>
              <w14:ligatures w14:val="none"/>
            </w:rPr>
            <w:t xml:space="preserve">form. </w:t>
          </w:r>
        </w:p>
        <w:p w14:paraId="0FD82FD5"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u w:val="single"/>
              <w14:ligatures w14:val="none"/>
            </w:rPr>
          </w:pPr>
          <w:r w:rsidRPr="00486630">
            <w:rPr>
              <w:rFonts w:ascii="Arial" w:eastAsia="MS PGothic" w:hAnsi="Arial" w:cs="Arial"/>
              <w:kern w:val="0"/>
              <w:sz w:val="22"/>
              <w:szCs w:val="22"/>
              <w14:ligatures w14:val="none"/>
            </w:rPr>
            <w:t>Use this form and send your responses in Word format (</w:t>
          </w:r>
          <w:r w:rsidRPr="00486630">
            <w:rPr>
              <w:rFonts w:ascii="Arial" w:eastAsia="MS PGothic" w:hAnsi="Arial" w:cs="Arial"/>
              <w:b/>
              <w:bCs/>
              <w:kern w:val="0"/>
              <w:sz w:val="22"/>
              <w:szCs w:val="22"/>
              <w:u w:val="single"/>
              <w14:ligatures w14:val="none"/>
            </w:rPr>
            <w:t>pdf documents will not be considered except for annexes</w:t>
          </w:r>
          <w:r w:rsidRPr="00486630">
            <w:rPr>
              <w:rFonts w:ascii="Arial" w:eastAsia="MS PGothic" w:hAnsi="Arial" w:cs="Arial"/>
              <w:kern w:val="0"/>
              <w:sz w:val="22"/>
              <w:szCs w:val="22"/>
              <w:u w:val="single"/>
              <w14:ligatures w14:val="none"/>
            </w:rPr>
            <w:t>);</w:t>
          </w:r>
        </w:p>
        <w:p w14:paraId="73AFC256" w14:textId="0AB1E93C" w:rsidR="00B15926" w:rsidRPr="00E337D4"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361301D0">
            <w:rPr>
              <w:rFonts w:ascii="Arial" w:eastAsia="MS PGothic" w:hAnsi="Arial" w:cs="Arial"/>
              <w:kern w:val="0"/>
              <w:sz w:val="22"/>
              <w:szCs w:val="22"/>
              <w14:ligatures w14:val="none"/>
            </w:rPr>
            <w:t>Please do not remove tags of the type &lt;ESMA_QUESTION _</w:t>
          </w:r>
          <w:r w:rsidR="39331D24" w:rsidRPr="361301D0">
            <w:rPr>
              <w:rFonts w:ascii="Arial" w:eastAsia="MS PGothic" w:hAnsi="Arial" w:cs="Arial"/>
              <w:kern w:val="0"/>
              <w:sz w:val="22"/>
              <w:szCs w:val="22"/>
              <w14:ligatures w14:val="none"/>
            </w:rPr>
            <w:t>RSR</w:t>
          </w:r>
          <w:r w:rsidRPr="361301D0">
            <w:rPr>
              <w:rFonts w:ascii="Arial" w:eastAsia="MS PGothic" w:hAnsi="Arial" w:cs="Arial"/>
              <w:kern w:val="0"/>
              <w:sz w:val="22"/>
              <w:szCs w:val="22"/>
              <w14:ligatures w14:val="none"/>
            </w:rPr>
            <w:t xml:space="preserve">_1&gt;. Your response to each question </w:t>
          </w:r>
          <w:proofErr w:type="gramStart"/>
          <w:r w:rsidRPr="361301D0">
            <w:rPr>
              <w:rFonts w:ascii="Arial" w:eastAsia="MS PGothic" w:hAnsi="Arial" w:cs="Arial"/>
              <w:kern w:val="0"/>
              <w:sz w:val="22"/>
              <w:szCs w:val="22"/>
              <w14:ligatures w14:val="none"/>
            </w:rPr>
            <w:t>has to</w:t>
          </w:r>
          <w:proofErr w:type="gramEnd"/>
          <w:r w:rsidRPr="361301D0">
            <w:rPr>
              <w:rFonts w:ascii="Arial" w:eastAsia="MS PGothic" w:hAnsi="Arial" w:cs="Arial"/>
              <w:kern w:val="0"/>
              <w:sz w:val="22"/>
              <w:szCs w:val="22"/>
              <w14:ligatures w14:val="none"/>
            </w:rPr>
            <w:t xml:space="preserve"> be framed by the two tags corresponding to the question.</w:t>
          </w:r>
        </w:p>
        <w:p w14:paraId="38BF53C8"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If you do not wish to respond to a given question, please do not delete it but simply leave the text “TYPE YOUR TEXT HERE” between the tags.</w:t>
          </w:r>
        </w:p>
        <w:p w14:paraId="1EFDE0EC" w14:textId="363B9AAD"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When you have drafted your response, name your response form according to the following convention: </w:t>
          </w:r>
          <w:proofErr w:type="spellStart"/>
          <w:r w:rsidRPr="00486630">
            <w:rPr>
              <w:rFonts w:ascii="Arial" w:eastAsia="MS PGothic" w:hAnsi="Arial" w:cs="Arial"/>
              <w:kern w:val="0"/>
              <w:sz w:val="22"/>
              <w:szCs w:val="22"/>
              <w14:ligatures w14:val="none"/>
            </w:rPr>
            <w:t>ESMA_</w:t>
          </w:r>
          <w:r w:rsidR="008B4686">
            <w:rPr>
              <w:rFonts w:ascii="Arial" w:eastAsia="MS PGothic" w:hAnsi="Arial" w:cs="Arial"/>
              <w:kern w:val="0"/>
              <w:sz w:val="22"/>
              <w:szCs w:val="22"/>
              <w14:ligatures w14:val="none"/>
            </w:rPr>
            <w:t>RSR</w:t>
          </w:r>
          <w:r w:rsidRPr="00486630">
            <w:rPr>
              <w:rFonts w:ascii="Arial" w:eastAsia="MS PGothic" w:hAnsi="Arial" w:cs="Arial"/>
              <w:kern w:val="0"/>
              <w:sz w:val="22"/>
              <w:szCs w:val="22"/>
              <w14:ligatures w14:val="none"/>
            </w:rPr>
            <w:t>_</w:t>
          </w:r>
          <w:r w:rsidRPr="361301D0">
            <w:rPr>
              <w:rFonts w:ascii="Arial" w:eastAsia="MS PGothic" w:hAnsi="Arial" w:cs="Arial"/>
              <w:sz w:val="22"/>
              <w:szCs w:val="22"/>
            </w:rPr>
            <w:t>nameofrespondent_RESPONSEFORM</w:t>
          </w:r>
          <w:proofErr w:type="spellEnd"/>
          <w:r w:rsidRPr="361301D0">
            <w:rPr>
              <w:rFonts w:ascii="Arial" w:eastAsia="MS PGothic" w:hAnsi="Arial" w:cs="Arial"/>
              <w:sz w:val="22"/>
              <w:szCs w:val="22"/>
            </w:rPr>
            <w:t>. For example, for a respondent named ABCD, the response form would be entitled ESMA_</w:t>
          </w:r>
          <w:r w:rsidR="20536DDB" w:rsidRPr="361301D0">
            <w:rPr>
              <w:rFonts w:ascii="Arial" w:eastAsia="MS PGothic" w:hAnsi="Arial" w:cs="Arial"/>
              <w:sz w:val="22"/>
              <w:szCs w:val="22"/>
            </w:rPr>
            <w:t>R</w:t>
          </w:r>
          <w:r w:rsidRPr="361301D0">
            <w:rPr>
              <w:rFonts w:ascii="Arial" w:eastAsia="MS PGothic" w:hAnsi="Arial" w:cs="Arial"/>
              <w:sz w:val="22"/>
              <w:szCs w:val="22"/>
            </w:rPr>
            <w:t>SR_ABCD_RESPONSEFORM.</w:t>
          </w:r>
        </w:p>
        <w:p w14:paraId="0CAA793B" w14:textId="24072DE7" w:rsidR="00B15926"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Upload the form containing your responses, </w:t>
          </w:r>
          <w:r w:rsidRPr="00486630">
            <w:rPr>
              <w:rFonts w:ascii="Arial" w:eastAsia="MS PGothic" w:hAnsi="Arial" w:cs="Arial"/>
              <w:b/>
              <w:bCs/>
              <w:kern w:val="0"/>
              <w:sz w:val="22"/>
              <w:szCs w:val="22"/>
              <w14:ligatures w14:val="none"/>
            </w:rPr>
            <w:t>in Word format</w:t>
          </w:r>
          <w:r w:rsidRPr="00486630">
            <w:rPr>
              <w:rFonts w:ascii="Arial" w:eastAsia="MS PGothic" w:hAnsi="Arial" w:cs="Arial"/>
              <w:kern w:val="0"/>
              <w:sz w:val="22"/>
              <w:szCs w:val="22"/>
              <w14:ligatures w14:val="none"/>
            </w:rPr>
            <w:t>, to ESMA’s website (www.esma.europa.eu under the heading “Your input – Open Consultations” -</w:t>
          </w:r>
          <w:proofErr w:type="gramStart"/>
          <w:r w:rsidRPr="00486630">
            <w:rPr>
              <w:rFonts w:ascii="Arial" w:eastAsia="MS PGothic" w:hAnsi="Arial" w:cs="Arial"/>
              <w:kern w:val="0"/>
              <w:sz w:val="22"/>
              <w:szCs w:val="22"/>
              <w14:ligatures w14:val="none"/>
            </w:rPr>
            <w:t>&gt;  Call</w:t>
          </w:r>
          <w:proofErr w:type="gramEnd"/>
          <w:r w:rsidRPr="00486630">
            <w:rPr>
              <w:rFonts w:ascii="Arial" w:eastAsia="MS PGothic" w:hAnsi="Arial" w:cs="Arial"/>
              <w:kern w:val="0"/>
              <w:sz w:val="22"/>
              <w:szCs w:val="22"/>
              <w14:ligatures w14:val="none"/>
            </w:rPr>
            <w:t xml:space="preserve"> for evidence on </w:t>
          </w:r>
          <w:r w:rsidR="008B4686">
            <w:rPr>
              <w:rFonts w:ascii="Arial" w:eastAsia="MS PGothic" w:hAnsi="Arial" w:cs="Arial"/>
              <w:kern w:val="0"/>
              <w:sz w:val="22"/>
              <w:szCs w:val="22"/>
              <w14:ligatures w14:val="none"/>
            </w:rPr>
            <w:t>restricted subscription and private ratings</w:t>
          </w:r>
          <w:r w:rsidRPr="00486630">
            <w:rPr>
              <w:rFonts w:ascii="Arial" w:eastAsia="MS PGothic" w:hAnsi="Arial" w:cs="Arial"/>
              <w:kern w:val="0"/>
              <w:sz w:val="22"/>
              <w:szCs w:val="22"/>
              <w14:ligatures w14:val="none"/>
            </w:rPr>
            <w:t xml:space="preserve">”). </w:t>
          </w:r>
        </w:p>
        <w:p w14:paraId="4B21A201" w14:textId="77777777" w:rsidR="00486630" w:rsidRPr="00486630" w:rsidRDefault="00486630" w:rsidP="00486630">
          <w:pPr>
            <w:pStyle w:val="ListParagraph"/>
            <w:tabs>
              <w:tab w:val="left" w:pos="0"/>
              <w:tab w:val="left" w:pos="142"/>
              <w:tab w:val="left" w:pos="284"/>
              <w:tab w:val="left" w:pos="567"/>
            </w:tabs>
            <w:autoSpaceDE w:val="0"/>
            <w:autoSpaceDN w:val="0"/>
            <w:adjustRightInd w:val="0"/>
            <w:spacing w:after="0" w:line="240" w:lineRule="auto"/>
            <w:ind w:left="927"/>
            <w:jc w:val="both"/>
            <w:rPr>
              <w:rFonts w:ascii="Arial" w:eastAsia="MS PGothic" w:hAnsi="Arial" w:cs="Arial"/>
              <w:kern w:val="0"/>
              <w:sz w:val="22"/>
              <w:szCs w:val="22"/>
              <w14:ligatures w14:val="none"/>
            </w:rPr>
          </w:pPr>
        </w:p>
        <w:p w14:paraId="02F9887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Publication of responses</w:t>
          </w:r>
        </w:p>
        <w:p w14:paraId="39F49093" w14:textId="42027DB8"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w:t>
          </w:r>
          <w:hyperlink r:id="rId18" w:anchor=":~:text=How%20to%20request%20access%20to,enable%20ESMA%20to%20identify%20it." w:history="1">
            <w:r w:rsidRPr="0092767A">
              <w:rPr>
                <w:rStyle w:val="Hyperlink"/>
                <w:rFonts w:ascii="Arial" w:eastAsia="MS PGothic" w:hAnsi="Arial" w:cs="Arial"/>
                <w:kern w:val="0"/>
                <w:sz w:val="22"/>
                <w:szCs w:val="22"/>
                <w14:ligatures w14:val="none"/>
              </w:rPr>
              <w:t>ESMA’s rules on access to documents</w:t>
            </w:r>
          </w:hyperlink>
          <w:r w:rsidRPr="00B15926">
            <w:rPr>
              <w:rFonts w:ascii="Arial" w:eastAsia="MS PGothic" w:hAnsi="Arial" w:cs="Arial"/>
              <w:kern w:val="0"/>
              <w:sz w:val="22"/>
              <w:szCs w:val="22"/>
              <w14:ligatures w14:val="none"/>
            </w:rPr>
            <w:t>. We may consult you if we receive such a request. Any decision we make not to disclose the response is reviewable by ESMA’s Board of Appeal and the European Ombudsman.</w:t>
          </w:r>
        </w:p>
        <w:p w14:paraId="765B275A"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Data protection</w:t>
          </w:r>
        </w:p>
        <w:p w14:paraId="22019145" w14:textId="400B946B"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Information on data protection can be found at </w:t>
          </w:r>
          <w:hyperlink r:id="rId19" w:history="1">
            <w:r w:rsidRPr="00B15926">
              <w:rPr>
                <w:rFonts w:ascii="Arial" w:eastAsia="MS PGothic" w:hAnsi="Arial" w:cs="Arial"/>
                <w:color w:val="0563C1"/>
                <w:kern w:val="0"/>
                <w:sz w:val="22"/>
                <w:szCs w:val="22"/>
                <w:u w:val="single"/>
                <w14:ligatures w14:val="none"/>
              </w:rPr>
              <w:t>www.esma.europa.eu</w:t>
            </w:r>
          </w:hyperlink>
          <w:r w:rsidRPr="00B15926">
            <w:rPr>
              <w:rFonts w:ascii="Arial" w:eastAsia="MS PGothic" w:hAnsi="Arial" w:cs="Arial"/>
              <w:kern w:val="0"/>
              <w:sz w:val="22"/>
              <w:szCs w:val="22"/>
              <w14:ligatures w14:val="none"/>
            </w:rPr>
            <w:t xml:space="preserve"> under the heading </w:t>
          </w:r>
          <w:hyperlink r:id="rId20" w:history="1">
            <w:r w:rsidRPr="00B15926">
              <w:rPr>
                <w:rFonts w:ascii="Arial" w:eastAsia="MS PGothic" w:hAnsi="Arial" w:cs="Arial"/>
                <w:color w:val="0563C1"/>
                <w:kern w:val="0"/>
                <w:sz w:val="22"/>
                <w:szCs w:val="22"/>
                <w:u w:val="single"/>
                <w14:ligatures w14:val="none"/>
              </w:rPr>
              <w:t>Legal Notice</w:t>
            </w:r>
          </w:hyperlink>
          <w:r w:rsidRPr="00B15926">
            <w:rPr>
              <w:rFonts w:ascii="Arial" w:eastAsia="MS PGothic" w:hAnsi="Arial" w:cs="Arial"/>
              <w:kern w:val="0"/>
              <w:sz w:val="22"/>
              <w:szCs w:val="22"/>
              <w14:ligatures w14:val="none"/>
            </w:rPr>
            <w:t>.</w:t>
          </w:r>
        </w:p>
      </w:sdtContent>
    </w:sdt>
    <w:p w14:paraId="1749A032" w14:textId="77777777" w:rsidR="000168E7" w:rsidRPr="000168E7" w:rsidRDefault="000168E7" w:rsidP="000168E7">
      <w:pPr>
        <w:rPr>
          <w:rFonts w:ascii="Arial" w:eastAsia="MS PGothic" w:hAnsi="Arial" w:cs="Arial"/>
          <w:b/>
          <w:bCs/>
          <w:kern w:val="0"/>
          <w:sz w:val="22"/>
          <w:szCs w:val="22"/>
          <w14:ligatures w14:val="none"/>
        </w:rPr>
      </w:pPr>
      <w:r w:rsidRPr="000168E7">
        <w:rPr>
          <w:rFonts w:ascii="Arial" w:eastAsia="MS PGothic" w:hAnsi="Arial" w:cs="Arial"/>
          <w:b/>
          <w:bCs/>
          <w:kern w:val="0"/>
          <w:sz w:val="22"/>
          <w:szCs w:val="22"/>
          <w14:ligatures w14:val="none"/>
        </w:rPr>
        <w:t>Who should read this paper?</w:t>
      </w:r>
    </w:p>
    <w:p w14:paraId="20DF4BDC" w14:textId="77777777" w:rsidR="00335E3A" w:rsidRPr="00335E3A" w:rsidRDefault="00335E3A" w:rsidP="00335E3A">
      <w:pPr>
        <w:spacing w:after="250" w:line="276" w:lineRule="auto"/>
        <w:jc w:val="both"/>
        <w:rPr>
          <w:rFonts w:ascii="Arial" w:eastAsia="MS PGothic" w:hAnsi="Arial" w:cs="Arial"/>
          <w:color w:val="181818"/>
          <w:kern w:val="0"/>
          <w:sz w:val="22"/>
          <w:szCs w:val="20"/>
          <w14:ligatures w14:val="none"/>
        </w:rPr>
      </w:pPr>
      <w:r w:rsidRPr="00335E3A">
        <w:rPr>
          <w:rFonts w:ascii="Arial" w:eastAsia="MS PGothic" w:hAnsi="Arial" w:cs="Arial"/>
          <w:color w:val="181818"/>
          <w:kern w:val="0"/>
          <w:sz w:val="22"/>
          <w:szCs w:val="20"/>
          <w14:ligatures w14:val="none"/>
        </w:rPr>
        <w:lastRenderedPageBreak/>
        <w:t>This paper is addressed to all financial market participants and in particular credit rating agencies, issuers, investors and competent authorities involved in the issuance and use of credit ratings for regulatory purposes.</w:t>
      </w:r>
    </w:p>
    <w:p w14:paraId="0C2E7987" w14:textId="77777777" w:rsidR="006807AF" w:rsidRDefault="006807AF" w:rsidP="00335E3A">
      <w:pPr>
        <w:rPr>
          <w:rFonts w:ascii="Arial" w:eastAsia="MS PGothic" w:hAnsi="Arial" w:cs="Arial"/>
          <w:kern w:val="0"/>
          <w:sz w:val="22"/>
          <w:szCs w:val="22"/>
          <w14:ligatures w14:val="none"/>
        </w:rPr>
      </w:pPr>
    </w:p>
    <w:p w14:paraId="001AB88B" w14:textId="77777777" w:rsidR="006807AF" w:rsidRDefault="006807AF" w:rsidP="006807AF">
      <w:pPr>
        <w:rPr>
          <w:rFonts w:ascii="Arial" w:eastAsia="MS PGothic" w:hAnsi="Arial" w:cs="Arial"/>
          <w:kern w:val="0"/>
          <w:sz w:val="22"/>
          <w:szCs w:val="22"/>
          <w14:ligatures w14:val="none"/>
        </w:rPr>
      </w:pPr>
    </w:p>
    <w:p w14:paraId="08DA9283" w14:textId="77777777" w:rsidR="006807AF" w:rsidRDefault="006807AF" w:rsidP="006807AF">
      <w:pPr>
        <w:rPr>
          <w:rFonts w:ascii="Arial" w:eastAsia="MS PGothic" w:hAnsi="Arial" w:cs="Arial"/>
          <w:kern w:val="0"/>
          <w:sz w:val="22"/>
          <w:szCs w:val="22"/>
          <w14:ligatures w14:val="none"/>
        </w:rPr>
      </w:pPr>
    </w:p>
    <w:p w14:paraId="0137A7D6" w14:textId="77777777" w:rsidR="006807AF" w:rsidRDefault="006807AF" w:rsidP="006807AF">
      <w:pPr>
        <w:rPr>
          <w:rFonts w:ascii="Arial" w:eastAsia="MS PGothic" w:hAnsi="Arial" w:cs="Arial"/>
          <w:kern w:val="0"/>
          <w:sz w:val="22"/>
          <w:szCs w:val="22"/>
          <w14:ligatures w14:val="none"/>
        </w:rPr>
      </w:pPr>
    </w:p>
    <w:p w14:paraId="425D73FC" w14:textId="77777777" w:rsidR="006807AF" w:rsidRDefault="006807AF" w:rsidP="006807AF">
      <w:pPr>
        <w:rPr>
          <w:rFonts w:ascii="Arial" w:eastAsia="MS PGothic" w:hAnsi="Arial" w:cs="Arial"/>
          <w:kern w:val="0"/>
          <w:sz w:val="22"/>
          <w:szCs w:val="22"/>
          <w14:ligatures w14:val="none"/>
        </w:rPr>
      </w:pPr>
    </w:p>
    <w:p w14:paraId="656F2302" w14:textId="77777777" w:rsidR="006807AF" w:rsidRDefault="006807AF" w:rsidP="006807AF">
      <w:pPr>
        <w:rPr>
          <w:rFonts w:ascii="Arial" w:eastAsia="MS PGothic" w:hAnsi="Arial" w:cs="Arial"/>
          <w:kern w:val="0"/>
          <w:sz w:val="22"/>
          <w:szCs w:val="22"/>
          <w14:ligatures w14:val="none"/>
        </w:rPr>
      </w:pPr>
    </w:p>
    <w:p w14:paraId="314AADFA" w14:textId="77777777" w:rsidR="006807AF" w:rsidRDefault="006807AF" w:rsidP="006807AF">
      <w:pPr>
        <w:rPr>
          <w:rFonts w:ascii="Arial" w:eastAsia="MS PGothic" w:hAnsi="Arial" w:cs="Arial"/>
          <w:kern w:val="0"/>
          <w:sz w:val="22"/>
          <w:szCs w:val="22"/>
          <w14:ligatures w14:val="none"/>
        </w:rPr>
      </w:pPr>
    </w:p>
    <w:p w14:paraId="5BE492DC" w14:textId="77777777" w:rsidR="006807AF" w:rsidRDefault="006807AF" w:rsidP="006807AF">
      <w:pPr>
        <w:rPr>
          <w:rFonts w:ascii="Arial" w:eastAsia="MS PGothic" w:hAnsi="Arial" w:cs="Arial"/>
          <w:kern w:val="0"/>
          <w:sz w:val="22"/>
          <w:szCs w:val="22"/>
          <w14:ligatures w14:val="none"/>
        </w:rPr>
      </w:pPr>
    </w:p>
    <w:p w14:paraId="1DC4C61D" w14:textId="77777777" w:rsidR="006807AF" w:rsidRDefault="006807AF" w:rsidP="006807AF">
      <w:pPr>
        <w:rPr>
          <w:rFonts w:ascii="Arial" w:eastAsia="MS PGothic" w:hAnsi="Arial" w:cs="Arial"/>
          <w:kern w:val="0"/>
          <w:sz w:val="22"/>
          <w:szCs w:val="22"/>
          <w14:ligatures w14:val="none"/>
        </w:rPr>
      </w:pPr>
    </w:p>
    <w:p w14:paraId="5CBBDCD3" w14:textId="77777777" w:rsidR="006807AF" w:rsidRDefault="006807AF" w:rsidP="006807AF">
      <w:pPr>
        <w:rPr>
          <w:rFonts w:ascii="Arial" w:eastAsia="MS PGothic" w:hAnsi="Arial" w:cs="Arial"/>
          <w:kern w:val="0"/>
          <w:sz w:val="22"/>
          <w:szCs w:val="22"/>
          <w14:ligatures w14:val="none"/>
        </w:rPr>
      </w:pPr>
    </w:p>
    <w:p w14:paraId="3839D080" w14:textId="77777777" w:rsidR="006807AF" w:rsidRDefault="006807AF" w:rsidP="006807AF">
      <w:pPr>
        <w:rPr>
          <w:rFonts w:ascii="Arial" w:eastAsia="MS PGothic" w:hAnsi="Arial" w:cs="Arial"/>
          <w:kern w:val="0"/>
          <w:sz w:val="22"/>
          <w:szCs w:val="22"/>
          <w14:ligatures w14:val="none"/>
        </w:rPr>
      </w:pPr>
    </w:p>
    <w:p w14:paraId="380CB3DE" w14:textId="77777777" w:rsidR="006807AF" w:rsidRDefault="006807AF" w:rsidP="006807AF">
      <w:pPr>
        <w:rPr>
          <w:rFonts w:ascii="Arial" w:eastAsia="MS PGothic" w:hAnsi="Arial" w:cs="Arial"/>
          <w:kern w:val="0"/>
          <w:sz w:val="22"/>
          <w:szCs w:val="22"/>
          <w14:ligatures w14:val="none"/>
        </w:rPr>
      </w:pPr>
    </w:p>
    <w:p w14:paraId="42CA3A34" w14:textId="77777777" w:rsidR="006807AF" w:rsidRDefault="006807AF" w:rsidP="006807AF">
      <w:pPr>
        <w:rPr>
          <w:rFonts w:ascii="Arial" w:eastAsia="MS PGothic" w:hAnsi="Arial" w:cs="Arial"/>
          <w:kern w:val="0"/>
          <w:sz w:val="22"/>
          <w:szCs w:val="22"/>
          <w14:ligatures w14:val="none"/>
        </w:rPr>
      </w:pPr>
    </w:p>
    <w:p w14:paraId="04410521" w14:textId="77777777" w:rsidR="006807AF" w:rsidRDefault="006807AF" w:rsidP="006807AF">
      <w:pPr>
        <w:rPr>
          <w:rFonts w:ascii="Arial" w:eastAsia="MS PGothic" w:hAnsi="Arial" w:cs="Arial"/>
          <w:kern w:val="0"/>
          <w:sz w:val="22"/>
          <w:szCs w:val="22"/>
          <w14:ligatures w14:val="none"/>
        </w:rPr>
      </w:pPr>
    </w:p>
    <w:p w14:paraId="21114CEC" w14:textId="77777777" w:rsidR="006807AF" w:rsidRDefault="006807AF" w:rsidP="006807AF">
      <w:pPr>
        <w:rPr>
          <w:rFonts w:ascii="Arial" w:eastAsia="MS PGothic" w:hAnsi="Arial" w:cs="Arial"/>
          <w:kern w:val="0"/>
          <w:sz w:val="22"/>
          <w:szCs w:val="22"/>
          <w14:ligatures w14:val="none"/>
        </w:rPr>
      </w:pPr>
    </w:p>
    <w:p w14:paraId="117C175B" w14:textId="77777777" w:rsidR="006807AF" w:rsidRDefault="006807AF" w:rsidP="006807AF">
      <w:pPr>
        <w:rPr>
          <w:rFonts w:ascii="Arial" w:eastAsia="MS PGothic" w:hAnsi="Arial" w:cs="Arial"/>
          <w:kern w:val="0"/>
          <w:sz w:val="22"/>
          <w:szCs w:val="22"/>
          <w14:ligatures w14:val="none"/>
        </w:rPr>
      </w:pPr>
    </w:p>
    <w:p w14:paraId="5EBCD0F9" w14:textId="77777777" w:rsidR="006807AF" w:rsidRDefault="006807AF" w:rsidP="006807AF">
      <w:pPr>
        <w:rPr>
          <w:rFonts w:ascii="Arial" w:eastAsia="MS PGothic" w:hAnsi="Arial" w:cs="Arial"/>
          <w:kern w:val="0"/>
          <w:sz w:val="22"/>
          <w:szCs w:val="22"/>
          <w14:ligatures w14:val="none"/>
        </w:rPr>
      </w:pPr>
    </w:p>
    <w:p w14:paraId="6742BCEF" w14:textId="77777777" w:rsidR="006807AF" w:rsidRDefault="006807AF" w:rsidP="006807AF">
      <w:pPr>
        <w:rPr>
          <w:rFonts w:ascii="Arial" w:eastAsia="MS PGothic" w:hAnsi="Arial" w:cs="Arial"/>
          <w:kern w:val="0"/>
          <w:sz w:val="22"/>
          <w:szCs w:val="22"/>
          <w14:ligatures w14:val="none"/>
        </w:rPr>
      </w:pPr>
    </w:p>
    <w:p w14:paraId="53864F4E" w14:textId="77777777" w:rsidR="006807AF" w:rsidRDefault="006807AF" w:rsidP="006807AF">
      <w:pPr>
        <w:rPr>
          <w:rFonts w:ascii="Arial" w:eastAsia="MS PGothic" w:hAnsi="Arial" w:cs="Arial"/>
          <w:kern w:val="0"/>
          <w:sz w:val="22"/>
          <w:szCs w:val="22"/>
          <w14:ligatures w14:val="none"/>
        </w:rPr>
      </w:pPr>
    </w:p>
    <w:p w14:paraId="46EA25E1" w14:textId="77777777" w:rsidR="006807AF" w:rsidRDefault="006807AF" w:rsidP="006807AF">
      <w:pPr>
        <w:rPr>
          <w:rFonts w:ascii="Arial" w:eastAsia="MS PGothic" w:hAnsi="Arial" w:cs="Arial"/>
          <w:kern w:val="0"/>
          <w:sz w:val="22"/>
          <w:szCs w:val="22"/>
          <w14:ligatures w14:val="none"/>
        </w:rPr>
      </w:pPr>
    </w:p>
    <w:p w14:paraId="0B3FF37E" w14:textId="77777777" w:rsidR="006807AF" w:rsidRDefault="006807AF" w:rsidP="006807AF">
      <w:pPr>
        <w:rPr>
          <w:rFonts w:ascii="Arial" w:eastAsia="MS PGothic" w:hAnsi="Arial" w:cs="Arial"/>
          <w:kern w:val="0"/>
          <w:sz w:val="22"/>
          <w:szCs w:val="22"/>
          <w14:ligatures w14:val="none"/>
        </w:rPr>
      </w:pPr>
    </w:p>
    <w:p w14:paraId="7E8F51D1" w14:textId="77777777" w:rsidR="006807AF" w:rsidRDefault="006807AF" w:rsidP="006807AF">
      <w:pPr>
        <w:rPr>
          <w:rFonts w:ascii="Arial" w:eastAsia="MS PGothic" w:hAnsi="Arial" w:cs="Arial"/>
          <w:kern w:val="0"/>
          <w:sz w:val="22"/>
          <w:szCs w:val="22"/>
          <w14:ligatures w14:val="none"/>
        </w:rPr>
      </w:pPr>
    </w:p>
    <w:p w14:paraId="27470DCB" w14:textId="77777777" w:rsidR="006807AF" w:rsidRDefault="006807AF" w:rsidP="006807AF">
      <w:pPr>
        <w:rPr>
          <w:rFonts w:ascii="Arial" w:eastAsia="MS PGothic" w:hAnsi="Arial" w:cs="Arial"/>
          <w:kern w:val="0"/>
          <w:sz w:val="22"/>
          <w:szCs w:val="22"/>
          <w14:ligatures w14:val="none"/>
        </w:rPr>
      </w:pPr>
    </w:p>
    <w:p w14:paraId="623F8BE6" w14:textId="77777777" w:rsidR="006807AF" w:rsidRDefault="006807AF" w:rsidP="006807AF">
      <w:pPr>
        <w:rPr>
          <w:rFonts w:ascii="Arial" w:eastAsia="MS PGothic" w:hAnsi="Arial" w:cs="Arial"/>
          <w:kern w:val="0"/>
          <w:sz w:val="22"/>
          <w:szCs w:val="22"/>
          <w14:ligatures w14:val="none"/>
        </w:rPr>
      </w:pPr>
    </w:p>
    <w:p w14:paraId="45F1EC0D" w14:textId="77777777" w:rsidR="006807AF" w:rsidRDefault="006807AF" w:rsidP="006807AF">
      <w:pPr>
        <w:rPr>
          <w:rFonts w:ascii="Arial" w:eastAsia="MS PGothic" w:hAnsi="Arial" w:cs="Arial"/>
          <w:kern w:val="0"/>
          <w:sz w:val="22"/>
          <w:szCs w:val="22"/>
          <w14:ligatures w14:val="none"/>
        </w:rPr>
      </w:pPr>
    </w:p>
    <w:p w14:paraId="3AC81BB2" w14:textId="77777777" w:rsidR="006807AF" w:rsidRPr="00B15926" w:rsidRDefault="006807AF" w:rsidP="006807AF">
      <w:pPr>
        <w:rPr>
          <w:rFonts w:ascii="Arial" w:eastAsia="MS PGothic" w:hAnsi="Arial" w:cs="Arial"/>
          <w:b/>
          <w:kern w:val="0"/>
          <w:sz w:val="20"/>
          <w:szCs w:val="20"/>
          <w:lang w:eastAsia="en-GB"/>
          <w14:ligatures w14:val="none"/>
        </w:rPr>
      </w:pPr>
    </w:p>
    <w:p w14:paraId="3286166E" w14:textId="77777777" w:rsidR="00B15926" w:rsidRPr="00B15926" w:rsidRDefault="00B15926" w:rsidP="00B15926">
      <w:pPr>
        <w:spacing w:after="0" w:line="240" w:lineRule="auto"/>
        <w:rPr>
          <w:rFonts w:ascii="Times New Roman" w:eastAsia="Times New Roman" w:hAnsi="Times New Roman" w:cs="Times New Roman"/>
          <w:kern w:val="0"/>
          <w:lang w:eastAsia="en-GB"/>
          <w14:ligatures w14:val="none"/>
        </w:rPr>
      </w:pPr>
    </w:p>
    <w:p w14:paraId="5D175A3E" w14:textId="77777777" w:rsidR="00B15926" w:rsidRPr="00B15926" w:rsidRDefault="00B15926" w:rsidP="00B15926">
      <w:pPr>
        <w:keepNext/>
        <w:keepLines/>
        <w:spacing w:before="320" w:after="250" w:line="276" w:lineRule="auto"/>
        <w:jc w:val="both"/>
        <w:outlineLvl w:val="0"/>
        <w:rPr>
          <w:rFonts w:ascii="Arial" w:eastAsia="MS PGothic" w:hAnsi="Arial" w:cs="Arial"/>
          <w:b/>
          <w:kern w:val="0"/>
          <w14:ligatures w14:val="none"/>
        </w:rPr>
      </w:pPr>
      <w:r w:rsidRPr="00B15926">
        <w:rPr>
          <w:rFonts w:ascii="Arial" w:eastAsia="MS PGothic" w:hAnsi="Arial" w:cs="Arial"/>
          <w:b/>
          <w:kern w:val="0"/>
          <w14:ligatures w14:val="none"/>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15926" w:rsidRPr="00B15926" w14:paraId="2AB3F80B" w14:textId="77777777" w:rsidTr="00862BBD">
        <w:tc>
          <w:tcPr>
            <w:tcW w:w="3929" w:type="dxa"/>
          </w:tcPr>
          <w:p w14:paraId="63EDE60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Name of the company / organisation</w:t>
            </w:r>
          </w:p>
        </w:tc>
        <w:tc>
          <w:tcPr>
            <w:tcW w:w="5595" w:type="dxa"/>
          </w:tcPr>
          <w:p w14:paraId="389E446E" w14:textId="233B7953" w:rsidR="00B15926" w:rsidRPr="00B15926" w:rsidRDefault="00B66E66" w:rsidP="00B15926">
            <w:pPr>
              <w:spacing w:after="0" w:line="240" w:lineRule="auto"/>
              <w:rPr>
                <w:rFonts w:ascii="Arial" w:eastAsia="Times New Roman" w:hAnsi="Arial" w:cs="Arial"/>
                <w:color w:val="808080"/>
                <w:kern w:val="0"/>
                <w:sz w:val="16"/>
                <w:szCs w:val="20"/>
                <w:lang w:eastAsia="de-DE"/>
                <w14:ligatures w14:val="none"/>
              </w:rPr>
            </w:pPr>
            <w:r>
              <w:rPr>
                <w:rFonts w:ascii="Arial" w:eastAsia="Times New Roman" w:hAnsi="Arial" w:cs="Arial"/>
                <w:color w:val="808080"/>
                <w:kern w:val="0"/>
                <w:sz w:val="16"/>
                <w:szCs w:val="20"/>
                <w:lang w:eastAsia="de-DE"/>
                <w14:ligatures w14:val="none"/>
              </w:rPr>
              <w:t xml:space="preserve">MFA </w:t>
            </w:r>
            <w:r w:rsidR="0036494D">
              <w:rPr>
                <w:rFonts w:ascii="Arial" w:eastAsia="Times New Roman" w:hAnsi="Arial" w:cs="Arial"/>
                <w:color w:val="808080"/>
                <w:kern w:val="0"/>
                <w:sz w:val="16"/>
                <w:szCs w:val="20"/>
                <w:lang w:eastAsia="de-DE"/>
                <w14:ligatures w14:val="none"/>
              </w:rPr>
              <w:t>(Managed Funds Association)</w:t>
            </w:r>
          </w:p>
        </w:tc>
      </w:tr>
      <w:tr w:rsidR="00B15926" w:rsidRPr="00B15926" w14:paraId="75AA548C" w14:textId="77777777" w:rsidTr="00862BBD">
        <w:tc>
          <w:tcPr>
            <w:tcW w:w="3929" w:type="dxa"/>
          </w:tcPr>
          <w:p w14:paraId="553F8DCB"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Activity</w:t>
            </w:r>
          </w:p>
        </w:tc>
        <w:tc>
          <w:tcPr>
            <w:tcW w:w="5595" w:type="dxa"/>
          </w:tcPr>
          <w:p w14:paraId="022F8FBF" w14:textId="7F5E90F8" w:rsidR="00B15926" w:rsidRPr="00B15926" w:rsidRDefault="00B66E66" w:rsidP="00B15926">
            <w:pPr>
              <w:spacing w:after="0" w:line="240" w:lineRule="auto"/>
              <w:rPr>
                <w:rFonts w:ascii="Arial" w:eastAsia="Times New Roman" w:hAnsi="Arial" w:cs="Arial"/>
                <w:kern w:val="0"/>
                <w:sz w:val="16"/>
                <w:szCs w:val="20"/>
                <w:lang w:eastAsia="de-DE"/>
                <w14:ligatures w14:val="none"/>
              </w:rPr>
            </w:pPr>
            <w:r>
              <w:rPr>
                <w:rFonts w:ascii="Arial" w:eastAsia="Times New Roman" w:hAnsi="Arial" w:cs="Arial"/>
                <w:kern w:val="0"/>
                <w:sz w:val="16"/>
                <w:szCs w:val="20"/>
                <w:lang w:eastAsia="de-DE"/>
                <w14:ligatures w14:val="none"/>
              </w:rPr>
              <w:t>Trade Association</w:t>
            </w:r>
          </w:p>
        </w:tc>
      </w:tr>
      <w:tr w:rsidR="00B15926" w:rsidRPr="00B15926" w14:paraId="241F00D4" w14:textId="77777777" w:rsidTr="00862BBD">
        <w:tc>
          <w:tcPr>
            <w:tcW w:w="3929" w:type="dxa"/>
          </w:tcPr>
          <w:p w14:paraId="227A679D"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Are you representing an association?</w:t>
            </w:r>
          </w:p>
        </w:tc>
        <w:sdt>
          <w:sdtPr>
            <w:rPr>
              <w:rFonts w:ascii="Arial" w:eastAsia="Times New Roman" w:hAnsi="Arial" w:cs="Arial"/>
              <w:kern w:val="0"/>
              <w:sz w:val="16"/>
              <w:szCs w:val="20"/>
              <w:lang w:eastAsia="de-DE"/>
              <w14:ligatures w14:val="none"/>
            </w:rPr>
            <w:id w:val="-242871467"/>
            <w14:checkbox>
              <w14:checked w14:val="1"/>
              <w14:checkedState w14:val="2612" w14:font="MS Gothic"/>
              <w14:uncheckedState w14:val="2610" w14:font="MS Gothic"/>
            </w14:checkbox>
          </w:sdtPr>
          <w:sdtEndPr/>
          <w:sdtContent>
            <w:tc>
              <w:tcPr>
                <w:tcW w:w="5595" w:type="dxa"/>
              </w:tcPr>
              <w:p w14:paraId="4CE5BA0A" w14:textId="2D5C471E" w:rsidR="00B15926" w:rsidRPr="00B15926" w:rsidRDefault="00B66E66" w:rsidP="00B15926">
                <w:pPr>
                  <w:spacing w:after="0" w:line="240" w:lineRule="auto"/>
                  <w:rPr>
                    <w:rFonts w:ascii="Arial" w:eastAsia="Times New Roman" w:hAnsi="Arial" w:cs="Arial"/>
                    <w:kern w:val="0"/>
                    <w:sz w:val="16"/>
                    <w:szCs w:val="20"/>
                    <w:lang w:eastAsia="de-DE"/>
                    <w14:ligatures w14:val="none"/>
                  </w:rPr>
                </w:pPr>
                <w:r>
                  <w:rPr>
                    <w:rFonts w:ascii="MS Gothic" w:eastAsia="MS Gothic" w:hAnsi="MS Gothic" w:cs="Arial" w:hint="eastAsia"/>
                    <w:kern w:val="0"/>
                    <w:sz w:val="16"/>
                    <w:szCs w:val="20"/>
                    <w:lang w:eastAsia="de-DE"/>
                    <w14:ligatures w14:val="none"/>
                  </w:rPr>
                  <w:t>☒</w:t>
                </w:r>
              </w:p>
            </w:tc>
          </w:sdtContent>
        </w:sdt>
      </w:tr>
      <w:tr w:rsidR="00B15926" w:rsidRPr="00B15926" w14:paraId="1F6EA6C1" w14:textId="77777777" w:rsidTr="00862BBD">
        <w:tc>
          <w:tcPr>
            <w:tcW w:w="3929" w:type="dxa"/>
          </w:tcPr>
          <w:p w14:paraId="546F8DC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Country/Region</w:t>
            </w:r>
          </w:p>
        </w:tc>
        <w:sdt>
          <w:sdtPr>
            <w:rPr>
              <w:rFonts w:ascii="Arial" w:eastAsia="Times New Roman" w:hAnsi="Arial" w:cs="Arial"/>
              <w:kern w:val="0"/>
              <w:sz w:val="16"/>
              <w:szCs w:val="20"/>
              <w:lang w:eastAsia="de-DE"/>
              <w14:ligatures w14:val="non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569EA6B7" w14:textId="387F1130" w:rsidR="00B15926" w:rsidRPr="00B15926" w:rsidRDefault="00B66E66" w:rsidP="00B15926">
                <w:pPr>
                  <w:spacing w:after="0" w:line="240" w:lineRule="auto"/>
                  <w:rPr>
                    <w:rFonts w:ascii="Arial" w:eastAsia="Times New Roman" w:hAnsi="Arial" w:cs="Arial"/>
                    <w:kern w:val="0"/>
                    <w:sz w:val="16"/>
                    <w:szCs w:val="20"/>
                    <w:lang w:eastAsia="de-DE"/>
                    <w14:ligatures w14:val="none"/>
                  </w:rPr>
                </w:pPr>
                <w:r>
                  <w:rPr>
                    <w:rFonts w:ascii="Arial" w:eastAsia="Times New Roman" w:hAnsi="Arial" w:cs="Arial"/>
                    <w:kern w:val="0"/>
                    <w:sz w:val="16"/>
                    <w:szCs w:val="20"/>
                    <w:lang w:eastAsia="de-DE"/>
                    <w14:ligatures w14:val="none"/>
                  </w:rPr>
                  <w:t>International</w:t>
                </w:r>
              </w:p>
            </w:tc>
          </w:sdtContent>
        </w:sdt>
      </w:tr>
    </w:tbl>
    <w:p w14:paraId="72FFFFA5" w14:textId="77777777" w:rsidR="00B15926" w:rsidRPr="00B15926" w:rsidRDefault="00B15926" w:rsidP="00B15926">
      <w:pPr>
        <w:spacing w:after="120" w:line="264" w:lineRule="auto"/>
        <w:rPr>
          <w:rFonts w:ascii="Arial" w:eastAsia="Times New Roman" w:hAnsi="Arial" w:cs="Arial"/>
          <w:b/>
          <w:kern w:val="0"/>
          <w:sz w:val="22"/>
          <w:szCs w:val="22"/>
          <w:lang w:eastAsia="en-GB"/>
          <w14:ligatures w14:val="none"/>
        </w:rPr>
      </w:pPr>
      <w:r w:rsidRPr="00B15926">
        <w:rPr>
          <w:rFonts w:ascii="Arial" w:eastAsia="Times New Roman" w:hAnsi="Arial" w:cs="Arial"/>
          <w:b/>
          <w:kern w:val="0"/>
          <w:sz w:val="22"/>
          <w:szCs w:val="22"/>
          <w:lang w:eastAsia="en-GB"/>
          <w14:ligatures w14:val="none"/>
        </w:rPr>
        <w:br w:type="page"/>
      </w:r>
    </w:p>
    <w:p w14:paraId="6EE2D155" w14:textId="77777777" w:rsidR="00323E56" w:rsidRPr="00323E56" w:rsidRDefault="00323E56" w:rsidP="00323E56">
      <w:pPr>
        <w:spacing w:after="250" w:line="276" w:lineRule="auto"/>
        <w:ind w:left="360"/>
        <w:contextualSpacing/>
        <w:jc w:val="both"/>
        <w:rPr>
          <w:rFonts w:ascii="Arial" w:eastAsia="Times New Roman" w:hAnsi="Arial" w:cs="Arial"/>
          <w:b/>
          <w:bCs/>
          <w:kern w:val="0"/>
          <w:sz w:val="22"/>
          <w:szCs w:val="22"/>
          <w:lang w:eastAsia="en-GB"/>
          <w14:ligatures w14:val="none"/>
        </w:rPr>
      </w:pPr>
    </w:p>
    <w:p w14:paraId="077956E9" w14:textId="67373628"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 xml:space="preserve">uestions on restricted subscription </w:t>
      </w:r>
      <w:r w:rsidR="009C682C">
        <w:rPr>
          <w:rFonts w:ascii="Arial" w:eastAsia="MS PGothic" w:hAnsi="Arial" w:cs="Arial"/>
          <w:b/>
          <w:color w:val="00379F"/>
          <w:kern w:val="0"/>
          <w:sz w:val="32"/>
          <w:szCs w:val="32"/>
          <w14:ligatures w14:val="none"/>
        </w:rPr>
        <w:t xml:space="preserve">credit </w:t>
      </w:r>
      <w:r w:rsidR="007243AE" w:rsidRPr="007243AE">
        <w:rPr>
          <w:rFonts w:ascii="Arial" w:eastAsia="MS PGothic" w:hAnsi="Arial" w:cs="Arial"/>
          <w:b/>
          <w:color w:val="00379F"/>
          <w:kern w:val="0"/>
          <w:sz w:val="32"/>
          <w:szCs w:val="32"/>
          <w14:ligatures w14:val="none"/>
        </w:rPr>
        <w:t>ratings</w:t>
      </w:r>
    </w:p>
    <w:p w14:paraId="5507E5EF" w14:textId="446EB260"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Q.1</w:t>
      </w:r>
      <w:r w:rsidRPr="007243AE">
        <w:rPr>
          <w:rFonts w:ascii="Arial" w:eastAsia="MS PGothic" w:hAnsi="Arial" w:cs="Arial"/>
          <w:bCs/>
          <w:color w:val="181818"/>
          <w:kern w:val="0"/>
          <w:sz w:val="22"/>
          <w:szCs w:val="20"/>
          <w14:ligatures w14:val="none"/>
        </w:rPr>
        <w:t xml:space="preserve"> What are the main purposes and market needs that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are intended to serve? In what circumstances are they preferred over publicly disseminated</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or other credit assessments? Please provide concrete examples where possible.</w:t>
      </w:r>
    </w:p>
    <w:p w14:paraId="1AA9EF45"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p>
    <w:p w14:paraId="044CE5F0"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151DE0B0"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p>
    <w:p w14:paraId="7D82B6C0"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B0CF1FE" w14:textId="77777777"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Q.2</w:t>
      </w:r>
      <w:r w:rsidRPr="007243AE">
        <w:rPr>
          <w:rFonts w:ascii="Arial" w:eastAsia="MS PGothic" w:hAnsi="Arial" w:cs="Arial"/>
          <w:bCs/>
          <w:color w:val="181818"/>
          <w:kern w:val="0"/>
          <w:sz w:val="22"/>
          <w:szCs w:val="20"/>
          <w14:ligatures w14:val="none"/>
        </w:rPr>
        <w:t xml:space="preserve"> How are subscribers defined in practice, including with respect to criteria for access, the assessment of “economic interests” and restrictions on onward disclosure?</w:t>
      </w:r>
    </w:p>
    <w:p w14:paraId="422C1F33" w14:textId="60FDBE60"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31B5B946"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239192CA" w14:textId="3EE247BA"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p>
    <w:p w14:paraId="5CD3BDFB"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AAC73E4" w14:textId="7EB19138"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3</w:t>
      </w:r>
      <w:r w:rsidRPr="007243AE">
        <w:rPr>
          <w:rFonts w:ascii="Arial" w:eastAsia="MS PGothic" w:hAnsi="Arial" w:cs="Arial"/>
          <w:bCs/>
          <w:color w:val="181818"/>
          <w:kern w:val="0"/>
          <w:sz w:val="22"/>
          <w:szCs w:val="20"/>
          <w14:ligatures w14:val="none"/>
        </w:rPr>
        <w:t xml:space="preserve"> What information is provided to subscribers alongside the</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 (e.g., rationale, key assumptions, sensitivity analysis)? How does this information compare with that accompanying publicly disseminated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and how are any differences addressed?</w:t>
      </w:r>
    </w:p>
    <w:p w14:paraId="63520B2D" w14:textId="4399C26C"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5D8396E3" w14:textId="77777777"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1C405EA1" w14:textId="22701598"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sidR="001013E7">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6D6F5663"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34E6CAC5" w14:textId="74391AB4"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4</w:t>
      </w:r>
      <w:r w:rsidRPr="007243AE">
        <w:rPr>
          <w:rFonts w:ascii="Arial" w:eastAsia="MS PGothic" w:hAnsi="Arial" w:cs="Arial"/>
          <w:bCs/>
          <w:color w:val="181818"/>
          <w:kern w:val="0"/>
          <w:sz w:val="22"/>
          <w:szCs w:val="20"/>
          <w14:ligatures w14:val="none"/>
        </w:rPr>
        <w:t xml:space="preserve"> What arrangements apply in practice to ensure that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are produced in line with the requirements of the CRA Regulation, including those relating to governance, independence, conflicts of interest, internal controls, and application methodologies? How do these arrangements compare with those applicable to publicly disseminated credit ratings?</w:t>
      </w:r>
      <w:r w:rsidRPr="007243AE">
        <w:rPr>
          <w:rFonts w:ascii="Arial" w:eastAsia="MS PGothic" w:hAnsi="Arial" w:cs="Arial"/>
          <w:color w:val="181818"/>
          <w:kern w:val="0"/>
          <w:sz w:val="22"/>
          <w:szCs w:val="20"/>
          <w14:ligatures w14:val="none"/>
        </w:rPr>
        <w:t xml:space="preserve"> </w:t>
      </w:r>
    </w:p>
    <w:p w14:paraId="15691D21" w14:textId="597F46C1"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7C8F3EA5"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1E6340F8" w14:textId="25D57FA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32CA4941"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4FDB259" w14:textId="269767F0" w:rsidR="007243AE" w:rsidRDefault="3FBC29F4" w:rsidP="1B35BF7F">
      <w:pPr>
        <w:spacing w:after="250" w:line="276" w:lineRule="auto"/>
        <w:ind w:left="432"/>
        <w:jc w:val="both"/>
        <w:rPr>
          <w:rFonts w:ascii="Arial" w:eastAsia="MS PGothic" w:hAnsi="Arial" w:cs="Arial"/>
          <w:color w:val="181818"/>
          <w:kern w:val="0"/>
          <w:sz w:val="22"/>
          <w:szCs w:val="22"/>
          <w14:ligatures w14:val="none"/>
        </w:rPr>
      </w:pPr>
      <w:r w:rsidRPr="1B35BF7F">
        <w:rPr>
          <w:rFonts w:ascii="Arial" w:eastAsia="MS PGothic" w:hAnsi="Arial" w:cs="Arial"/>
          <w:b/>
          <w:bCs/>
          <w:color w:val="181818"/>
          <w:kern w:val="0"/>
          <w:sz w:val="22"/>
          <w:szCs w:val="22"/>
          <w14:ligatures w14:val="none"/>
        </w:rPr>
        <w:t>Q.</w:t>
      </w:r>
      <w:r w:rsidR="734EA311" w:rsidRPr="1B35BF7F">
        <w:rPr>
          <w:rFonts w:ascii="Arial" w:eastAsia="MS PGothic" w:hAnsi="Arial" w:cs="Arial"/>
          <w:b/>
          <w:bCs/>
          <w:color w:val="181818"/>
          <w:kern w:val="0"/>
          <w:sz w:val="22"/>
          <w:szCs w:val="22"/>
          <w14:ligatures w14:val="none"/>
        </w:rPr>
        <w:t>5</w:t>
      </w:r>
      <w:r w:rsidRPr="1B35BF7F">
        <w:rPr>
          <w:rFonts w:ascii="Arial" w:eastAsia="MS PGothic" w:hAnsi="Arial" w:cs="Arial"/>
          <w:color w:val="181818"/>
          <w:kern w:val="0"/>
          <w:sz w:val="22"/>
          <w:szCs w:val="22"/>
          <w14:ligatures w14:val="none"/>
        </w:rPr>
        <w:t xml:space="preserve"> What risks or unintended consequences may arise from the production, </w:t>
      </w:r>
      <w:r w:rsidRPr="05050EBA">
        <w:rPr>
          <w:rFonts w:ascii="Arial" w:eastAsia="MS PGothic" w:hAnsi="Arial" w:cs="Arial"/>
          <w:color w:val="181818"/>
          <w:sz w:val="22"/>
          <w:szCs w:val="22"/>
        </w:rPr>
        <w:t xml:space="preserve">distribution and use of restricted subscription </w:t>
      </w:r>
      <w:r w:rsidR="1316DE81" w:rsidRPr="1B35BF7F">
        <w:rPr>
          <w:rFonts w:ascii="Arial" w:eastAsia="MS PGothic" w:hAnsi="Arial" w:cs="Arial"/>
          <w:color w:val="181818"/>
          <w:kern w:val="0"/>
          <w:sz w:val="22"/>
          <w:szCs w:val="22"/>
          <w14:ligatures w14:val="none"/>
        </w:rPr>
        <w:t xml:space="preserve">credit </w:t>
      </w:r>
      <w:r w:rsidRPr="1B35BF7F">
        <w:rPr>
          <w:rFonts w:ascii="Arial" w:eastAsia="MS PGothic" w:hAnsi="Arial" w:cs="Arial"/>
          <w:color w:val="181818"/>
          <w:kern w:val="0"/>
          <w:sz w:val="22"/>
          <w:szCs w:val="22"/>
          <w14:ligatures w14:val="none"/>
        </w:rPr>
        <w:t>ratings (e.g., information asymmetry, cherry</w:t>
      </w:r>
      <w:r w:rsidR="47904793" w:rsidRPr="05050EBA">
        <w:rPr>
          <w:rFonts w:ascii="Arial" w:eastAsia="MS PGothic" w:hAnsi="Arial" w:cs="Arial"/>
          <w:color w:val="181818"/>
          <w:sz w:val="22"/>
          <w:szCs w:val="22"/>
        </w:rPr>
        <w:t xml:space="preserve"> </w:t>
      </w:r>
      <w:r w:rsidRPr="05050EBA">
        <w:rPr>
          <w:rFonts w:ascii="Arial" w:eastAsia="MS PGothic" w:hAnsi="Arial" w:cs="Arial"/>
          <w:color w:val="181818"/>
          <w:sz w:val="22"/>
          <w:szCs w:val="22"/>
        </w:rPr>
        <w:t xml:space="preserve">picking, market signalling, procyclicality)? </w:t>
      </w:r>
    </w:p>
    <w:p w14:paraId="74914203" w14:textId="3B1F215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039E6235"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6E2A3B21" w14:textId="3A766AE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44CFD7A9"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63AFBE72" w14:textId="6260B19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6</w:t>
      </w:r>
      <w:r w:rsidRPr="007243AE">
        <w:rPr>
          <w:rFonts w:ascii="Arial" w:eastAsia="MS PGothic" w:hAnsi="Arial" w:cs="Arial"/>
          <w:bCs/>
          <w:color w:val="181818"/>
          <w:kern w:val="0"/>
          <w:sz w:val="22"/>
          <w:szCs w:val="20"/>
          <w14:ligatures w14:val="none"/>
        </w:rPr>
        <w:t xml:space="preserve"> What mitigants are currently applied to address such risks and how effective are they? To what extent are these risks addressed by the existing requirements of the CRA Regulation? </w:t>
      </w:r>
    </w:p>
    <w:p w14:paraId="040D4589" w14:textId="3D0E6CF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0C314774"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598EE6D6" w14:textId="29CD344A"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6F254677"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9E63DF5" w14:textId="675BAFCC" w:rsidR="001013E7"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7</w:t>
      </w:r>
      <w:r w:rsidRPr="007243AE">
        <w:rPr>
          <w:rFonts w:ascii="Arial" w:eastAsia="MS PGothic" w:hAnsi="Arial" w:cs="Arial"/>
          <w:bCs/>
          <w:color w:val="181818"/>
          <w:kern w:val="0"/>
          <w:sz w:val="22"/>
          <w:szCs w:val="20"/>
          <w14:ligatures w14:val="none"/>
        </w:rPr>
        <w:t xml:space="preserve"> To what extent do issuers seek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from more than one credit rating agency for the same exposure? Please describe how common this practice is and the reasons for seeking, or not seeking, multiple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w:t>
      </w:r>
    </w:p>
    <w:p w14:paraId="30E396ED" w14:textId="4015C5BD"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2621E169" w14:textId="77777777"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CD12E6A" w14:textId="73D80CA9"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682A0B81" w14:textId="405BB97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2DF3C173" w14:textId="38749142" w:rsidR="00B937EE" w:rsidRPr="00B937EE" w:rsidRDefault="00B937EE" w:rsidP="00B937EE">
      <w:pPr>
        <w:spacing w:after="250" w:line="276" w:lineRule="auto"/>
        <w:ind w:left="432"/>
        <w:jc w:val="both"/>
        <w:rPr>
          <w:rFonts w:ascii="Arial" w:eastAsia="MS PGothic" w:hAnsi="Arial" w:cs="Arial"/>
          <w:bCs/>
          <w:color w:val="181818"/>
          <w:kern w:val="0"/>
          <w:sz w:val="22"/>
          <w:szCs w:val="20"/>
          <w14:ligatures w14:val="none"/>
        </w:rPr>
      </w:pPr>
      <w:r w:rsidRPr="00B937EE">
        <w:rPr>
          <w:rFonts w:ascii="Arial" w:eastAsia="MS PGothic" w:hAnsi="Arial" w:cs="Arial"/>
          <w:b/>
          <w:color w:val="181818"/>
          <w:kern w:val="0"/>
          <w:sz w:val="22"/>
          <w:szCs w:val="20"/>
          <w14:ligatures w14:val="none"/>
        </w:rPr>
        <w:t>Q.8</w:t>
      </w:r>
      <w:r w:rsidRPr="00B937EE">
        <w:rPr>
          <w:rFonts w:ascii="Arial" w:eastAsia="MS PGothic" w:hAnsi="Arial" w:cs="Arial"/>
          <w:bCs/>
          <w:color w:val="181818"/>
          <w:kern w:val="0"/>
          <w:sz w:val="22"/>
          <w:szCs w:val="20"/>
          <w14:ligatures w14:val="none"/>
        </w:rPr>
        <w:t xml:space="preserve"> Are there any additional considerations or evidence related to restricted subscription </w:t>
      </w:r>
      <w:r w:rsidR="009C682C">
        <w:rPr>
          <w:rFonts w:ascii="Arial" w:eastAsia="MS PGothic" w:hAnsi="Arial" w:cs="Arial"/>
          <w:bCs/>
          <w:color w:val="181818"/>
          <w:kern w:val="0"/>
          <w:sz w:val="22"/>
          <w:szCs w:val="20"/>
          <w14:ligatures w14:val="none"/>
        </w:rPr>
        <w:t xml:space="preserve">credit </w:t>
      </w:r>
      <w:r w:rsidRPr="00B937EE">
        <w:rPr>
          <w:rFonts w:ascii="Arial" w:eastAsia="MS PGothic" w:hAnsi="Arial" w:cs="Arial"/>
          <w:bCs/>
          <w:color w:val="181818"/>
          <w:kern w:val="0"/>
          <w:sz w:val="22"/>
          <w:szCs w:val="20"/>
          <w14:ligatures w14:val="none"/>
        </w:rPr>
        <w:t>ratings that stakeholders consider relevant for the purposes of this Call for Evidence, but which have not been addressed in the questions above?</w:t>
      </w:r>
    </w:p>
    <w:p w14:paraId="51122821" w14:textId="2F6387E1"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409A6B21" w14:textId="77777777"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TYPE YOUR TEXT HERE</w:t>
      </w:r>
    </w:p>
    <w:p w14:paraId="7F0CB577" w14:textId="4AC309B3"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189210CD" w14:textId="77777777" w:rsidR="004D3080" w:rsidRPr="007243AE" w:rsidRDefault="004D3080" w:rsidP="007243AE">
      <w:pPr>
        <w:spacing w:after="250" w:line="276" w:lineRule="auto"/>
        <w:ind w:left="432"/>
        <w:jc w:val="both"/>
        <w:rPr>
          <w:rFonts w:ascii="Arial" w:eastAsia="MS PGothic" w:hAnsi="Arial" w:cs="Arial"/>
          <w:bCs/>
          <w:color w:val="181818"/>
          <w:kern w:val="0"/>
          <w:sz w:val="22"/>
          <w:szCs w:val="20"/>
          <w14:ligatures w14:val="none"/>
        </w:rPr>
      </w:pPr>
    </w:p>
    <w:p w14:paraId="4906F370" w14:textId="2C75F18C"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bookmarkStart w:id="0" w:name="_Toc224749793"/>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uestions on private credit ratings</w:t>
      </w:r>
      <w:bookmarkEnd w:id="0"/>
    </w:p>
    <w:p w14:paraId="2AB5DA18" w14:textId="449E9B0B"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9</w:t>
      </w:r>
      <w:r w:rsidRPr="007243AE">
        <w:rPr>
          <w:rFonts w:ascii="Arial" w:eastAsia="MS PGothic" w:hAnsi="Arial" w:cs="Arial"/>
          <w:color w:val="181818"/>
          <w:kern w:val="0"/>
          <w:sz w:val="22"/>
          <w:szCs w:val="20"/>
          <w14:ligatures w14:val="none"/>
        </w:rPr>
        <w:t xml:space="preserve"> What are the main purposes and market needs that private credit ratings are intended to serve? In what circumstances are they used instead of, or alongside, publicly disseminated ratings or other forms of credit assessment? Please provide concrete examples where possible.</w:t>
      </w:r>
    </w:p>
    <w:p w14:paraId="1EE51CBD" w14:textId="06DA2F79" w:rsidR="00B66E66" w:rsidRDefault="001013E7" w:rsidP="00B66E66">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Pr="00323E56">
        <w:rPr>
          <w:rFonts w:ascii="Times New Roman" w:eastAsia="Times New Roman" w:hAnsi="Times New Roman" w:cs="Times New Roman"/>
          <w:kern w:val="0"/>
          <w:lang w:eastAsia="en-GB"/>
          <w14:ligatures w14:val="none"/>
        </w:rPr>
        <w:t>&gt;</w:t>
      </w:r>
    </w:p>
    <w:p w14:paraId="0E167157" w14:textId="77777777" w:rsidR="00B66E66" w:rsidRDefault="00B66E66" w:rsidP="00B66E66">
      <w:pPr>
        <w:spacing w:after="0" w:line="240" w:lineRule="auto"/>
        <w:ind w:left="432"/>
        <w:rPr>
          <w:rFonts w:ascii="Times New Roman" w:eastAsia="Times New Roman" w:hAnsi="Times New Roman" w:cs="Times New Roman"/>
          <w:kern w:val="0"/>
          <w:lang w:eastAsia="en-GB"/>
          <w14:ligatures w14:val="none"/>
        </w:rPr>
      </w:pPr>
    </w:p>
    <w:p w14:paraId="30D9D615" w14:textId="724D69EA" w:rsidR="00B66E66" w:rsidRPr="00085DE0" w:rsidRDefault="00B66E66" w:rsidP="00B66E66">
      <w:pPr>
        <w:rPr>
          <w:rFonts w:eastAsia="Instrument Sans" w:cs="Instrument Sans"/>
        </w:rPr>
      </w:pPr>
      <w:r w:rsidRPr="00085DE0">
        <w:rPr>
          <w:rFonts w:eastAsia="Instrument Sans" w:cs="Instrument Sans"/>
        </w:rPr>
        <w:t>Private credit ratings primarily serve the market need for an independent, third</w:t>
      </w:r>
      <w:r>
        <w:rPr>
          <w:rFonts w:eastAsia="Instrument Sans" w:cs="Instrument Sans"/>
        </w:rPr>
        <w:t>-</w:t>
      </w:r>
      <w:r w:rsidRPr="00085DE0">
        <w:rPr>
          <w:rFonts w:eastAsia="Instrument Sans" w:cs="Instrument Sans"/>
        </w:rPr>
        <w:t>party assessment of credit risk in circumstances where issuers, sponsors, or lenders prioritise confidentiality over broad market dissemination. The choice between a public rating and a private credit rating is largely driven by issuer or originator preferences regarding marketing scope, disclosure, and commercial sensitivity.</w:t>
      </w:r>
    </w:p>
    <w:p w14:paraId="2FF6BC28" w14:textId="77777777" w:rsidR="00B66E66" w:rsidRPr="00085DE0" w:rsidRDefault="00B66E66" w:rsidP="00B66E66">
      <w:pPr>
        <w:rPr>
          <w:rFonts w:eastAsia="Instrument Sans" w:cs="Instrument Sans"/>
        </w:rPr>
      </w:pPr>
      <w:r w:rsidRPr="00085DE0">
        <w:rPr>
          <w:rFonts w:eastAsia="Instrument Sans" w:cs="Instrument Sans"/>
        </w:rPr>
        <w:lastRenderedPageBreak/>
        <w:t>Private credit ratings are commonly used alongside internal credit underwriting by investors and lenders rather than as a substitute for such analysis.</w:t>
      </w:r>
      <w:r w:rsidRPr="00085DE0">
        <w:rPr>
          <w:rStyle w:val="FootnoteReference"/>
          <w:rFonts w:eastAsia="Instrument Sans" w:cs="Instrument Sans"/>
        </w:rPr>
        <w:footnoteReference w:id="1"/>
      </w:r>
      <w:r w:rsidRPr="00085DE0">
        <w:rPr>
          <w:rFonts w:eastAsia="Instrument Sans" w:cs="Instrument Sans"/>
        </w:rPr>
        <w:t xml:space="preserve"> They are particularly prevalent where transactions are tailored, bespoke, or privately negotiated, such as when debt is issued at an operating</w:t>
      </w:r>
      <w:r>
        <w:rPr>
          <w:rFonts w:eastAsia="Instrument Sans" w:cs="Instrument Sans"/>
        </w:rPr>
        <w:t xml:space="preserve"> </w:t>
      </w:r>
      <w:r w:rsidRPr="00085DE0">
        <w:rPr>
          <w:rFonts w:eastAsia="Instrument Sans" w:cs="Instrument Sans"/>
        </w:rPr>
        <w:t>company level rather than a holding</w:t>
      </w:r>
      <w:r>
        <w:rPr>
          <w:rFonts w:eastAsia="Instrument Sans" w:cs="Instrument Sans"/>
        </w:rPr>
        <w:t xml:space="preserve"> </w:t>
      </w:r>
      <w:r w:rsidRPr="00085DE0">
        <w:rPr>
          <w:rFonts w:eastAsia="Instrument Sans" w:cs="Instrument Sans"/>
        </w:rPr>
        <w:t>company level, or where deal</w:t>
      </w:r>
      <w:r>
        <w:rPr>
          <w:rFonts w:eastAsia="Instrument Sans" w:cs="Instrument Sans"/>
        </w:rPr>
        <w:t>-</w:t>
      </w:r>
      <w:r w:rsidRPr="00085DE0">
        <w:rPr>
          <w:rFonts w:eastAsia="Instrument Sans" w:cs="Instrument Sans"/>
        </w:rPr>
        <w:t>specific covenants, pricing terms, or structures materially differ from public comparables.</w:t>
      </w:r>
    </w:p>
    <w:p w14:paraId="279D2888" w14:textId="77777777" w:rsidR="00B66E66" w:rsidRPr="00085DE0" w:rsidRDefault="00B66E66" w:rsidP="00B66E66">
      <w:pPr>
        <w:rPr>
          <w:rFonts w:eastAsia="Instrument Sans" w:cs="Instrument Sans"/>
        </w:rPr>
      </w:pPr>
      <w:r w:rsidRPr="00085DE0">
        <w:rPr>
          <w:rFonts w:eastAsia="Instrument Sans" w:cs="Instrument Sans"/>
        </w:rPr>
        <w:t xml:space="preserve">In the EU specifically, the role of private credit ratings has grown alongside the structural rebalancing of European corporate financing away from </w:t>
      </w:r>
      <w:r>
        <w:rPr>
          <w:rFonts w:eastAsia="Instrument Sans" w:cs="Instrument Sans"/>
        </w:rPr>
        <w:t xml:space="preserve">predominant </w:t>
      </w:r>
      <w:r w:rsidRPr="00085DE0">
        <w:rPr>
          <w:rFonts w:eastAsia="Instrument Sans" w:cs="Instrument Sans"/>
        </w:rPr>
        <w:t>bank intermediation. Non-bank credit provision to euro-area non-financial corporations is now a meaningful and increasing share of total external debt financing</w:t>
      </w:r>
      <w:r w:rsidRPr="00085DE0">
        <w:rPr>
          <w:rStyle w:val="FootnoteReference"/>
          <w:rFonts w:eastAsia="Instrument Sans" w:cs="Instrument Sans"/>
        </w:rPr>
        <w:footnoteReference w:id="2"/>
      </w:r>
      <w:r w:rsidRPr="00085DE0">
        <w:rPr>
          <w:rFonts w:eastAsia="Instrument Sans" w:cs="Instrument Sans"/>
        </w:rPr>
        <w:t>. Private credit ratings provide market participants in this segment with an independent, methodologically rigorous benchmark, particularly for bespoke, privately negotiated transactions for which observable public-market comparables are limited.</w:t>
      </w:r>
    </w:p>
    <w:p w14:paraId="5328AB01" w14:textId="77777777" w:rsidR="00B66E66" w:rsidRPr="00085DE0" w:rsidRDefault="00B66E66" w:rsidP="00B66E66">
      <w:pPr>
        <w:rPr>
          <w:rFonts w:eastAsia="Instrument Sans" w:cs="Instrument Sans"/>
        </w:rPr>
      </w:pPr>
      <w:r w:rsidRPr="00085DE0">
        <w:rPr>
          <w:rFonts w:eastAsia="Instrument Sans" w:cs="Instrument Sans"/>
        </w:rPr>
        <w:t>The U.S. Securities and Exchange Commission (“</w:t>
      </w:r>
      <w:r w:rsidRPr="00085DE0">
        <w:rPr>
          <w:rFonts w:eastAsia="Instrument Sans" w:cs="Instrument Sans"/>
          <w:b/>
          <w:bCs/>
        </w:rPr>
        <w:t>SEC</w:t>
      </w:r>
      <w:r w:rsidRPr="00085DE0">
        <w:rPr>
          <w:rFonts w:eastAsia="Instrument Sans" w:cs="Instrument Sans"/>
        </w:rPr>
        <w:t>”) Staff reached similar conclusions in its most recent annual report on</w:t>
      </w:r>
      <w:r>
        <w:rPr>
          <w:rFonts w:eastAsia="Instrument Sans" w:cs="Instrument Sans"/>
        </w:rPr>
        <w:t xml:space="preserve"> </w:t>
      </w:r>
      <w:r w:rsidRPr="00085DE0">
        <w:rPr>
          <w:rFonts w:eastAsia="Instrument Sans" w:cs="Instrument Sans"/>
        </w:rPr>
        <w:t>credit rating agencies.</w:t>
      </w:r>
      <w:r w:rsidRPr="00085DE0">
        <w:rPr>
          <w:rStyle w:val="FootnoteReference"/>
          <w:rFonts w:eastAsia="Instrument Sans" w:cs="Instrument Sans"/>
        </w:rPr>
        <w:footnoteReference w:id="3"/>
      </w:r>
      <w:r>
        <w:rPr>
          <w:rFonts w:eastAsia="Instrument Sans" w:cs="Instrument Sans"/>
        </w:rPr>
        <w:t xml:space="preserve"> </w:t>
      </w:r>
      <w:r w:rsidRPr="00085DE0">
        <w:rPr>
          <w:rFonts w:eastAsia="Instrument Sans" w:cs="Instrument Sans"/>
        </w:rPr>
        <w:t>The staff noted that ratings and credit assessments that are not publicly disseminated are generally used for internal risk management, investor due diligence, or bespoke analytical purposes, rather than as broad market signals.</w:t>
      </w:r>
      <w:r w:rsidRPr="00085DE0">
        <w:rPr>
          <w:rStyle w:val="FootnoteReference"/>
          <w:rFonts w:eastAsia="Instrument Sans" w:cs="Instrument Sans"/>
        </w:rPr>
        <w:footnoteReference w:id="4"/>
      </w:r>
      <w:r>
        <w:rPr>
          <w:rFonts w:eastAsia="Instrument Sans" w:cs="Instrument Sans"/>
        </w:rPr>
        <w:t xml:space="preserve"> </w:t>
      </w:r>
      <w:r w:rsidRPr="00085DE0">
        <w:rPr>
          <w:rFonts w:eastAsia="Instrument Sans" w:cs="Instrument Sans"/>
        </w:rPr>
        <w:t>The report did not identify material deficiencies requiring changes to the existing statutory or rule framework with respect to non</w:t>
      </w:r>
      <w:r>
        <w:rPr>
          <w:rFonts w:eastAsia="Instrument Sans" w:cs="Instrument Sans"/>
        </w:rPr>
        <w:t>-</w:t>
      </w:r>
      <w:r w:rsidRPr="00085DE0">
        <w:rPr>
          <w:rFonts w:eastAsia="Instrument Sans" w:cs="Instrument Sans"/>
        </w:rPr>
        <w:t>public ratings activity, and did not recommend new disclosure, filing or registration requirements specific to private ratings.</w:t>
      </w:r>
      <w:r w:rsidRPr="00085DE0">
        <w:rPr>
          <w:rStyle w:val="FootnoteReference"/>
          <w:rFonts w:eastAsia="Instrument Sans" w:cs="Instrument Sans"/>
        </w:rPr>
        <w:footnoteReference w:id="5"/>
      </w:r>
    </w:p>
    <w:p w14:paraId="1A025489" w14:textId="77777777" w:rsidR="00B66E66" w:rsidRPr="00085DE0" w:rsidRDefault="00B66E66" w:rsidP="00B66E66">
      <w:pPr>
        <w:rPr>
          <w:rFonts w:eastAsia="Instrument Sans" w:cs="Instrument Sans"/>
        </w:rPr>
      </w:pPr>
      <w:r w:rsidRPr="00085DE0">
        <w:rPr>
          <w:rFonts w:eastAsia="Instrument Sans" w:cs="Instrument Sans"/>
        </w:rPr>
        <w:t>It should also be noted that not all credit ratings agencies rate all underwritings. Offerings of securitisation vehicles or collateralised loan vehicles, for example, are often unrated by larger credit ratings agencies. The result is that other, often smaller, credit rating agencies have stepped in to fill this void left by the larger credit rating agencies. Insurance companies are key users of private ratings. In the U.S., they use private ratings to determine risk-based capital charges</w:t>
      </w:r>
      <w:r>
        <w:rPr>
          <w:rFonts w:eastAsia="Instrument Sans" w:cs="Instrument Sans"/>
        </w:rPr>
        <w:t xml:space="preserve"> </w:t>
      </w:r>
      <w:r w:rsidRPr="00085DE0">
        <w:rPr>
          <w:rFonts w:eastAsia="Instrument Sans" w:cs="Instrument Sans"/>
        </w:rPr>
        <w:t>for eligible investments.</w:t>
      </w:r>
      <w:r w:rsidRPr="00085DE0">
        <w:rPr>
          <w:rStyle w:val="FootnoteReference"/>
          <w:rFonts w:eastAsia="Instrument Sans" w:cs="Instrument Sans"/>
        </w:rPr>
        <w:footnoteReference w:id="6"/>
      </w:r>
      <w:r w:rsidRPr="00085DE0">
        <w:rPr>
          <w:rFonts w:eastAsia="Instrument Sans" w:cs="Instrument Sans"/>
        </w:rPr>
        <w:t xml:space="preserve"> Other investment vehicles, such as funds, may have investment guidelines that specify minimum ratings criteria.</w:t>
      </w:r>
    </w:p>
    <w:p w14:paraId="6671D2F3" w14:textId="77777777" w:rsidR="00B66E66" w:rsidRPr="00085DE0" w:rsidRDefault="00B66E66" w:rsidP="00B66E66">
      <w:pPr>
        <w:rPr>
          <w:rFonts w:eastAsia="Instrument Sans" w:cs="Instrument Sans"/>
        </w:rPr>
      </w:pPr>
      <w:r w:rsidRPr="00085DE0">
        <w:rPr>
          <w:rFonts w:eastAsia="Instrument Sans" w:cs="Instrument Sans"/>
        </w:rPr>
        <w:lastRenderedPageBreak/>
        <w:t>In other cases, issuers may use private credit ratings when they seek to engage with a limited number of sophisticated or strategic investors, reducing the need for public dissemination. Certain issuers, including partnership structures or entities with legal or tax constraints, may find broad marketing impractical or undesirable. Originators may similarly prefer private ratings to preserve confidentiality around proprietary sourcing or structuring strategies that provide competitive advantages.</w:t>
      </w:r>
    </w:p>
    <w:p w14:paraId="61392F37" w14:textId="411363C1" w:rsidR="001013E7" w:rsidRPr="00B66E66" w:rsidRDefault="00B66E66" w:rsidP="00B66E66">
      <w:pPr>
        <w:rPr>
          <w:rFonts w:eastAsia="Instrument Sans" w:cs="Instrument Sans"/>
        </w:rPr>
      </w:pPr>
      <w:r w:rsidRPr="00085DE0">
        <w:rPr>
          <w:rFonts w:eastAsia="Instrument Sans" w:cs="Instrument Sans"/>
        </w:rPr>
        <w:t xml:space="preserve">For asset managers and institutional investors </w:t>
      </w:r>
      <w:r>
        <w:rPr>
          <w:rFonts w:eastAsia="Instrument Sans" w:cs="Instrument Sans"/>
        </w:rPr>
        <w:t>–</w:t>
      </w:r>
      <w:r w:rsidRPr="00085DE0">
        <w:rPr>
          <w:rFonts w:eastAsia="Instrument Sans" w:cs="Instrument Sans"/>
        </w:rPr>
        <w:t xml:space="preserve"> particularly those active in private credit and private placement markets </w:t>
      </w:r>
      <w:r>
        <w:rPr>
          <w:rFonts w:eastAsia="Instrument Sans" w:cs="Instrument Sans"/>
        </w:rPr>
        <w:t>–</w:t>
      </w:r>
      <w:r w:rsidRPr="00085DE0">
        <w:rPr>
          <w:rFonts w:eastAsia="Instrument Sans" w:cs="Instrument Sans"/>
        </w:rPr>
        <w:t xml:space="preserve"> private ratings support informed investment decision</w:t>
      </w:r>
      <w:r>
        <w:rPr>
          <w:rFonts w:eastAsia="Instrument Sans" w:cs="Instrument Sans"/>
        </w:rPr>
        <w:t>-</w:t>
      </w:r>
      <w:r w:rsidRPr="00085DE0">
        <w:rPr>
          <w:rFonts w:eastAsia="Instrument Sans" w:cs="Instrument Sans"/>
        </w:rPr>
        <w:t>making where public ratings may be unavailable, infrequent, or insufficiently tailored to bespoke instruments or structures. This differentiated role should remain a central consideration as ESMA evaluates the appropriate regulatory treatment of such products.</w:t>
      </w:r>
    </w:p>
    <w:p w14:paraId="69D52A71" w14:textId="1C2C0B35"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Pr="00323E56">
        <w:rPr>
          <w:rFonts w:ascii="Times New Roman" w:eastAsia="Times New Roman" w:hAnsi="Times New Roman" w:cs="Times New Roman"/>
          <w:kern w:val="0"/>
          <w:lang w:eastAsia="en-GB"/>
          <w14:ligatures w14:val="none"/>
        </w:rPr>
        <w:t>&gt;</w:t>
      </w:r>
    </w:p>
    <w:p w14:paraId="31CA2C9C" w14:textId="77777777" w:rsidR="001013E7" w:rsidRPr="007243AE" w:rsidRDefault="001013E7" w:rsidP="001013E7">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1D7C8C5C" w14:textId="5466EE8E"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10</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 xml:space="preserve">To what extent do private credit ratings support investment decisions, credit risk assessments, risk management or internal capital allocation by market participants? </w:t>
      </w:r>
      <w:proofErr w:type="gramStart"/>
      <w:r w:rsidRPr="007243AE">
        <w:rPr>
          <w:rFonts w:ascii="Arial" w:eastAsia="MS PGothic" w:hAnsi="Arial" w:cs="Arial"/>
          <w:color w:val="181818"/>
          <w:kern w:val="0"/>
          <w:sz w:val="22"/>
          <w:szCs w:val="20"/>
          <w14:ligatures w14:val="none"/>
        </w:rPr>
        <w:t>In particular, how</w:t>
      </w:r>
      <w:proofErr w:type="gramEnd"/>
      <w:r w:rsidRPr="007243AE">
        <w:rPr>
          <w:rFonts w:ascii="Arial" w:eastAsia="MS PGothic" w:hAnsi="Arial" w:cs="Arial"/>
          <w:color w:val="181818"/>
          <w:kern w:val="0"/>
          <w:sz w:val="22"/>
          <w:szCs w:val="20"/>
          <w14:ligatures w14:val="none"/>
        </w:rPr>
        <w:t xml:space="preserve"> do they contribute to credit risk assessment and price discovery, including in private markets? Please provide examples where possible</w:t>
      </w:r>
    </w:p>
    <w:p w14:paraId="4090D7F9" w14:textId="381D1139"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6F39ECF0" w14:textId="77777777" w:rsidR="00B66E66" w:rsidRDefault="00B66E66" w:rsidP="00B66E66">
      <w:pPr>
        <w:spacing w:after="0" w:line="240" w:lineRule="auto"/>
        <w:rPr>
          <w:rFonts w:ascii="Times New Roman" w:eastAsia="Times New Roman" w:hAnsi="Times New Roman" w:cs="Times New Roman"/>
          <w:kern w:val="0"/>
          <w:lang w:eastAsia="en-GB"/>
          <w14:ligatures w14:val="none"/>
        </w:rPr>
      </w:pPr>
    </w:p>
    <w:p w14:paraId="0132DB6C" w14:textId="77777777" w:rsidR="00B66E66" w:rsidRPr="00085DE0" w:rsidRDefault="00B66E66" w:rsidP="00B66E66">
      <w:pPr>
        <w:rPr>
          <w:rFonts w:eastAsia="Instrument Sans" w:cs="Instrument Sans"/>
        </w:rPr>
      </w:pPr>
      <w:r w:rsidRPr="00085DE0">
        <w:rPr>
          <w:rFonts w:eastAsia="Instrument Sans" w:cs="Instrument Sans"/>
        </w:rPr>
        <w:t>Private credit ratings support investment decision</w:t>
      </w:r>
      <w:r>
        <w:rPr>
          <w:rFonts w:eastAsia="Instrument Sans" w:cs="Instrument Sans"/>
        </w:rPr>
        <w:t>-</w:t>
      </w:r>
      <w:r w:rsidRPr="00085DE0">
        <w:rPr>
          <w:rFonts w:eastAsia="Instrument Sans" w:cs="Instrument Sans"/>
        </w:rPr>
        <w:t>making and risk management as a complementary analytical input rather than a determinative signal. Market participants consistently conduct their own fundamental credit analysis, portfolio</w:t>
      </w:r>
      <w:r>
        <w:rPr>
          <w:rFonts w:eastAsia="Instrument Sans" w:cs="Instrument Sans"/>
        </w:rPr>
        <w:t>-</w:t>
      </w:r>
      <w:r w:rsidRPr="00085DE0">
        <w:rPr>
          <w:rFonts w:eastAsia="Instrument Sans" w:cs="Instrument Sans"/>
        </w:rPr>
        <w:t>level risk assessments, and stress analyses. As noted above, in the U.S., insurance companies are key users of private credit ratings. Private credit ratings provide an additional, independent perspective on credit quality, downside risk, and transaction structure that can inform investment committee discussions and capital allocation decisions. U.S. insurance regulators are considering additional steps to reduce or eliminate the ability of insurance companies to rely on credit ratings without appropriate processes to assess the reasonableness of such ratings.</w:t>
      </w:r>
      <w:r w:rsidRPr="00085DE0">
        <w:rPr>
          <w:rStyle w:val="FootnoteReference"/>
          <w:rFonts w:eastAsia="Instrument Sans" w:cs="Instrument Sans"/>
        </w:rPr>
        <w:footnoteReference w:id="7"/>
      </w:r>
    </w:p>
    <w:p w14:paraId="17186BB8" w14:textId="77777777" w:rsidR="00B66E66" w:rsidRPr="00085DE0" w:rsidRDefault="00B66E66" w:rsidP="00B66E66">
      <w:r w:rsidRPr="00085DE0">
        <w:rPr>
          <w:rFonts w:eastAsia="Instrument Sans" w:cs="Instrument Sans"/>
        </w:rPr>
        <w:t xml:space="preserve">In the EU, the relevance of private credit ratings for institutional investors is reinforced by Article 4(1) of the Solvency II Delegated Regulation, which permits insurance and reinsurance undertakings to use external credit assessments for the calculation of Solvency Capital Requirements only where the rating has been issued or endorsed by an ECAI registered or certified under the CRA Regulation. Article 44(4a) of Solvency II, consistent with the Financial Stability Board's principles, simultaneously requires undertakings to assess the appropriateness of external assessments and avoid </w:t>
      </w:r>
      <w:r w:rsidRPr="00085DE0">
        <w:rPr>
          <w:rFonts w:eastAsia="Instrument Sans" w:cs="Instrument Sans"/>
        </w:rPr>
        <w:lastRenderedPageBreak/>
        <w:t>mechanistic reliance. Private credit ratings produced by EU-registered CRAs therefore operate as a regulated, supervised input that supports — but does not displace — the prudent-person framework and the Own Risk and Solvency Assessment (ORSA).</w:t>
      </w:r>
    </w:p>
    <w:p w14:paraId="6C9091B6" w14:textId="2A3054DC" w:rsidR="00B66E66" w:rsidRPr="00B66E66" w:rsidRDefault="00B66E66" w:rsidP="00B66E66">
      <w:pPr>
        <w:rPr>
          <w:rFonts w:eastAsia="Instrument Sans" w:cs="Instrument Sans"/>
        </w:rPr>
      </w:pPr>
      <w:r w:rsidRPr="00085DE0">
        <w:rPr>
          <w:rFonts w:eastAsia="Instrument Sans" w:cs="Instrument Sans"/>
        </w:rPr>
        <w:t>As with publicly disseminated ratings, private credit ratings can provide a third</w:t>
      </w:r>
      <w:r>
        <w:rPr>
          <w:rFonts w:eastAsia="Instrument Sans" w:cs="Instrument Sans"/>
        </w:rPr>
        <w:t>-</w:t>
      </w:r>
      <w:r w:rsidRPr="00085DE0">
        <w:rPr>
          <w:rFonts w:eastAsia="Instrument Sans" w:cs="Instrument Sans"/>
        </w:rPr>
        <w:t>party benchmark that supports valuation judgments and price discovery, especially in private markets where observable price data may be limited. By applying established methodologies to bespoke assets or transactions, private ratings help investors contextualise relative credit risk without displacing internal diligence or portfolio oversight.</w:t>
      </w:r>
    </w:p>
    <w:p w14:paraId="7A378CCD" w14:textId="034B78C1"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43B98E31"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4E215D65" w14:textId="5D7410CF"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B937EE">
        <w:rPr>
          <w:rFonts w:ascii="Arial" w:eastAsia="MS PGothic" w:hAnsi="Arial" w:cs="Arial"/>
          <w:b/>
          <w:bCs/>
          <w:color w:val="181818"/>
          <w:kern w:val="0"/>
          <w:sz w:val="22"/>
          <w:szCs w:val="20"/>
          <w14:ligatures w14:val="none"/>
        </w:rPr>
        <w:t>1</w:t>
      </w:r>
      <w:r w:rsidRPr="007243AE">
        <w:rPr>
          <w:rFonts w:ascii="Arial" w:eastAsia="MS PGothic" w:hAnsi="Arial" w:cs="Arial"/>
          <w:color w:val="181818"/>
          <w:kern w:val="0"/>
          <w:sz w:val="22"/>
          <w:szCs w:val="20"/>
          <w14:ligatures w14:val="none"/>
        </w:rPr>
        <w:t xml:space="preserve"> What risks, if any, may arise from the use of and reliance on private credit ratings, including potential market-level risks (e.g. information asymmetries or financial stability concerns) as well as risks related to rating quality or governance?</w:t>
      </w:r>
    </w:p>
    <w:p w14:paraId="47CC310E" w14:textId="7CE64B54"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2F669147" w14:textId="77777777" w:rsidR="00B66E66" w:rsidRDefault="00B66E66" w:rsidP="001013E7">
      <w:pPr>
        <w:spacing w:after="0" w:line="240" w:lineRule="auto"/>
        <w:ind w:left="432"/>
        <w:rPr>
          <w:rFonts w:ascii="Times New Roman" w:eastAsia="Times New Roman" w:hAnsi="Times New Roman" w:cs="Times New Roman"/>
          <w:kern w:val="0"/>
          <w:lang w:eastAsia="en-GB"/>
          <w14:ligatures w14:val="none"/>
        </w:rPr>
      </w:pPr>
    </w:p>
    <w:p w14:paraId="4BA02196" w14:textId="77777777" w:rsidR="00B66E66" w:rsidRPr="00085DE0" w:rsidRDefault="00B66E66" w:rsidP="00B66E66">
      <w:pPr>
        <w:rPr>
          <w:rFonts w:eastAsia="Instrument Sans" w:cs="Instrument Sans"/>
        </w:rPr>
      </w:pPr>
      <w:r w:rsidRPr="00085DE0">
        <w:rPr>
          <w:rFonts w:eastAsia="Instrument Sans" w:cs="Instrument Sans"/>
        </w:rPr>
        <w:t xml:space="preserve">The incremental risks arising from private credit ratings, as compared to public ratings, are negligible and mitigated </w:t>
      </w:r>
      <w:proofErr w:type="gramStart"/>
      <w:r w:rsidRPr="00085DE0">
        <w:rPr>
          <w:rFonts w:eastAsia="Instrument Sans" w:cs="Instrument Sans"/>
        </w:rPr>
        <w:t>by the way these</w:t>
      </w:r>
      <w:proofErr w:type="gramEnd"/>
      <w:r w:rsidRPr="00085DE0">
        <w:rPr>
          <w:rFonts w:eastAsia="Instrument Sans" w:cs="Instrument Sans"/>
        </w:rPr>
        <w:t xml:space="preserve"> ratings are used in practice. Private credit ratings present risks broadly comparable to those associated with public ratings if misused or relied upon mechanistically.</w:t>
      </w:r>
      <w:r w:rsidRPr="00085DE0">
        <w:rPr>
          <w:rStyle w:val="FootnoteReference"/>
          <w:rFonts w:eastAsia="Instrument Sans" w:cs="Instrument Sans"/>
        </w:rPr>
        <w:footnoteReference w:id="8"/>
      </w:r>
      <w:r w:rsidRPr="00085DE0">
        <w:rPr>
          <w:rFonts w:eastAsia="Instrument Sans" w:cs="Instrument Sans"/>
        </w:rPr>
        <w:t xml:space="preserve"> MFA also would note that rating agencies – including those offering both public and private ratings – may rate issues differently from one another. The result is that different rating agencies may assign different ratings to the same issue, with the user of the rating – such as an insurance company or an asset manager – obligated to develop and disclose its practices for selecting ratings when multiple ratings agencies rate the same investment.</w:t>
      </w:r>
    </w:p>
    <w:p w14:paraId="59354292" w14:textId="77777777" w:rsidR="00B66E66" w:rsidRPr="00085DE0" w:rsidRDefault="00B66E66" w:rsidP="00B66E66">
      <w:pPr>
        <w:rPr>
          <w:rFonts w:eastAsia="Instrument Sans" w:cs="Instrument Sans"/>
        </w:rPr>
      </w:pPr>
      <w:r w:rsidRPr="00085DE0">
        <w:rPr>
          <w:rFonts w:eastAsia="Instrument Sans" w:cs="Instrument Sans"/>
        </w:rPr>
        <w:t xml:space="preserve">As with public ratings, there is a risk that the opinions of the credit ratings agency may prove inaccurate or market dynamics may cause unforeseen stress on the issuer. For this reason, it is critical that regulatory authorities exercise reasonable diligence regarding the registration and oversight of regulated credit ratings agencies. In this context, MFA notes that international bodies, including the FSB and the ESRB, have at times referenced the ‘opacity’ of private ratings in their broader discussions of NBFI vulnerabilities. However, private credit ratings produced by EU-registered or endorsed CRAs are produced under the same legal framework, methodologies, governance and conflicts-management requirements as public ratings under the CRA Regulation; what differs is the distribution model, not the analytical or supervisory architecture. Concerns about disorderly information flows are therefore best addressed by </w:t>
      </w:r>
      <w:r w:rsidRPr="00085DE0">
        <w:rPr>
          <w:rFonts w:eastAsia="Instrument Sans" w:cs="Instrument Sans"/>
        </w:rPr>
        <w:lastRenderedPageBreak/>
        <w:t>reinforcing the existing perimeter, not by constraining a confidentiality-based product that is, by design, not a market-wide signal.</w:t>
      </w:r>
    </w:p>
    <w:p w14:paraId="0CB3F2D7" w14:textId="32C33BCE" w:rsidR="00B66E66" w:rsidRPr="00B66E66" w:rsidRDefault="00B66E66" w:rsidP="00B66E66">
      <w:pPr>
        <w:rPr>
          <w:rFonts w:eastAsia="Instrument Sans" w:cs="Instrument Sans"/>
        </w:rPr>
      </w:pPr>
      <w:r w:rsidRPr="00085DE0">
        <w:rPr>
          <w:rFonts w:eastAsia="Instrument Sans" w:cs="Instrument Sans"/>
        </w:rPr>
        <w:t>Potential risks include information asymmetries if a broad class of prospective investors or the public access limited distribution ratings without adequate context or if users fail to conduct independent analysis. However, in practice, private credit ratings are generally distributed to sophisticated parties conducting their own due diligence and are not relied upon in isolation. Because private credit ratings are not intended for broad public distribution and generally do not operate as system</w:t>
      </w:r>
      <w:r>
        <w:rPr>
          <w:rFonts w:eastAsia="Instrument Sans" w:cs="Instrument Sans"/>
        </w:rPr>
        <w:t>-</w:t>
      </w:r>
      <w:r w:rsidRPr="00085DE0">
        <w:rPr>
          <w:rFonts w:eastAsia="Instrument Sans" w:cs="Instrument Sans"/>
        </w:rPr>
        <w:t>wide public reference points, they function as one input among many in private market investment and risk frameworks rather than as a sole benchmark.</w:t>
      </w:r>
      <w:r w:rsidRPr="00085DE0">
        <w:rPr>
          <w:rStyle w:val="FootnoteReference"/>
          <w:rFonts w:eastAsia="Instrument Sans" w:cs="Instrument Sans"/>
        </w:rPr>
        <w:footnoteReference w:id="9"/>
      </w:r>
    </w:p>
    <w:p w14:paraId="53AE13ED" w14:textId="4988DBD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1E33E45B"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049BA1FF" w14:textId="0FCFB5C6" w:rsidR="0028075F"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C79EF">
        <w:rPr>
          <w:rFonts w:ascii="Arial" w:eastAsia="MS PGothic" w:hAnsi="Arial" w:cs="Arial"/>
          <w:b/>
          <w:bCs/>
          <w:color w:val="181818"/>
          <w:kern w:val="0"/>
          <w:sz w:val="22"/>
          <w:szCs w:val="20"/>
          <w14:ligatures w14:val="none"/>
        </w:rPr>
        <w:t>2</w:t>
      </w:r>
      <w:r w:rsidRPr="007243AE">
        <w:rPr>
          <w:rFonts w:ascii="Arial" w:eastAsia="MS PGothic" w:hAnsi="Arial" w:cs="Arial"/>
          <w:color w:val="181818"/>
          <w:kern w:val="0"/>
          <w:sz w:val="22"/>
          <w:szCs w:val="20"/>
          <w14:ligatures w14:val="none"/>
        </w:rPr>
        <w:t xml:space="preserve"> To what extent</w:t>
      </w:r>
      <w:r w:rsidR="0028075F" w:rsidRPr="0028075F">
        <w:rPr>
          <w:rFonts w:ascii="Arial" w:eastAsia="MS PGothic" w:hAnsi="Arial" w:cs="Arial"/>
          <w:color w:val="181818"/>
          <w:kern w:val="0"/>
          <w:sz w:val="22"/>
          <w:szCs w:val="20"/>
          <w14:ligatures w14:val="none"/>
        </w:rPr>
        <w:t>, if any, do private credit ratings differ from publicly disseminated regulated ratings in terms of governance, independence, conflicts of interest, internal controls, and application methodologies; and what risks, if any, arise from such differences? Please provide examples where possible.</w:t>
      </w:r>
    </w:p>
    <w:p w14:paraId="1EB6CDB2" w14:textId="5A823D94" w:rsidR="00B66E66" w:rsidRDefault="0028075F" w:rsidP="00B66E66">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p>
    <w:p w14:paraId="67DE71B0" w14:textId="77777777" w:rsidR="00B66E66" w:rsidRDefault="00B66E66" w:rsidP="00B66E66">
      <w:pPr>
        <w:spacing w:after="0" w:line="240" w:lineRule="auto"/>
        <w:ind w:left="432"/>
        <w:rPr>
          <w:rFonts w:ascii="Times New Roman" w:eastAsia="Times New Roman" w:hAnsi="Times New Roman" w:cs="Times New Roman"/>
          <w:kern w:val="0"/>
          <w:lang w:eastAsia="en-GB"/>
          <w14:ligatures w14:val="none"/>
        </w:rPr>
      </w:pPr>
    </w:p>
    <w:p w14:paraId="21448AAE" w14:textId="3C1C24A6" w:rsidR="00B66E66" w:rsidRPr="00085DE0" w:rsidRDefault="00B66E66" w:rsidP="00B66E66">
      <w:pPr>
        <w:rPr>
          <w:rFonts w:eastAsia="Instrument Sans" w:cs="Instrument Sans"/>
        </w:rPr>
      </w:pPr>
      <w:r w:rsidRPr="00085DE0">
        <w:rPr>
          <w:rFonts w:eastAsia="Instrument Sans" w:cs="Instrument Sans"/>
        </w:rPr>
        <w:t>In substance, private credit ratings can be supported by the same analytical rigour as publicly disseminated ratings, including comparable monitoring and surveillance practices.</w:t>
      </w:r>
      <w:r w:rsidRPr="00085DE0">
        <w:rPr>
          <w:rStyle w:val="FootnoteReference"/>
          <w:rFonts w:eastAsia="Instrument Sans" w:cs="Instrument Sans"/>
        </w:rPr>
        <w:footnoteReference w:id="10"/>
      </w:r>
      <w:r w:rsidRPr="00085DE0">
        <w:rPr>
          <w:rFonts w:eastAsia="Instrument Sans" w:cs="Instrument Sans"/>
        </w:rPr>
        <w:t xml:space="preserve"> Where the rating provider applies the same core methodologies, governance frameworks, independence standards, and internal controls, the principal distinction between private and public ratings relates to confidentiality and the distribution model.</w:t>
      </w:r>
      <w:r w:rsidRPr="00085DE0">
        <w:rPr>
          <w:rStyle w:val="FootnoteReference"/>
          <w:rFonts w:eastAsia="Instrument Sans" w:cs="Instrument Sans"/>
        </w:rPr>
        <w:footnoteReference w:id="11"/>
      </w:r>
      <w:r w:rsidRPr="00085DE0">
        <w:rPr>
          <w:rFonts w:eastAsia="Instrument Sans" w:cs="Instrument Sans"/>
        </w:rPr>
        <w:t xml:space="preserve"> In short, a security rated by a regulated credit rating agency carries the same weight whether it is a public rating or a private one.</w:t>
      </w:r>
    </w:p>
    <w:p w14:paraId="73A1F5EF" w14:textId="65FDF3E3" w:rsidR="0028075F" w:rsidRPr="00B66E66" w:rsidRDefault="00B66E66" w:rsidP="00B66E66">
      <w:pPr>
        <w:rPr>
          <w:rFonts w:eastAsia="Instrument Sans" w:cs="Instrument Sans"/>
        </w:rPr>
      </w:pPr>
      <w:r w:rsidRPr="00085DE0">
        <w:rPr>
          <w:rFonts w:eastAsia="Instrument Sans" w:cs="Instrument Sans"/>
        </w:rPr>
        <w:t>Ratings agencies typically make available private rating documentation via secure portals with access granted on a named individual basis, reflecting the need to control onward dissemination. Private ratings do not inherently provide a cost or speed advantage; they are selected instead primarily to preserve confidentiality around commercially sensitive information.</w:t>
      </w:r>
    </w:p>
    <w:p w14:paraId="2764BF39" w14:textId="77777777" w:rsidR="0028075F" w:rsidRPr="00323E56" w:rsidRDefault="0028075F" w:rsidP="0028075F">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p>
    <w:p w14:paraId="2E74740B" w14:textId="77777777" w:rsidR="0028075F" w:rsidRDefault="0028075F" w:rsidP="007243AE">
      <w:pPr>
        <w:spacing w:after="250" w:line="276" w:lineRule="auto"/>
        <w:ind w:left="432"/>
        <w:jc w:val="both"/>
        <w:rPr>
          <w:rFonts w:ascii="Arial" w:eastAsia="MS PGothic" w:hAnsi="Arial" w:cs="Arial"/>
          <w:color w:val="181818"/>
          <w:kern w:val="0"/>
          <w:sz w:val="22"/>
          <w:szCs w:val="20"/>
          <w14:ligatures w14:val="none"/>
        </w:rPr>
      </w:pPr>
    </w:p>
    <w:p w14:paraId="7108B977" w14:textId="44FC0354" w:rsidR="007243AE" w:rsidRDefault="0028075F" w:rsidP="007243AE">
      <w:pPr>
        <w:spacing w:after="250" w:line="276" w:lineRule="auto"/>
        <w:ind w:left="432"/>
        <w:jc w:val="both"/>
        <w:rPr>
          <w:rFonts w:ascii="Arial" w:eastAsia="MS PGothic" w:hAnsi="Arial" w:cs="Arial"/>
          <w:color w:val="181818"/>
          <w:kern w:val="0"/>
          <w:sz w:val="22"/>
          <w:szCs w:val="20"/>
          <w14:ligatures w14:val="none"/>
        </w:rPr>
      </w:pPr>
      <w:r w:rsidRPr="0028075F">
        <w:rPr>
          <w:rFonts w:ascii="Arial" w:eastAsia="MS PGothic" w:hAnsi="Arial" w:cs="Arial"/>
          <w:b/>
          <w:bCs/>
          <w:color w:val="181818"/>
          <w:kern w:val="0"/>
          <w:sz w:val="22"/>
          <w:szCs w:val="20"/>
          <w14:ligatures w14:val="none"/>
        </w:rPr>
        <w:lastRenderedPageBreak/>
        <w:t>Q.13</w:t>
      </w:r>
      <w:r w:rsidRPr="0028075F">
        <w:rPr>
          <w:rFonts w:ascii="Arial" w:eastAsia="MS PGothic" w:hAnsi="Arial" w:cs="Arial"/>
          <w:color w:val="181818"/>
          <w:kern w:val="0"/>
          <w:sz w:val="22"/>
          <w:szCs w:val="20"/>
          <w14:ligatures w14:val="none"/>
        </w:rPr>
        <w:t xml:space="preserve"> </w:t>
      </w:r>
      <w:r w:rsidR="007243AE" w:rsidRPr="007243AE">
        <w:rPr>
          <w:rFonts w:ascii="Arial" w:eastAsia="MS PGothic" w:hAnsi="Arial" w:cs="Arial"/>
          <w:color w:val="181818"/>
          <w:kern w:val="0"/>
          <w:sz w:val="22"/>
          <w:szCs w:val="20"/>
          <w14:ligatures w14:val="none"/>
        </w:rPr>
        <w:t>To what extent do current disclosure practices and market practices around private credit ratings adequately support market transparency and investor protection? If relevant, please indicate areas where improvements may be warranted.</w:t>
      </w:r>
    </w:p>
    <w:p w14:paraId="4E98466C" w14:textId="42D282C3" w:rsidR="00B66E66" w:rsidRDefault="001013E7" w:rsidP="00B66E66">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181298BD" w14:textId="77777777" w:rsidR="00B66E66" w:rsidRDefault="00B66E66" w:rsidP="00B66E66">
      <w:pPr>
        <w:spacing w:after="0" w:line="240" w:lineRule="auto"/>
        <w:ind w:left="432"/>
        <w:rPr>
          <w:rFonts w:ascii="Times New Roman" w:eastAsia="Times New Roman" w:hAnsi="Times New Roman" w:cs="Times New Roman"/>
          <w:kern w:val="0"/>
          <w:lang w:eastAsia="en-GB"/>
          <w14:ligatures w14:val="none"/>
        </w:rPr>
      </w:pPr>
    </w:p>
    <w:p w14:paraId="7B31F796" w14:textId="558AF2FA" w:rsidR="00B66E66" w:rsidRPr="00085DE0" w:rsidRDefault="00B66E66" w:rsidP="00B66E66">
      <w:pPr>
        <w:rPr>
          <w:rFonts w:eastAsia="Instrument Sans" w:cs="Instrument Sans"/>
        </w:rPr>
      </w:pPr>
      <w:r w:rsidRPr="00085DE0">
        <w:rPr>
          <w:rFonts w:eastAsia="Instrument Sans" w:cs="Instrument Sans"/>
        </w:rPr>
        <w:t>Current market practices can provide appropriate transparency and investor protection given the intended audience and use of private credit ratings. Private credit ratings are not confidential as between issuers and investors assessing an investment; they are routinely shared with prospective and existing investors under controlled access arrangements that facilitate informed due diligence while preserving commercial confidentiality.</w:t>
      </w:r>
    </w:p>
    <w:p w14:paraId="46F41F4A" w14:textId="77777777" w:rsidR="00B66E66" w:rsidRDefault="00B66E66" w:rsidP="00B66E66">
      <w:pPr>
        <w:rPr>
          <w:rFonts w:eastAsia="Instrument Sans" w:cs="Instrument Sans"/>
        </w:rPr>
      </w:pPr>
      <w:r w:rsidRPr="00085DE0">
        <w:rPr>
          <w:rFonts w:eastAsia="Instrument Sans" w:cs="Instrument Sans"/>
        </w:rPr>
        <w:t>MFA suggests that regulators can achieve appropriate visibility and oversight without requiring public dissemination of credit ratings. For example, regulators have considered and implemented frameworks that</w:t>
      </w:r>
      <w:r>
        <w:rPr>
          <w:rFonts w:eastAsia="Instrument Sans" w:cs="Instrument Sans"/>
        </w:rPr>
        <w:t>:</w:t>
      </w:r>
      <w:r w:rsidRPr="00085DE0">
        <w:rPr>
          <w:rFonts w:eastAsia="Instrument Sans" w:cs="Instrument Sans"/>
        </w:rPr>
        <w:t xml:space="preserve"> (</w:t>
      </w:r>
      <w:proofErr w:type="spellStart"/>
      <w:r w:rsidRPr="00085DE0">
        <w:rPr>
          <w:rFonts w:eastAsia="Instrument Sans" w:cs="Instrument Sans"/>
        </w:rPr>
        <w:t>i</w:t>
      </w:r>
      <w:proofErr w:type="spellEnd"/>
      <w:r w:rsidRPr="00085DE0">
        <w:rPr>
          <w:rFonts w:eastAsia="Instrument Sans" w:cs="Instrument Sans"/>
        </w:rPr>
        <w:t>) require the filing of private rating letter rationale reports within defined time windows following rating actions, and (ii) emphasise that rationale reports should contain sufficient analytical substance to allow an independent party to understand the basis for the assessment.</w:t>
      </w:r>
      <w:r w:rsidRPr="00085DE0">
        <w:rPr>
          <w:rStyle w:val="FootnoteReference"/>
          <w:rFonts w:eastAsia="Instrument Sans" w:cs="Instrument Sans"/>
        </w:rPr>
        <w:footnoteReference w:id="12"/>
      </w:r>
    </w:p>
    <w:p w14:paraId="493B0E64" w14:textId="1C7A469B" w:rsidR="001013E7" w:rsidRPr="00B66E66" w:rsidRDefault="00B66E66" w:rsidP="00B66E66">
      <w:pPr>
        <w:rPr>
          <w:rFonts w:eastAsia="Instrument Sans" w:cs="Instrument Sans"/>
        </w:rPr>
      </w:pPr>
      <w:r w:rsidRPr="00085DE0">
        <w:rPr>
          <w:rFonts w:eastAsia="Instrument Sans" w:cs="Instrument Sans"/>
        </w:rPr>
        <w:t>Separately, U.S. regulators are also developing due</w:t>
      </w:r>
      <w:r>
        <w:rPr>
          <w:rFonts w:eastAsia="Instrument Sans" w:cs="Instrument Sans"/>
        </w:rPr>
        <w:t>-</w:t>
      </w:r>
      <w:r w:rsidRPr="00085DE0">
        <w:rPr>
          <w:rFonts w:eastAsia="Instrument Sans" w:cs="Instrument Sans"/>
        </w:rPr>
        <w:t>diligence frameworks for investors using credit ratings so that the rating providers support more consistent supervisory evaluation of ratings used for regulatory purposes.</w:t>
      </w:r>
      <w:r w:rsidRPr="00085DE0">
        <w:rPr>
          <w:rStyle w:val="FootnoteReference"/>
          <w:rFonts w:eastAsia="Instrument Sans" w:cs="Instrument Sans"/>
        </w:rPr>
        <w:footnoteReference w:id="13"/>
      </w:r>
      <w:r w:rsidRPr="00085DE0">
        <w:rPr>
          <w:rFonts w:eastAsia="Instrument Sans" w:cs="Instrument Sans"/>
        </w:rPr>
        <w:t xml:space="preserve"> These approaches illustrate that investor </w:t>
      </w:r>
      <w:proofErr w:type="gramStart"/>
      <w:r w:rsidRPr="00085DE0">
        <w:rPr>
          <w:rFonts w:eastAsia="Instrument Sans" w:cs="Instrument Sans"/>
        </w:rPr>
        <w:t>protection</w:t>
      </w:r>
      <w:proofErr w:type="gramEnd"/>
      <w:r w:rsidRPr="00085DE0">
        <w:rPr>
          <w:rFonts w:eastAsia="Instrument Sans" w:cs="Instrument Sans"/>
        </w:rPr>
        <w:t xml:space="preserve"> and supervisory transparency can coexist with confidentiality</w:t>
      </w:r>
      <w:r>
        <w:rPr>
          <w:rFonts w:eastAsia="Instrument Sans" w:cs="Instrument Sans"/>
        </w:rPr>
        <w:t>-</w:t>
      </w:r>
      <w:r w:rsidRPr="00085DE0">
        <w:rPr>
          <w:rFonts w:eastAsia="Instrument Sans" w:cs="Instrument Sans"/>
        </w:rPr>
        <w:t>based rating models.</w:t>
      </w:r>
    </w:p>
    <w:p w14:paraId="79A3E86B" w14:textId="18759C72"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1917B493"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76BFF8E6" w14:textId="2F247EB2"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4</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What are the main benefits associated with the use of private credit ratings by market participants? In which areas do they provide added value, and in which contexts are they considered a desirable product (e.g. private markets)? Please explain and provide examples where possible.</w:t>
      </w:r>
    </w:p>
    <w:p w14:paraId="64ADB5A3" w14:textId="77777777" w:rsidR="00B66E66" w:rsidRDefault="001013E7" w:rsidP="00B66E66">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6BE4FA53" w14:textId="77777777" w:rsidR="00B66E66" w:rsidRDefault="00B66E66" w:rsidP="00B66E66">
      <w:pPr>
        <w:spacing w:after="0" w:line="240" w:lineRule="auto"/>
        <w:rPr>
          <w:rFonts w:ascii="Times New Roman" w:eastAsia="Times New Roman" w:hAnsi="Times New Roman" w:cs="Times New Roman"/>
          <w:kern w:val="0"/>
          <w:lang w:eastAsia="en-GB"/>
          <w14:ligatures w14:val="none"/>
        </w:rPr>
      </w:pPr>
    </w:p>
    <w:p w14:paraId="1A002EF9" w14:textId="403FD541" w:rsidR="00B66E66" w:rsidRPr="00B66E66" w:rsidRDefault="00B66E66" w:rsidP="00B66E66">
      <w:pPr>
        <w:spacing w:after="0" w:line="240" w:lineRule="auto"/>
        <w:rPr>
          <w:rFonts w:ascii="Times New Roman" w:eastAsia="Times New Roman" w:hAnsi="Times New Roman" w:cs="Times New Roman"/>
          <w:kern w:val="0"/>
          <w:lang w:eastAsia="en-GB"/>
          <w14:ligatures w14:val="none"/>
        </w:rPr>
      </w:pPr>
      <w:r w:rsidRPr="00085DE0">
        <w:rPr>
          <w:rFonts w:eastAsia="Instrument Sans" w:cs="Instrument Sans"/>
        </w:rPr>
        <w:t xml:space="preserve">Private credit ratings provide substantial benefits in private market contexts by protecting commercially sensitive information, including deal structures, pricing, covenants, and proprietary financing arrangements. Public disclosure of such </w:t>
      </w:r>
      <w:r w:rsidRPr="00085DE0">
        <w:rPr>
          <w:rFonts w:eastAsia="Instrument Sans" w:cs="Instrument Sans"/>
        </w:rPr>
        <w:lastRenderedPageBreak/>
        <w:t>information could disadvantage issuers or lenders or undermine competitive positioning.</w:t>
      </w:r>
    </w:p>
    <w:p w14:paraId="0055CCA9" w14:textId="4A642894" w:rsidR="001013E7" w:rsidRPr="00B66E66" w:rsidRDefault="00B66E66" w:rsidP="00B66E66">
      <w:pPr>
        <w:rPr>
          <w:rFonts w:eastAsia="Instrument Sans" w:cs="Instrument Sans"/>
        </w:rPr>
      </w:pPr>
      <w:r w:rsidRPr="00085DE0">
        <w:rPr>
          <w:rFonts w:eastAsia="Instrument Sans" w:cs="Instrument Sans"/>
        </w:rPr>
        <w:t>Private credit ratings also enable parties to obtain an independent third</w:t>
      </w:r>
      <w:r>
        <w:rPr>
          <w:rFonts w:eastAsia="Instrument Sans" w:cs="Instrument Sans"/>
        </w:rPr>
        <w:t>-</w:t>
      </w:r>
      <w:r w:rsidRPr="00085DE0">
        <w:rPr>
          <w:rFonts w:eastAsia="Instrument Sans" w:cs="Instrument Sans"/>
        </w:rPr>
        <w:t>party credit assessment while accommodating targeted distribution to sophisticated investors and internal stakeholders involved in governance and risk oversight. They can be especially useful where legal, tax, or structural constraints make wide dissemination impractical or undesirable.</w:t>
      </w:r>
    </w:p>
    <w:p w14:paraId="7699274A" w14:textId="7CBE97B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7041D56F"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3DBC7455" w14:textId="4DCA7A00" w:rsidR="007243AE" w:rsidRP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5</w:t>
      </w:r>
      <w:r w:rsidRPr="007243AE">
        <w:rPr>
          <w:rFonts w:ascii="Arial" w:eastAsia="MS PGothic" w:hAnsi="Arial" w:cs="Arial"/>
          <w:color w:val="181818"/>
          <w:kern w:val="0"/>
          <w:sz w:val="22"/>
          <w:szCs w:val="20"/>
          <w14:ligatures w14:val="none"/>
        </w:rPr>
        <w:t xml:space="preserve"> In your view, does the current regulatory framework adequately support the market need for external credit risk assessments in private markets? If not, please indicate in which areas improvements may be warranted.</w:t>
      </w:r>
    </w:p>
    <w:p w14:paraId="0D046171" w14:textId="3186249D"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611F0233" w14:textId="77777777" w:rsidR="00B66E66" w:rsidRPr="00323E56" w:rsidRDefault="00B66E66" w:rsidP="001013E7">
      <w:pPr>
        <w:spacing w:after="0" w:line="240" w:lineRule="auto"/>
        <w:ind w:left="432"/>
        <w:rPr>
          <w:rFonts w:ascii="Times New Roman" w:eastAsia="Times New Roman" w:hAnsi="Times New Roman" w:cs="Times New Roman"/>
          <w:kern w:val="0"/>
          <w:lang w:eastAsia="en-GB"/>
          <w14:ligatures w14:val="none"/>
        </w:rPr>
      </w:pPr>
    </w:p>
    <w:p w14:paraId="76452DB2" w14:textId="5D4E8BC7" w:rsidR="00B66E66" w:rsidRPr="00085DE0" w:rsidRDefault="00B66E66" w:rsidP="00B66E66">
      <w:pPr>
        <w:rPr>
          <w:rFonts w:eastAsia="Instrument Sans" w:cs="Instrument Sans"/>
        </w:rPr>
      </w:pPr>
      <w:r w:rsidRPr="00085DE0">
        <w:rPr>
          <w:rFonts w:eastAsia="Instrument Sans" w:cs="Instrument Sans"/>
        </w:rPr>
        <w:t>The EU framework recognises that private credit ratings are excluded from the scope of the CRA Regulation when they are produced pursuant to an individual order, provided exclusively to the person who placed the order, and are not intended for public disclosure or distribution by subscription.</w:t>
      </w:r>
      <w:r w:rsidRPr="00085DE0">
        <w:rPr>
          <w:rStyle w:val="FootnoteReference"/>
          <w:rFonts w:eastAsia="Instrument Sans" w:cs="Instrument Sans"/>
        </w:rPr>
        <w:footnoteReference w:id="14"/>
      </w:r>
      <w:r w:rsidRPr="00085DE0">
        <w:rPr>
          <w:rFonts w:eastAsia="Instrument Sans" w:cs="Instrument Sans"/>
        </w:rPr>
        <w:t xml:space="preserve"> ESMA guidance further clarifies that limited onward sharing may be permissible within a confidentiality</w:t>
      </w:r>
      <w:r>
        <w:rPr>
          <w:rFonts w:eastAsia="Instrument Sans" w:cs="Instrument Sans"/>
        </w:rPr>
        <w:t>-</w:t>
      </w:r>
      <w:r w:rsidRPr="00085DE0">
        <w:rPr>
          <w:rFonts w:eastAsia="Instrument Sans" w:cs="Instrument Sans"/>
        </w:rPr>
        <w:t>based model, subject to restrictions designed to avoid public distribution.</w:t>
      </w:r>
      <w:r w:rsidRPr="00085DE0">
        <w:rPr>
          <w:rStyle w:val="FootnoteReference"/>
          <w:rFonts w:eastAsia="Instrument Sans" w:cs="Instrument Sans"/>
        </w:rPr>
        <w:footnoteReference w:id="15"/>
      </w:r>
    </w:p>
    <w:p w14:paraId="56F6F143" w14:textId="77777777" w:rsidR="00B66E66" w:rsidRPr="00085DE0" w:rsidRDefault="00B66E66" w:rsidP="00B66E66">
      <w:pPr>
        <w:rPr>
          <w:rFonts w:eastAsia="Instrument Sans" w:cs="Instrument Sans"/>
        </w:rPr>
      </w:pPr>
      <w:r w:rsidRPr="00085DE0">
        <w:rPr>
          <w:rFonts w:eastAsia="Instrument Sans" w:cs="Instrument Sans"/>
        </w:rPr>
        <w:t>In practice, however, the operational utility of private credit ratings can be undermined where distribution constraints are applied in a manner that does not reflect ordinary internal governance and diligence workflows at institutional firms. As part of standard diligence activities, multiple functions within a firm (</w:t>
      </w:r>
      <w:r w:rsidRPr="00085DE0">
        <w:rPr>
          <w:rFonts w:eastAsia="Instrument Sans" w:cs="Instrument Sans"/>
          <w:i/>
          <w:iCs/>
        </w:rPr>
        <w:t>e.g.</w:t>
      </w:r>
      <w:r w:rsidRPr="00085DE0">
        <w:rPr>
          <w:rFonts w:eastAsia="Instrument Sans" w:cs="Instrument Sans"/>
        </w:rPr>
        <w:t>, portfolio management, investment committee members, risk, compliance, and operational staff) will typically review a private credit rating. A framework that treats such ordinary internal review as “distribution” can cause firms to avoid using EU</w:t>
      </w:r>
      <w:r>
        <w:t>-</w:t>
      </w:r>
      <w:r w:rsidRPr="00085DE0">
        <w:rPr>
          <w:rFonts w:eastAsia="Instrument Sans" w:cs="Instrument Sans"/>
        </w:rPr>
        <w:t>supervised private ratings even when the underlying confidentiality rationale remains valid.</w:t>
      </w:r>
    </w:p>
    <w:p w14:paraId="5A926AE2" w14:textId="77777777" w:rsidR="00B66E66" w:rsidRPr="0097196C" w:rsidRDefault="00B66E66" w:rsidP="00B66E66">
      <w:pPr>
        <w:rPr>
          <w:rFonts w:eastAsia="Instrument Sans" w:cs="Instrument Sans"/>
        </w:rPr>
      </w:pPr>
      <w:r w:rsidRPr="00085DE0">
        <w:rPr>
          <w:rFonts w:eastAsia="Instrument Sans" w:cs="Instrument Sans"/>
        </w:rPr>
        <w:t xml:space="preserve">More specifically, </w:t>
      </w:r>
      <w:r w:rsidRPr="0097196C">
        <w:rPr>
          <w:rFonts w:eastAsia="Instrument Sans" w:cs="Instrument Sans"/>
        </w:rPr>
        <w:t xml:space="preserve">Article 2(2)(a) of the CRA Regulation excludes from scope credit ratings produced pursuant to an individual order, provided exclusively to the person who placed the order, and not intended for public disclosure or distribution by subscription. The 2022 ESMA Guidelines on the Scope of the CRA Regulation, applicable since 1 May </w:t>
      </w:r>
      <w:r w:rsidRPr="0097196C">
        <w:rPr>
          <w:rFonts w:eastAsia="Instrument Sans" w:cs="Instrument Sans"/>
        </w:rPr>
        <w:lastRenderedPageBreak/>
        <w:t>2024, further clarify that the receiving party may share the private credit rating on a confidential basis with a limited number of natural or legal persons, capped at a total of 150.</w:t>
      </w:r>
    </w:p>
    <w:p w14:paraId="3E1B4E3F" w14:textId="77777777" w:rsidR="00B66E66" w:rsidRPr="0097196C" w:rsidRDefault="00B66E66" w:rsidP="00B66E66">
      <w:pPr>
        <w:spacing w:before="240" w:after="240"/>
        <w:rPr>
          <w:rFonts w:eastAsia="Instrument Sans" w:cs="Instrument Sans"/>
        </w:rPr>
      </w:pPr>
      <w:r w:rsidRPr="0097196C">
        <w:rPr>
          <w:rFonts w:eastAsia="Instrument Sans" w:cs="Instrument Sans"/>
        </w:rPr>
        <w:t>In practice, however, the operational utility of EU-supervised private credit ratings has been materially constrained by the way the 150-persons threshold is counted. Under the Guidelines as applied, both legal entities and the individuals within them count separately toward the cap: for example, where two employees of a single recipient firm access a private credit rating, this counts as three persons (the firm and the two individuals) rather than one. Ordinary institutional diligence at an EU AIFM or insurance undertaking will routinely involve portfolio management, investment-committee members, independent risk, compliance, valuation, operations, internal audit and legal staff — and, where relevant, depositaries, third-party valuation agents and counsel. The 150</w:t>
      </w:r>
      <w:r>
        <w:rPr>
          <w:rFonts w:eastAsia="Instrument Sans" w:cs="Instrument Sans"/>
        </w:rPr>
        <w:t xml:space="preserve"> </w:t>
      </w:r>
      <w:r w:rsidRPr="0097196C">
        <w:rPr>
          <w:rFonts w:eastAsia="Instrument Sans" w:cs="Instrument Sans"/>
        </w:rPr>
        <w:t>persons threshold can be exhausted by the internal governance of a single mid-sized institutional investor, before the rating is shared with any external counterparty.</w:t>
      </w:r>
    </w:p>
    <w:p w14:paraId="3895A12D" w14:textId="77777777" w:rsidR="00B66E66" w:rsidRPr="0097196C" w:rsidRDefault="00B66E66" w:rsidP="00B66E66">
      <w:pPr>
        <w:spacing w:before="240" w:after="240"/>
        <w:rPr>
          <w:rFonts w:eastAsia="Instrument Sans" w:cs="Instrument Sans"/>
        </w:rPr>
      </w:pPr>
      <w:r w:rsidRPr="0097196C">
        <w:rPr>
          <w:rFonts w:eastAsia="Instrument Sans" w:cs="Instrument Sans"/>
        </w:rPr>
        <w:t xml:space="preserve">The consequence is that EU institutional investors increasingly find it difficult to use EU-supervised private credit ratings in the same way they would use ratings produced under other regulatory regimes, even though the underlying confidentiality rationale </w:t>
      </w:r>
      <w:r>
        <w:rPr>
          <w:rFonts w:eastAsia="Instrument Sans" w:cs="Instrument Sans"/>
        </w:rPr>
        <w:t>–</w:t>
      </w:r>
      <w:r w:rsidRPr="0097196C">
        <w:rPr>
          <w:rFonts w:eastAsia="Instrument Sans" w:cs="Instrument Sans"/>
        </w:rPr>
        <w:t xml:space="preserve"> the</w:t>
      </w:r>
      <w:r>
        <w:rPr>
          <w:rFonts w:eastAsia="Instrument Sans" w:cs="Instrument Sans"/>
        </w:rPr>
        <w:t xml:space="preserve"> </w:t>
      </w:r>
      <w:r w:rsidRPr="0097196C">
        <w:rPr>
          <w:rFonts w:eastAsia="Instrument Sans" w:cs="Instrument Sans"/>
        </w:rPr>
        <w:t xml:space="preserve">protection of commercially sensitive structural, pricing and covenant information </w:t>
      </w:r>
      <w:r>
        <w:rPr>
          <w:rFonts w:eastAsia="Instrument Sans" w:cs="Instrument Sans"/>
        </w:rPr>
        <w:t>–</w:t>
      </w:r>
      <w:r w:rsidRPr="0097196C">
        <w:rPr>
          <w:rFonts w:eastAsia="Instrument Sans" w:cs="Instrument Sans"/>
        </w:rPr>
        <w:t xml:space="preserve"> remains fully intact. This outcome is in tension with the </w:t>
      </w:r>
      <w:r>
        <w:rPr>
          <w:rFonts w:eastAsia="Instrument Sans" w:cs="Instrument Sans"/>
        </w:rPr>
        <w:t>SIU</w:t>
      </w:r>
      <w:r w:rsidRPr="0097196C">
        <w:rPr>
          <w:rFonts w:eastAsia="Instrument Sans" w:cs="Instrument Sans"/>
        </w:rPr>
        <w:t xml:space="preserve"> objective to reduce regulatory frictions that fragment EU capital markets and disadvantage EU-supervised products relative to third-country alternatives.</w:t>
      </w:r>
    </w:p>
    <w:p w14:paraId="5F551077" w14:textId="77777777" w:rsidR="00B66E66" w:rsidRPr="0097196C" w:rsidRDefault="00B66E66" w:rsidP="00B66E66">
      <w:pPr>
        <w:rPr>
          <w:rFonts w:eastAsia="Instrument Sans" w:cs="Instrument Sans"/>
        </w:rPr>
      </w:pPr>
      <w:r w:rsidRPr="00085DE0">
        <w:rPr>
          <w:rFonts w:eastAsia="Instrument Sans" w:cs="Instrument Sans"/>
        </w:rPr>
        <w:t xml:space="preserve">Targeted adjustments or clarifications that better align the regulatory framework with market practice </w:t>
      </w:r>
      <w:r>
        <w:rPr>
          <w:rFonts w:eastAsia="Instrument Sans" w:cs="Instrument Sans"/>
        </w:rPr>
        <w:t>–</w:t>
      </w:r>
      <w:r w:rsidRPr="00085DE0">
        <w:rPr>
          <w:rFonts w:eastAsia="Instrument Sans" w:cs="Instrument Sans"/>
        </w:rPr>
        <w:t xml:space="preserve"> while preserving meaningful confidentiality controls </w:t>
      </w:r>
      <w:r>
        <w:rPr>
          <w:rFonts w:eastAsia="Instrument Sans" w:cs="Instrument Sans"/>
        </w:rPr>
        <w:t>–</w:t>
      </w:r>
      <w:r w:rsidRPr="00085DE0">
        <w:rPr>
          <w:rFonts w:eastAsia="Instrument Sans" w:cs="Instrument Sans"/>
        </w:rPr>
        <w:t xml:space="preserve"> would improve the framework’s effectiveness without undermining investor protection.</w:t>
      </w:r>
      <w:r w:rsidRPr="00085DE0">
        <w:rPr>
          <w:rStyle w:val="FootnoteReference"/>
          <w:rFonts w:eastAsia="Instrument Sans" w:cs="Instrument Sans"/>
        </w:rPr>
        <w:footnoteReference w:id="16"/>
      </w:r>
      <w:r w:rsidRPr="00085DE0">
        <w:rPr>
          <w:rStyle w:val="FootnoteReference"/>
          <w:rFonts w:eastAsia="Instrument Sans" w:cs="Instrument Sans"/>
        </w:rPr>
        <w:t xml:space="preserve"> </w:t>
      </w:r>
      <w:r w:rsidRPr="00085DE0">
        <w:rPr>
          <w:rFonts w:eastAsia="Instrument Sans" w:cs="Instrument Sans"/>
        </w:rPr>
        <w:t>In particular, due consideration should be given to the following:</w:t>
      </w:r>
    </w:p>
    <w:p w14:paraId="5D658C41" w14:textId="77777777" w:rsidR="00B66E66" w:rsidRPr="0097196C" w:rsidRDefault="00B66E66" w:rsidP="00B66E66">
      <w:pPr>
        <w:pStyle w:val="ListParagraph"/>
        <w:numPr>
          <w:ilvl w:val="0"/>
          <w:numId w:val="4"/>
        </w:numPr>
        <w:spacing w:before="240" w:after="240" w:line="276" w:lineRule="auto"/>
        <w:jc w:val="both"/>
        <w:rPr>
          <w:rFonts w:eastAsia="Instrument Sans" w:cs="Instrument Sans"/>
        </w:rPr>
      </w:pPr>
      <w:r w:rsidRPr="0097196C">
        <w:rPr>
          <w:rFonts w:eastAsia="Instrument Sans" w:cs="Instrument Sans"/>
        </w:rPr>
        <w:t>clarifying that natural persons performing ordinary internal governance, risk, compliance, valuation, operational, audit or legal review functions within a recipient legal person are</w:t>
      </w:r>
      <w:r w:rsidRPr="00085DE0">
        <w:rPr>
          <w:rFonts w:eastAsia="Instrument Sans" w:cs="Instrument Sans"/>
        </w:rPr>
        <w:t xml:space="preserve"> counted as part of the recipient legal person rather than as separate persons toward the 150</w:t>
      </w:r>
      <w:r>
        <w:rPr>
          <w:rFonts w:eastAsia="Instrument Sans" w:cs="Instrument Sans"/>
        </w:rPr>
        <w:t xml:space="preserve"> </w:t>
      </w:r>
      <w:r w:rsidRPr="00085DE0">
        <w:rPr>
          <w:rFonts w:eastAsia="Instrument Sans" w:cs="Instrument Sans"/>
        </w:rPr>
        <w:t>persons threshold</w:t>
      </w:r>
      <w:r w:rsidRPr="0097196C">
        <w:rPr>
          <w:rFonts w:eastAsia="Instrument Sans" w:cs="Instrument Sans"/>
        </w:rPr>
        <w:t>;</w:t>
      </w:r>
    </w:p>
    <w:p w14:paraId="1BC29074" w14:textId="77777777" w:rsidR="00B66E66" w:rsidRPr="00085DE0" w:rsidRDefault="00B66E66" w:rsidP="00B66E66">
      <w:pPr>
        <w:pStyle w:val="ListParagraph"/>
        <w:numPr>
          <w:ilvl w:val="0"/>
          <w:numId w:val="4"/>
        </w:numPr>
        <w:spacing w:before="240" w:after="240" w:line="276" w:lineRule="auto"/>
        <w:jc w:val="both"/>
        <w:rPr>
          <w:rFonts w:eastAsia="Instrument Sans" w:cs="Instrument Sans"/>
        </w:rPr>
      </w:pPr>
      <w:r w:rsidRPr="0097196C">
        <w:rPr>
          <w:rFonts w:eastAsia="Instrument Sans" w:cs="Instrument Sans"/>
        </w:rPr>
        <w:t>confirming that affiliates of a recipient acting in a service-provider or control function (e.g. parent</w:t>
      </w:r>
      <w:r>
        <w:rPr>
          <w:rFonts w:eastAsia="Instrument Sans" w:cs="Instrument Sans"/>
        </w:rPr>
        <w:t xml:space="preserve"> </w:t>
      </w:r>
      <w:r w:rsidRPr="0097196C">
        <w:rPr>
          <w:rFonts w:eastAsia="Instrument Sans" w:cs="Instrument Sans"/>
        </w:rPr>
        <w:t>company risk oversight, intra-group delegation arrangements within an AIFM group) are not separately counted; and</w:t>
      </w:r>
    </w:p>
    <w:p w14:paraId="7C1AEE6F" w14:textId="5269709E" w:rsidR="001013E7" w:rsidRPr="00B66E66" w:rsidRDefault="00B66E66" w:rsidP="00B66E66">
      <w:pPr>
        <w:pStyle w:val="ListParagraph"/>
        <w:numPr>
          <w:ilvl w:val="0"/>
          <w:numId w:val="4"/>
        </w:numPr>
        <w:spacing w:before="240" w:after="240" w:line="276" w:lineRule="auto"/>
        <w:jc w:val="both"/>
        <w:rPr>
          <w:rFonts w:eastAsia="Instrument Sans" w:cs="Instrument Sans"/>
        </w:rPr>
      </w:pPr>
      <w:r w:rsidRPr="0097196C">
        <w:rPr>
          <w:rFonts w:eastAsia="Instrument Sans" w:cs="Instrument Sans"/>
        </w:rPr>
        <w:t>clarifying that statutorily</w:t>
      </w:r>
      <w:r>
        <w:rPr>
          <w:rFonts w:eastAsia="Instrument Sans" w:cs="Instrument Sans"/>
        </w:rPr>
        <w:t xml:space="preserve"> </w:t>
      </w:r>
      <w:r w:rsidRPr="0097196C">
        <w:rPr>
          <w:rFonts w:eastAsia="Instrument Sans" w:cs="Instrument Sans"/>
        </w:rPr>
        <w:t xml:space="preserve">required disclosures to supervisory authorities, statutory auditors, depositaries and equivalent regulated intermediaries fall </w:t>
      </w:r>
      <w:r w:rsidRPr="0097196C">
        <w:rPr>
          <w:rFonts w:eastAsia="Instrument Sans" w:cs="Instrument Sans"/>
        </w:rPr>
        <w:lastRenderedPageBreak/>
        <w:t>outside the cap, consistent with the existing footnote 1 to the Guidelines on dissemination for legal, statutory or judicial reasons.</w:t>
      </w:r>
    </w:p>
    <w:p w14:paraId="303A15FB" w14:textId="22B6FC21" w:rsidR="001013E7"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41C2F1F6" w14:textId="77777777" w:rsidR="001D60A4"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B614A62" w14:textId="31013C2D" w:rsidR="001D60A4" w:rsidRDefault="001D60A4" w:rsidP="001013E7">
      <w:pPr>
        <w:spacing w:after="0" w:line="240" w:lineRule="auto"/>
        <w:ind w:left="432"/>
        <w:rPr>
          <w:rFonts w:ascii="Times New Roman" w:eastAsia="Times New Roman" w:hAnsi="Times New Roman" w:cs="Times New Roman"/>
          <w:kern w:val="0"/>
          <w:lang w:eastAsia="en-GB"/>
          <w14:ligatures w14:val="none"/>
        </w:rPr>
      </w:pPr>
    </w:p>
    <w:p w14:paraId="59EC67C5" w14:textId="6C842F80" w:rsidR="001D60A4" w:rsidRDefault="001D60A4" w:rsidP="001D60A4">
      <w:pPr>
        <w:spacing w:after="250" w:line="276" w:lineRule="auto"/>
        <w:ind w:left="432"/>
        <w:jc w:val="both"/>
        <w:rPr>
          <w:rFonts w:ascii="Arial" w:eastAsia="MS PGothic" w:hAnsi="Arial" w:cs="Arial"/>
          <w:color w:val="181818"/>
          <w:kern w:val="0"/>
          <w:sz w:val="22"/>
          <w:szCs w:val="20"/>
          <w14:ligatures w14:val="none"/>
        </w:rPr>
      </w:pPr>
      <w:r w:rsidRPr="001D60A4">
        <w:rPr>
          <w:rFonts w:ascii="Arial" w:eastAsia="MS PGothic" w:hAnsi="Arial" w:cs="Arial"/>
          <w:b/>
          <w:bCs/>
          <w:color w:val="181818"/>
          <w:kern w:val="0"/>
          <w:sz w:val="22"/>
          <w:szCs w:val="20"/>
          <w14:ligatures w14:val="none"/>
        </w:rPr>
        <w:t>Q.1</w:t>
      </w:r>
      <w:r w:rsidR="0028075F">
        <w:rPr>
          <w:rFonts w:ascii="Arial" w:eastAsia="MS PGothic" w:hAnsi="Arial" w:cs="Arial"/>
          <w:b/>
          <w:bCs/>
          <w:color w:val="181818"/>
          <w:kern w:val="0"/>
          <w:sz w:val="22"/>
          <w:szCs w:val="20"/>
          <w14:ligatures w14:val="none"/>
        </w:rPr>
        <w:t>6</w:t>
      </w:r>
      <w:r w:rsidRPr="001D60A4">
        <w:rPr>
          <w:rFonts w:ascii="Arial" w:eastAsia="MS PGothic" w:hAnsi="Arial" w:cs="Arial"/>
          <w:color w:val="181818"/>
          <w:kern w:val="0"/>
          <w:sz w:val="22"/>
          <w:szCs w:val="20"/>
          <w14:ligatures w14:val="none"/>
        </w:rPr>
        <w:t xml:space="preserve"> Are there any additional considerations or evidence related to private ratings that stakeholders consider relevant for the purposes of this Call for Evidence, but which have not been addressed in the questions above?</w:t>
      </w:r>
    </w:p>
    <w:p w14:paraId="6EAA6780" w14:textId="6F9A89ED" w:rsidR="00EB22E2"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3C413B58" w14:textId="77777777" w:rsidR="00B66E66" w:rsidRPr="00323E56" w:rsidRDefault="00B66E66" w:rsidP="00EB22E2">
      <w:pPr>
        <w:spacing w:after="0" w:line="240" w:lineRule="auto"/>
        <w:ind w:left="432"/>
        <w:rPr>
          <w:rFonts w:ascii="Times New Roman" w:eastAsia="Times New Roman" w:hAnsi="Times New Roman" w:cs="Times New Roman"/>
          <w:kern w:val="0"/>
          <w:lang w:eastAsia="en-GB"/>
          <w14:ligatures w14:val="none"/>
        </w:rPr>
      </w:pPr>
    </w:p>
    <w:p w14:paraId="42C5383B" w14:textId="2D8F6CFC" w:rsidR="00B66E66" w:rsidRPr="00085DE0" w:rsidRDefault="00B66E66" w:rsidP="00B66E66">
      <w:pPr>
        <w:rPr>
          <w:rFonts w:eastAsia="Instrument Sans" w:cs="Instrument Sans"/>
        </w:rPr>
      </w:pPr>
      <w:r w:rsidRPr="00085DE0">
        <w:rPr>
          <w:rFonts w:eastAsia="Instrument Sans" w:cs="Instrument Sans"/>
        </w:rPr>
        <w:t>The role of specialised credit rating agencies and the structure of competition in certain rated product segments warrants consideration. SEC Staff reporting on registered rating agencies has documented the competitive dynamics and market</w:t>
      </w:r>
      <w:r w:rsidRPr="00085DE0">
        <w:rPr>
          <w:rFonts w:eastAsia="Instrument Sans" w:cs="Instrument Sans"/>
        </w:rPr>
        <w:noBreakHyphen/>
        <w:t>share patterns in structured finance segments, including that medium</w:t>
      </w:r>
      <w:r w:rsidRPr="00085DE0">
        <w:rPr>
          <w:rFonts w:eastAsia="Instrument Sans" w:cs="Instrument Sans"/>
        </w:rPr>
        <w:noBreakHyphen/>
        <w:t>sized agencies can attain material shares in certain issuance categories.</w:t>
      </w:r>
      <w:r w:rsidRPr="00085DE0">
        <w:rPr>
          <w:rStyle w:val="FootnoteReference"/>
          <w:rFonts w:eastAsia="Instrument Sans" w:cs="Instrument Sans"/>
        </w:rPr>
        <w:footnoteReference w:id="17"/>
      </w:r>
      <w:r w:rsidRPr="00085DE0">
        <w:rPr>
          <w:rFonts w:eastAsia="Instrument Sans" w:cs="Instrument Sans"/>
        </w:rPr>
        <w:t xml:space="preserve"> For example, SEC staff analysis has noted instances where two midsize rating agencies rated substantial portions of issuance amounts in specific structured</w:t>
      </w:r>
      <w:r w:rsidRPr="00085DE0">
        <w:rPr>
          <w:rFonts w:eastAsia="Instrument Sans" w:cs="Instrument Sans"/>
        </w:rPr>
        <w:noBreakHyphen/>
        <w:t>finance segments from 2021 to the first half of 2023, and discussed how market practices (including investment guidelines and index eligibility criteria) can affect competition among rating providers.</w:t>
      </w:r>
      <w:r w:rsidRPr="00085DE0">
        <w:rPr>
          <w:rStyle w:val="FootnoteReference"/>
          <w:rFonts w:eastAsia="Instrument Sans" w:cs="Instrument Sans"/>
        </w:rPr>
        <w:footnoteReference w:id="18"/>
      </w:r>
    </w:p>
    <w:p w14:paraId="1A517E6E" w14:textId="2D8E7583" w:rsidR="00EB22E2" w:rsidRPr="00B66E66" w:rsidRDefault="00B66E66" w:rsidP="00B66E66">
      <w:pPr>
        <w:rPr>
          <w:rFonts w:eastAsia="Instrument Sans" w:cs="Instrument Sans"/>
        </w:rPr>
      </w:pPr>
      <w:r w:rsidRPr="00085DE0">
        <w:rPr>
          <w:rFonts w:eastAsia="Instrument Sans" w:cs="Instrument Sans"/>
        </w:rPr>
        <w:t>For the EU private credit market, these competitive dynamics matter because specialist agencies may be the prudent choice for certain products and structures. A regulatory approach that inadvertently narrows the range of usable private credit ratings – through overly rigid distribution constraints – could reduce choice among qualified providers, increase costs, and diminish the availability of tailored, independent credit risk assessments in private markets.</w:t>
      </w:r>
      <w:r w:rsidRPr="00085DE0">
        <w:rPr>
          <w:rStyle w:val="FootnoteReference"/>
          <w:rFonts w:eastAsia="Instrument Sans" w:cs="Instrument Sans"/>
        </w:rPr>
        <w:footnoteReference w:id="19"/>
      </w:r>
    </w:p>
    <w:p w14:paraId="436C0F36" w14:textId="1A1C0B24" w:rsidR="00EB22E2" w:rsidRDefault="00EB22E2" w:rsidP="00EB22E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7F8D66B7" w14:textId="77777777" w:rsidR="00EB22E2" w:rsidRDefault="00EB22E2" w:rsidP="001D60A4">
      <w:pPr>
        <w:spacing w:after="250" w:line="276" w:lineRule="auto"/>
        <w:ind w:left="432"/>
        <w:jc w:val="both"/>
        <w:rPr>
          <w:rFonts w:ascii="Arial" w:eastAsia="MS PGothic" w:hAnsi="Arial" w:cs="Arial"/>
          <w:color w:val="181818"/>
          <w:kern w:val="0"/>
          <w:sz w:val="22"/>
          <w:szCs w:val="20"/>
          <w14:ligatures w14:val="none"/>
        </w:rPr>
      </w:pPr>
    </w:p>
    <w:p w14:paraId="70D24EF5" w14:textId="77777777" w:rsidR="001D60A4" w:rsidRPr="001D60A4" w:rsidRDefault="001D60A4" w:rsidP="001D60A4">
      <w:pPr>
        <w:spacing w:after="250" w:line="276" w:lineRule="auto"/>
        <w:ind w:left="432"/>
        <w:jc w:val="both"/>
        <w:rPr>
          <w:rFonts w:ascii="Arial" w:eastAsia="MS PGothic" w:hAnsi="Arial" w:cs="Arial"/>
          <w:color w:val="181818"/>
          <w:kern w:val="0"/>
          <w:sz w:val="22"/>
          <w:szCs w:val="20"/>
          <w14:ligatures w14:val="none"/>
        </w:rPr>
      </w:pPr>
    </w:p>
    <w:p w14:paraId="7ED8B032" w14:textId="77777777" w:rsidR="001D60A4" w:rsidRPr="00323E56"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252AB52" w14:textId="52D8CFBE" w:rsidR="003B1400" w:rsidRDefault="003B1400" w:rsidP="006807AF">
      <w:pPr>
        <w:spacing w:after="0" w:line="240" w:lineRule="auto"/>
        <w:ind w:left="432"/>
      </w:pPr>
    </w:p>
    <w:sectPr w:rsidR="003B14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1B08" w14:textId="77777777" w:rsidR="0098263C" w:rsidRDefault="0098263C" w:rsidP="00B15926">
      <w:pPr>
        <w:spacing w:after="0" w:line="240" w:lineRule="auto"/>
      </w:pPr>
      <w:r>
        <w:separator/>
      </w:r>
    </w:p>
  </w:endnote>
  <w:endnote w:type="continuationSeparator" w:id="0">
    <w:p w14:paraId="540D8CEF" w14:textId="77777777" w:rsidR="0098263C" w:rsidRDefault="0098263C" w:rsidP="00B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Instrument Sans">
    <w:altName w:val="Calibri"/>
    <w:charset w:val="00"/>
    <w:family w:val="auto"/>
    <w:pitch w:val="variable"/>
    <w:sig w:usb0="A000006F" w:usb1="0000006A" w:usb2="00000000" w:usb3="00000000" w:csb0="00000093"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E261" w14:textId="77777777" w:rsidR="00671CAA" w:rsidRDefault="00671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078A897" w14:textId="77777777" w:rsidR="00B15926" w:rsidRDefault="00B1592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FE8512B" w14:textId="77777777" w:rsidR="00B15926" w:rsidRDefault="00B15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D182" w14:textId="77777777" w:rsidR="00B15926" w:rsidRDefault="00B15926" w:rsidP="00862BBD">
    <w:pPr>
      <w:pStyle w:val="Footer"/>
    </w:pPr>
    <w:r w:rsidRPr="007C47A9">
      <w:rPr>
        <w:rFonts w:ascii="Arial" w:hAnsi="Arial"/>
        <w:color w:val="FFFFFF"/>
      </w:rPr>
      <w:tab/>
    </w:r>
    <w:r w:rsidRPr="007C47A9">
      <w:rPr>
        <w:rFonts w:ascii="Arial" w:hAnsi="Arial"/>
        <w:color w:val="FFFFFF"/>
      </w:rPr>
      <w:tab/>
      <w:t xml:space="preserve">29 July 2022 ESMA | </w:t>
    </w:r>
    <w:hyperlink r:id="rId1" w:tgtFrame="_blank" w:history="1">
      <w:r w:rsidRPr="007C47A9">
        <w:rPr>
          <w:rFonts w:ascii="Arial" w:hAnsi="Arial"/>
          <w:color w:val="FFFFFF"/>
        </w:rPr>
        <w:t>ESMA</w:t>
      </w:r>
    </w:hyperlink>
    <w:r w:rsidRPr="007C47A9">
      <w:rPr>
        <w:rFonts w:ascii="Arial" w:hAnsi="Arial"/>
        <w:color w:val="FFFFFF"/>
      </w:rPr>
      <w:t xml:space="preserve"> 70-449-674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0F495" w14:textId="77777777" w:rsidR="0098263C" w:rsidRDefault="0098263C" w:rsidP="00B15926">
      <w:pPr>
        <w:spacing w:after="0" w:line="240" w:lineRule="auto"/>
      </w:pPr>
      <w:r>
        <w:separator/>
      </w:r>
    </w:p>
  </w:footnote>
  <w:footnote w:type="continuationSeparator" w:id="0">
    <w:p w14:paraId="1A7BF83B" w14:textId="77777777" w:rsidR="0098263C" w:rsidRDefault="0098263C" w:rsidP="00B15926">
      <w:pPr>
        <w:spacing w:after="0" w:line="240" w:lineRule="auto"/>
      </w:pPr>
      <w:r>
        <w:continuationSeparator/>
      </w:r>
    </w:p>
  </w:footnote>
  <w:footnote w:id="1">
    <w:p w14:paraId="46018CBF" w14:textId="77777777" w:rsidR="00B66E66" w:rsidRPr="00562402" w:rsidRDefault="00B66E66" w:rsidP="00B66E66">
      <w:pPr>
        <w:pStyle w:val="FootnoteText"/>
        <w:ind w:left="720" w:hanging="720"/>
        <w:rPr>
          <w:lang w:val="en-US"/>
        </w:rPr>
      </w:pPr>
      <w:r>
        <w:rPr>
          <w:rStyle w:val="FootnoteReference"/>
        </w:rPr>
        <w:footnoteRef/>
      </w:r>
      <w:r>
        <w:t xml:space="preserve"> </w:t>
      </w:r>
      <w:r>
        <w:rPr>
          <w:lang w:val="en-US"/>
        </w:rPr>
        <w:tab/>
      </w:r>
      <w:r w:rsidRPr="723E4D9F">
        <w:rPr>
          <w:i/>
          <w:iCs/>
          <w:lang w:val="en-US"/>
        </w:rPr>
        <w:t>See supra</w:t>
      </w:r>
      <w:r>
        <w:rPr>
          <w:lang w:val="en-US"/>
        </w:rPr>
        <w:t xml:space="preserve"> note </w:t>
      </w:r>
      <w:r>
        <w:rPr>
          <w:lang w:val="en-US"/>
        </w:rPr>
        <w:fldChar w:fldCharType="begin"/>
      </w:r>
      <w:r>
        <w:rPr>
          <w:lang w:val="en-US"/>
        </w:rPr>
        <w:instrText xml:space="preserve"> NOTEREF _Ref228874247 \h  \* MERGEFORMAT </w:instrText>
      </w:r>
      <w:r>
        <w:rPr>
          <w:lang w:val="en-US"/>
        </w:rPr>
      </w:r>
      <w:r>
        <w:rPr>
          <w:lang w:val="en-US"/>
        </w:rPr>
        <w:fldChar w:fldCharType="separate"/>
      </w:r>
      <w:r>
        <w:rPr>
          <w:lang w:val="en-US"/>
        </w:rPr>
        <w:t>4</w:t>
      </w:r>
      <w:r>
        <w:rPr>
          <w:lang w:val="en-US"/>
        </w:rPr>
        <w:fldChar w:fldCharType="end"/>
      </w:r>
      <w:r>
        <w:rPr>
          <w:lang w:val="en-US"/>
        </w:rPr>
        <w:t xml:space="preserve">, at </w:t>
      </w:r>
      <w:r w:rsidRPr="00E92E13">
        <w:rPr>
          <w:rFonts w:eastAsia="Instrument Sans" w:cs="Instrument Sans"/>
          <w:lang w:val="en-US"/>
        </w:rPr>
        <w:t xml:space="preserve">1–2 (Oct. 27, 2010), </w:t>
      </w:r>
      <w:hyperlink r:id="rId1" w:history="1">
        <w:r w:rsidRPr="002462F2">
          <w:rPr>
            <w:rStyle w:val="Hyperlink"/>
            <w:rFonts w:eastAsia="Instrument Sans" w:cs="Instrument Sans"/>
            <w:lang w:val="en-US"/>
          </w:rPr>
          <w:t>https://www.fsb.org/uploads/r_101027.pdf</w:t>
        </w:r>
      </w:hyperlink>
      <w:r w:rsidRPr="00E92E13">
        <w:rPr>
          <w:rFonts w:eastAsia="Instrument Sans" w:cs="Instrument Sans"/>
          <w:lang w:val="en-US"/>
        </w:rPr>
        <w:t xml:space="preserve">; ESMA, </w:t>
      </w:r>
      <w:r w:rsidRPr="723E4D9F">
        <w:rPr>
          <w:rFonts w:eastAsia="Instrument Sans" w:cs="Instrument Sans"/>
          <w:i/>
          <w:iCs/>
          <w:lang w:val="en-US"/>
        </w:rPr>
        <w:t>UCITS</w:t>
      </w:r>
      <w:r w:rsidRPr="00E92E13">
        <w:rPr>
          <w:rFonts w:eastAsia="Instrument Sans" w:cs="Instrument Sans"/>
          <w:lang w:val="en-US"/>
        </w:rPr>
        <w:t xml:space="preserve"> art. 51(1) (stating that a management or investment company “shall not solely or mechanistically rely on credit ratings issued by credit rating agencies … for assessing the creditworthiness of the UCITS’ assets”)</w:t>
      </w:r>
    </w:p>
  </w:footnote>
  <w:footnote w:id="2">
    <w:p w14:paraId="44815A2C" w14:textId="77777777" w:rsidR="00B66E66" w:rsidRPr="0054731F" w:rsidRDefault="00B66E66" w:rsidP="00B66E66">
      <w:pPr>
        <w:pStyle w:val="FootnoteText"/>
        <w:ind w:left="709" w:hanging="709"/>
        <w:rPr>
          <w:rFonts w:eastAsia="Instrument Sans" w:cs="Instrument Sans"/>
          <w:szCs w:val="18"/>
          <w:lang w:val="en-US"/>
        </w:rPr>
      </w:pPr>
      <w:r w:rsidRPr="723E4D9F">
        <w:rPr>
          <w:rStyle w:val="FootnoteReference"/>
        </w:rPr>
        <w:footnoteRef/>
      </w:r>
      <w:r>
        <w:t xml:space="preserve"> </w:t>
      </w:r>
      <w:r>
        <w:tab/>
      </w:r>
      <w:r w:rsidRPr="0054731F">
        <w:rPr>
          <w:szCs w:val="18"/>
        </w:rPr>
        <w:t>A</w:t>
      </w:r>
      <w:r w:rsidRPr="0054731F">
        <w:rPr>
          <w:rFonts w:eastAsia="Instrument Sans" w:cs="Instrument Sans"/>
          <w:szCs w:val="18"/>
          <w:lang w:val="en-US"/>
        </w:rPr>
        <w:t>s documented by the ESRB in its EU Non-Bank Financial Intermediation Risk Monitor 2025</w:t>
      </w:r>
      <w:r>
        <w:rPr>
          <w:rFonts w:eastAsia="Instrument Sans" w:cs="Instrument Sans"/>
          <w:szCs w:val="18"/>
          <w:lang w:val="en-US"/>
        </w:rPr>
        <w:t xml:space="preserve">; </w:t>
      </w:r>
      <w:r w:rsidRPr="00A92E48">
        <w:rPr>
          <w:rFonts w:eastAsia="Instrument Sans" w:cs="Instrument Sans"/>
          <w:szCs w:val="18"/>
        </w:rPr>
        <w:t xml:space="preserve">European Systemic Risk Board, </w:t>
      </w:r>
      <w:r w:rsidRPr="00A92E48">
        <w:rPr>
          <w:rFonts w:eastAsia="Instrument Sans" w:cs="Instrument Sans"/>
          <w:i/>
          <w:iCs/>
          <w:szCs w:val="18"/>
        </w:rPr>
        <w:t>EU Non-Bank Financial Intermediation Risk Monitor 2025</w:t>
      </w:r>
      <w:r w:rsidRPr="00A92E48">
        <w:rPr>
          <w:rFonts w:eastAsia="Instrument Sans" w:cs="Instrument Sans"/>
          <w:szCs w:val="18"/>
        </w:rPr>
        <w:t>, No. 10 (September 2025), avail</w:t>
      </w:r>
      <w:r>
        <w:rPr>
          <w:rFonts w:eastAsia="Instrument Sans" w:cs="Instrument Sans"/>
          <w:szCs w:val="18"/>
        </w:rPr>
        <w:t>.</w:t>
      </w:r>
      <w:r w:rsidRPr="00A92E48">
        <w:rPr>
          <w:rFonts w:eastAsia="Instrument Sans" w:cs="Instrument Sans"/>
          <w:szCs w:val="18"/>
        </w:rPr>
        <w:t xml:space="preserve"> at </w:t>
      </w:r>
      <w:hyperlink r:id="rId2" w:history="1">
        <w:r w:rsidRPr="00A92E48">
          <w:rPr>
            <w:rStyle w:val="Hyperlink"/>
            <w:rFonts w:eastAsia="Instrument Sans" w:cs="Instrument Sans"/>
            <w:szCs w:val="18"/>
          </w:rPr>
          <w:t>https://www.esrb.europa.eu/pub/nbfi/html/esrb.nbfi202509.en.html</w:t>
        </w:r>
      </w:hyperlink>
    </w:p>
  </w:footnote>
  <w:footnote w:id="3">
    <w:p w14:paraId="316D1B35" w14:textId="77777777" w:rsidR="00B66E66" w:rsidRPr="00DA0576" w:rsidRDefault="00B66E66" w:rsidP="00B66E66">
      <w:pPr>
        <w:pStyle w:val="FootnoteText"/>
        <w:ind w:left="720" w:hanging="720"/>
        <w:rPr>
          <w:lang w:val="en-US"/>
        </w:rPr>
      </w:pPr>
      <w:r>
        <w:rPr>
          <w:rStyle w:val="FootnoteReference"/>
        </w:rPr>
        <w:footnoteRef/>
      </w:r>
      <w:r>
        <w:t xml:space="preserve"> </w:t>
      </w:r>
      <w:r>
        <w:rPr>
          <w:lang w:val="en-US"/>
        </w:rPr>
        <w:tab/>
      </w:r>
      <w:r w:rsidRPr="00DA0576">
        <w:rPr>
          <w:lang w:val="en-US"/>
        </w:rPr>
        <w:t xml:space="preserve">Sec. &amp; Exch. Comm’n, Office of Credit Ratings, Staff Report on Nationally Recognized Statistical Rating Organizations (Apr. 24, 2026), </w:t>
      </w:r>
      <w:r>
        <w:rPr>
          <w:lang w:val="en-US"/>
        </w:rPr>
        <w:t xml:space="preserve">avail. at </w:t>
      </w:r>
      <w:hyperlink r:id="rId3" w:history="1">
        <w:r w:rsidRPr="002462F2">
          <w:rPr>
            <w:rStyle w:val="Hyperlink"/>
            <w:lang w:val="en-US"/>
          </w:rPr>
          <w:t>https://www.sec.gov/files/2025-ocr-staff-report-compliant-4-24-26.pdf</w:t>
        </w:r>
      </w:hyperlink>
    </w:p>
  </w:footnote>
  <w:footnote w:id="4">
    <w:p w14:paraId="41B99632" w14:textId="77777777" w:rsidR="00B66E66" w:rsidRPr="00DA0576" w:rsidRDefault="00B66E66" w:rsidP="00B66E66">
      <w:pPr>
        <w:pStyle w:val="FootnoteText"/>
        <w:rPr>
          <w:lang w:val="en-US"/>
        </w:rPr>
      </w:pPr>
      <w:r>
        <w:rPr>
          <w:rStyle w:val="FootnoteReference"/>
        </w:rPr>
        <w:footnoteRef/>
      </w:r>
      <w:r>
        <w:t xml:space="preserve"> </w:t>
      </w:r>
      <w:r>
        <w:rPr>
          <w:lang w:val="en-US"/>
        </w:rPr>
        <w:tab/>
      </w:r>
      <w:r>
        <w:rPr>
          <w:i/>
          <w:iCs/>
          <w:lang w:val="en-US"/>
        </w:rPr>
        <w:t xml:space="preserve">Id. </w:t>
      </w:r>
      <w:r>
        <w:rPr>
          <w:lang w:val="en-US"/>
        </w:rPr>
        <w:t>at 29-34</w:t>
      </w:r>
    </w:p>
  </w:footnote>
  <w:footnote w:id="5">
    <w:p w14:paraId="07C3E31F" w14:textId="77777777" w:rsidR="00B66E66" w:rsidRPr="00DA0576" w:rsidRDefault="00B66E66" w:rsidP="00B66E66">
      <w:pPr>
        <w:pStyle w:val="FootnoteText"/>
        <w:rPr>
          <w:lang w:val="en-US"/>
        </w:rPr>
      </w:pPr>
      <w:r>
        <w:rPr>
          <w:rStyle w:val="FootnoteReference"/>
        </w:rPr>
        <w:footnoteRef/>
      </w:r>
      <w:r>
        <w:t xml:space="preserve"> </w:t>
      </w:r>
      <w:r>
        <w:rPr>
          <w:lang w:val="en-US"/>
        </w:rPr>
        <w:tab/>
      </w:r>
      <w:r>
        <w:rPr>
          <w:i/>
          <w:iCs/>
          <w:lang w:val="en-US"/>
        </w:rPr>
        <w:t>Id.</w:t>
      </w:r>
      <w:r>
        <w:rPr>
          <w:lang w:val="en-US"/>
        </w:rPr>
        <w:t xml:space="preserve"> at 13-14</w:t>
      </w:r>
    </w:p>
  </w:footnote>
  <w:footnote w:id="6">
    <w:p w14:paraId="2C229529" w14:textId="77777777" w:rsidR="00B66E66" w:rsidRPr="00F14065" w:rsidRDefault="00B66E66" w:rsidP="00B66E66">
      <w:pPr>
        <w:pStyle w:val="FootnoteText"/>
        <w:rPr>
          <w:lang w:val="en-US"/>
        </w:rPr>
      </w:pPr>
      <w:r>
        <w:rPr>
          <w:rStyle w:val="FootnoteReference"/>
        </w:rPr>
        <w:footnoteRef/>
      </w:r>
      <w:r>
        <w:t xml:space="preserve"> </w:t>
      </w:r>
      <w:r>
        <w:rPr>
          <w:lang w:val="en-US"/>
        </w:rPr>
        <w:tab/>
      </w:r>
      <w:r>
        <w:rPr>
          <w:i/>
          <w:iCs/>
          <w:lang w:val="en-US"/>
        </w:rPr>
        <w:t>Id.</w:t>
      </w:r>
      <w:r>
        <w:rPr>
          <w:lang w:val="en-US"/>
        </w:rPr>
        <w:t xml:space="preserve"> at 7</w:t>
      </w:r>
    </w:p>
  </w:footnote>
  <w:footnote w:id="7">
    <w:p w14:paraId="72C22705" w14:textId="77777777" w:rsidR="00B66E66" w:rsidRPr="00F14065" w:rsidRDefault="00B66E66" w:rsidP="00B66E66">
      <w:pPr>
        <w:pStyle w:val="FootnoteText"/>
        <w:rPr>
          <w:i/>
          <w:iCs/>
          <w:lang w:val="en-US"/>
        </w:rPr>
      </w:pPr>
      <w:r>
        <w:rPr>
          <w:rStyle w:val="FootnoteReference"/>
        </w:rPr>
        <w:footnoteRef/>
      </w:r>
      <w:r>
        <w:t xml:space="preserve"> </w:t>
      </w:r>
      <w:r>
        <w:rPr>
          <w:lang w:val="en-US"/>
        </w:rPr>
        <w:tab/>
      </w:r>
      <w:r>
        <w:rPr>
          <w:i/>
          <w:iCs/>
          <w:lang w:val="en-US"/>
        </w:rPr>
        <w:t>See id</w:t>
      </w:r>
    </w:p>
  </w:footnote>
  <w:footnote w:id="8">
    <w:p w14:paraId="38F8AD27" w14:textId="77777777" w:rsidR="00B66E66" w:rsidRPr="006749A5" w:rsidRDefault="00B66E66" w:rsidP="00B66E66">
      <w:pPr>
        <w:pStyle w:val="FootnoteText"/>
        <w:ind w:left="720" w:hanging="720"/>
        <w:rPr>
          <w:lang w:val="en-US"/>
        </w:rPr>
      </w:pPr>
      <w:r>
        <w:rPr>
          <w:rStyle w:val="FootnoteReference"/>
        </w:rPr>
        <w:footnoteRef/>
      </w:r>
      <w:r>
        <w:t xml:space="preserve"> </w:t>
      </w:r>
      <w:r>
        <w:rPr>
          <w:lang w:val="en-US"/>
        </w:rPr>
        <w:tab/>
      </w:r>
      <w:r>
        <w:rPr>
          <w:i/>
          <w:iCs/>
          <w:lang w:val="en-US"/>
        </w:rPr>
        <w:t xml:space="preserve">See supra </w:t>
      </w:r>
      <w:r>
        <w:rPr>
          <w:lang w:val="en-US"/>
        </w:rPr>
        <w:t xml:space="preserve">note </w:t>
      </w:r>
      <w:r>
        <w:rPr>
          <w:lang w:val="en-US"/>
        </w:rPr>
        <w:fldChar w:fldCharType="begin"/>
      </w:r>
      <w:r>
        <w:rPr>
          <w:lang w:val="en-US"/>
        </w:rPr>
        <w:instrText xml:space="preserve"> NOTEREF _Ref228874247 \h </w:instrText>
      </w:r>
      <w:r>
        <w:rPr>
          <w:lang w:val="en-US"/>
        </w:rPr>
      </w:r>
      <w:r>
        <w:rPr>
          <w:lang w:val="en-US"/>
        </w:rPr>
        <w:fldChar w:fldCharType="separate"/>
      </w:r>
      <w:r>
        <w:rPr>
          <w:lang w:val="en-US"/>
        </w:rPr>
        <w:t>4</w:t>
      </w:r>
      <w:r>
        <w:rPr>
          <w:lang w:val="en-US"/>
        </w:rPr>
        <w:fldChar w:fldCharType="end"/>
      </w:r>
    </w:p>
  </w:footnote>
  <w:footnote w:id="9">
    <w:p w14:paraId="37178251" w14:textId="77777777" w:rsidR="00B66E66" w:rsidRPr="00AE7607" w:rsidRDefault="00B66E66" w:rsidP="00B66E66">
      <w:pPr>
        <w:pStyle w:val="FootnoteText"/>
        <w:rPr>
          <w:lang w:val="en-US"/>
        </w:rPr>
      </w:pPr>
      <w:r>
        <w:rPr>
          <w:rStyle w:val="FootnoteReference"/>
        </w:rPr>
        <w:footnoteRef/>
      </w:r>
      <w:r>
        <w:t xml:space="preserve"> </w:t>
      </w:r>
      <w:r>
        <w:rPr>
          <w:lang w:val="en-US"/>
        </w:rPr>
        <w:tab/>
      </w:r>
      <w:r>
        <w:rPr>
          <w:i/>
          <w:iCs/>
          <w:lang w:val="en-US"/>
        </w:rPr>
        <w:t xml:space="preserve">See supra </w:t>
      </w:r>
      <w:r>
        <w:rPr>
          <w:lang w:val="en-US"/>
        </w:rPr>
        <w:t xml:space="preserve">note </w:t>
      </w:r>
      <w:r>
        <w:rPr>
          <w:lang w:val="en-US"/>
        </w:rPr>
        <w:fldChar w:fldCharType="begin"/>
      </w:r>
      <w:r>
        <w:rPr>
          <w:lang w:val="en-US"/>
        </w:rPr>
        <w:instrText xml:space="preserve"> NOTEREF _Ref228801700 \h </w:instrText>
      </w:r>
      <w:r>
        <w:rPr>
          <w:lang w:val="en-US"/>
        </w:rPr>
      </w:r>
      <w:r>
        <w:rPr>
          <w:lang w:val="en-US"/>
        </w:rPr>
        <w:fldChar w:fldCharType="separate"/>
      </w:r>
      <w:r>
        <w:rPr>
          <w:lang w:val="en-US"/>
        </w:rPr>
        <w:t>2</w:t>
      </w:r>
      <w:r>
        <w:rPr>
          <w:lang w:val="en-US"/>
        </w:rPr>
        <w:fldChar w:fldCharType="end"/>
      </w:r>
    </w:p>
  </w:footnote>
  <w:footnote w:id="10">
    <w:p w14:paraId="17F85EB0" w14:textId="77777777" w:rsidR="00B66E66" w:rsidRPr="00AE7607" w:rsidRDefault="00B66E66" w:rsidP="00B66E66">
      <w:pPr>
        <w:pStyle w:val="FootnoteText"/>
        <w:rPr>
          <w:i/>
          <w:iCs/>
          <w:lang w:val="en-US"/>
        </w:rPr>
      </w:pPr>
      <w:r>
        <w:rPr>
          <w:rStyle w:val="FootnoteReference"/>
        </w:rPr>
        <w:footnoteRef/>
      </w:r>
      <w:r>
        <w:t xml:space="preserve"> </w:t>
      </w:r>
      <w:r>
        <w:rPr>
          <w:lang w:val="en-US"/>
        </w:rPr>
        <w:tab/>
      </w:r>
      <w:r>
        <w:rPr>
          <w:i/>
          <w:iCs/>
          <w:lang w:val="en-US"/>
        </w:rPr>
        <w:t>Id.</w:t>
      </w:r>
    </w:p>
  </w:footnote>
  <w:footnote w:id="11">
    <w:p w14:paraId="2E553E36" w14:textId="77777777" w:rsidR="00B66E66" w:rsidRPr="00AE7607" w:rsidRDefault="00B66E66" w:rsidP="00B66E66">
      <w:pPr>
        <w:pStyle w:val="FootnoteText"/>
        <w:rPr>
          <w:i/>
          <w:iCs/>
          <w:lang w:val="en-US"/>
        </w:rPr>
      </w:pPr>
      <w:r>
        <w:rPr>
          <w:rStyle w:val="FootnoteReference"/>
        </w:rPr>
        <w:footnoteRef/>
      </w:r>
      <w:r>
        <w:t xml:space="preserve"> </w:t>
      </w:r>
      <w:r>
        <w:rPr>
          <w:lang w:val="en-US"/>
        </w:rPr>
        <w:tab/>
      </w:r>
      <w:r>
        <w:rPr>
          <w:i/>
          <w:iCs/>
          <w:lang w:val="en-US"/>
        </w:rPr>
        <w:t>Id.</w:t>
      </w:r>
    </w:p>
  </w:footnote>
  <w:footnote w:id="12">
    <w:p w14:paraId="4279AB73" w14:textId="77777777" w:rsidR="00B66E66" w:rsidRPr="00F965F2" w:rsidRDefault="00B66E66" w:rsidP="00B66E66">
      <w:pPr>
        <w:pStyle w:val="FootnoteText"/>
        <w:ind w:left="720" w:hanging="720"/>
        <w:rPr>
          <w:lang w:val="en-US"/>
        </w:rPr>
      </w:pPr>
      <w:r>
        <w:rPr>
          <w:rStyle w:val="FootnoteReference"/>
        </w:rPr>
        <w:footnoteRef/>
      </w:r>
      <w:r>
        <w:t xml:space="preserve"> </w:t>
      </w:r>
      <w:r>
        <w:rPr>
          <w:lang w:val="en-US"/>
        </w:rPr>
        <w:tab/>
      </w:r>
      <w:proofErr w:type="spellStart"/>
      <w:r w:rsidRPr="00E92E13">
        <w:rPr>
          <w:rFonts w:eastAsia="Instrument Sans" w:cs="Instrument Sans"/>
          <w:lang w:val="en-US"/>
        </w:rPr>
        <w:t>Nat’l</w:t>
      </w:r>
      <w:proofErr w:type="spellEnd"/>
      <w:r w:rsidRPr="00E92E13">
        <w:rPr>
          <w:rFonts w:eastAsia="Instrument Sans" w:cs="Instrument Sans"/>
          <w:lang w:val="en-US"/>
        </w:rPr>
        <w:t xml:space="preserve"> </w:t>
      </w:r>
      <w:proofErr w:type="spellStart"/>
      <w:r w:rsidRPr="00E92E13">
        <w:rPr>
          <w:rFonts w:eastAsia="Instrument Sans" w:cs="Instrument Sans"/>
          <w:lang w:val="en-US"/>
        </w:rPr>
        <w:t>Ass’n</w:t>
      </w:r>
      <w:proofErr w:type="spellEnd"/>
      <w:r w:rsidRPr="00E92E13">
        <w:rPr>
          <w:rFonts w:eastAsia="Instrument Sans" w:cs="Instrument Sans"/>
          <w:lang w:val="en-US"/>
        </w:rPr>
        <w:t xml:space="preserve"> of Ins. Comm’rs, Valuation of Sec. (E) Task Force, </w:t>
      </w:r>
      <w:r w:rsidRPr="00E92E13">
        <w:rPr>
          <w:rFonts w:eastAsia="Instrument Sans" w:cs="Instrument Sans"/>
          <w:i/>
          <w:iCs/>
          <w:lang w:val="en-US"/>
        </w:rPr>
        <w:t>Materials</w:t>
      </w:r>
      <w:r w:rsidRPr="00E92E13">
        <w:rPr>
          <w:rFonts w:eastAsia="Instrument Sans" w:cs="Instrument Sans"/>
          <w:lang w:val="en-US"/>
        </w:rPr>
        <w:t xml:space="preserve"> (June 4, 2025) (agenda items proposing amendments to the Purposes and Procedures Manual relating to private rating letter rationale reports, including a 90</w:t>
      </w:r>
      <w:r w:rsidRPr="00E92E13">
        <w:rPr>
          <w:rFonts w:eastAsia="Instrument Sans" w:cs="Instrument Sans"/>
          <w:lang w:val="en-US"/>
        </w:rPr>
        <w:noBreakHyphen/>
        <w:t xml:space="preserve">day filing window and analytical substance expectations), </w:t>
      </w:r>
      <w:r>
        <w:rPr>
          <w:rFonts w:eastAsia="Instrument Sans" w:cs="Instrument Sans"/>
          <w:lang w:val="en-US"/>
        </w:rPr>
        <w:t xml:space="preserve">avail. at </w:t>
      </w:r>
      <w:hyperlink r:id="rId4" w:history="1">
        <w:r w:rsidRPr="002462F2">
          <w:rPr>
            <w:rStyle w:val="Hyperlink"/>
            <w:rFonts w:eastAsia="Instrument Sans" w:cs="Instrument Sans"/>
            <w:lang w:val="en-US"/>
          </w:rPr>
          <w:t>https://content.naic.org/sites/default/files/call_materials/VOSTF%20Materials%202025-06-04%20v2.pdf</w:t>
        </w:r>
      </w:hyperlink>
    </w:p>
  </w:footnote>
  <w:footnote w:id="13">
    <w:p w14:paraId="50B337B0" w14:textId="77777777" w:rsidR="00B66E66" w:rsidRPr="00DA275C" w:rsidRDefault="00B66E66" w:rsidP="00B66E66">
      <w:pPr>
        <w:pStyle w:val="FootnoteText"/>
        <w:ind w:left="720" w:hanging="720"/>
        <w:rPr>
          <w:lang w:val="en-US"/>
        </w:rPr>
      </w:pPr>
      <w:r>
        <w:rPr>
          <w:rStyle w:val="FootnoteReference"/>
        </w:rPr>
        <w:footnoteRef/>
      </w:r>
      <w:r>
        <w:t xml:space="preserve"> </w:t>
      </w:r>
      <w:r>
        <w:rPr>
          <w:lang w:val="en-US"/>
        </w:rPr>
        <w:tab/>
      </w:r>
      <w:proofErr w:type="spellStart"/>
      <w:r w:rsidRPr="00E92E13">
        <w:rPr>
          <w:rFonts w:eastAsia="Instrument Sans" w:cs="Instrument Sans"/>
          <w:lang w:val="en-US"/>
        </w:rPr>
        <w:t>Nat’l</w:t>
      </w:r>
      <w:proofErr w:type="spellEnd"/>
      <w:r w:rsidRPr="00E92E13">
        <w:rPr>
          <w:rFonts w:eastAsia="Instrument Sans" w:cs="Instrument Sans"/>
          <w:lang w:val="en-US"/>
        </w:rPr>
        <w:t xml:space="preserve"> </w:t>
      </w:r>
      <w:proofErr w:type="spellStart"/>
      <w:r w:rsidRPr="00E92E13">
        <w:rPr>
          <w:rFonts w:eastAsia="Instrument Sans" w:cs="Instrument Sans"/>
          <w:lang w:val="en-US"/>
        </w:rPr>
        <w:t>Ass’n</w:t>
      </w:r>
      <w:proofErr w:type="spellEnd"/>
      <w:r w:rsidRPr="00E92E13">
        <w:rPr>
          <w:rFonts w:eastAsia="Instrument Sans" w:cs="Instrument Sans"/>
          <w:lang w:val="en-US"/>
        </w:rPr>
        <w:t xml:space="preserve"> of Ins. Comm’rs, Credit Rating Provider (E) Working Group, </w:t>
      </w:r>
      <w:r w:rsidRPr="00E92E13">
        <w:rPr>
          <w:rFonts w:eastAsia="Instrument Sans" w:cs="Instrument Sans"/>
          <w:i/>
          <w:iCs/>
          <w:lang w:val="en-US"/>
        </w:rPr>
        <w:t>Materials</w:t>
      </w:r>
      <w:r w:rsidRPr="00E92E13">
        <w:rPr>
          <w:rFonts w:eastAsia="Instrument Sans" w:cs="Instrument Sans"/>
          <w:lang w:val="en-US"/>
        </w:rPr>
        <w:t xml:space="preserve"> (May 4, 2026) (exposing a draft “NAIC Credit Rating Provider (CRP) Due Diligence Framework” whitepaper), </w:t>
      </w:r>
      <w:r>
        <w:rPr>
          <w:rFonts w:eastAsia="Instrument Sans" w:cs="Instrument Sans"/>
          <w:lang w:val="en-US"/>
        </w:rPr>
        <w:t xml:space="preserve">avail. at </w:t>
      </w:r>
      <w:hyperlink r:id="rId5" w:history="1">
        <w:r w:rsidRPr="002462F2">
          <w:rPr>
            <w:rStyle w:val="Hyperlink"/>
            <w:rFonts w:eastAsia="Instrument Sans" w:cs="Instrument Sans"/>
            <w:lang w:val="en-US"/>
          </w:rPr>
          <w:t>https://content.naic.org/sites/default/files/call_materials/2026May04_CRPWG_Materialsv2.pdf</w:t>
        </w:r>
      </w:hyperlink>
    </w:p>
  </w:footnote>
  <w:footnote w:id="14">
    <w:p w14:paraId="60255B56" w14:textId="77777777" w:rsidR="00B66E66" w:rsidRPr="00401B0B" w:rsidRDefault="00B66E66" w:rsidP="00B66E66">
      <w:pPr>
        <w:pStyle w:val="FootnoteText"/>
        <w:ind w:left="720" w:hanging="720"/>
        <w:rPr>
          <w:lang w:val="en-US"/>
        </w:rPr>
      </w:pPr>
      <w:r>
        <w:rPr>
          <w:rStyle w:val="FootnoteReference"/>
        </w:rPr>
        <w:footnoteRef/>
      </w:r>
      <w:r>
        <w:t xml:space="preserve"> </w:t>
      </w:r>
      <w:r>
        <w:rPr>
          <w:lang w:val="en-US"/>
        </w:rPr>
        <w:tab/>
      </w:r>
      <w:r w:rsidRPr="00E92E13">
        <w:rPr>
          <w:rFonts w:eastAsia="Instrument Sans" w:cs="Instrument Sans"/>
          <w:lang w:val="en-US"/>
        </w:rPr>
        <w:t xml:space="preserve">Regulation (EC) No 1060/2009 of the European Parliament and of the Council of 16 Sept. 2009 on Credit Rating Agencies, 2009 O.J. (L 302) 1, art. 2(2)(a), </w:t>
      </w:r>
      <w:hyperlink r:id="rId6" w:history="1">
        <w:r w:rsidRPr="002462F2">
          <w:rPr>
            <w:rStyle w:val="Hyperlink"/>
            <w:rFonts w:eastAsia="Instrument Sans" w:cs="Instrument Sans"/>
            <w:lang w:val="en-US"/>
          </w:rPr>
          <w:t>https://eur-lex.europa.eu/eli/reg/2009/1060/oj/eng</w:t>
        </w:r>
      </w:hyperlink>
    </w:p>
  </w:footnote>
  <w:footnote w:id="15">
    <w:p w14:paraId="142DD035" w14:textId="77777777" w:rsidR="00B66E66" w:rsidRPr="006749A5" w:rsidRDefault="00B66E66" w:rsidP="00B66E66">
      <w:pPr>
        <w:pStyle w:val="FootnoteText"/>
        <w:ind w:left="720" w:hanging="720"/>
        <w:rPr>
          <w:lang w:val="en-US"/>
        </w:rPr>
      </w:pPr>
      <w:r>
        <w:rPr>
          <w:rStyle w:val="FootnoteReference"/>
        </w:rPr>
        <w:footnoteRef/>
      </w:r>
      <w:r>
        <w:t xml:space="preserve"> </w:t>
      </w:r>
      <w:r>
        <w:rPr>
          <w:lang w:val="en-US"/>
        </w:rPr>
        <w:tab/>
      </w:r>
      <w:r w:rsidRPr="006749A5">
        <w:rPr>
          <w:lang w:val="en-US"/>
        </w:rPr>
        <w:t xml:space="preserve">ESMA, </w:t>
      </w:r>
      <w:r w:rsidRPr="723E4D9F">
        <w:rPr>
          <w:i/>
          <w:iCs/>
          <w:lang w:val="en-US"/>
        </w:rPr>
        <w:t>Final Report -- Revision to Guidelines and Recommendations on the Scope of the CRA Regulation</w:t>
      </w:r>
      <w:r w:rsidRPr="006749A5">
        <w:rPr>
          <w:lang w:val="en-US"/>
        </w:rPr>
        <w:t>, ESMA80</w:t>
      </w:r>
      <w:r w:rsidRPr="006749A5">
        <w:rPr>
          <w:lang w:val="en-US"/>
        </w:rPr>
        <w:noBreakHyphen/>
        <w:t>196</w:t>
      </w:r>
      <w:r w:rsidRPr="006749A5">
        <w:rPr>
          <w:lang w:val="en-US"/>
        </w:rPr>
        <w:noBreakHyphen/>
        <w:t xml:space="preserve">6345, ¶¶ 14–15 (July 15, 2022), </w:t>
      </w:r>
      <w:hyperlink r:id="rId7" w:history="1">
        <w:r w:rsidRPr="002462F2">
          <w:rPr>
            <w:rStyle w:val="Hyperlink"/>
            <w:lang w:val="en-US"/>
          </w:rPr>
          <w:t>https://www.esma.europa.eu/sites/default/files/library/esma80-196-6345_final_report_on_guidelines_on_scope_of_the_cra_regulation.pdf</w:t>
        </w:r>
      </w:hyperlink>
      <w:r w:rsidRPr="006749A5">
        <w:rPr>
          <w:lang w:val="en-US"/>
        </w:rPr>
        <w:t xml:space="preserve">; European Sec. &amp; Mkts. Auth., </w:t>
      </w:r>
      <w:r w:rsidRPr="723E4D9F">
        <w:rPr>
          <w:i/>
          <w:iCs/>
          <w:lang w:val="en-US"/>
        </w:rPr>
        <w:t>Guidelines on the Scope of the CRA Regulation</w:t>
      </w:r>
      <w:r w:rsidRPr="006749A5">
        <w:rPr>
          <w:lang w:val="en-US"/>
        </w:rPr>
        <w:t>, ESMA80</w:t>
      </w:r>
      <w:r w:rsidRPr="006749A5">
        <w:rPr>
          <w:lang w:val="en-US"/>
        </w:rPr>
        <w:noBreakHyphen/>
        <w:t>196</w:t>
      </w:r>
      <w:r w:rsidRPr="006749A5">
        <w:rPr>
          <w:lang w:val="en-US"/>
        </w:rPr>
        <w:noBreakHyphen/>
        <w:t xml:space="preserve">6345 (Oct. 28, 2022), </w:t>
      </w:r>
      <w:hyperlink r:id="rId8" w:history="1">
        <w:r w:rsidRPr="002462F2">
          <w:rPr>
            <w:rStyle w:val="Hyperlink"/>
            <w:lang w:val="en-US"/>
          </w:rPr>
          <w:t>https://www.esma.europa.eu/sites/default/files/library/esma80-196-6345_guidelines_on_the_scope_of_the_cra_regulation.pdf</w:t>
        </w:r>
      </w:hyperlink>
    </w:p>
  </w:footnote>
  <w:footnote w:id="16">
    <w:p w14:paraId="3C992C30" w14:textId="77777777" w:rsidR="00B66E66" w:rsidRPr="00AE7607" w:rsidRDefault="00B66E66" w:rsidP="00B66E66">
      <w:pPr>
        <w:pStyle w:val="FootnoteText"/>
        <w:rPr>
          <w:i/>
          <w:iCs/>
          <w:lang w:val="en-US"/>
        </w:rPr>
      </w:pPr>
      <w:r>
        <w:rPr>
          <w:rStyle w:val="FootnoteReference"/>
        </w:rPr>
        <w:footnoteRef/>
      </w:r>
      <w:r>
        <w:t xml:space="preserve"> </w:t>
      </w:r>
      <w:r>
        <w:rPr>
          <w:lang w:val="en-US"/>
        </w:rPr>
        <w:tab/>
      </w:r>
      <w:r>
        <w:rPr>
          <w:i/>
          <w:iCs/>
          <w:lang w:val="en-US"/>
        </w:rPr>
        <w:t>Id.</w:t>
      </w:r>
    </w:p>
  </w:footnote>
  <w:footnote w:id="17">
    <w:p w14:paraId="6BE591F2" w14:textId="77777777" w:rsidR="00B66E66" w:rsidRPr="00AE7607" w:rsidRDefault="00B66E66" w:rsidP="00B66E66">
      <w:pPr>
        <w:pStyle w:val="FootnoteText"/>
        <w:ind w:left="720" w:hanging="720"/>
        <w:rPr>
          <w:lang w:val="en-US"/>
        </w:rPr>
      </w:pPr>
      <w:r>
        <w:rPr>
          <w:rStyle w:val="FootnoteReference"/>
        </w:rPr>
        <w:footnoteRef/>
      </w:r>
      <w:r>
        <w:t xml:space="preserve"> </w:t>
      </w:r>
      <w:r>
        <w:tab/>
      </w:r>
      <w:r w:rsidRPr="00E92E13">
        <w:rPr>
          <w:rFonts w:eastAsia="Instrument Sans" w:cs="Instrument Sans"/>
          <w:lang w:val="en-US"/>
        </w:rPr>
        <w:t xml:space="preserve">U.S. Sec. &amp; Exch. Comm’n, Office of Credit Ratings, </w:t>
      </w:r>
      <w:r w:rsidRPr="00E92E13">
        <w:rPr>
          <w:rFonts w:eastAsia="Instrument Sans" w:cs="Instrument Sans"/>
          <w:i/>
          <w:iCs/>
          <w:lang w:val="en-US"/>
        </w:rPr>
        <w:t>Staff Report on Nationally Recognized Statistical Rating Organizations</w:t>
      </w:r>
      <w:r w:rsidRPr="00E92E13">
        <w:rPr>
          <w:rFonts w:eastAsia="Instrument Sans" w:cs="Instrument Sans"/>
          <w:lang w:val="en-US"/>
        </w:rPr>
        <w:t xml:space="preserve"> 34–39, 41–43 (Feb. 2024), </w:t>
      </w:r>
      <w:hyperlink r:id="rId9" w:history="1">
        <w:r w:rsidRPr="002462F2">
          <w:rPr>
            <w:rStyle w:val="Hyperlink"/>
            <w:rFonts w:eastAsia="Instrument Sans" w:cs="Instrument Sans"/>
            <w:lang w:val="en-US"/>
          </w:rPr>
          <w:t>https://www.sec.gov/files/feb-2024-ocr-staff-report.pdf</w:t>
        </w:r>
      </w:hyperlink>
    </w:p>
  </w:footnote>
  <w:footnote w:id="18">
    <w:p w14:paraId="611CD6BD" w14:textId="77777777" w:rsidR="00B66E66" w:rsidRPr="00AE7607" w:rsidRDefault="00B66E66" w:rsidP="00B66E66">
      <w:pPr>
        <w:pStyle w:val="FootnoteText"/>
        <w:rPr>
          <w:i/>
          <w:iCs/>
          <w:lang w:val="en-US"/>
        </w:rPr>
      </w:pPr>
      <w:r>
        <w:rPr>
          <w:rStyle w:val="FootnoteReference"/>
        </w:rPr>
        <w:footnoteRef/>
      </w:r>
      <w:r>
        <w:t xml:space="preserve"> </w:t>
      </w:r>
      <w:r>
        <w:rPr>
          <w:lang w:val="en-US"/>
        </w:rPr>
        <w:tab/>
      </w:r>
      <w:r>
        <w:rPr>
          <w:i/>
          <w:iCs/>
          <w:lang w:val="en-US"/>
        </w:rPr>
        <w:t>Id.</w:t>
      </w:r>
    </w:p>
  </w:footnote>
  <w:footnote w:id="19">
    <w:p w14:paraId="2A670B2B" w14:textId="77777777" w:rsidR="00B66E66" w:rsidRPr="00AE7607" w:rsidRDefault="00B66E66" w:rsidP="00B66E66">
      <w:pPr>
        <w:pStyle w:val="FootnoteText"/>
        <w:rPr>
          <w:lang w:val="en-US"/>
        </w:rPr>
      </w:pPr>
      <w:r>
        <w:rPr>
          <w:rStyle w:val="FootnoteReference"/>
        </w:rPr>
        <w:footnoteRef/>
      </w:r>
      <w:r>
        <w:t xml:space="preserve"> </w:t>
      </w:r>
      <w:r>
        <w:rPr>
          <w:lang w:val="en-US"/>
        </w:rPr>
        <w:tab/>
      </w:r>
      <w:r>
        <w:rPr>
          <w:i/>
          <w:iCs/>
          <w:lang w:val="en-US"/>
        </w:rPr>
        <w:t>See supra</w:t>
      </w:r>
      <w:r>
        <w:rPr>
          <w:lang w:val="en-US"/>
        </w:rPr>
        <w:t xml:space="preserve"> note </w:t>
      </w:r>
      <w:r>
        <w:rPr>
          <w:lang w:val="en-US"/>
        </w:rPr>
        <w:fldChar w:fldCharType="begin"/>
      </w:r>
      <w:r>
        <w:rPr>
          <w:lang w:val="en-US"/>
        </w:rPr>
        <w:instrText xml:space="preserve"> NOTEREF _Ref228801700 \h </w:instrText>
      </w:r>
      <w:r>
        <w:rPr>
          <w:lang w:val="en-US"/>
        </w:rPr>
      </w:r>
      <w:r>
        <w:rPr>
          <w:lang w:val="en-US"/>
        </w:rPr>
        <w:fldChar w:fldCharType="separate"/>
      </w:r>
      <w:r>
        <w:rPr>
          <w:lang w:val="en-US"/>
        </w:rPr>
        <w:t>2</w:t>
      </w:r>
      <w:r>
        <w:rPr>
          <w:lang w:val="en-US"/>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3183" w14:textId="77777777" w:rsidR="00671CAA" w:rsidRDefault="00671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384A" w14:textId="77777777" w:rsidR="00B15926" w:rsidRDefault="00B15926">
    <w:pPr>
      <w:pStyle w:val="Header"/>
    </w:pPr>
  </w:p>
  <w:p w14:paraId="4DEE31CB" w14:textId="77777777" w:rsidR="00B15926" w:rsidRDefault="00B15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A56B" w14:textId="77777777" w:rsidR="00671CAA" w:rsidRPr="00671CAA" w:rsidRDefault="00671CAA" w:rsidP="00671CAA">
    <w:pPr>
      <w:spacing w:after="0" w:line="220" w:lineRule="exact"/>
      <w:jc w:val="right"/>
      <w:rPr>
        <w:rFonts w:ascii="Arial" w:eastAsia="Times New Roman" w:hAnsi="Arial" w:cs="Times New Roman"/>
        <w:color w:val="001B4F"/>
        <w:kern w:val="0"/>
        <w:sz w:val="17"/>
        <w:lang w:eastAsia="de-DE"/>
        <w14:ligatures w14:val="none"/>
      </w:rPr>
    </w:pPr>
    <w:r w:rsidRPr="00671CAA">
      <w:rPr>
        <w:rFonts w:ascii="Arial" w:eastAsia="Times New Roman" w:hAnsi="Arial" w:cs="Times New Roman"/>
        <w:color w:val="001B4F"/>
        <w:kern w:val="0"/>
        <w:sz w:val="17"/>
        <w:lang w:eastAsia="de-DE"/>
        <w14:ligatures w14:val="none"/>
      </w:rPr>
      <w:t>16 April 2026</w:t>
    </w:r>
  </w:p>
  <w:p w14:paraId="5D9AC2ED" w14:textId="6992B792" w:rsidR="00671CAA" w:rsidRPr="00671CAA" w:rsidRDefault="00671CAA" w:rsidP="00671CAA">
    <w:pPr>
      <w:tabs>
        <w:tab w:val="center" w:pos="4513"/>
        <w:tab w:val="right" w:pos="9026"/>
      </w:tabs>
      <w:spacing w:after="0" w:line="240" w:lineRule="auto"/>
      <w:jc w:val="right"/>
      <w:rPr>
        <w:rFonts w:ascii="Arial" w:eastAsia="MS PGothic" w:hAnsi="Arial" w:cs="Arial"/>
        <w:color w:val="001B4F"/>
        <w:kern w:val="0"/>
        <w:sz w:val="16"/>
        <w:szCs w:val="20"/>
        <w14:ligatures w14:val="none"/>
      </w:rPr>
    </w:pPr>
    <w:r w:rsidRPr="00671CAA">
      <w:rPr>
        <w:rFonts w:ascii="Arial" w:eastAsia="MS PGothic" w:hAnsi="Arial" w:cs="Arial"/>
        <w:color w:val="001B4F"/>
        <w:kern w:val="0"/>
        <w:sz w:val="16"/>
        <w:szCs w:val="20"/>
        <w14:ligatures w14:val="none"/>
      </w:rPr>
      <w:t>ESMA</w:t>
    </w:r>
    <w:r w:rsidR="00B40552">
      <w:rPr>
        <w:rFonts w:ascii="Arial" w:eastAsia="MS PGothic" w:hAnsi="Arial" w:cs="Arial"/>
        <w:color w:val="001B4F"/>
        <w:kern w:val="0"/>
        <w:sz w:val="16"/>
        <w:szCs w:val="20"/>
        <w14:ligatures w14:val="none"/>
      </w:rPr>
      <w:t>84-1811</w:t>
    </w:r>
    <w:r w:rsidR="008504D3">
      <w:rPr>
        <w:rFonts w:ascii="Arial" w:eastAsia="MS PGothic" w:hAnsi="Arial" w:cs="Arial"/>
        <w:color w:val="001B4F"/>
        <w:kern w:val="0"/>
        <w:sz w:val="16"/>
        <w:szCs w:val="20"/>
        <w14:ligatures w14:val="none"/>
      </w:rPr>
      <w:t>52</w:t>
    </w:r>
    <w:r w:rsidR="001455DC">
      <w:rPr>
        <w:rFonts w:ascii="Arial" w:eastAsia="MS PGothic" w:hAnsi="Arial" w:cs="Arial"/>
        <w:color w:val="001B4F"/>
        <w:kern w:val="0"/>
        <w:sz w:val="16"/>
        <w:szCs w:val="20"/>
        <w14:ligatures w14:val="none"/>
      </w:rPr>
      <w:t>981-5302</w:t>
    </w:r>
  </w:p>
  <w:p w14:paraId="5CDF3667" w14:textId="77777777" w:rsidR="00B15926" w:rsidRDefault="00B15926" w:rsidP="00862BBD">
    <w:pPr>
      <w:pStyle w:val="Header"/>
    </w:pPr>
    <w:r w:rsidRPr="001522DD">
      <w:rPr>
        <w:bCs/>
        <w:caps/>
        <w:noProof/>
        <w:highlight w:val="yellow"/>
      </w:rPr>
      <w:drawing>
        <wp:anchor distT="0" distB="0" distL="114300" distR="114300" simplePos="0" relativeHeight="251658240" behindDoc="0" locked="0" layoutInCell="1" allowOverlap="1" wp14:anchorId="7FEE36DA" wp14:editId="70BB5083">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7A36FF3B" w14:textId="31393B8A" w:rsidR="00B15926" w:rsidRDefault="00B15926" w:rsidP="00862BBD">
    <w:pPr>
      <w:pStyle w:val="Header"/>
      <w:ind w:left="1836" w:firstLine="4536"/>
    </w:pPr>
    <w:r>
      <w:t xml:space="preserve">   xxxxxxxxx</w:t>
    </w:r>
    <w:r w:rsidRPr="00374D79">
      <w:t>434</w:t>
    </w:r>
    <w:r>
      <w:rPr>
        <w:noProof/>
      </w:rPr>
      <mc:AlternateContent>
        <mc:Choice Requires="wps">
          <w:drawing>
            <wp:anchor distT="0" distB="0" distL="114300" distR="114300" simplePos="0" relativeHeight="251658241" behindDoc="1" locked="1" layoutInCell="1" allowOverlap="0" wp14:anchorId="5D0CB397" wp14:editId="4B528764">
              <wp:simplePos x="0" y="0"/>
              <wp:positionH relativeFrom="page">
                <wp:posOffset>899795</wp:posOffset>
              </wp:positionH>
              <wp:positionV relativeFrom="paragraph">
                <wp:posOffset>174625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Shape 7" style="position:absolute;margin-left:70.85pt;margin-top:13.75pt;width:596.1pt;height:76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id="_x0000_s1026" o:allowoverlap="f" stroked="f" strokeweight="1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EV6OfwkAAKt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ommKt4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tJxVbiqp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ROKrMVdiq0thpVbA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RNMVWk1xVrFWiaY0q0muS&#10;VrFURk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q0tiq3&#10;FXdMVWE4aVrCrRNMVWk1xVF5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0TTFVpNcVaxVaThpVuFXYqtJxVbiriaYVRmQ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aTiq3FWiaYqtJrklaxVommKrK1xV2KrS2FK3FCYZ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WicVWYq7FVpbDSrcKuJpiqwmuKtYq0TTCla&#10;TXFDWBXZKmVJhlbF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ommKrSa4q1irRN&#10;MaVaTXJK1iq0nFVuKuwqtJxStwIdhS0TTJJ5LSa4otM8q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VpbFVuKu6YqsJw0rWFWiaYqtJrirWKtE4UrOuKHYq7DTKlpbCtrcWLsVTTKl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RNMVWk1xVrFVpOGlW4Vdiq0nFVuKuJphVYTXFWsC&#10;uw0mmiaZJK0muKGsUOxVaTiqbZU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q0nFVuKtE0xVa&#10;TXJK1irRNMVWVrirsVWlsKVuKHYpdhpK0nCi1uKHYq0TTFVpNcKtYqnGU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0TiqzFXYqtLYaVbhVxNMVWE1xVrFWiaYUrSa4oawK7JUyponCtrMUOxQ7FVpOFV&#10;uKuwKtJxSnWVI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piq0muKtYq0TTGlWk1yStYqtJxVbirsKrSc&#10;UrcCHYUtE0ySeS0muKLaxQ7FWiaYqtJrhVrArRNMUrSa4aVrJITzMd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tLYqtxV3TFVhOGlawq0TTFVpNcVaxVonClZ1xQ7FXYaZUtLYVtbixdirq0xVYTXDStYq7Aq0th&#10;Stwq0TTCq0muKaT/ADHY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ommKrSa4q1iq0nDSrcKuxVaTiq3FXE0wqsJri&#10;rWBXYaTTRNMklaTXFDWKHYqtJxVbhV2BWiaYpWk1yVK1hQtLYsqW4q7pihkGY6H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VpOKrcVaJpiq0muSVrFWiaYqsrXFXYqtLYUrcUOxS7DSVpOFFrcUOxVommKrSa4VaxV3TAlYTh&#10;pWsKtE0wrS0muKWsVtaTiiluLJkmY7B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onFVmKuxVaWw0q3CriaYqsJrirWKtE0wpW&#10;k1xQ1gV2SplTROFbWYodih2KrScKrcVdgVaTilbkqV2FC0nFlS3FbaJpijmtJrilrFLROKslzHYO&#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tE0xVaTXFWsVaJpjSrSa5JWsVWk4qtxV2FVpOKVuBDsKWiaZJPJaTXFFtYodirRNMVWk1wq&#10;1gVommKVpNcNK1kkNE4ppZiydixtaWxTS3FLRNMVWk1xVrFWUZjsH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LYqtxV3TFVhOGlawq0T&#10;TFVpNcVaxVonClZ1xQ7FXYaZUtLYVtbixdirq0xVYTXDStYq7Aq0thStwq0TTCq0muKaaxW2iaYo&#10;Wk1xZNYqtLYqtxV2Kuw0rKMxmD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aJpiq0muKtYqtJw0q3CrsVWk4qtxVxNMKrCa4q1gV2Gk00TTJJWk&#10;1xQ1ih2KrScVW4VdgVommKVpNclStYULS2LKluKu6YoWE4pprFLRNMVWk1xVrFXYaV2FXYqyjMVg&#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tJxV&#10;birRNMVWk1yStYq0TTFVla4q7FVpbClbih2KXYaStJwotbih2KtE0xVaTXCrWKu6YErCcNK1hVom&#10;mFaWk1xS1itrScUUtxZOxVaTiq3FXYq7JK7FVpOKrcVZZmKw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xVZirsVWlsNKtwq4mmKrCa4q1irRNMKVpNc&#10;UNYFdkqZUtJwra3Fi7FXYqtJwqtxV2BVpOKVuSpXYULScWVLcVtommKOa0muKWsUtE4qsxV2Kuw0&#10;rsKtE0xVaTXFWsVaJpirLcxWD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RNMVWk1xVrFWiaY0q0muSVrFVpOKrcVdhVaTilbgQ7ClommSTyWk1xRbWKHYq0TTF&#10;VpNcKtYFaJpilaTXDStZJDROKaWYsnYsbWlsU0txS0TTFVpNcVaxV2NK7JK7FVpbFVuKurTFVhNc&#10;VaxVmGYrB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rS2KrcVd&#10;0xVYThpWsKtE0xVaTXFWsVaJwpWdcUOxV2GmVLS2FbW4sXYq6tMVWE1w0rWKuwKtLYUrcKtE0wqt&#10;JrimmsVtommKFpNcWTWKrS2KrcVdirsNK7CrRNMVWk1xVrFVpOKrcVdhVaThpWZZhsH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twq7ArRNMUrSa5KlawoWlsWVLcVdWmKFhNcU01ilomm&#10;KrSa4q1irsNK7CrsVWE4q1irRNMVWk1xVrFWicNKsySuxVmmYTB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aTiq3FWiaYqtJrklaxVonFVnXFXYqtLYUrcUOxS7DSVhOFFtY&#10;odirRNMVWk1wq1irumBKwnDStYVaJphWlpNcUtYra0nFaW4pdiq0nFVuKuxV2SV2KrScVW4q7FVp&#10;OKrcVaJphVaTXDStYVaJpiqytcVZxmE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" w14:anchorId="6201E15B">
              <v:fill type="frame" o:title="" recolor="t" rotate="t" r:id="rId3"/>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MtuC3iJMkPorFU" int2:id="HxPcGdH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9699B"/>
    <w:multiLevelType w:val="hybridMultilevel"/>
    <w:tmpl w:val="7E307D50"/>
    <w:lvl w:ilvl="0" w:tplc="92204E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533B14"/>
    <w:multiLevelType w:val="hybridMultilevel"/>
    <w:tmpl w:val="456A3E8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6476960">
    <w:abstractNumId w:val="3"/>
  </w:num>
  <w:num w:numId="2" w16cid:durableId="837424337">
    <w:abstractNumId w:val="2"/>
  </w:num>
  <w:num w:numId="3" w16cid:durableId="160125971">
    <w:abstractNumId w:val="1"/>
  </w:num>
  <w:num w:numId="4" w16cid:durableId="41204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26"/>
    <w:rsid w:val="000168E7"/>
    <w:rsid w:val="00053AC6"/>
    <w:rsid w:val="000A5F51"/>
    <w:rsid w:val="000E412D"/>
    <w:rsid w:val="001013E7"/>
    <w:rsid w:val="001455DC"/>
    <w:rsid w:val="00177DBB"/>
    <w:rsid w:val="001C6A3B"/>
    <w:rsid w:val="001D60A4"/>
    <w:rsid w:val="00215472"/>
    <w:rsid w:val="00247D09"/>
    <w:rsid w:val="0028075F"/>
    <w:rsid w:val="002A118C"/>
    <w:rsid w:val="002A3144"/>
    <w:rsid w:val="002C79EF"/>
    <w:rsid w:val="00323073"/>
    <w:rsid w:val="00323E56"/>
    <w:rsid w:val="00332036"/>
    <w:rsid w:val="00335E3A"/>
    <w:rsid w:val="003526D4"/>
    <w:rsid w:val="0036494D"/>
    <w:rsid w:val="00373E9B"/>
    <w:rsid w:val="003A5FE5"/>
    <w:rsid w:val="003B1400"/>
    <w:rsid w:val="003E5F13"/>
    <w:rsid w:val="00401868"/>
    <w:rsid w:val="004061B4"/>
    <w:rsid w:val="0044060C"/>
    <w:rsid w:val="00452B2F"/>
    <w:rsid w:val="00474E0B"/>
    <w:rsid w:val="00484316"/>
    <w:rsid w:val="00486630"/>
    <w:rsid w:val="004A189D"/>
    <w:rsid w:val="004A43F6"/>
    <w:rsid w:val="004A74E5"/>
    <w:rsid w:val="004C60B1"/>
    <w:rsid w:val="004D3080"/>
    <w:rsid w:val="004D4F4B"/>
    <w:rsid w:val="004F16CA"/>
    <w:rsid w:val="00535757"/>
    <w:rsid w:val="005738B2"/>
    <w:rsid w:val="00574B1E"/>
    <w:rsid w:val="00590CBC"/>
    <w:rsid w:val="0059279F"/>
    <w:rsid w:val="00594E68"/>
    <w:rsid w:val="005D2B67"/>
    <w:rsid w:val="005E73E4"/>
    <w:rsid w:val="00653FE2"/>
    <w:rsid w:val="00671CAA"/>
    <w:rsid w:val="006807AF"/>
    <w:rsid w:val="006B7140"/>
    <w:rsid w:val="00714057"/>
    <w:rsid w:val="007243AE"/>
    <w:rsid w:val="00736622"/>
    <w:rsid w:val="007446AF"/>
    <w:rsid w:val="007733B9"/>
    <w:rsid w:val="007A53A9"/>
    <w:rsid w:val="007C3C10"/>
    <w:rsid w:val="007D0044"/>
    <w:rsid w:val="00801091"/>
    <w:rsid w:val="0080292B"/>
    <w:rsid w:val="00840330"/>
    <w:rsid w:val="008504D3"/>
    <w:rsid w:val="00862BBD"/>
    <w:rsid w:val="008B4686"/>
    <w:rsid w:val="00912374"/>
    <w:rsid w:val="0092767A"/>
    <w:rsid w:val="009303E0"/>
    <w:rsid w:val="0098263C"/>
    <w:rsid w:val="00996349"/>
    <w:rsid w:val="009A1695"/>
    <w:rsid w:val="009C682C"/>
    <w:rsid w:val="00A07103"/>
    <w:rsid w:val="00A4449F"/>
    <w:rsid w:val="00A54613"/>
    <w:rsid w:val="00AD0AAC"/>
    <w:rsid w:val="00AE2EDF"/>
    <w:rsid w:val="00AE30D1"/>
    <w:rsid w:val="00AF29A9"/>
    <w:rsid w:val="00B041A7"/>
    <w:rsid w:val="00B15926"/>
    <w:rsid w:val="00B40552"/>
    <w:rsid w:val="00B66E66"/>
    <w:rsid w:val="00B7208E"/>
    <w:rsid w:val="00B937EE"/>
    <w:rsid w:val="00BC15A7"/>
    <w:rsid w:val="00BD6A71"/>
    <w:rsid w:val="00BE76DA"/>
    <w:rsid w:val="00BF40E6"/>
    <w:rsid w:val="00C73745"/>
    <w:rsid w:val="00C979F1"/>
    <w:rsid w:val="00CA22AB"/>
    <w:rsid w:val="00CF061A"/>
    <w:rsid w:val="00D50BCE"/>
    <w:rsid w:val="00DE7F93"/>
    <w:rsid w:val="00E00B3D"/>
    <w:rsid w:val="00E337D4"/>
    <w:rsid w:val="00E661A2"/>
    <w:rsid w:val="00E70CE2"/>
    <w:rsid w:val="00EA3EA5"/>
    <w:rsid w:val="00EB22E2"/>
    <w:rsid w:val="00EE24A3"/>
    <w:rsid w:val="00EF4C74"/>
    <w:rsid w:val="00F8268A"/>
    <w:rsid w:val="00FC507D"/>
    <w:rsid w:val="00FE7DC1"/>
    <w:rsid w:val="03BB9B2B"/>
    <w:rsid w:val="05050EBA"/>
    <w:rsid w:val="1316DE81"/>
    <w:rsid w:val="1B35BF7F"/>
    <w:rsid w:val="20536DDB"/>
    <w:rsid w:val="23716F1B"/>
    <w:rsid w:val="326D3CB9"/>
    <w:rsid w:val="361301D0"/>
    <w:rsid w:val="39331D24"/>
    <w:rsid w:val="3FBC29F4"/>
    <w:rsid w:val="47904793"/>
    <w:rsid w:val="677E4726"/>
    <w:rsid w:val="734EA3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7105"/>
  <w15:chartTrackingRefBased/>
  <w15:docId w15:val="{74A6915A-FA18-44D2-8098-578208D2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926"/>
    <w:rPr>
      <w:rFonts w:eastAsiaTheme="majorEastAsia" w:cstheme="majorBidi"/>
      <w:color w:val="272727" w:themeColor="text1" w:themeTint="D8"/>
    </w:rPr>
  </w:style>
  <w:style w:type="paragraph" w:styleId="Title">
    <w:name w:val="Title"/>
    <w:basedOn w:val="Normal"/>
    <w:next w:val="Normal"/>
    <w:link w:val="TitleChar"/>
    <w:uiPriority w:val="10"/>
    <w:qFormat/>
    <w:rsid w:val="00B15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926"/>
    <w:pPr>
      <w:spacing w:before="160"/>
      <w:jc w:val="center"/>
    </w:pPr>
    <w:rPr>
      <w:i/>
      <w:iCs/>
      <w:color w:val="404040" w:themeColor="text1" w:themeTint="BF"/>
    </w:rPr>
  </w:style>
  <w:style w:type="character" w:customStyle="1" w:styleId="QuoteChar">
    <w:name w:val="Quote Char"/>
    <w:basedOn w:val="DefaultParagraphFont"/>
    <w:link w:val="Quote"/>
    <w:uiPriority w:val="29"/>
    <w:rsid w:val="00B15926"/>
    <w:rPr>
      <w:i/>
      <w:iCs/>
      <w:color w:val="404040" w:themeColor="text1" w:themeTint="BF"/>
    </w:rPr>
  </w:style>
  <w:style w:type="paragraph" w:styleId="ListParagraph">
    <w:name w:val="List Paragraph"/>
    <w:basedOn w:val="Normal"/>
    <w:uiPriority w:val="34"/>
    <w:qFormat/>
    <w:rsid w:val="00B15926"/>
    <w:pPr>
      <w:ind w:left="720"/>
      <w:contextualSpacing/>
    </w:pPr>
  </w:style>
  <w:style w:type="character" w:styleId="IntenseEmphasis">
    <w:name w:val="Intense Emphasis"/>
    <w:basedOn w:val="DefaultParagraphFont"/>
    <w:uiPriority w:val="21"/>
    <w:qFormat/>
    <w:rsid w:val="00B15926"/>
    <w:rPr>
      <w:i/>
      <w:iCs/>
      <w:color w:val="0F4761" w:themeColor="accent1" w:themeShade="BF"/>
    </w:rPr>
  </w:style>
  <w:style w:type="paragraph" w:styleId="IntenseQuote">
    <w:name w:val="Intense Quote"/>
    <w:basedOn w:val="Normal"/>
    <w:next w:val="Normal"/>
    <w:link w:val="IntenseQuoteChar"/>
    <w:uiPriority w:val="30"/>
    <w:qFormat/>
    <w:rsid w:val="00B1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926"/>
    <w:rPr>
      <w:i/>
      <w:iCs/>
      <w:color w:val="0F4761" w:themeColor="accent1" w:themeShade="BF"/>
    </w:rPr>
  </w:style>
  <w:style w:type="character" w:styleId="IntenseReference">
    <w:name w:val="Intense Reference"/>
    <w:basedOn w:val="DefaultParagraphFont"/>
    <w:uiPriority w:val="32"/>
    <w:qFormat/>
    <w:rsid w:val="00B15926"/>
    <w:rPr>
      <w:b/>
      <w:bCs/>
      <w:smallCaps/>
      <w:color w:val="0F4761" w:themeColor="accent1" w:themeShade="BF"/>
      <w:spacing w:val="5"/>
    </w:rPr>
  </w:style>
  <w:style w:type="paragraph" w:styleId="Header">
    <w:name w:val="header"/>
    <w:basedOn w:val="Normal"/>
    <w:link w:val="HeaderChar"/>
    <w:uiPriority w:val="99"/>
    <w:unhideWhenUsed/>
    <w:rsid w:val="00B15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926"/>
  </w:style>
  <w:style w:type="paragraph" w:styleId="Footer">
    <w:name w:val="footer"/>
    <w:basedOn w:val="Normal"/>
    <w:link w:val="FooterChar"/>
    <w:uiPriority w:val="99"/>
    <w:unhideWhenUsed/>
    <w:rsid w:val="00B15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926"/>
  </w:style>
  <w:style w:type="character" w:styleId="CommentReference">
    <w:name w:val="annotation reference"/>
    <w:basedOn w:val="DefaultParagraphFont"/>
    <w:uiPriority w:val="99"/>
    <w:semiHidden/>
    <w:unhideWhenUsed/>
    <w:rsid w:val="00AE30D1"/>
    <w:rPr>
      <w:sz w:val="16"/>
      <w:szCs w:val="16"/>
    </w:rPr>
  </w:style>
  <w:style w:type="paragraph" w:styleId="CommentText">
    <w:name w:val="annotation text"/>
    <w:basedOn w:val="Normal"/>
    <w:link w:val="CommentTextChar"/>
    <w:uiPriority w:val="99"/>
    <w:unhideWhenUsed/>
    <w:rsid w:val="00AE30D1"/>
    <w:pPr>
      <w:spacing w:line="240" w:lineRule="auto"/>
    </w:pPr>
    <w:rPr>
      <w:sz w:val="20"/>
      <w:szCs w:val="20"/>
    </w:rPr>
  </w:style>
  <w:style w:type="character" w:customStyle="1" w:styleId="CommentTextChar">
    <w:name w:val="Comment Text Char"/>
    <w:basedOn w:val="DefaultParagraphFont"/>
    <w:link w:val="CommentText"/>
    <w:uiPriority w:val="99"/>
    <w:rsid w:val="00AE30D1"/>
    <w:rPr>
      <w:sz w:val="20"/>
      <w:szCs w:val="20"/>
    </w:rPr>
  </w:style>
  <w:style w:type="paragraph" w:styleId="CommentSubject">
    <w:name w:val="annotation subject"/>
    <w:basedOn w:val="CommentText"/>
    <w:next w:val="CommentText"/>
    <w:link w:val="CommentSubjectChar"/>
    <w:uiPriority w:val="99"/>
    <w:semiHidden/>
    <w:unhideWhenUsed/>
    <w:rsid w:val="00AE30D1"/>
    <w:rPr>
      <w:b/>
      <w:bCs/>
    </w:rPr>
  </w:style>
  <w:style w:type="character" w:customStyle="1" w:styleId="CommentSubjectChar">
    <w:name w:val="Comment Subject Char"/>
    <w:basedOn w:val="CommentTextChar"/>
    <w:link w:val="CommentSubject"/>
    <w:uiPriority w:val="99"/>
    <w:semiHidden/>
    <w:rsid w:val="00AE30D1"/>
    <w:rPr>
      <w:b/>
      <w:bCs/>
      <w:sz w:val="20"/>
      <w:szCs w:val="20"/>
    </w:rPr>
  </w:style>
  <w:style w:type="character" w:styleId="Hyperlink">
    <w:name w:val="Hyperlink"/>
    <w:basedOn w:val="DefaultParagraphFont"/>
    <w:uiPriority w:val="99"/>
    <w:unhideWhenUsed/>
    <w:rsid w:val="0092767A"/>
    <w:rPr>
      <w:color w:val="467886" w:themeColor="hyperlink"/>
      <w:u w:val="single"/>
    </w:rPr>
  </w:style>
  <w:style w:type="character" w:styleId="UnresolvedMention">
    <w:name w:val="Unresolved Mention"/>
    <w:basedOn w:val="DefaultParagraphFont"/>
    <w:uiPriority w:val="99"/>
    <w:semiHidden/>
    <w:unhideWhenUsed/>
    <w:rsid w:val="0092767A"/>
    <w:rPr>
      <w:color w:val="605E5C"/>
      <w:shd w:val="clear" w:color="auto" w:fill="E1DFDD"/>
    </w:rPr>
  </w:style>
  <w:style w:type="character" w:styleId="FollowedHyperlink">
    <w:name w:val="FollowedHyperlink"/>
    <w:basedOn w:val="DefaultParagraphFont"/>
    <w:uiPriority w:val="99"/>
    <w:semiHidden/>
    <w:unhideWhenUsed/>
    <w:rsid w:val="0092767A"/>
    <w:rPr>
      <w:color w:val="96607D" w:themeColor="followedHyperlink"/>
      <w:u w:val="single"/>
    </w:rPr>
  </w:style>
  <w:style w:type="paragraph" w:styleId="FootnoteText">
    <w:name w:val="footnote text"/>
    <w:basedOn w:val="Normal"/>
    <w:link w:val="FootnoteTextChar"/>
    <w:uiPriority w:val="99"/>
    <w:semiHidden/>
    <w:unhideWhenUsed/>
    <w:rsid w:val="00B66E66"/>
    <w:pPr>
      <w:spacing w:after="120" w:line="240" w:lineRule="auto"/>
    </w:pPr>
    <w:rPr>
      <w:rFonts w:ascii="Instrument Sans" w:eastAsia="Arial" w:hAnsi="Instrument Sans" w:cs="Arial"/>
      <w:kern w:val="0"/>
      <w:sz w:val="18"/>
      <w:szCs w:val="20"/>
      <w:lang w:val="en"/>
      <w14:ligatures w14:val="none"/>
    </w:rPr>
  </w:style>
  <w:style w:type="character" w:customStyle="1" w:styleId="FootnoteTextChar">
    <w:name w:val="Footnote Text Char"/>
    <w:basedOn w:val="DefaultParagraphFont"/>
    <w:link w:val="FootnoteText"/>
    <w:uiPriority w:val="99"/>
    <w:semiHidden/>
    <w:rsid w:val="00B66E66"/>
    <w:rPr>
      <w:rFonts w:ascii="Instrument Sans" w:eastAsia="Arial" w:hAnsi="Instrument Sans" w:cs="Arial"/>
      <w:kern w:val="0"/>
      <w:sz w:val="18"/>
      <w:szCs w:val="20"/>
      <w:lang w:val="en"/>
      <w14:ligatures w14:val="none"/>
    </w:rPr>
  </w:style>
  <w:style w:type="character" w:styleId="FootnoteReference">
    <w:name w:val="footnote reference"/>
    <w:basedOn w:val="DefaultParagraphFont"/>
    <w:uiPriority w:val="99"/>
    <w:semiHidden/>
    <w:unhideWhenUsed/>
    <w:rsid w:val="00B66E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esma.europa.eu/about-esma/transparency-and-access-docum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www.esma.europa.eu/legal-no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microsoft.com/office/2020/10/relationships/intelligence" Target="intelligence2.xml"/><Relationship Id="rId10" Type="http://schemas.openxmlformats.org/officeDocument/2006/relationships/header" Target="header1.xml"/><Relationship Id="rId19" Type="http://schemas.openxmlformats.org/officeDocument/2006/relationships/hyperlink" Target="http://www.es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sma.europa.eu/sites/default/files/library/esma80-196-6345_guidelines_on_the_scope_of_the_cra_regulation.pdf" TargetMode="External"/><Relationship Id="rId3" Type="http://schemas.openxmlformats.org/officeDocument/2006/relationships/hyperlink" Target="https://www.sec.gov/files/2025-ocr-staff-report-compliant-4-24-26.pdf" TargetMode="External"/><Relationship Id="rId7" Type="http://schemas.openxmlformats.org/officeDocument/2006/relationships/hyperlink" Target="https://www.esma.europa.eu/sites/default/files/library/esma80-196-6345_final_report_on_guidelines_on_scope_of_the_cra_regulation.pdf" TargetMode="External"/><Relationship Id="rId2" Type="http://schemas.openxmlformats.org/officeDocument/2006/relationships/hyperlink" Target="https://www.esrb.europa.eu/pub/nbfi/html/esrb.nbfi202509.en.html" TargetMode="External"/><Relationship Id="rId1" Type="http://schemas.openxmlformats.org/officeDocument/2006/relationships/hyperlink" Target="https://www.fsb.org/uploads/r_101027.pdf" TargetMode="External"/><Relationship Id="rId6" Type="http://schemas.openxmlformats.org/officeDocument/2006/relationships/hyperlink" Target="https://eur-lex.europa.eu/eli/reg/2009/1060/oj/eng" TargetMode="External"/><Relationship Id="rId5" Type="http://schemas.openxmlformats.org/officeDocument/2006/relationships/hyperlink" Target="https://content.naic.org/sites/default/files/call_materials/2026May04_CRPWG_Materialsv2.pdf" TargetMode="External"/><Relationship Id="rId4" Type="http://schemas.openxmlformats.org/officeDocument/2006/relationships/hyperlink" Target="https://content.naic.org/sites/default/files/call_materials/VOSTF%20Materials%202025-06-04%20v2.pdf" TargetMode="External"/><Relationship Id="rId9" Type="http://schemas.openxmlformats.org/officeDocument/2006/relationships/hyperlink" Target="https://www.sec.gov/files/feb-2024-ocr-staff-report.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a97b476-4e6d-44a3-8e77-efe6882d1b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1900E9CD7214489F1CFD35DA005AE6" ma:contentTypeVersion="10" ma:contentTypeDescription="Create a new document." ma:contentTypeScope="" ma:versionID="8dabf9adf0f31a87efca03b3e2a7680a">
  <xsd:schema xmlns:xsd="http://www.w3.org/2001/XMLSchema" xmlns:xs="http://www.w3.org/2001/XMLSchema" xmlns:p="http://schemas.microsoft.com/office/2006/metadata/properties" xmlns:ns3="2a97b476-4e6d-44a3-8e77-efe6882d1b4d" targetNamespace="http://schemas.microsoft.com/office/2006/metadata/properties" ma:root="true" ma:fieldsID="5992d38f9e7ce66d12785a42df846cf8" ns3:_="">
    <xsd:import namespace="2a97b476-4e6d-44a3-8e77-efe6882d1b4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7b476-4e6d-44a3-8e77-efe6882d1b4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9EC67-083F-4484-9A18-D5016239A559}">
  <ds:schemaRefs>
    <ds:schemaRef ds:uri="http://schemas.microsoft.com/sharepoint/v3/contenttype/forms"/>
  </ds:schemaRefs>
</ds:datastoreItem>
</file>

<file path=customXml/itemProps2.xml><?xml version="1.0" encoding="utf-8"?>
<ds:datastoreItem xmlns:ds="http://schemas.openxmlformats.org/officeDocument/2006/customXml" ds:itemID="{88BC291A-880E-40B9-94D3-3979D15FFE55}">
  <ds:schemaRefs>
    <ds:schemaRef ds:uri="http://schemas.microsoft.com/office/2006/metadata/properties"/>
    <ds:schemaRef ds:uri="http://schemas.microsoft.com/office/infopath/2007/PartnerControls"/>
    <ds:schemaRef ds:uri="2a97b476-4e6d-44a3-8e77-efe6882d1b4d"/>
  </ds:schemaRefs>
</ds:datastoreItem>
</file>

<file path=customXml/itemProps3.xml><?xml version="1.0" encoding="utf-8"?>
<ds:datastoreItem xmlns:ds="http://schemas.openxmlformats.org/officeDocument/2006/customXml" ds:itemID="{3A9504E6-6228-4256-8DD7-A9176A470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7b476-4e6d-44a3-8e77-efe6882d1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3409</Words>
  <Characters>21443</Characters>
  <Application>Microsoft Office Word</Application>
  <DocSecurity>0</DocSecurity>
  <Lines>268</Lines>
  <Paragraphs>86</Paragraphs>
  <ScaleCrop>false</ScaleCrop>
  <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Menagias</dc:creator>
  <cp:keywords/>
  <dc:description/>
  <cp:lastModifiedBy>Bertoncello, Nicolò</cp:lastModifiedBy>
  <cp:revision>4</cp:revision>
  <dcterms:created xsi:type="dcterms:W3CDTF">2026-05-29T20:26:00Z</dcterms:created>
  <dcterms:modified xsi:type="dcterms:W3CDTF">2026-05-29T20:27:00Z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0x0101004D1900E9CD7214489F1CFD35DA005AE6</vt:lpwstr>
  </property>
  <property fmtid="{D5CDD505-2E9C-101B-9397-08002B2CF9AE}" pid="3" name="MediaServiceImageTags">
    <vt:lpwstr/>
  </property>
  <property fmtid="{D5CDD505-2E9C-101B-9397-08002B2CF9AE}" pid="4" name="DocumentType">
    <vt:lpwstr>5;#Note|b9e1c92e-303a-4555-86f0-5c711c65937e</vt:lpwstr>
  </property>
  <property fmtid="{D5CDD505-2E9C-101B-9397-08002B2CF9AE}" pid="5" name="ConfidentialityLevel">
    <vt:lpwstr>6;#Restricted|187aa7e6-627f-4951-b138-6ff841dc883d</vt:lpwstr>
  </property>
  <property fmtid="{D5CDD505-2E9C-101B-9397-08002B2CF9AE}" pid="6" name="_dlc_DocIdItemGuid">
    <vt:lpwstr>1a09b33f-bc38-4182-b521-cf4c60e3758f</vt:lpwstr>
  </property>
  <property fmtid="{D5CDD505-2E9C-101B-9397-08002B2CF9AE}" pid="7" name="MSIP_Label_b3cfbd93-c43e-4bce-a166-2a991588cdff_Removed">
    <vt:lpwstr>False</vt:lpwstr>
  </property>
  <property fmtid="{D5CDD505-2E9C-101B-9397-08002B2CF9AE}" pid="8" name="MSIP_Label_b3cfbd93-c43e-4bce-a166-2a991588cdff_ActionId">
    <vt:lpwstr>ece4a6e9-ea44-43f6-bb57-71977e5bd9b7</vt:lpwstr>
  </property>
  <property fmtid="{D5CDD505-2E9C-101B-9397-08002B2CF9AE}" pid="9" name="MSIP_Label_b3cfbd93-c43e-4bce-a166-2a991588cdff_Name">
    <vt:lpwstr>Restricted</vt:lpwstr>
  </property>
  <property fmtid="{D5CDD505-2E9C-101B-9397-08002B2CF9AE}" pid="10" name="MSIP_Label_b3cfbd93-c43e-4bce-a166-2a991588cdff_SetDate">
    <vt:lpwstr>2026-03-06T10:45:56Z</vt:lpwstr>
  </property>
  <property fmtid="{D5CDD505-2E9C-101B-9397-08002B2CF9AE}" pid="11" name="MSIP_Label_b3cfbd93-c43e-4bce-a166-2a991588cdff_SiteId">
    <vt:lpwstr>e406f268-4ae7-4c80-8994-02493da00c03</vt:lpwstr>
  </property>
  <property fmtid="{D5CDD505-2E9C-101B-9397-08002B2CF9AE}" pid="12" name="MSIP_Label_b3cfbd93-c43e-4bce-a166-2a991588cdff_Enabled">
    <vt:lpwstr>True</vt:lpwstr>
  </property>
  <property fmtid="{D5CDD505-2E9C-101B-9397-08002B2CF9AE}" pid="13" name="MSIP_Label_b3cfbd93-c43e-4bce-a166-2a991588cdff_Extended_MSFT_Method">
    <vt:lpwstr>Standard</vt:lpwstr>
  </property>
  <property fmtid="{D5CDD505-2E9C-101B-9397-08002B2CF9AE}" pid="14" name="Sensitivity">
    <vt:lpwstr>Restricted</vt:lpwstr>
  </property>
  <property fmtid="{D5CDD505-2E9C-101B-9397-08002B2CF9AE}" pid="15" name="TeamName">
    <vt:lpwstr>9</vt:lpwstr>
  </property>
  <property fmtid="{D5CDD505-2E9C-101B-9397-08002B2CF9AE}" pid="16" name="Topic">
    <vt:lpwstr>131</vt:lpwstr>
  </property>
</Properties>
</file>