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5EBC0702" w:rsidR="004E60D2" w:rsidRPr="00252134" w:rsidRDefault="007C5962" w:rsidP="004E60D2">
      <w:pPr>
        <w:pStyle w:val="Subtitle"/>
        <w:spacing w:after="0"/>
        <w:rPr>
          <w:b w:val="0"/>
          <w:bCs w:val="0"/>
        </w:rPr>
        <w:sectPr w:rsidR="004E60D2" w:rsidRPr="00252134" w:rsidSect="004E60D2">
          <w:headerReference w:type="default" r:id="rId13"/>
          <w:footerReference w:type="default" r:id="rId14"/>
          <w:headerReference w:type="first" r:id="rId15"/>
          <w:footerReference w:type="first" r:id="rId16"/>
          <w:pgSz w:w="11906" w:h="16838" w:code="9"/>
          <w:pgMar w:top="1418" w:right="1418" w:bottom="1418" w:left="1418" w:header="862" w:footer="862" w:gutter="0"/>
          <w:pgNumType w:start="0"/>
          <w:cols w:space="708"/>
          <w:titlePg/>
          <w:docGrid w:linePitch="360"/>
        </w:sectPr>
      </w:pPr>
      <w:r>
        <w:t>Consultation Paper on d</w:t>
      </w:r>
      <w:r w:rsidRPr="007C5962">
        <w:t xml:space="preserve">raft RTS </w:t>
      </w:r>
      <w:r w:rsidR="00F71757" w:rsidRPr="00F71757">
        <w:t>amending Commission Delegated Regulation (RTS) 153/2013 in relation to public guarantees, public bank guarantees and commercial bank guarantees as collateral and in relation to certain aspects of investment policy and highly secure arrangements for the deposit of financial instruments</w:t>
      </w:r>
      <w:r w:rsidRPr="007C5962">
        <w:t xml:space="preserve"> </w:t>
      </w:r>
      <w:r w:rsidRPr="00840209">
        <w:rPr>
          <w:b w:val="0"/>
          <w:bCs w:val="0"/>
          <w:noProof/>
        </w:rPr>
        <w:t xml:space="preserve"> </w:t>
      </w:r>
      <w:r w:rsidR="004E60D2" w:rsidRPr="00840209">
        <w:rPr>
          <w:b w:val="0"/>
          <w:bCs w:val="0"/>
          <w:noProof/>
        </w:rPr>
        <mc:AlternateContent>
          <mc:Choice Requires="wps">
            <w:drawing>
              <wp:anchor distT="0" distB="0" distL="114300" distR="114300" simplePos="0" relativeHeight="251658240" behindDoc="1" locked="1" layoutInCell="1" allowOverlap="0" wp14:anchorId="4E723106" wp14:editId="1CEE37B1">
                <wp:simplePos x="0" y="0"/>
                <wp:positionH relativeFrom="page">
                  <wp:align>right</wp:align>
                </wp:positionH>
                <wp:positionV relativeFrom="paragraph">
                  <wp:posOffset>1171575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7"/>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13B62" id="Freeform: Shape 1" o:spid="_x0000_s1026" style="position:absolute;margin-left:544.9pt;margin-top:92.25pt;width:596.1pt;height:769.8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lUnIBOAAAAAKAQAADwAAAGRycy9kb3ducmV2Lnht&#10;bEyPQU/DMAyF70j8h8hI3Fi6aMDWNZ0Q0xAHLhQ0iVvamLbQOKXJuu7f453gZvs9PX8v20yuEyMO&#10;ofWkYT5LQCBV3rZUa3h/290sQYRoyJrOE2o4YYBNfnmRmdT6I73iWMRacAiF1GhoYuxTKUPVoDNh&#10;5nsk1j794EzkdailHcyRw10nVZLcSWda4g+N6fGxweq7ODgNWzW4l13x9PGMp6+ffbndT2OrtL6+&#10;mh7WICJO8c8MZ3xGh5yZSn8gG0SngYtEvi4XtyDO8nylFIiSp3u1UCDzTP6vkP8C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JVJyAT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8"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p>
    <w:p w14:paraId="1B9D7190" w14:textId="24F4AE66" w:rsidR="00F574D0" w:rsidRPr="009D6E99" w:rsidRDefault="00F574D0" w:rsidP="004E60D2">
      <w:pPr>
        <w:pStyle w:val="Subtitle"/>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respond to the question stated;</w:t>
      </w:r>
    </w:p>
    <w:p w14:paraId="73161343" w14:textId="77777777" w:rsidR="00E70E2E" w:rsidRPr="005B6B12" w:rsidRDefault="00E70E2E" w:rsidP="00E43387">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73868228" w:rsidR="00E70E2E" w:rsidRDefault="00E70E2E" w:rsidP="00E70E2E">
      <w:pPr>
        <w:rPr>
          <w:b/>
        </w:rPr>
      </w:pPr>
      <w:r w:rsidRPr="00517886">
        <w:t xml:space="preserve">ESMA will consider all comments received by </w:t>
      </w:r>
      <w:r w:rsidR="00366A11">
        <w:rPr>
          <w:b/>
        </w:rPr>
        <w:t>30 April</w:t>
      </w:r>
      <w:r w:rsidR="009013B5">
        <w:rPr>
          <w:b/>
        </w:rPr>
        <w:t xml:space="preserve"> 2026</w:t>
      </w:r>
      <w:r w:rsidRPr="0051788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3E37C3D0"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F74C84">
        <w:t>COLL</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661D9C21"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F74C84">
        <w:t>COLL</w:t>
      </w:r>
      <w:r w:rsidRPr="00863BFD">
        <w:t xml:space="preserve">_nameofrespondent. </w:t>
      </w:r>
    </w:p>
    <w:p w14:paraId="115A7ABF" w14:textId="3BB0FDD3"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350CE0">
        <w:t>COLL</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9"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0"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1"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2"/>
          <w:headerReference w:type="default" r:id="rId23"/>
          <w:footerReference w:type="default"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tc>
          <w:tcPr>
            <w:tcW w:w="5595" w:type="dxa"/>
            <w:vAlign w:val="center"/>
          </w:tcPr>
          <w:p w14:paraId="633DB1B6" w14:textId="09DD9298" w:rsidR="00C2682A" w:rsidRPr="00104E00" w:rsidRDefault="00C93FE0" w:rsidP="00104E00">
            <w:pPr>
              <w:jc w:val="left"/>
              <w:rPr>
                <w:rStyle w:val="PlaceholderText"/>
              </w:rPr>
            </w:pPr>
            <w:r>
              <w:rPr>
                <w:rStyle w:val="PlaceholderText"/>
              </w:rPr>
              <w:t xml:space="preserve">Dr </w:t>
            </w:r>
            <w:sdt>
              <w:sdtPr>
                <w:rPr>
                  <w:rStyle w:val="PlaceholderText"/>
                </w:rPr>
                <w:id w:val="651570699"/>
                <w:text/>
              </w:sdtPr>
              <w:sdtEndPr>
                <w:rPr>
                  <w:rStyle w:val="PlaceholderText"/>
                </w:rPr>
              </w:sdtEndPr>
              <w:sdtContent>
                <w:r>
                  <w:rPr>
                    <w:rStyle w:val="PlaceholderText"/>
                  </w:rPr>
                  <w:t>Pablo Iglesias-Rodríguez</w:t>
                </w:r>
                <w:r w:rsidR="00A413E5">
                  <w:rPr>
                    <w:rStyle w:val="PlaceholderText"/>
                  </w:rPr>
                  <w:t xml:space="preserve">, </w:t>
                </w:r>
                <w:r w:rsidR="005F0E7E">
                  <w:rPr>
                    <w:rStyle w:val="PlaceholderText"/>
                  </w:rPr>
                  <w:t>University of Sussex</w:t>
                </w:r>
              </w:sdtContent>
            </w:sdt>
          </w:p>
        </w:tc>
      </w:tr>
      <w:tr w:rsidR="00C2682A" w:rsidRPr="00AB6D88" w14:paraId="4FCCD8AE" w14:textId="77777777" w:rsidTr="00104E00">
        <w:tc>
          <w:tcPr>
            <w:tcW w:w="3929" w:type="dxa"/>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vAlign w:val="center"/>
          </w:tcPr>
          <w:p w14:paraId="097104AB" w14:textId="554EFEF0" w:rsidR="00C2682A" w:rsidRPr="00104E00" w:rsidRDefault="00CE2971"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C93FE0">
                  <w:t>Associate Prof</w:t>
                </w:r>
                <w:r w:rsidR="00D600EE">
                  <w:t>essor in International Finance Law</w:t>
                </w:r>
              </w:sdtContent>
            </w:sdt>
          </w:p>
        </w:tc>
      </w:tr>
      <w:tr w:rsidR="00C2682A" w:rsidRPr="00AB6D88" w14:paraId="002F17D3" w14:textId="77777777" w:rsidTr="00104E00">
        <w:tc>
          <w:tcPr>
            <w:tcW w:w="3929" w:type="dxa"/>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EndPr/>
          <w:sdtContent>
            <w:tc>
              <w:tcPr>
                <w:tcW w:w="5595" w:type="dxa"/>
                <w:vAlign w:val="center"/>
              </w:tcPr>
              <w:p w14:paraId="4BD68813" w14:textId="2D89222C" w:rsidR="00C2682A" w:rsidRPr="00104E00" w:rsidRDefault="00D600EE"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vAlign w:val="center"/>
              </w:tcPr>
              <w:p w14:paraId="204E7C89" w14:textId="08B6B9E3" w:rsidR="00C2682A" w:rsidRPr="00104E00" w:rsidRDefault="00D600EE" w:rsidP="00104E00">
                <w:pPr>
                  <w:jc w:val="left"/>
                </w:pPr>
                <w:r>
                  <w:t>Uni</w:t>
                </w:r>
                <w:r w:rsidR="00D63380">
                  <w:t>ted Kingdom</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8" w:name="_Hlk124780170"/>
    </w:p>
    <w:bookmarkEnd w:id="7"/>
    <w:bookmarkEnd w:id="8"/>
    <w:p w14:paraId="127B4719" w14:textId="7FEBD42E" w:rsidR="00693907" w:rsidRPr="00B15006" w:rsidRDefault="0042141E" w:rsidP="00693907">
      <w:pPr>
        <w:pStyle w:val="Questionstyle"/>
      </w:pPr>
      <w:r w:rsidRPr="0042141E">
        <w:t>Do</w:t>
      </w:r>
      <w:r w:rsidR="001C3526">
        <w:t xml:space="preserve"> </w:t>
      </w:r>
      <w:r w:rsidR="001C3526" w:rsidRPr="001C3526">
        <w:t>you agree that the existing provision on concentration limits should apply to guarantees and as such Article 42 should be amended to provide legal clarity on this?</w:t>
      </w:r>
      <w:r w:rsidR="00693907" w:rsidRPr="00B15006">
        <w:t xml:space="preserve"> </w:t>
      </w:r>
    </w:p>
    <w:p w14:paraId="1E634CEC" w14:textId="509E79DC" w:rsidR="00693907" w:rsidRDefault="00693907" w:rsidP="00693907">
      <w:r>
        <w:t>&lt;ESMA_QUESTION_</w:t>
      </w:r>
      <w:r w:rsidR="00B744D6">
        <w:t>COLL</w:t>
      </w:r>
      <w:r>
        <w:t>_1&gt;</w:t>
      </w:r>
    </w:p>
    <w:p w14:paraId="78539793" w14:textId="06735D57" w:rsidR="003906EC" w:rsidRPr="003906EC" w:rsidRDefault="003906EC" w:rsidP="003906EC">
      <w:pPr>
        <w:rPr>
          <w:szCs w:val="22"/>
        </w:rPr>
      </w:pPr>
      <w:permStart w:id="910108688" w:edGrp="everyone"/>
      <w:r w:rsidRPr="003906EC">
        <w:rPr>
          <w:szCs w:val="22"/>
        </w:rPr>
        <w:t>In my view, when it comes to questions 1 to 3, it is useful to try to ascertain the intent of the legislator in EMIR.</w:t>
      </w:r>
    </w:p>
    <w:p w14:paraId="048B1479" w14:textId="4197F3BA" w:rsidR="003906EC" w:rsidRPr="003906EC" w:rsidRDefault="003906EC" w:rsidP="003906EC">
      <w:pPr>
        <w:rPr>
          <w:szCs w:val="22"/>
        </w:rPr>
      </w:pPr>
      <w:r w:rsidRPr="003906EC">
        <w:rPr>
          <w:szCs w:val="22"/>
        </w:rPr>
        <w:t>Concerning question 1, looking at article 46(3)(c) EMIR there is no doubt that concentration limits must apply to guarantees and, concerning the specific question of whether the existing provisions should apply to guarantees or whether a separate approach should be adopted, if we look again at article 46, it generally gives a similar framing to assets and guarantees —for example, in paragraph 1(c)— so, in my opinion, this would support the view that ESMA’s approach in the proposed Regulatory Technical Standards (RTS) —i.e., the application of the existing provision on concentration limits to guarantees— makes sense. Likewise, I agree with ESMA’s view that the existing approach gives CCPs flexibility to adapt concentration limits to specific risk levels and hence this model may be more responsive to future developments.</w:t>
      </w:r>
    </w:p>
    <w:p w14:paraId="315EC618" w14:textId="5FE3072E" w:rsidR="003906EC" w:rsidRPr="003906EC" w:rsidRDefault="003906EC" w:rsidP="003906EC">
      <w:pPr>
        <w:rPr>
          <w:szCs w:val="22"/>
        </w:rPr>
      </w:pPr>
      <w:r w:rsidRPr="003906EC">
        <w:rPr>
          <w:szCs w:val="22"/>
        </w:rPr>
        <w:t>Regarding questions 2 and 3, article 42(3) of the RTS determines that CCPs are required to consider</w:t>
      </w:r>
      <w:r w:rsidR="00BD2317">
        <w:rPr>
          <w:szCs w:val="22"/>
        </w:rPr>
        <w:t>,</w:t>
      </w:r>
      <w:r w:rsidRPr="003906EC">
        <w:rPr>
          <w:szCs w:val="22"/>
        </w:rPr>
        <w:t xml:space="preserve"> not only all the criteria explicitly included therein</w:t>
      </w:r>
      <w:r w:rsidR="00902215">
        <w:rPr>
          <w:szCs w:val="22"/>
        </w:rPr>
        <w:t>,</w:t>
      </w:r>
      <w:r w:rsidRPr="003906EC">
        <w:rPr>
          <w:szCs w:val="22"/>
        </w:rPr>
        <w:t xml:space="preserve"> but also and more generally, all relevant criteria, even if these are not explicitly included. Hence, from that point of view, it may not be necessary to include the two new sections because both the level of </w:t>
      </w:r>
      <w:proofErr w:type="spellStart"/>
      <w:r w:rsidRPr="003906EC">
        <w:rPr>
          <w:szCs w:val="22"/>
        </w:rPr>
        <w:t>collateralisation</w:t>
      </w:r>
      <w:proofErr w:type="spellEnd"/>
      <w:r w:rsidRPr="003906EC">
        <w:rPr>
          <w:szCs w:val="22"/>
        </w:rPr>
        <w:t xml:space="preserve"> of guarantees and the underlying activity of the non-financial client are relevant criteria from a risk mitigation perspective.</w:t>
      </w:r>
      <w:r w:rsidR="00223943">
        <w:rPr>
          <w:szCs w:val="22"/>
        </w:rPr>
        <w:t xml:space="preserve"> I</w:t>
      </w:r>
      <w:r w:rsidRPr="003906EC">
        <w:rPr>
          <w:szCs w:val="22"/>
        </w:rPr>
        <w:t>n any event, in my view, it is useful to clarify this explicitly in the RTS, so there are no doubts about the materiality of both criteria and</w:t>
      </w:r>
      <w:r w:rsidR="00223943">
        <w:rPr>
          <w:szCs w:val="22"/>
        </w:rPr>
        <w:t xml:space="preserve"> </w:t>
      </w:r>
      <w:r w:rsidR="0053125B">
        <w:rPr>
          <w:szCs w:val="22"/>
        </w:rPr>
        <w:t>consequently</w:t>
      </w:r>
      <w:r w:rsidRPr="003906EC">
        <w:rPr>
          <w:szCs w:val="22"/>
        </w:rPr>
        <w:t xml:space="preserve"> the need to take them into account.</w:t>
      </w:r>
    </w:p>
    <w:p w14:paraId="628AAE1C" w14:textId="4719E962" w:rsidR="00693907" w:rsidRPr="000E40CF" w:rsidRDefault="003906EC" w:rsidP="00693907">
      <w:pPr>
        <w:rPr>
          <w:szCs w:val="22"/>
        </w:rPr>
      </w:pPr>
      <w:r w:rsidRPr="003906EC">
        <w:rPr>
          <w:szCs w:val="22"/>
        </w:rPr>
        <w:lastRenderedPageBreak/>
        <w:t xml:space="preserve">However, there is a point in the consultation paper which is related to the scope of article 42(3) of the RTS that raises some questions. In this respect, the consultation paper seems to treat the new criteria to be added to the RTS asymmetrically in the sense that it refers to “the level of </w:t>
      </w:r>
      <w:proofErr w:type="spellStart"/>
      <w:r w:rsidRPr="003906EC">
        <w:rPr>
          <w:szCs w:val="22"/>
        </w:rPr>
        <w:t>collateralisation</w:t>
      </w:r>
      <w:proofErr w:type="spellEnd"/>
      <w:r w:rsidRPr="003906EC">
        <w:rPr>
          <w:szCs w:val="22"/>
        </w:rPr>
        <w:t xml:space="preserve"> of guarantees” as something that a CCP is required to consider (paragraph 14 of the consultation paper) but, in contrast with this, the consultation paper refers to “the underlying activity of the non-financial client.” as something that a CCP may voluntarily decide to take into consideration (paragraph 15 of the consultation paper). However, if we look at the text of the proposed RTS, CCPs would be required to consider both criteria. </w:t>
      </w:r>
      <w:r w:rsidR="00E54127">
        <w:rPr>
          <w:szCs w:val="22"/>
        </w:rPr>
        <w:t>I</w:t>
      </w:r>
      <w:r w:rsidRPr="003906EC">
        <w:rPr>
          <w:szCs w:val="22"/>
        </w:rPr>
        <w:t>n my view, it would be important to clarify this and, notably, if the requirement to consider the underlying activity of the non-financial client is conditional, then, it would be useful to specify this in the RTS.</w:t>
      </w:r>
    </w:p>
    <w:permEnd w:id="910108688"/>
    <w:p w14:paraId="7D4640BC" w14:textId="4AD0283A" w:rsidR="00693907" w:rsidRDefault="00693907" w:rsidP="00693907">
      <w:r>
        <w:t>&lt;ESMA_QUESTION_</w:t>
      </w:r>
      <w:r w:rsidR="00B744D6">
        <w:t>COLL</w:t>
      </w:r>
      <w:r>
        <w:t>_1&gt;</w:t>
      </w:r>
    </w:p>
    <w:p w14:paraId="0B2E60F7" w14:textId="77777777" w:rsidR="00693907" w:rsidRDefault="00693907" w:rsidP="00693907"/>
    <w:p w14:paraId="0D4A902B" w14:textId="67C691EF" w:rsidR="00693907" w:rsidRPr="00C57036" w:rsidRDefault="007C5CE7" w:rsidP="00693907">
      <w:pPr>
        <w:pStyle w:val="Questionstyle"/>
      </w:pPr>
      <w:r w:rsidRPr="007C5CE7">
        <w:t>Do</w:t>
      </w:r>
      <w:r w:rsidR="002C497F">
        <w:t xml:space="preserve"> </w:t>
      </w:r>
      <w:r w:rsidR="002C497F" w:rsidRPr="002C497F">
        <w:t xml:space="preserve">you agree with the inclusion of the level of collateralisation of the guarantee as a criterion for the CCP to consider when establishing concentration limits? </w:t>
      </w:r>
      <w:r w:rsidR="00693907" w:rsidRPr="00C57036">
        <w:t xml:space="preserve">   </w:t>
      </w:r>
    </w:p>
    <w:p w14:paraId="00896A16" w14:textId="79A6D7D2" w:rsidR="00693907" w:rsidRDefault="00693907" w:rsidP="00693907">
      <w:r>
        <w:t>&lt;ESMA_QUESTION_</w:t>
      </w:r>
      <w:r w:rsidR="008D6D0B">
        <w:t>COLL</w:t>
      </w:r>
      <w:r>
        <w:t>_2&gt;</w:t>
      </w:r>
    </w:p>
    <w:p w14:paraId="32B784C4" w14:textId="6B392FE9" w:rsidR="00693907" w:rsidRDefault="00B35AE8" w:rsidP="00693907">
      <w:permStart w:id="834943991" w:edGrp="everyone"/>
      <w:r>
        <w:t>Please se</w:t>
      </w:r>
      <w:r w:rsidR="00A75AE8">
        <w:t>e my joint answer to questions 1-3 in my answer to Q1 above</w:t>
      </w:r>
    </w:p>
    <w:permEnd w:id="834943991"/>
    <w:p w14:paraId="456D2494" w14:textId="7C8052C1" w:rsidR="00693907" w:rsidRDefault="00693907" w:rsidP="00693907">
      <w:r>
        <w:t>&lt;ESMA_QUESTION_</w:t>
      </w:r>
      <w:r w:rsidR="008D6D0B">
        <w:t>COLL</w:t>
      </w:r>
      <w:r>
        <w:t>_2&gt;</w:t>
      </w:r>
    </w:p>
    <w:p w14:paraId="07210AC9" w14:textId="77777777" w:rsidR="00693907" w:rsidRDefault="00693907" w:rsidP="00693907"/>
    <w:p w14:paraId="19A7880E" w14:textId="433F68E8" w:rsidR="00693907" w:rsidRPr="00EB5987" w:rsidRDefault="006901CE" w:rsidP="00693907">
      <w:pPr>
        <w:pStyle w:val="Questionstyle"/>
      </w:pPr>
      <w:r w:rsidRPr="006901CE">
        <w:t>Do</w:t>
      </w:r>
      <w:r w:rsidR="005039EC">
        <w:t xml:space="preserve"> </w:t>
      </w:r>
      <w:r>
        <w:t xml:space="preserve"> </w:t>
      </w:r>
      <w:r w:rsidR="005039EC" w:rsidRPr="005039EC">
        <w:t>you agree with the inclusion of the new criteria (e) in paragraph 3 of Article 42, so that the CCP can consider the activity of the non-financial client when setting concentration limits?</w:t>
      </w:r>
      <w:r w:rsidR="00693907" w:rsidRPr="00EB5987">
        <w:t xml:space="preserve">    </w:t>
      </w:r>
    </w:p>
    <w:p w14:paraId="4B1B3C0E" w14:textId="4203ECA6" w:rsidR="00693907" w:rsidRDefault="00693907" w:rsidP="00693907">
      <w:r>
        <w:t>&lt;ESMA_QUESTION_</w:t>
      </w:r>
      <w:r w:rsidR="008D6D0B">
        <w:t>COLL</w:t>
      </w:r>
      <w:r>
        <w:t>_3&gt;</w:t>
      </w:r>
    </w:p>
    <w:p w14:paraId="6EDBBD0D" w14:textId="5992BBB3" w:rsidR="00693907" w:rsidRDefault="00232F76" w:rsidP="00693907">
      <w:permStart w:id="1178823114" w:edGrp="everyone"/>
      <w:r>
        <w:t>Please see my joint answer to questions 1-3 in my answer to Q1 above</w:t>
      </w:r>
    </w:p>
    <w:permEnd w:id="1178823114"/>
    <w:p w14:paraId="7EF07F00" w14:textId="43ADDCB7" w:rsidR="00693907" w:rsidRDefault="00693907" w:rsidP="00693907">
      <w:r>
        <w:t>&lt;ESMA_QUESTION_</w:t>
      </w:r>
      <w:r w:rsidR="00135967">
        <w:t>COLL</w:t>
      </w:r>
      <w:r>
        <w:t>_3&gt;</w:t>
      </w:r>
    </w:p>
    <w:p w14:paraId="6B4516C3" w14:textId="77777777" w:rsidR="00693907" w:rsidRDefault="00693907" w:rsidP="00693907"/>
    <w:p w14:paraId="5487291B" w14:textId="0684972D" w:rsidR="00693907" w:rsidRPr="007966CD" w:rsidRDefault="00191142" w:rsidP="00693907">
      <w:pPr>
        <w:pStyle w:val="Questionstyle"/>
      </w:pPr>
      <w:r w:rsidRPr="00191142">
        <w:t>Shall there be specific concentration limits established for guarantees provided by non-clearing members, given these exposures are not considered in the Stress Test?</w:t>
      </w:r>
      <w:r w:rsidR="00693907" w:rsidRPr="007966CD">
        <w:t xml:space="preserve">   </w:t>
      </w:r>
    </w:p>
    <w:p w14:paraId="6040CACC" w14:textId="2C012C7C" w:rsidR="00693907" w:rsidRDefault="00693907" w:rsidP="00693907">
      <w:r>
        <w:t>&lt;ESMA_QUESTION_</w:t>
      </w:r>
      <w:r w:rsidR="00E665F4">
        <w:t>COLL</w:t>
      </w:r>
      <w:r>
        <w:t>_4&gt;</w:t>
      </w:r>
    </w:p>
    <w:p w14:paraId="30B0D3B8" w14:textId="77777777" w:rsidR="00693907" w:rsidRDefault="00693907" w:rsidP="00693907">
      <w:permStart w:id="2012300575" w:edGrp="everyone"/>
      <w:r>
        <w:t>TYPE YOUR TEXT HERE</w:t>
      </w:r>
    </w:p>
    <w:permEnd w:id="2012300575"/>
    <w:p w14:paraId="0AB70AFF" w14:textId="7279ACFE" w:rsidR="00693907" w:rsidRDefault="00693907" w:rsidP="00693907">
      <w:r>
        <w:lastRenderedPageBreak/>
        <w:t>&lt;ESMA_QUESTION_</w:t>
      </w:r>
      <w:r w:rsidR="00E665F4">
        <w:t>COLL</w:t>
      </w:r>
      <w:r>
        <w:t>_4&gt;</w:t>
      </w:r>
    </w:p>
    <w:p w14:paraId="2B2D8140" w14:textId="77777777" w:rsidR="00693907" w:rsidRDefault="00693907" w:rsidP="00693907"/>
    <w:p w14:paraId="0BC438F6" w14:textId="3D7F0085" w:rsidR="00693907" w:rsidRPr="007966CD" w:rsidRDefault="00625ABA" w:rsidP="00693907">
      <w:pPr>
        <w:pStyle w:val="Questionstyle"/>
      </w:pPr>
      <w:r w:rsidRPr="00625ABA">
        <w:t>Is ESMA’s understanding correct? Are there other essential features of the guarantees that should be highlighted?</w:t>
      </w:r>
      <w:r w:rsidR="00693907" w:rsidRPr="007966CD">
        <w:t xml:space="preserve">   </w:t>
      </w:r>
    </w:p>
    <w:p w14:paraId="01C9FE80" w14:textId="0C467029" w:rsidR="00693907" w:rsidRDefault="00693907" w:rsidP="00693907">
      <w:r>
        <w:t>&lt;ESMA_QUESTION_</w:t>
      </w:r>
      <w:r w:rsidR="00863ECB">
        <w:t>COLL</w:t>
      </w:r>
      <w:r>
        <w:t>_5&gt;</w:t>
      </w:r>
    </w:p>
    <w:p w14:paraId="5E06E5D7" w14:textId="5FDAC3BD" w:rsidR="003906EC" w:rsidRDefault="003906EC" w:rsidP="003906EC">
      <w:permStart w:id="1536499182" w:edGrp="everyone"/>
      <w:r>
        <w:t>Yes, in my view, ESMA’s understanding is correct. In the European Union (EU) chains of contracting in CCP clearing follow a principal-to-principal model and therefore there is no direct contractual link between the CCP and the client.</w:t>
      </w:r>
      <w:r w:rsidR="003B6560">
        <w:rPr>
          <w:rStyle w:val="FootnoteReference"/>
        </w:rPr>
        <w:footnoteReference w:id="2"/>
      </w:r>
      <w:r>
        <w:t xml:space="preserve"> However, in paragraph 20 of the consultation paper there is a passage that may not be fully accurate: “If the clearing member fails to meet its obligations (e.g. due to a client default), the CCP can draw on the guarantee.” In relation to this, it is important to highlight that the CCP can execute the guarantee only when there is a CM default linked to a default of a client who is the principal in the guarantee. Hence, the reference to “(e.g. due to a client default)” is not completely accurate because if a CM fails to meet its obligations due to other causes, this would not entitle the CCP to execute the guarantee.</w:t>
      </w:r>
    </w:p>
    <w:p w14:paraId="3D3532C4" w14:textId="7F586A96" w:rsidR="00693907" w:rsidRDefault="003906EC" w:rsidP="00693907">
      <w:r>
        <w:t xml:space="preserve">In my view, it is also important to distinguish between the contractual relationships in the CCP clearing contractual chain, on the one side, and the contractual relationships underlying the guarantee, on the other side. There is not a single definition and legal characterisation of guarantees and there are different interpretations on their nature. They may be deemed as unilateral legal transactions, or as bilateral contracts (e.g., between the guarantor and the creditor/beneficiary, </w:t>
      </w:r>
      <w:r w:rsidR="00837772">
        <w:t>such as a</w:t>
      </w:r>
      <w:r>
        <w:t xml:space="preserve"> CCP), or </w:t>
      </w:r>
      <w:r w:rsidR="0034482E">
        <w:t xml:space="preserve">as </w:t>
      </w:r>
      <w:r>
        <w:t>a series of bilateral contracts, or even as trilateral contracts.</w:t>
      </w:r>
      <w:r w:rsidR="00A248B5">
        <w:rPr>
          <w:rStyle w:val="FootnoteReference"/>
        </w:rPr>
        <w:footnoteReference w:id="3"/>
      </w:r>
      <w:r>
        <w:t xml:space="preserve"> The specific characterisation of a guarantee largely depends on contract law, which is an area of the law that is not harmonised across the EU Member States, and the way in which a guarantee is construed and interpreted in a given jurisdiction may affect the enforceability of that guarantee. Hence the importance of setting some common conditions applicable to guarantees for which the applicant is a client of a CM, which relates to questions 6, 7, and 8.</w:t>
      </w:r>
    </w:p>
    <w:permEnd w:id="1536499182"/>
    <w:p w14:paraId="3CE960DF" w14:textId="78A656CA" w:rsidR="00693907" w:rsidRDefault="00693907" w:rsidP="00693907">
      <w:r>
        <w:t>&lt;ESMA_QUESTION_</w:t>
      </w:r>
      <w:r w:rsidR="00863ECB">
        <w:t>COLL</w:t>
      </w:r>
      <w:r>
        <w:t>_5&gt;</w:t>
      </w:r>
    </w:p>
    <w:p w14:paraId="6036296B" w14:textId="77777777" w:rsidR="00693907" w:rsidRDefault="00693907" w:rsidP="00693907"/>
    <w:p w14:paraId="18DFE8FB" w14:textId="3C691446" w:rsidR="00693907" w:rsidRDefault="00EC4293" w:rsidP="00693907">
      <w:pPr>
        <w:pStyle w:val="Questionstyle"/>
      </w:pPr>
      <w:r w:rsidRPr="00EC4293">
        <w:lastRenderedPageBreak/>
        <w:t>Do</w:t>
      </w:r>
      <w:r w:rsidR="00AC379A">
        <w:t xml:space="preserve"> </w:t>
      </w:r>
      <w:r w:rsidR="00AC379A" w:rsidRPr="00AC379A">
        <w:t>you agree with the conditions proposed by ESMA? Please provide your views specifically for each condition (a), (b), (c) and (d).</w:t>
      </w:r>
    </w:p>
    <w:p w14:paraId="60F9A95E" w14:textId="24CFF6A7" w:rsidR="00693907" w:rsidRDefault="00693907" w:rsidP="00693907">
      <w:r>
        <w:t>&lt;ESMA_QUESTION_</w:t>
      </w:r>
      <w:r w:rsidR="00863ECB">
        <w:t>COLL</w:t>
      </w:r>
      <w:r>
        <w:t>_6&gt;</w:t>
      </w:r>
    </w:p>
    <w:p w14:paraId="69C8EDAA" w14:textId="77777777" w:rsidR="00263D7F" w:rsidRPr="00263D7F" w:rsidRDefault="00263D7F" w:rsidP="00263D7F">
      <w:pPr>
        <w:pStyle w:val="p4"/>
        <w:rPr>
          <w:sz w:val="22"/>
          <w:szCs w:val="22"/>
        </w:rPr>
      </w:pPr>
      <w:permStart w:id="1016208263" w:edGrp="everyone"/>
      <w:r w:rsidRPr="00263D7F">
        <w:rPr>
          <w:sz w:val="22"/>
          <w:szCs w:val="22"/>
        </w:rPr>
        <w:t>First, for reasons of clarity and consistency, there is a strong rationale for identifying the non-financial client in the guarantee and this is in line with the way guarantees are normally drafted. For similar reasons, ESMA may also wish to include a requirement whereby the guarantee must specify that the guarantor will cover all debts relating to specified transactions (e.g., those underlying CCP clearing involving a given client) and that the guarantee can be executed by the CCP only when the client’s default results in a CM’s default.</w:t>
      </w:r>
    </w:p>
    <w:p w14:paraId="5C52712B" w14:textId="77777777" w:rsidR="00263D7F" w:rsidRPr="00263D7F" w:rsidRDefault="00263D7F" w:rsidP="00263D7F">
      <w:pPr>
        <w:pStyle w:val="p4"/>
        <w:rPr>
          <w:sz w:val="22"/>
          <w:szCs w:val="22"/>
        </w:rPr>
      </w:pPr>
    </w:p>
    <w:p w14:paraId="61CC535D" w14:textId="77777777" w:rsidR="00263D7F" w:rsidRPr="00263D7F" w:rsidRDefault="00263D7F" w:rsidP="00263D7F">
      <w:pPr>
        <w:pStyle w:val="p4"/>
        <w:rPr>
          <w:sz w:val="22"/>
          <w:szCs w:val="22"/>
        </w:rPr>
      </w:pPr>
      <w:r w:rsidRPr="00263D7F">
        <w:rPr>
          <w:sz w:val="22"/>
          <w:szCs w:val="22"/>
        </w:rPr>
        <w:t xml:space="preserve">As regards the determination of the CCP as the beneficiary of the guarantee —as the default rule—, from a risk mitigation perspective this is a key feature because it is useful to avoid a scenario where the guarantee is deemed to be part of the estate of a defaulting CM, which would be detrimental to the CCP. </w:t>
      </w:r>
    </w:p>
    <w:p w14:paraId="76A70155" w14:textId="77777777" w:rsidR="00263D7F" w:rsidRPr="00263D7F" w:rsidRDefault="00263D7F" w:rsidP="00263D7F">
      <w:pPr>
        <w:pStyle w:val="p4"/>
        <w:rPr>
          <w:sz w:val="22"/>
          <w:szCs w:val="22"/>
        </w:rPr>
      </w:pPr>
    </w:p>
    <w:p w14:paraId="64E3603A" w14:textId="7FEAFEF4" w:rsidR="00693907" w:rsidRPr="00263D7F" w:rsidRDefault="00263D7F" w:rsidP="006C715D">
      <w:pPr>
        <w:pStyle w:val="p4"/>
        <w:rPr>
          <w:sz w:val="22"/>
          <w:szCs w:val="22"/>
        </w:rPr>
      </w:pPr>
      <w:r w:rsidRPr="00263D7F">
        <w:rPr>
          <w:sz w:val="22"/>
          <w:szCs w:val="22"/>
        </w:rPr>
        <w:t>On the issue of segregation, for the reasons indicated in the consultation paper (pp. 26-27), such as identification and portability, I agree that individual segregation would be a more sensible choice than omnibus segregation. A different question is whether the higher costs that this option would mean for CCPs may decrease their willingness to accept guarantees as collateral.</w:t>
      </w:r>
    </w:p>
    <w:permEnd w:id="1016208263"/>
    <w:p w14:paraId="01EF6C30" w14:textId="7CB1BA35" w:rsidR="00693907" w:rsidRDefault="00693907" w:rsidP="00693907">
      <w:r>
        <w:t>&lt;ESMA_QUESTION_</w:t>
      </w:r>
      <w:r w:rsidR="00863ECB">
        <w:t>COLL</w:t>
      </w:r>
      <w:r>
        <w:t>_6&gt;</w:t>
      </w:r>
    </w:p>
    <w:p w14:paraId="59161C1E" w14:textId="77777777" w:rsidR="00693907" w:rsidRDefault="00693907" w:rsidP="00693907"/>
    <w:p w14:paraId="40418AF6" w14:textId="7D335F7B" w:rsidR="00693907" w:rsidRDefault="00930833" w:rsidP="00693907">
      <w:pPr>
        <w:pStyle w:val="Questionstyle"/>
      </w:pPr>
      <w:r w:rsidRPr="00930833">
        <w:t>In relation to condition (c), do you agree with ESMA proposal? If not, is it in your opinion legally and practically feasible that guarantees are posted to an omnibus account?</w:t>
      </w:r>
      <w:r w:rsidR="00693907" w:rsidRPr="00F31533">
        <w:t xml:space="preserve"> </w:t>
      </w:r>
    </w:p>
    <w:p w14:paraId="2D7CC49A" w14:textId="5D077D19" w:rsidR="00693907" w:rsidRDefault="00693907" w:rsidP="00693907">
      <w:r>
        <w:t>&lt;ESMA_QUESTION_</w:t>
      </w:r>
      <w:r w:rsidR="00EE246B">
        <w:t>COLL</w:t>
      </w:r>
      <w:r>
        <w:t>_7&gt;</w:t>
      </w:r>
    </w:p>
    <w:p w14:paraId="268F1B7E" w14:textId="31E69416" w:rsidR="00693907" w:rsidRDefault="00191EBF" w:rsidP="00693907">
      <w:permStart w:id="90601763" w:edGrp="everyone"/>
      <w:r>
        <w:t xml:space="preserve">Please see my answer to </w:t>
      </w:r>
      <w:r w:rsidR="001B3313">
        <w:t>Q</w:t>
      </w:r>
      <w:r w:rsidR="00704988">
        <w:t>6</w:t>
      </w:r>
      <w:r>
        <w:t xml:space="preserve"> above</w:t>
      </w:r>
    </w:p>
    <w:permEnd w:id="90601763"/>
    <w:p w14:paraId="5B1E788E" w14:textId="02745B68" w:rsidR="00693907" w:rsidRDefault="00693907" w:rsidP="00693907">
      <w:r>
        <w:t>&lt;ESMA_QUESTION_</w:t>
      </w:r>
      <w:r w:rsidR="00EE246B">
        <w:t>COLL</w:t>
      </w:r>
      <w:r>
        <w:t>_7&gt;</w:t>
      </w:r>
    </w:p>
    <w:p w14:paraId="3B03B9E0" w14:textId="77777777" w:rsidR="00693907" w:rsidRDefault="00693907" w:rsidP="00693907"/>
    <w:p w14:paraId="18FE9B7F" w14:textId="11DAFFAC" w:rsidR="00693907" w:rsidRDefault="0038241C" w:rsidP="00693907">
      <w:pPr>
        <w:pStyle w:val="Questionstyle"/>
      </w:pPr>
      <w:r w:rsidRPr="0038241C">
        <w:t>Is there any other condition you consider would be necessary in relation to the extension of the use of guarantees to guarantee non-financial clients? E.g. should it be mandated that CCPs have in place a mechanism to identify the default of a non-financial client?</w:t>
      </w:r>
      <w:r w:rsidR="00693907">
        <w:t xml:space="preserve"> </w:t>
      </w:r>
    </w:p>
    <w:p w14:paraId="7AA017CC" w14:textId="7608FAED" w:rsidR="00693907" w:rsidRDefault="00693907" w:rsidP="00693907">
      <w:r>
        <w:t>&lt;ESMA_QUESTION_</w:t>
      </w:r>
      <w:r w:rsidR="004C12DB">
        <w:t>COLL</w:t>
      </w:r>
      <w:r>
        <w:t>_8&gt;</w:t>
      </w:r>
    </w:p>
    <w:p w14:paraId="6ABDE3F2" w14:textId="5D1E8B86" w:rsidR="00693907" w:rsidRDefault="00927708" w:rsidP="00693907">
      <w:permStart w:id="689849779" w:edGrp="everyone"/>
      <w:r w:rsidRPr="00927708">
        <w:t xml:space="preserve">When it comes to the requirement that CCPs have a mechanism in place to identify the default of a non-financial client, from the point of view of the management of </w:t>
      </w:r>
      <w:r w:rsidR="00A44D22">
        <w:t>CCPs’</w:t>
      </w:r>
      <w:r w:rsidRPr="00927708">
        <w:t xml:space="preserve"> risk exposures, there is a rationale for such a mechanism. However, in principle, as discussed in the consultation paper, </w:t>
      </w:r>
      <w:r w:rsidRPr="00927708">
        <w:lastRenderedPageBreak/>
        <w:t xml:space="preserve">the guarantee cannot be executed unless and until the default of the non-financial client results in a default of the CM. Therefore, the regular procedure would be that the CM notifies the CCP when, owing to a client default, it is unable to meet its obligations towards the CCP. In this respect, on the basis of the delegation of article 37 EMIR, CCPs have devised rules that specify, among other matters, whether and when </w:t>
      </w:r>
      <w:proofErr w:type="spellStart"/>
      <w:r w:rsidRPr="00927708">
        <w:t>CMs</w:t>
      </w:r>
      <w:proofErr w:type="spellEnd"/>
      <w:r w:rsidRPr="00927708">
        <w:t xml:space="preserve"> are required to notify CCPs of client defaults</w:t>
      </w:r>
      <w:r w:rsidR="0076288F">
        <w:rPr>
          <w:rStyle w:val="FootnoteReference"/>
        </w:rPr>
        <w:footnoteReference w:id="4"/>
      </w:r>
      <w:r w:rsidRPr="00927708">
        <w:t xml:space="preserve"> and this approach can be used in relation to non-financial clients who are principals in guarantees. </w:t>
      </w:r>
      <w:r w:rsidR="003B246A">
        <w:t>I</w:t>
      </w:r>
      <w:r w:rsidRPr="00927708">
        <w:t>n my opinion, it would not be proportional to require CCPs to set up a mechanism where CCPs on their own are required to identify a default of a non-financial client, not only due to the inherent difficulties of formalising such a mechanism</w:t>
      </w:r>
      <w:r w:rsidR="00B31E2B">
        <w:t xml:space="preserve"> —</w:t>
      </w:r>
      <w:r w:rsidRPr="00927708">
        <w:t>e.g., due to the information asymmetries between the CCP and the client as regards the latter’s situatio</w:t>
      </w:r>
      <w:r w:rsidR="007037F9">
        <w:t>n—</w:t>
      </w:r>
      <w:r w:rsidRPr="00927708">
        <w:t>, but also because this mechanism would not be consistent with the EU’s preeminent principal-to-principal CCP clearing contractual model, where the client has a contractual relationship with the CM, not with the CCP.</w:t>
      </w:r>
    </w:p>
    <w:permEnd w:id="689849779"/>
    <w:p w14:paraId="11DE980E" w14:textId="6F37CCA9" w:rsidR="00693907" w:rsidRDefault="00693907" w:rsidP="00693907">
      <w:r>
        <w:t>&lt;ESMA_QUESTION_</w:t>
      </w:r>
      <w:r w:rsidR="004C12DB">
        <w:t>COLL</w:t>
      </w:r>
      <w:r>
        <w:t>_8&gt;</w:t>
      </w:r>
    </w:p>
    <w:p w14:paraId="73AF06AE" w14:textId="77777777" w:rsidR="00970F12" w:rsidRDefault="00970F12" w:rsidP="00693907"/>
    <w:p w14:paraId="5D69E955" w14:textId="104F9CA1" w:rsidR="00970F12" w:rsidRDefault="00970F12" w:rsidP="00970F12">
      <w:pPr>
        <w:pStyle w:val="Questionstyle"/>
      </w:pPr>
      <w:r w:rsidRPr="004344B8">
        <w:t>Do</w:t>
      </w:r>
      <w:r>
        <w:t xml:space="preserve"> </w:t>
      </w:r>
      <w:r w:rsidR="00EA1DD0" w:rsidRPr="00EA1DD0">
        <w:t>you agree with ESMA’s proposal to require that there are a credit rating and reliable financial data on the guarantor available for the CCP to use in its internal assessment?</w:t>
      </w:r>
    </w:p>
    <w:p w14:paraId="432959FD" w14:textId="5BAAE542" w:rsidR="00970F12" w:rsidRDefault="00970F12" w:rsidP="00970F12">
      <w:r>
        <w:t>&lt;ESMA_QUESTION_</w:t>
      </w:r>
      <w:r w:rsidR="008E4202">
        <w:t>COLL</w:t>
      </w:r>
      <w:r>
        <w:t>_</w:t>
      </w:r>
      <w:r w:rsidR="008E4202">
        <w:t>9</w:t>
      </w:r>
      <w:r>
        <w:t>&gt;</w:t>
      </w:r>
    </w:p>
    <w:p w14:paraId="00B537F5" w14:textId="16CB2427" w:rsidR="00E25DFC" w:rsidRDefault="00E25DFC" w:rsidP="00E25DFC">
      <w:permStart w:id="1211653911" w:edGrp="everyone"/>
      <w:r>
        <w:t>Article 46(3) EMIR requires that ESMA develops draft RTS that specify the relevant conditions under which guarantees may be accepted as collateral including credit quality requirements. Whilst there is no specification of the object of the credit quality requirement, if we look at methodologies used by credit rating agencies in the context of guarantees, the relevant credit rating for the purposes of assessing creditworthiness is the credit rating of the guarantor.</w:t>
      </w:r>
      <w:r w:rsidR="008F6CE3">
        <w:rPr>
          <w:rStyle w:val="FootnoteReference"/>
        </w:rPr>
        <w:footnoteReference w:id="5"/>
      </w:r>
      <w:r>
        <w:t xml:space="preserve"> Therefore, I fully agree with ESMA’s proposal to require the availability of credit ratings on the guarantor that can be used by the CCP. Indeed, imposing such a requirement is a way for ESMA to comply with the mandate set in article 46(3) EMIR.</w:t>
      </w:r>
    </w:p>
    <w:p w14:paraId="32C050B6" w14:textId="1630BB75" w:rsidR="00E25DFC" w:rsidRDefault="00E25DFC" w:rsidP="00E25DFC">
      <w:r>
        <w:t xml:space="preserve">However, there are two elements of the specific approach taken by ESMA in the proposed RTS that, in my view, require further consideration. These two elements relate to section 2a of annex </w:t>
      </w:r>
      <w:r>
        <w:lastRenderedPageBreak/>
        <w:t>1 of the proposed RTS, which reads: “The assessment shall also include credit ratings or other publicly available financial information of the guarantor.”</w:t>
      </w:r>
    </w:p>
    <w:p w14:paraId="16E5265E" w14:textId="539A2F49" w:rsidR="00E25DFC" w:rsidRDefault="00E25DFC" w:rsidP="00E25DFC">
      <w:r>
        <w:t xml:space="preserve">My first concern is whether merely requiring the use of credit ratings in the assessment fulfils the requirement of article 46(3) EMIR which refers to </w:t>
      </w:r>
      <w:r w:rsidRPr="00DC1FF5">
        <w:rPr>
          <w:i/>
          <w:iCs/>
        </w:rPr>
        <w:t>credit quality</w:t>
      </w:r>
      <w:r>
        <w:t>. This would suggest that there needs to be an indication of a minimum credit quality, not just a requirement of reliance on or use of a credit rating. My second concern is whether the addition of the text “or other publicly available financial information of the guarantor” in the proposed RTS is an optimal choice because it seems to suggest that if there are no credit ratings available or even if the CCP does not wish to rely on credit ratings, then other type</w:t>
      </w:r>
      <w:r w:rsidR="00E33FD7">
        <w:t>s</w:t>
      </w:r>
      <w:r>
        <w:t xml:space="preserve"> of public financial information would suffice for the purposes of assessment of credit risk. In my opinion, the use of publicly available financial information alone as an instrument to assess credit quality may be problematic because this is a term that is vague. More generally, keeping the current reference to publicly available financial information of the guarantor could lead to situations where information that is publicly available but of low quality is used as a substitute for a credit rating.</w:t>
      </w:r>
    </w:p>
    <w:p w14:paraId="246E1F45" w14:textId="6FFDAC3A" w:rsidR="00970F12" w:rsidRDefault="00E25DFC" w:rsidP="00970F12">
      <w:r>
        <w:t>Hence, in my opinion, an alternative to the current proposed text could be one that makes specific reference to a minimum threshold of credit quality based on credit ratings and to public financial information as a complement rather than a substitute to credit ratings —and ideally defining what publicly available financial information means for the purposes of the RTS, with examples. For instance, a revised text could be something along the lines of: “The assessment shall also include credit ratings that show that the guarantor meets a minimum requirement of credit quality [and then specify this requirement according to what is deemed to be appropriate, for example a CQS 1 or 2]. In addition to credit ratings, the assessment may also include other publicly available financial information of the guarantor [and then give some examples of the type of publicly available financial information that could be used for the assessment]”</w:t>
      </w:r>
    </w:p>
    <w:permEnd w:id="1211653911"/>
    <w:p w14:paraId="2FB2642C" w14:textId="5A842994" w:rsidR="00970F12" w:rsidRDefault="00970F12" w:rsidP="00970F12">
      <w:r>
        <w:t>&lt;ESMA_QUESTION_</w:t>
      </w:r>
      <w:r w:rsidR="008E4202">
        <w:t>COLL</w:t>
      </w:r>
      <w:r>
        <w:t>_</w:t>
      </w:r>
      <w:r w:rsidR="008E4202">
        <w:t>9</w:t>
      </w:r>
      <w:r>
        <w:t>&gt;</w:t>
      </w:r>
    </w:p>
    <w:p w14:paraId="47C1564C" w14:textId="77777777" w:rsidR="00970F12" w:rsidRDefault="00970F12" w:rsidP="00693907"/>
    <w:p w14:paraId="2964373E" w14:textId="6323EC60" w:rsidR="005E4A48" w:rsidRDefault="005E4A48" w:rsidP="005E4A48">
      <w:pPr>
        <w:pStyle w:val="Questionstyle"/>
      </w:pPr>
      <w:r w:rsidRPr="004344B8">
        <w:t>Do</w:t>
      </w:r>
      <w:r w:rsidR="00E77951">
        <w:t xml:space="preserve"> </w:t>
      </w:r>
      <w:r w:rsidR="003A00A8" w:rsidRPr="003A00A8">
        <w:t>you consider that the direct access of a public guarantor to real-time gross settlement systems such as T2 should be a requirement for public guarantors? Please provide evidence or reasoning to support your response.</w:t>
      </w:r>
    </w:p>
    <w:p w14:paraId="04A80332" w14:textId="40679483" w:rsidR="005E4A48" w:rsidRDefault="005E4A48" w:rsidP="005E4A48">
      <w:r>
        <w:t>&lt;ESMA_QUESTION_</w:t>
      </w:r>
      <w:r w:rsidR="0037419B">
        <w:t>COLL</w:t>
      </w:r>
      <w:r>
        <w:t>_</w:t>
      </w:r>
      <w:r w:rsidR="0037419B">
        <w:t>10</w:t>
      </w:r>
      <w:r>
        <w:t>&gt;</w:t>
      </w:r>
    </w:p>
    <w:p w14:paraId="3C8F3516" w14:textId="11FADC4B" w:rsidR="005E4A48" w:rsidRDefault="00CE7B88" w:rsidP="005E4A48">
      <w:permStart w:id="1236927022" w:edGrp="everyone"/>
      <w:r>
        <w:t xml:space="preserve">Please see my answer to </w:t>
      </w:r>
      <w:r w:rsidR="001B3313">
        <w:t>Q</w:t>
      </w:r>
      <w:r>
        <w:t>11 below.</w:t>
      </w:r>
    </w:p>
    <w:permEnd w:id="1236927022"/>
    <w:p w14:paraId="5CF44F01" w14:textId="5CA565F5" w:rsidR="005E4A48" w:rsidRDefault="005E4A48" w:rsidP="005E4A48">
      <w:r>
        <w:t>&lt;ESMA_QUESTION_</w:t>
      </w:r>
      <w:r w:rsidR="0037419B">
        <w:t>COLL</w:t>
      </w:r>
      <w:r>
        <w:t>_</w:t>
      </w:r>
      <w:r w:rsidR="0037419B">
        <w:t>10</w:t>
      </w:r>
      <w:r>
        <w:t>&gt;</w:t>
      </w:r>
    </w:p>
    <w:p w14:paraId="10E37C90" w14:textId="77777777" w:rsidR="005E4A48" w:rsidRDefault="005E4A48" w:rsidP="00693907"/>
    <w:p w14:paraId="71E277F2" w14:textId="4AE639BC" w:rsidR="005E4A48" w:rsidRDefault="005E4A48" w:rsidP="005E4A48">
      <w:pPr>
        <w:pStyle w:val="Questionstyle"/>
      </w:pPr>
      <w:r w:rsidRPr="004344B8">
        <w:lastRenderedPageBreak/>
        <w:t>Do</w:t>
      </w:r>
      <w:r>
        <w:t xml:space="preserve"> </w:t>
      </w:r>
      <w:r w:rsidR="00502F7C" w:rsidRPr="00502F7C">
        <w:t>you agree that public guarantees should be accompanied by a legal opinion confirming the effective representation of the guarantor, the validity of the guarantee and its enforceability?</w:t>
      </w:r>
    </w:p>
    <w:p w14:paraId="182071EF" w14:textId="6E70C2AB" w:rsidR="005E4A48" w:rsidRDefault="005E4A48" w:rsidP="005E4A48">
      <w:r>
        <w:t>&lt;ESMA_QUESTION_</w:t>
      </w:r>
      <w:r w:rsidR="004641DE">
        <w:t>COLL</w:t>
      </w:r>
      <w:r>
        <w:t>_</w:t>
      </w:r>
      <w:r w:rsidR="004641DE">
        <w:t>11</w:t>
      </w:r>
      <w:r>
        <w:t>&gt;</w:t>
      </w:r>
    </w:p>
    <w:p w14:paraId="0822A3C4" w14:textId="1360D6AE" w:rsidR="00CE7B88" w:rsidRDefault="00CE7B88" w:rsidP="00CE7B88">
      <w:permStart w:id="1519336460" w:edGrp="everyone"/>
      <w:r>
        <w:t xml:space="preserve">In my view, requiring a legal opinion may positively contribute to increasing legal certainty and </w:t>
      </w:r>
      <w:r w:rsidR="007158DD">
        <w:t>e</w:t>
      </w:r>
      <w:r>
        <w:t xml:space="preserve">specially to avoiding the acceptance of guarantees in relation to which there may be problems affecting their enforceability (e.g., waiting periods) the CCP may not be aware of. When it comes to the minimum elements of the legal opinion as defined in the proposed RTS, I believe these are very well identified because they cover the main aspects that may affect the effective creation or the validity of a guarantee, and many disputes on contracts with public authorities indeed relate to matters regarding lack of capacity or authority to enter into a contract or the legality and validity of the contract in the jurisdictions of execution, delivery, performance or governance of the contract. Consequently, from the point of view of a CCP’s due diligence, this seems to be the right approach. </w:t>
      </w:r>
    </w:p>
    <w:p w14:paraId="4DA3E75A" w14:textId="6F93300A" w:rsidR="00CE7B88" w:rsidRDefault="00CE7B88" w:rsidP="00CE7B88">
      <w:r>
        <w:t>However, from a practical perspective, in my view, the requirement of the legal opinion may limit substantially the availability of public guarantees that CCPs could accept as collateral. For instance, there have been a number of cases where the authority or capacity of some public entities to enter into certain financial contracts has been challenged in court and, due to this, those producing legal opinions may be reluctant to make strong statements on the legal capacity or authority of a public guarantor to issue guarantees. In my view, this may be particularly the case with guarantees issued by regional governments or local authorities.</w:t>
      </w:r>
    </w:p>
    <w:p w14:paraId="2E754223" w14:textId="40AF0AD3" w:rsidR="00CE7B88" w:rsidRDefault="00CE7B88" w:rsidP="00CE7B88">
      <w:r>
        <w:t xml:space="preserve">A potentially much more significant problem may be with points iii and iv of the elements of the legal opinion as proposed in the RTS, because, in my view, generally, legal advisors may be reluctant to issue a legal opinion in the terms referred to in these </w:t>
      </w:r>
      <w:r w:rsidR="00B56D46">
        <w:t>two</w:t>
      </w:r>
      <w:r>
        <w:t xml:space="preserve"> clauses, and more specifically to attest that “the guarantee cannot be contested, revoked, or rendered non-binding after execution” and also that “the CCP’s rights under the guarantee and any related agreements can be judicially asserted and enforced without restrictions”. A court can render a public guarantee non</w:t>
      </w:r>
      <w:r w:rsidR="001C4525">
        <w:t>-</w:t>
      </w:r>
      <w:r>
        <w:t xml:space="preserve">binding after execution and it may be difficult to predict whether and why it </w:t>
      </w:r>
      <w:r w:rsidR="00C8244A">
        <w:t>may</w:t>
      </w:r>
      <w:r>
        <w:t xml:space="preserve"> do so, especially when there is not a large body of case law on a given matter, as is the case of public guarantees in the context of CCP clearing. If lawyers are unwilling to include in their legal opinions the statements indicated in the proposed RTS, this may affect the availability of legal opinions that comply with the proposed RTS, which, in turn, would limit the ability of CCPs to accept public guarantees as collateral. Alternatively, lawyers may issue legal opinions with the statements indicated in the proposed RTS but also include qualifications that may limit the scope of those legal opinions; this would raise the question of whether such qualifications may render legal opinions non-compliant with the proposed RTS. </w:t>
      </w:r>
    </w:p>
    <w:p w14:paraId="2FBF8A68" w14:textId="63771746" w:rsidR="005E4A48" w:rsidRDefault="00CE7B88" w:rsidP="005E4A48">
      <w:r>
        <w:t xml:space="preserve">A way to foster predictability in the execution and liquidation of public guarantees by a CCP in a default scenario would be the creation of an ad hoc system of public guarantors, hosted at the EU level, specifically designed for CCP clearing purposes and with a membership mechanism </w:t>
      </w:r>
      <w:r>
        <w:lastRenderedPageBreak/>
        <w:t>whereby only certain authorised public guarantors complying with specific criteria, including access to T2, would be allowed to become members and act as guarantors.</w:t>
      </w:r>
    </w:p>
    <w:permEnd w:id="1519336460"/>
    <w:p w14:paraId="622D948A" w14:textId="50AF4799" w:rsidR="005E4A48" w:rsidRDefault="005E4A48" w:rsidP="005E4A48">
      <w:r>
        <w:t>&lt;ESMA_QUESTION_</w:t>
      </w:r>
      <w:r w:rsidR="004641DE">
        <w:t>COLL</w:t>
      </w:r>
      <w:r>
        <w:t>_</w:t>
      </w:r>
      <w:r w:rsidR="004641DE">
        <w:t>11</w:t>
      </w:r>
      <w:r>
        <w:t>&gt;</w:t>
      </w:r>
    </w:p>
    <w:p w14:paraId="281801E2" w14:textId="77777777" w:rsidR="005E4A48" w:rsidRDefault="005E4A48" w:rsidP="00693907"/>
    <w:p w14:paraId="1922BA8F" w14:textId="0E442475" w:rsidR="005E4A48" w:rsidRDefault="005E4A48" w:rsidP="005E4A48">
      <w:pPr>
        <w:pStyle w:val="Questionstyle"/>
      </w:pPr>
      <w:r w:rsidRPr="004344B8">
        <w:t xml:space="preserve">Do </w:t>
      </w:r>
      <w:r w:rsidR="004B3CF5" w:rsidRPr="004B3CF5">
        <w:t>you agree that the conditions for commercial bank guarantees should explicitly foresee that the guarantor is a credit institution as defined in CRR?</w:t>
      </w:r>
    </w:p>
    <w:p w14:paraId="645BB6CB" w14:textId="03D6F764" w:rsidR="005E4A48" w:rsidRDefault="005E4A48" w:rsidP="005E4A48">
      <w:r>
        <w:t>&lt;ESMA_QUESTION_</w:t>
      </w:r>
      <w:r w:rsidR="0070781C">
        <w:t>COLL</w:t>
      </w:r>
      <w:r>
        <w:t>_</w:t>
      </w:r>
      <w:r w:rsidR="0070781C">
        <w:t>12</w:t>
      </w:r>
      <w:r>
        <w:t>&gt;</w:t>
      </w:r>
    </w:p>
    <w:p w14:paraId="2D808874" w14:textId="77777777" w:rsidR="005E4A48" w:rsidRDefault="005E4A48" w:rsidP="005E4A48">
      <w:permStart w:id="184505729" w:edGrp="everyone"/>
      <w:r>
        <w:t>TYPE YOUR TEXT HERE</w:t>
      </w:r>
    </w:p>
    <w:permEnd w:id="184505729"/>
    <w:p w14:paraId="36FF8389" w14:textId="245D9198" w:rsidR="005E4A48" w:rsidRDefault="005E4A48" w:rsidP="005E4A48">
      <w:r>
        <w:t>&lt;ESMA_QUESTION_</w:t>
      </w:r>
      <w:r w:rsidR="0070781C">
        <w:t>COLL</w:t>
      </w:r>
      <w:r>
        <w:t>_</w:t>
      </w:r>
      <w:r w:rsidR="0070781C">
        <w:t>12</w:t>
      </w:r>
      <w:r>
        <w:t>&gt;</w:t>
      </w:r>
    </w:p>
    <w:p w14:paraId="1D796774" w14:textId="77777777" w:rsidR="005E4A48" w:rsidRDefault="005E4A48" w:rsidP="00693907"/>
    <w:p w14:paraId="3F18CDD5" w14:textId="07197B4B" w:rsidR="005E4A48" w:rsidRDefault="005E4A48" w:rsidP="005E4A48">
      <w:pPr>
        <w:pStyle w:val="Questionstyle"/>
      </w:pPr>
      <w:r w:rsidRPr="004344B8">
        <w:t xml:space="preserve">Do </w:t>
      </w:r>
      <w:r w:rsidR="00AC7E2D" w:rsidRPr="00AC7E2D">
        <w:t>you agree that the possibility for CCP to accept uncollateralised bank guarantees should be specified in Section two of Annex I of RTS 153/2013?</w:t>
      </w:r>
    </w:p>
    <w:p w14:paraId="359D42A4" w14:textId="5A277687" w:rsidR="005E4A48" w:rsidRDefault="005E4A48" w:rsidP="005E4A48">
      <w:r>
        <w:t>&lt;ESMA_QUESTION_</w:t>
      </w:r>
      <w:r w:rsidR="003618E4">
        <w:t>COLL</w:t>
      </w:r>
      <w:r>
        <w:t>_</w:t>
      </w:r>
      <w:r w:rsidR="003618E4">
        <w:t>13</w:t>
      </w:r>
      <w:r>
        <w:t>&gt;</w:t>
      </w:r>
    </w:p>
    <w:p w14:paraId="6D125462" w14:textId="77777777" w:rsidR="005E4A48" w:rsidRDefault="005E4A48" w:rsidP="005E4A48">
      <w:permStart w:id="819362067" w:edGrp="everyone"/>
      <w:r>
        <w:t>TYPE YOUR TEXT HERE</w:t>
      </w:r>
    </w:p>
    <w:permEnd w:id="819362067"/>
    <w:p w14:paraId="733C2664" w14:textId="49DF325F" w:rsidR="005E4A48" w:rsidRDefault="005E4A48" w:rsidP="005E4A48">
      <w:r>
        <w:t>&lt;ESMA_QUESTION_</w:t>
      </w:r>
      <w:r w:rsidR="0070781C">
        <w:t>COLL</w:t>
      </w:r>
      <w:r>
        <w:t>_</w:t>
      </w:r>
      <w:r w:rsidR="0070781C">
        <w:t>13</w:t>
      </w:r>
      <w:r>
        <w:t>&gt;</w:t>
      </w:r>
    </w:p>
    <w:p w14:paraId="7AC8814A" w14:textId="77777777" w:rsidR="005E4A48" w:rsidRDefault="005E4A48" w:rsidP="00693907"/>
    <w:p w14:paraId="29F2BAAB" w14:textId="173468ED" w:rsidR="005E4A48" w:rsidRDefault="005E4A48" w:rsidP="005E4A48">
      <w:pPr>
        <w:pStyle w:val="Questionstyle"/>
      </w:pPr>
      <w:r w:rsidRPr="004344B8">
        <w:t xml:space="preserve">Do </w:t>
      </w:r>
      <w:r w:rsidR="002A08CC" w:rsidRPr="002A08CC">
        <w:t>you agree with ESMA that the conditions applicable to commercial bank guarantees should also be applicable to public bank guarantees? Please specify in your answer whether any addition condition should be considered.</w:t>
      </w:r>
    </w:p>
    <w:p w14:paraId="5FEFF315" w14:textId="077F0047" w:rsidR="005E4A48" w:rsidRDefault="005E4A48" w:rsidP="005E4A48">
      <w:r>
        <w:t>&lt;ESMA_QUESTION_</w:t>
      </w:r>
      <w:r w:rsidR="00313B2A">
        <w:t>COLL</w:t>
      </w:r>
      <w:r>
        <w:t>_</w:t>
      </w:r>
      <w:r w:rsidR="00313B2A">
        <w:t>14</w:t>
      </w:r>
      <w:r>
        <w:t>&gt;</w:t>
      </w:r>
    </w:p>
    <w:p w14:paraId="134D58FA" w14:textId="77777777" w:rsidR="005E4A48" w:rsidRDefault="005E4A48" w:rsidP="005E4A48">
      <w:permStart w:id="1776364355" w:edGrp="everyone"/>
      <w:r>
        <w:t>TYPE YOUR TEXT HERE</w:t>
      </w:r>
    </w:p>
    <w:permEnd w:id="1776364355"/>
    <w:p w14:paraId="195B3B53" w14:textId="35E0DC42" w:rsidR="005E4A48" w:rsidRDefault="005E4A48" w:rsidP="005E4A48">
      <w:r>
        <w:t>&lt;ESMA_QUESTION_</w:t>
      </w:r>
      <w:r w:rsidR="00313B2A">
        <w:t>COLL</w:t>
      </w:r>
      <w:r>
        <w:t>_</w:t>
      </w:r>
      <w:r w:rsidR="00313B2A">
        <w:t>14</w:t>
      </w:r>
      <w:r>
        <w:t>&gt;</w:t>
      </w:r>
    </w:p>
    <w:p w14:paraId="53CE4543" w14:textId="77777777" w:rsidR="005E4A48" w:rsidRDefault="005E4A48" w:rsidP="00693907"/>
    <w:p w14:paraId="55038FDB" w14:textId="7ECBE4B4" w:rsidR="005E4A48" w:rsidRDefault="005E4A48" w:rsidP="005E4A48">
      <w:pPr>
        <w:pStyle w:val="Questionstyle"/>
      </w:pPr>
      <w:r w:rsidRPr="004344B8">
        <w:t>Do</w:t>
      </w:r>
      <w:r w:rsidR="001F57E9" w:rsidRPr="001F57E9">
        <w:t xml:space="preserve"> you agree with the proposed way to address the lack of definition of “public bank”?</w:t>
      </w:r>
      <w:r w:rsidR="001F57E9">
        <w:t xml:space="preserve"> </w:t>
      </w:r>
      <w:r w:rsidRPr="004344B8">
        <w:t xml:space="preserve"> </w:t>
      </w:r>
    </w:p>
    <w:p w14:paraId="04B2A90B" w14:textId="18F9E43B" w:rsidR="005E4A48" w:rsidRDefault="005E4A48" w:rsidP="005E4A48">
      <w:r>
        <w:t>&lt;ESMA_QUESTION_</w:t>
      </w:r>
      <w:r w:rsidR="00830677">
        <w:t>COLL</w:t>
      </w:r>
      <w:r>
        <w:t>_</w:t>
      </w:r>
      <w:r w:rsidR="00830677">
        <w:t>15</w:t>
      </w:r>
      <w:r>
        <w:t>&gt;</w:t>
      </w:r>
    </w:p>
    <w:p w14:paraId="1B4B7D7E" w14:textId="47F33A24" w:rsidR="00267BAE" w:rsidRDefault="00267BAE" w:rsidP="00267BAE">
      <w:permStart w:id="870328820" w:edGrp="everyone"/>
      <w:r>
        <w:lastRenderedPageBreak/>
        <w:t>In my opinion, defining a public bank as a publicly owned bank may create some confusion, owing to various reasons.</w:t>
      </w:r>
    </w:p>
    <w:p w14:paraId="12444E89" w14:textId="4FFEF9F8" w:rsidR="00267BAE" w:rsidRDefault="00267BAE" w:rsidP="00267BAE">
      <w:r>
        <w:t xml:space="preserve">The first reason is that the term </w:t>
      </w:r>
      <w:r w:rsidRPr="00E43AAC">
        <w:rPr>
          <w:i/>
          <w:iCs/>
        </w:rPr>
        <w:t>publicly owned</w:t>
      </w:r>
      <w:r>
        <w:t xml:space="preserve"> may be used to refer to an entity that is owned by the government or the state or to an entity that operates as a company limited by shares and is listed and traded in an organised trading facility such as a stock exchange. Indeed, very often publicly owned is used in reference to public listed companies and some dictionary definitions embrace this meaning.</w:t>
      </w:r>
      <w:r w:rsidR="000079C5">
        <w:rPr>
          <w:rStyle w:val="FootnoteReference"/>
        </w:rPr>
        <w:footnoteReference w:id="6"/>
      </w:r>
      <w:r>
        <w:t xml:space="preserve"> </w:t>
      </w:r>
    </w:p>
    <w:p w14:paraId="5FF62375" w14:textId="0CFEC100" w:rsidR="00267BAE" w:rsidRDefault="00267BAE" w:rsidP="00267BAE">
      <w:r>
        <w:t>The second reason is that, even if we accept that a publicly owned bank means a bank owned by a public entity</w:t>
      </w:r>
      <w:r w:rsidR="00D00901">
        <w:t>,</w:t>
      </w:r>
      <w:r>
        <w:t xml:space="preserve"> then there is the risk that private banks that are participated by a public entity would be included in this definition and then there might be some confusion on whether these types of banks fall under paragraph 1 or paragraph 3 of section 2 of annex 1 of the proposed RTS.</w:t>
      </w:r>
    </w:p>
    <w:p w14:paraId="26D61EFA" w14:textId="6E8250B8" w:rsidR="00267BAE" w:rsidRDefault="00267BAE" w:rsidP="00267BAE">
      <w:r>
        <w:t>There is also another element that may add some uncertainty, which is the framing of the reference to publicly owned banks, which is as follows: “A bank guarantee issued by a publicly owned bank not covered by paragraph 2 of this section […]”. Paragraph 2 of section 2 refers to central banks, and, hence, paragraph 3 of section 2 is referring to a bank guarantee issued by a publicly owned bank different from a central bank. However, not all central banks in the EU are publicly owned and there are some that are privately owned.</w:t>
      </w:r>
      <w:r w:rsidR="00711F1A">
        <w:rPr>
          <w:rStyle w:val="FootnoteReference"/>
        </w:rPr>
        <w:footnoteReference w:id="7"/>
      </w:r>
      <w:r>
        <w:t xml:space="preserve">  Therefore, whilst the proposed text of paragraph 3 is not incorrect, in my opinion it may raise some additional questions rather than clarifying matters.</w:t>
      </w:r>
    </w:p>
    <w:p w14:paraId="64B6DAED" w14:textId="2F828210" w:rsidR="00267BAE" w:rsidRDefault="00267BAE" w:rsidP="00267BAE">
      <w:r>
        <w:t xml:space="preserve">Defining a public bank is </w:t>
      </w:r>
      <w:r w:rsidR="00DE4AF9">
        <w:t>a</w:t>
      </w:r>
      <w:r>
        <w:t xml:space="preserve"> difficult </w:t>
      </w:r>
      <w:r w:rsidR="00DE4AF9">
        <w:t xml:space="preserve">task </w:t>
      </w:r>
      <w:r>
        <w:t>because what we may normally deem as a public bank depends on many factors that range from ownership to legal form, to mandate, and to remit, and these are not straightforward matters.</w:t>
      </w:r>
    </w:p>
    <w:p w14:paraId="550BAE5C" w14:textId="7F9FDABB" w:rsidR="005E4A48" w:rsidRDefault="00267BAE" w:rsidP="005E4A48">
      <w:r>
        <w:t xml:space="preserve">For the purposes of the proposed RTS and, in order to avoid the problems referred </w:t>
      </w:r>
      <w:r w:rsidR="00660205">
        <w:t xml:space="preserve">to </w:t>
      </w:r>
      <w:r>
        <w:t>above, a different approach could be used. Instead of the formula: “A bank guarantee issued by a publicly owned bank not covered by paragraph 2 of this section”, the proposed RTS could read as follows: “A bank guarantee issued by a bank owned by the state or a relevant public authority or a public entity, and not covered by paragraph 1 or paragraph 2 of this section”. This formula would be useful to clarify what publicly owned means, by referring to the main types of public ownership, which are ownership by the state, by a public authority or by a publicly owned entity, and it would also provide a clear distinction between public banks on the one side and commercial banks and central banks on the other side.</w:t>
      </w:r>
    </w:p>
    <w:permEnd w:id="870328820"/>
    <w:p w14:paraId="3C2CF56F" w14:textId="05A819D9" w:rsidR="005E4A48" w:rsidRDefault="005E4A48" w:rsidP="005E4A48">
      <w:r>
        <w:lastRenderedPageBreak/>
        <w:t>&lt;ESMA_QUESTION_</w:t>
      </w:r>
      <w:r w:rsidR="00830677">
        <w:t>COLL</w:t>
      </w:r>
      <w:r>
        <w:t>_</w:t>
      </w:r>
      <w:r w:rsidR="00830677">
        <w:t>15</w:t>
      </w:r>
      <w:r>
        <w:t>&gt;</w:t>
      </w:r>
    </w:p>
    <w:p w14:paraId="7946BE06" w14:textId="77777777" w:rsidR="005E4A48" w:rsidRDefault="005E4A48" w:rsidP="00693907"/>
    <w:p w14:paraId="072A90DC" w14:textId="0B8479CF" w:rsidR="005E4A48" w:rsidRDefault="005E4A48" w:rsidP="005E4A48">
      <w:pPr>
        <w:pStyle w:val="Questionstyle"/>
      </w:pPr>
      <w:r w:rsidRPr="004344B8">
        <w:t xml:space="preserve">Do </w:t>
      </w:r>
      <w:r w:rsidR="00827DAC" w:rsidRPr="00827DAC">
        <w:t>you agree with the proposed change concerning the conditions under which debt instruments can be considered highly liquid, bearing minimal credit and market risk (and hence considered as eligible financial instruments for the purpose of CCP investment policy)?</w:t>
      </w:r>
    </w:p>
    <w:p w14:paraId="0703E9DE" w14:textId="6C3C21CC" w:rsidR="005E4A48" w:rsidRDefault="005E4A48" w:rsidP="005E4A48">
      <w:r>
        <w:t>&lt;ESMA_QUESTION_</w:t>
      </w:r>
      <w:r w:rsidR="00830677">
        <w:t>COLL</w:t>
      </w:r>
      <w:r>
        <w:t>_</w:t>
      </w:r>
      <w:r w:rsidR="00830677">
        <w:t>16</w:t>
      </w:r>
      <w:r>
        <w:t>&gt;</w:t>
      </w:r>
    </w:p>
    <w:p w14:paraId="3C2FA7FD" w14:textId="77777777" w:rsidR="005E4A48" w:rsidRDefault="005E4A48" w:rsidP="005E4A48">
      <w:permStart w:id="444013336" w:edGrp="everyone"/>
      <w:r>
        <w:t>TYPE YOUR TEXT HERE</w:t>
      </w:r>
    </w:p>
    <w:permEnd w:id="444013336"/>
    <w:p w14:paraId="0B4C738C" w14:textId="6290A124" w:rsidR="005E4A48" w:rsidRDefault="005E4A48" w:rsidP="005E4A48">
      <w:r>
        <w:t>&lt;ESMA_QUESTION_</w:t>
      </w:r>
      <w:r w:rsidR="00830677">
        <w:t>COLL</w:t>
      </w:r>
      <w:r>
        <w:t>_</w:t>
      </w:r>
      <w:r w:rsidR="00830677">
        <w:t>16</w:t>
      </w:r>
      <w:r>
        <w:t>&gt;</w:t>
      </w:r>
    </w:p>
    <w:p w14:paraId="10DA205F" w14:textId="77777777" w:rsidR="005E4A48" w:rsidRDefault="005E4A48" w:rsidP="00693907"/>
    <w:p w14:paraId="148436C5" w14:textId="4EBE401D" w:rsidR="005E4A48" w:rsidRDefault="005E4A48" w:rsidP="005E4A48">
      <w:pPr>
        <w:pStyle w:val="Questionstyle"/>
      </w:pPr>
      <w:r w:rsidRPr="004344B8">
        <w:t xml:space="preserve">Do </w:t>
      </w:r>
      <w:r w:rsidR="009D0047" w:rsidRPr="009D0047">
        <w:t>you agree with the proposed change concerning the highly secure arrangements for the deposit of financial instruments posted as margins or as default fund contributions?</w:t>
      </w:r>
    </w:p>
    <w:p w14:paraId="2F35E308" w14:textId="1A75FCCA" w:rsidR="005E4A48" w:rsidRDefault="005E4A48" w:rsidP="005E4A48">
      <w:r>
        <w:t>&lt;ESMA_QUESTION_</w:t>
      </w:r>
      <w:r w:rsidR="0072300F">
        <w:t>COLL</w:t>
      </w:r>
      <w:r>
        <w:t>_</w:t>
      </w:r>
      <w:r w:rsidR="0072300F">
        <w:t>17</w:t>
      </w:r>
      <w:r>
        <w:t>&gt;</w:t>
      </w:r>
    </w:p>
    <w:p w14:paraId="41537DFA" w14:textId="77777777" w:rsidR="005E4A48" w:rsidRDefault="005E4A48" w:rsidP="005E4A48">
      <w:permStart w:id="2055102596" w:edGrp="everyone"/>
      <w:r>
        <w:t>TYPE YOUR TEXT HERE</w:t>
      </w:r>
    </w:p>
    <w:permEnd w:id="2055102596"/>
    <w:p w14:paraId="3B14B204" w14:textId="18ED8F55" w:rsidR="005E4A48" w:rsidRDefault="005E4A48" w:rsidP="005E4A48">
      <w:r>
        <w:t>&lt;ESMA_QUESTION_</w:t>
      </w:r>
      <w:r w:rsidR="0072300F">
        <w:t>COLL</w:t>
      </w:r>
      <w:r>
        <w:t>_</w:t>
      </w:r>
      <w:r w:rsidR="0072300F">
        <w:t>17</w:t>
      </w:r>
      <w:r>
        <w:t>&gt;</w:t>
      </w:r>
    </w:p>
    <w:p w14:paraId="1575BAA1" w14:textId="77777777" w:rsidR="005E4A48" w:rsidRDefault="005E4A48" w:rsidP="00693907"/>
    <w:p w14:paraId="237BFC19" w14:textId="77777777" w:rsidR="00693907" w:rsidRDefault="00693907" w:rsidP="00693907"/>
    <w:p w14:paraId="1EC367CD" w14:textId="67C1E71A" w:rsidR="00E619AB" w:rsidRPr="00B25E0D" w:rsidRDefault="00E619AB" w:rsidP="00693907"/>
    <w:sectPr w:rsidR="00E619AB" w:rsidRPr="00B25E0D" w:rsidSect="00A8728B">
      <w:headerReference w:type="default" r:id="rId27"/>
      <w:footerReference w:type="default" r:id="rId28"/>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24011" w14:textId="77777777" w:rsidR="00C619AA" w:rsidRDefault="00C619AA" w:rsidP="00F716D4">
      <w:r>
        <w:separator/>
      </w:r>
    </w:p>
    <w:p w14:paraId="6E50AAE2" w14:textId="77777777" w:rsidR="00C619AA" w:rsidRDefault="00C619AA" w:rsidP="00F716D4"/>
  </w:endnote>
  <w:endnote w:type="continuationSeparator" w:id="0">
    <w:p w14:paraId="6E94BCFB" w14:textId="77777777" w:rsidR="00C619AA" w:rsidRDefault="00C619AA" w:rsidP="00F716D4">
      <w:r>
        <w:continuationSeparator/>
      </w:r>
    </w:p>
    <w:p w14:paraId="5B22D6BA" w14:textId="77777777" w:rsidR="00C619AA" w:rsidRDefault="00C619AA" w:rsidP="00F716D4"/>
  </w:endnote>
  <w:endnote w:type="continuationNotice" w:id="1">
    <w:p w14:paraId="77F1A391" w14:textId="77777777" w:rsidR="00C619AA" w:rsidRDefault="00C619AA"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panose1 w:val="020B0604020202020204"/>
    <w:charset w:val="80"/>
    <w:family w:val="swiss"/>
    <w:pitch w:val="default"/>
  </w:font>
  <w:font w:name="EUAlbertina">
    <w:altName w:val="Cambria"/>
    <w:panose1 w:val="020B0604020202020204"/>
    <w:charset w:val="00"/>
    <w:family w:val="swiss"/>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20B0604020202020204"/>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panose1 w:val="020B0604020202020204"/>
    <w:charset w:val="00"/>
    <w:family w:val="roman"/>
    <w:pitch w:val="variable"/>
  </w:font>
  <w:font w:name="Myriad Pro Light">
    <w:altName w:val="Corbel"/>
    <w:panose1 w:val="020B0604020202020204"/>
    <w:charset w:val="00"/>
    <w:family w:val="roman"/>
    <w:pitch w:val="default"/>
    <w:sig w:usb0="00000003" w:usb1="00000000" w:usb2="00000000" w:usb3="00000000" w:csb0="00000001" w:csb1="00000000"/>
  </w:font>
  <w:font w:name="Arial-BoldMT">
    <w:altName w:val="Arial"/>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1C1E10B6" w14:textId="77777777" w:rsidTr="296079D6">
      <w:trPr>
        <w:trHeight w:val="300"/>
      </w:trPr>
      <w:tc>
        <w:tcPr>
          <w:tcW w:w="3020" w:type="dxa"/>
        </w:tcPr>
        <w:p w14:paraId="754C647F" w14:textId="0D2438C9" w:rsidR="296079D6" w:rsidRDefault="296079D6" w:rsidP="296079D6">
          <w:pPr>
            <w:pStyle w:val="Header"/>
            <w:ind w:left="-115"/>
            <w:jc w:val="left"/>
          </w:pPr>
        </w:p>
      </w:tc>
      <w:tc>
        <w:tcPr>
          <w:tcW w:w="3020" w:type="dxa"/>
        </w:tcPr>
        <w:p w14:paraId="31DF827A" w14:textId="32EA9807" w:rsidR="296079D6" w:rsidRDefault="296079D6" w:rsidP="296079D6">
          <w:pPr>
            <w:pStyle w:val="Header"/>
            <w:jc w:val="center"/>
          </w:pPr>
        </w:p>
      </w:tc>
      <w:tc>
        <w:tcPr>
          <w:tcW w:w="3020" w:type="dxa"/>
        </w:tcPr>
        <w:p w14:paraId="684BE38F" w14:textId="24CDFEA3" w:rsidR="296079D6" w:rsidRDefault="296079D6" w:rsidP="296079D6">
          <w:pPr>
            <w:pStyle w:val="Header"/>
            <w:ind w:right="-115"/>
            <w:jc w:val="right"/>
          </w:pPr>
        </w:p>
      </w:tc>
    </w:tr>
  </w:tbl>
  <w:p w14:paraId="1EA6AD30" w14:textId="508E27C7" w:rsidR="296079D6" w:rsidRDefault="296079D6" w:rsidP="29607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0DB3A058" w14:textId="77777777" w:rsidTr="296079D6">
      <w:trPr>
        <w:trHeight w:val="300"/>
      </w:trPr>
      <w:tc>
        <w:tcPr>
          <w:tcW w:w="3020" w:type="dxa"/>
        </w:tcPr>
        <w:p w14:paraId="0D5A25EC" w14:textId="6A091ED5" w:rsidR="296079D6" w:rsidRDefault="296079D6" w:rsidP="296079D6">
          <w:pPr>
            <w:pStyle w:val="Header"/>
            <w:ind w:left="-115"/>
            <w:jc w:val="left"/>
          </w:pPr>
        </w:p>
      </w:tc>
      <w:tc>
        <w:tcPr>
          <w:tcW w:w="3020" w:type="dxa"/>
        </w:tcPr>
        <w:p w14:paraId="60B14148" w14:textId="19E36BA0" w:rsidR="296079D6" w:rsidRDefault="296079D6" w:rsidP="296079D6">
          <w:pPr>
            <w:pStyle w:val="Header"/>
            <w:jc w:val="center"/>
          </w:pPr>
        </w:p>
      </w:tc>
      <w:tc>
        <w:tcPr>
          <w:tcW w:w="3020" w:type="dxa"/>
        </w:tcPr>
        <w:p w14:paraId="767ABF03" w14:textId="0FB96330" w:rsidR="296079D6" w:rsidRDefault="296079D6" w:rsidP="296079D6">
          <w:pPr>
            <w:pStyle w:val="Header"/>
            <w:ind w:right="-115"/>
            <w:jc w:val="right"/>
          </w:pPr>
        </w:p>
      </w:tc>
    </w:tr>
  </w:tbl>
  <w:p w14:paraId="31D907CC" w14:textId="0849D0C5" w:rsidR="296079D6" w:rsidRDefault="296079D6" w:rsidP="29607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24241131" w14:textId="77777777" w:rsidTr="296079D6">
      <w:trPr>
        <w:trHeight w:val="300"/>
      </w:trPr>
      <w:tc>
        <w:tcPr>
          <w:tcW w:w="3135" w:type="dxa"/>
        </w:tcPr>
        <w:p w14:paraId="687692A0" w14:textId="26235DD5" w:rsidR="296079D6" w:rsidRDefault="296079D6" w:rsidP="296079D6">
          <w:pPr>
            <w:pStyle w:val="Header"/>
            <w:ind w:left="-115"/>
            <w:jc w:val="left"/>
          </w:pPr>
        </w:p>
      </w:tc>
      <w:tc>
        <w:tcPr>
          <w:tcW w:w="3135" w:type="dxa"/>
        </w:tcPr>
        <w:p w14:paraId="31FEBFF4" w14:textId="743D0A84" w:rsidR="296079D6" w:rsidRDefault="296079D6" w:rsidP="296079D6">
          <w:pPr>
            <w:pStyle w:val="Header"/>
            <w:jc w:val="center"/>
          </w:pPr>
        </w:p>
      </w:tc>
      <w:tc>
        <w:tcPr>
          <w:tcW w:w="3135" w:type="dxa"/>
        </w:tcPr>
        <w:p w14:paraId="66BF4A57" w14:textId="3665E6D3" w:rsidR="296079D6" w:rsidRDefault="296079D6" w:rsidP="296079D6">
          <w:pPr>
            <w:pStyle w:val="Header"/>
            <w:ind w:right="-115"/>
            <w:jc w:val="right"/>
          </w:pPr>
        </w:p>
      </w:tc>
    </w:tr>
  </w:tbl>
  <w:p w14:paraId="157512C3" w14:textId="4E034532" w:rsidR="296079D6" w:rsidRDefault="296079D6" w:rsidP="296079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r>
      <w:fldChar w:fldCharType="begin"/>
    </w:r>
    <w:r>
      <w:instrText>HYPERLINK "http://www.esma.europa.eu"</w:instrText>
    </w:r>
    <w:r>
      <w:fldChar w:fldCharType="separate"/>
    </w:r>
    <w:proofErr w:type="spellStart"/>
    <w:r w:rsidRPr="00A8626B">
      <w:rPr>
        <w:rStyle w:val="Hyperlink"/>
        <w:sz w:val="15"/>
        <w:szCs w:val="15"/>
        <w:lang w:val="fr-FR"/>
      </w:rPr>
      <w:t>www.esma</w:t>
    </w:r>
    <w:proofErr w:type="spellEnd"/>
    <w:r w:rsidRPr="00A8626B">
      <w:rPr>
        <w:rStyle w:val="Hyperlink"/>
        <w:sz w:val="15"/>
        <w:szCs w:val="15"/>
        <w:lang w:val="fr-FR"/>
      </w:rPr>
      <w:t>.</w:t>
    </w:r>
    <w:r w:rsidRPr="00A8626B">
      <w:rPr>
        <w:rStyle w:val="Hyperlink"/>
        <w:sz w:val="15"/>
        <w:szCs w:val="15"/>
        <w:lang w:val="fr-BE"/>
      </w:rPr>
      <w:t>europa</w:t>
    </w:r>
    <w:r w:rsidRPr="00A8626B">
      <w:rPr>
        <w:rStyle w:val="Hyperlink"/>
        <w:sz w:val="15"/>
        <w:szCs w:val="15"/>
        <w:lang w:val="fr-FR"/>
      </w:rPr>
      <w:t>.eu</w:t>
    </w:r>
    <w:r>
      <w:fldChar w:fldCharType="end"/>
    </w:r>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10507C07" w14:textId="77777777" w:rsidTr="296079D6">
      <w:trPr>
        <w:trHeight w:val="300"/>
      </w:trPr>
      <w:tc>
        <w:tcPr>
          <w:tcW w:w="3135" w:type="dxa"/>
        </w:tcPr>
        <w:p w14:paraId="10CFBD3B" w14:textId="7AF655F4" w:rsidR="296079D6" w:rsidRDefault="296079D6" w:rsidP="296079D6">
          <w:pPr>
            <w:pStyle w:val="Header"/>
            <w:ind w:left="-115"/>
            <w:jc w:val="left"/>
          </w:pPr>
        </w:p>
      </w:tc>
      <w:tc>
        <w:tcPr>
          <w:tcW w:w="3135" w:type="dxa"/>
        </w:tcPr>
        <w:p w14:paraId="72746E3F" w14:textId="086867DB" w:rsidR="296079D6" w:rsidRDefault="296079D6" w:rsidP="296079D6">
          <w:pPr>
            <w:pStyle w:val="Header"/>
            <w:jc w:val="center"/>
          </w:pPr>
        </w:p>
      </w:tc>
      <w:tc>
        <w:tcPr>
          <w:tcW w:w="3135" w:type="dxa"/>
        </w:tcPr>
        <w:p w14:paraId="21F1D28C" w14:textId="1B826CAC" w:rsidR="296079D6" w:rsidRDefault="296079D6" w:rsidP="296079D6">
          <w:pPr>
            <w:pStyle w:val="Header"/>
            <w:ind w:right="-115"/>
            <w:jc w:val="right"/>
          </w:pPr>
        </w:p>
      </w:tc>
    </w:tr>
  </w:tbl>
  <w:p w14:paraId="6D27F183" w14:textId="7AC7FD41" w:rsidR="296079D6" w:rsidRDefault="296079D6" w:rsidP="29607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EF861" w14:textId="77777777" w:rsidR="00C619AA" w:rsidRDefault="00C619AA" w:rsidP="00F716D4">
      <w:r>
        <w:separator/>
      </w:r>
    </w:p>
    <w:p w14:paraId="2AFB7F6D" w14:textId="77777777" w:rsidR="00C619AA" w:rsidRDefault="00C619AA" w:rsidP="00F716D4"/>
  </w:footnote>
  <w:footnote w:type="continuationSeparator" w:id="0">
    <w:p w14:paraId="7305F13C" w14:textId="77777777" w:rsidR="00C619AA" w:rsidRDefault="00C619AA" w:rsidP="00F716D4">
      <w:r>
        <w:continuationSeparator/>
      </w:r>
    </w:p>
    <w:p w14:paraId="46046EC0" w14:textId="77777777" w:rsidR="00C619AA" w:rsidRDefault="00C619AA" w:rsidP="00F716D4"/>
  </w:footnote>
  <w:footnote w:type="continuationNotice" w:id="1">
    <w:p w14:paraId="79587ED5" w14:textId="77777777" w:rsidR="00C619AA" w:rsidRDefault="00C619AA" w:rsidP="00F716D4"/>
  </w:footnote>
  <w:footnote w:id="2">
    <w:p w14:paraId="669413AF" w14:textId="38CB0C66" w:rsidR="003B6560" w:rsidRDefault="003B6560">
      <w:pPr>
        <w:pStyle w:val="FootnoteText"/>
      </w:pPr>
      <w:r>
        <w:rPr>
          <w:rStyle w:val="FootnoteReference"/>
        </w:rPr>
        <w:footnoteRef/>
      </w:r>
      <w:r w:rsidR="00A76754">
        <w:t xml:space="preserve"> </w:t>
      </w:r>
      <w:r w:rsidR="00A76754" w:rsidRPr="00A76754">
        <w:t>See e.g., Pablo Iglesias-Rodríguez, Regulation of CCPs and the Enforcement of Investor Rights, Conference on Intermediated Securities and Investor Rights, London School of Economics and Political Science, 24 March 2014, https://www.lse.ac.uk/law/Assets/Documents/law-and-financial-markets-project/rodriguez-regulation-of-ccps.pdf.</w:t>
      </w:r>
    </w:p>
  </w:footnote>
  <w:footnote w:id="3">
    <w:p w14:paraId="7DFE05C2" w14:textId="24C56999" w:rsidR="00A248B5" w:rsidRDefault="00A248B5">
      <w:pPr>
        <w:pStyle w:val="FootnoteText"/>
      </w:pPr>
      <w:r>
        <w:rPr>
          <w:rStyle w:val="FootnoteReference"/>
        </w:rPr>
        <w:footnoteRef/>
      </w:r>
      <w:r>
        <w:t xml:space="preserve"> </w:t>
      </w:r>
      <w:r w:rsidRPr="00A248B5">
        <w:t>For example, in relation to Italy, see e.g., https://</w:t>
      </w:r>
      <w:proofErr w:type="spellStart"/>
      <w:r w:rsidRPr="00A248B5">
        <w:t>legacyshop.wki.it</w:t>
      </w:r>
      <w:proofErr w:type="spellEnd"/>
      <w:r w:rsidRPr="00A248B5">
        <w:t>/</w:t>
      </w:r>
      <w:proofErr w:type="spellStart"/>
      <w:r w:rsidRPr="00A248B5">
        <w:t>documenti</w:t>
      </w:r>
      <w:proofErr w:type="spellEnd"/>
      <w:r w:rsidRPr="00A248B5">
        <w:t>/</w:t>
      </w:r>
      <w:proofErr w:type="spellStart"/>
      <w:r w:rsidRPr="00A248B5">
        <w:t>00097790_est.pdf</w:t>
      </w:r>
      <w:proofErr w:type="spellEnd"/>
      <w:r w:rsidRPr="00A248B5">
        <w:t>.</w:t>
      </w:r>
    </w:p>
  </w:footnote>
  <w:footnote w:id="4">
    <w:p w14:paraId="77DB86FE" w14:textId="7C9ACA28" w:rsidR="0076288F" w:rsidRDefault="0076288F">
      <w:pPr>
        <w:pStyle w:val="FootnoteText"/>
      </w:pPr>
      <w:r>
        <w:rPr>
          <w:rStyle w:val="FootnoteReference"/>
        </w:rPr>
        <w:footnoteRef/>
      </w:r>
      <w:r>
        <w:t xml:space="preserve"> </w:t>
      </w:r>
      <w:r w:rsidR="00896B73" w:rsidRPr="00896B73">
        <w:t>See e.g., Eurex Clearing, Default of a Client (2026), https://www.eurex.com/ec-en/services/risk-management/default-management-process/default-of-a-client.</w:t>
      </w:r>
    </w:p>
  </w:footnote>
  <w:footnote w:id="5">
    <w:p w14:paraId="0A36AF62" w14:textId="34DF89D3" w:rsidR="008F6CE3" w:rsidRDefault="008F6CE3">
      <w:pPr>
        <w:pStyle w:val="FootnoteText"/>
      </w:pPr>
      <w:r>
        <w:rPr>
          <w:rStyle w:val="FootnoteReference"/>
        </w:rPr>
        <w:footnoteRef/>
      </w:r>
      <w:r>
        <w:t xml:space="preserve"> </w:t>
      </w:r>
      <w:r w:rsidRPr="008F6CE3">
        <w:t>See e.g., S&amp;P Global, General Criteria: Guarantee Criteria (21 October 2016), https://www.spglobal.com/ratings/jp/regulatory/article/-/view/sourceId/9779138.</w:t>
      </w:r>
    </w:p>
  </w:footnote>
  <w:footnote w:id="6">
    <w:p w14:paraId="03C88753" w14:textId="5B2CD34F" w:rsidR="000079C5" w:rsidRDefault="000079C5">
      <w:pPr>
        <w:pStyle w:val="FootnoteText"/>
      </w:pPr>
      <w:r>
        <w:rPr>
          <w:rStyle w:val="FootnoteReference"/>
        </w:rPr>
        <w:footnoteRef/>
      </w:r>
      <w:r>
        <w:t xml:space="preserve"> </w:t>
      </w:r>
      <w:r w:rsidRPr="000079C5">
        <w:t>See e.g., Publicly-Owned Company (Cambridge Business English Dictionary, 2026), https://dictionary.cambridge.org/dictionary/english/publicly-owned-company</w:t>
      </w:r>
      <w:r>
        <w:t>.</w:t>
      </w:r>
    </w:p>
  </w:footnote>
  <w:footnote w:id="7">
    <w:p w14:paraId="185F8261" w14:textId="61B8C0E2" w:rsidR="00711F1A" w:rsidRDefault="00711F1A">
      <w:pPr>
        <w:pStyle w:val="FootnoteText"/>
      </w:pPr>
      <w:r>
        <w:rPr>
          <w:rStyle w:val="FootnoteReference"/>
        </w:rPr>
        <w:footnoteRef/>
      </w:r>
      <w:r>
        <w:t xml:space="preserve"> </w:t>
      </w:r>
      <w:r w:rsidRPr="00711F1A">
        <w:t>See e.g., Banca d’Italia, Shareholders (2026), https://www.bancaditalia.it/chi-siamo/funzioni-governance/partecipanti-capitale/index.html?com.dotmarketing.htmlpage.language=1.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76D8A236" w14:textId="77777777" w:rsidTr="296079D6">
      <w:trPr>
        <w:trHeight w:val="300"/>
      </w:trPr>
      <w:tc>
        <w:tcPr>
          <w:tcW w:w="3020" w:type="dxa"/>
        </w:tcPr>
        <w:p w14:paraId="4C0D83D6" w14:textId="1D07C450" w:rsidR="296079D6" w:rsidRDefault="296079D6" w:rsidP="296079D6">
          <w:pPr>
            <w:pStyle w:val="Header"/>
            <w:ind w:left="-115"/>
            <w:jc w:val="left"/>
          </w:pPr>
        </w:p>
      </w:tc>
      <w:tc>
        <w:tcPr>
          <w:tcW w:w="3020" w:type="dxa"/>
        </w:tcPr>
        <w:p w14:paraId="5F6E5D6D" w14:textId="78CCE3A7" w:rsidR="296079D6" w:rsidRDefault="296079D6" w:rsidP="296079D6">
          <w:pPr>
            <w:pStyle w:val="Header"/>
            <w:jc w:val="center"/>
          </w:pPr>
        </w:p>
      </w:tc>
      <w:tc>
        <w:tcPr>
          <w:tcW w:w="3020" w:type="dxa"/>
        </w:tcPr>
        <w:p w14:paraId="6E6D04F9" w14:textId="6B14CEDE" w:rsidR="296079D6" w:rsidRDefault="296079D6" w:rsidP="296079D6">
          <w:pPr>
            <w:pStyle w:val="Header"/>
            <w:ind w:right="-115"/>
            <w:jc w:val="right"/>
          </w:pPr>
        </w:p>
      </w:tc>
    </w:tr>
  </w:tbl>
  <w:p w14:paraId="6E7E6717" w14:textId="102B89E2" w:rsidR="296079D6" w:rsidRDefault="296079D6" w:rsidP="29607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00CFC632" w:rsidR="004E60D2" w:rsidRPr="004E058E" w:rsidRDefault="004E60D2" w:rsidP="004E60D2">
    <w:pPr>
      <w:spacing w:after="0"/>
      <w:jc w:val="right"/>
      <w:rPr>
        <w:rStyle w:val="normaltextrun"/>
        <w:color w:val="001B4F"/>
        <w:sz w:val="16"/>
        <w:szCs w:val="16"/>
        <w:shd w:val="clear" w:color="auto" w:fill="FFFFFF"/>
      </w:rPr>
    </w:pPr>
    <w:r w:rsidRPr="004E058E">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621832">
      <w:rPr>
        <w:rStyle w:val="normaltextrun"/>
        <w:color w:val="001B4F"/>
        <w:sz w:val="16"/>
        <w:szCs w:val="16"/>
        <w:shd w:val="clear" w:color="auto" w:fill="FFFFFF"/>
      </w:rPr>
      <w:t>23 February 2026</w:t>
    </w:r>
  </w:p>
  <w:p w14:paraId="4AF05B1F" w14:textId="12B51104" w:rsidR="004E60D2" w:rsidRDefault="004E60D2" w:rsidP="00621832">
    <w:pPr>
      <w:jc w:val="right"/>
    </w:pPr>
    <w:r w:rsidRPr="00A13F61">
      <w:rPr>
        <w:rStyle w:val="normaltextrun"/>
        <w:color w:val="001B4F"/>
        <w:sz w:val="16"/>
        <w:szCs w:val="16"/>
        <w:shd w:val="clear" w:color="auto" w:fill="FFFFFF"/>
      </w:rPr>
      <w:t>ESMA</w:t>
    </w:r>
    <w:r w:rsidR="00A13F61" w:rsidRPr="00A13F61">
      <w:rPr>
        <w:rStyle w:val="normaltextrun"/>
        <w:color w:val="001B4F"/>
        <w:sz w:val="16"/>
        <w:szCs w:val="16"/>
        <w:shd w:val="clear" w:color="auto" w:fill="FFFFFF"/>
      </w:rPr>
      <w:t>91-1505572268-4723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36268B77" w14:textId="77777777" w:rsidTr="296079D6">
      <w:trPr>
        <w:trHeight w:val="300"/>
      </w:trPr>
      <w:tc>
        <w:tcPr>
          <w:tcW w:w="3135" w:type="dxa"/>
        </w:tcPr>
        <w:p w14:paraId="0EB5367C" w14:textId="4E34CFED" w:rsidR="296079D6" w:rsidRDefault="296079D6" w:rsidP="296079D6">
          <w:pPr>
            <w:pStyle w:val="Header"/>
            <w:ind w:left="-115"/>
            <w:jc w:val="left"/>
          </w:pPr>
        </w:p>
      </w:tc>
      <w:tc>
        <w:tcPr>
          <w:tcW w:w="3135" w:type="dxa"/>
        </w:tcPr>
        <w:p w14:paraId="0682432A" w14:textId="50492F17" w:rsidR="296079D6" w:rsidRDefault="296079D6" w:rsidP="296079D6">
          <w:pPr>
            <w:pStyle w:val="Header"/>
            <w:jc w:val="center"/>
          </w:pPr>
        </w:p>
      </w:tc>
      <w:tc>
        <w:tcPr>
          <w:tcW w:w="3135" w:type="dxa"/>
        </w:tcPr>
        <w:p w14:paraId="390C9734" w14:textId="5CD98D2D" w:rsidR="296079D6" w:rsidRDefault="296079D6" w:rsidP="296079D6">
          <w:pPr>
            <w:pStyle w:val="Header"/>
            <w:ind w:right="-115"/>
            <w:jc w:val="right"/>
          </w:pPr>
        </w:p>
      </w:tc>
    </w:tr>
  </w:tbl>
  <w:p w14:paraId="0B2F4F8F" w14:textId="20D35276" w:rsidR="296079D6" w:rsidRDefault="296079D6" w:rsidP="296079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5F177A0B" w14:textId="77777777" w:rsidTr="296079D6">
      <w:trPr>
        <w:trHeight w:val="300"/>
      </w:trPr>
      <w:tc>
        <w:tcPr>
          <w:tcW w:w="3135" w:type="dxa"/>
        </w:tcPr>
        <w:p w14:paraId="336760F0" w14:textId="69B81E0B" w:rsidR="296079D6" w:rsidRDefault="296079D6" w:rsidP="296079D6">
          <w:pPr>
            <w:pStyle w:val="Header"/>
            <w:ind w:left="-115"/>
            <w:jc w:val="left"/>
          </w:pPr>
        </w:p>
      </w:tc>
      <w:tc>
        <w:tcPr>
          <w:tcW w:w="3135" w:type="dxa"/>
        </w:tcPr>
        <w:p w14:paraId="52F93C1D" w14:textId="138730E9" w:rsidR="296079D6" w:rsidRDefault="296079D6" w:rsidP="296079D6">
          <w:pPr>
            <w:pStyle w:val="Header"/>
            <w:jc w:val="center"/>
          </w:pPr>
        </w:p>
      </w:tc>
      <w:tc>
        <w:tcPr>
          <w:tcW w:w="3135" w:type="dxa"/>
        </w:tcPr>
        <w:p w14:paraId="4FD76FD1" w14:textId="7BFB4000" w:rsidR="296079D6" w:rsidRDefault="296079D6" w:rsidP="296079D6">
          <w:pPr>
            <w:pStyle w:val="Header"/>
            <w:ind w:right="-115"/>
            <w:jc w:val="right"/>
          </w:pPr>
        </w:p>
      </w:tc>
    </w:tr>
  </w:tbl>
  <w:p w14:paraId="6902044D" w14:textId="0EB4ACA7" w:rsidR="296079D6" w:rsidRDefault="296079D6" w:rsidP="29607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hideSpellingErrors/>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1DBA"/>
    <w:rsid w:val="00002232"/>
    <w:rsid w:val="00002491"/>
    <w:rsid w:val="0000378E"/>
    <w:rsid w:val="00003AEB"/>
    <w:rsid w:val="00005BBA"/>
    <w:rsid w:val="00005D8C"/>
    <w:rsid w:val="00006C2B"/>
    <w:rsid w:val="00007014"/>
    <w:rsid w:val="00007968"/>
    <w:rsid w:val="000079C5"/>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4D96"/>
    <w:rsid w:val="00045CA6"/>
    <w:rsid w:val="000463A6"/>
    <w:rsid w:val="00046CC9"/>
    <w:rsid w:val="00046E91"/>
    <w:rsid w:val="000502FE"/>
    <w:rsid w:val="0005126D"/>
    <w:rsid w:val="00051992"/>
    <w:rsid w:val="00051E9A"/>
    <w:rsid w:val="000521A7"/>
    <w:rsid w:val="00052F47"/>
    <w:rsid w:val="0005345B"/>
    <w:rsid w:val="000537BB"/>
    <w:rsid w:val="0005399B"/>
    <w:rsid w:val="00054DE6"/>
    <w:rsid w:val="000569D7"/>
    <w:rsid w:val="000576D7"/>
    <w:rsid w:val="00060F72"/>
    <w:rsid w:val="00062592"/>
    <w:rsid w:val="000636A1"/>
    <w:rsid w:val="000649D9"/>
    <w:rsid w:val="000652BE"/>
    <w:rsid w:val="00066479"/>
    <w:rsid w:val="0006723C"/>
    <w:rsid w:val="00067918"/>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6B54"/>
    <w:rsid w:val="000878D1"/>
    <w:rsid w:val="00090F4B"/>
    <w:rsid w:val="000921AE"/>
    <w:rsid w:val="000921D7"/>
    <w:rsid w:val="000925FF"/>
    <w:rsid w:val="000932E0"/>
    <w:rsid w:val="00093F63"/>
    <w:rsid w:val="00094853"/>
    <w:rsid w:val="00094C4C"/>
    <w:rsid w:val="00096762"/>
    <w:rsid w:val="000969C8"/>
    <w:rsid w:val="0009752D"/>
    <w:rsid w:val="00097AEE"/>
    <w:rsid w:val="000A014A"/>
    <w:rsid w:val="000A0396"/>
    <w:rsid w:val="000A04B6"/>
    <w:rsid w:val="000A0E36"/>
    <w:rsid w:val="000A1BD2"/>
    <w:rsid w:val="000A2127"/>
    <w:rsid w:val="000A358F"/>
    <w:rsid w:val="000A3FED"/>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0CF"/>
    <w:rsid w:val="000E4926"/>
    <w:rsid w:val="000E49B7"/>
    <w:rsid w:val="000E5F7F"/>
    <w:rsid w:val="000E7086"/>
    <w:rsid w:val="000E7C65"/>
    <w:rsid w:val="000F04D2"/>
    <w:rsid w:val="000F0AB1"/>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7DD"/>
    <w:rsid w:val="00117C20"/>
    <w:rsid w:val="00120F0E"/>
    <w:rsid w:val="00121A5D"/>
    <w:rsid w:val="00121BED"/>
    <w:rsid w:val="00123D39"/>
    <w:rsid w:val="001244CD"/>
    <w:rsid w:val="0012566F"/>
    <w:rsid w:val="001262B1"/>
    <w:rsid w:val="00130F41"/>
    <w:rsid w:val="00130FAF"/>
    <w:rsid w:val="00135967"/>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1142"/>
    <w:rsid w:val="00191EBF"/>
    <w:rsid w:val="0019311A"/>
    <w:rsid w:val="0019508A"/>
    <w:rsid w:val="001960D8"/>
    <w:rsid w:val="001A1642"/>
    <w:rsid w:val="001A371B"/>
    <w:rsid w:val="001A4766"/>
    <w:rsid w:val="001A6A0D"/>
    <w:rsid w:val="001A6C51"/>
    <w:rsid w:val="001A6FAA"/>
    <w:rsid w:val="001A7D73"/>
    <w:rsid w:val="001B0363"/>
    <w:rsid w:val="001B107C"/>
    <w:rsid w:val="001B1355"/>
    <w:rsid w:val="001B2244"/>
    <w:rsid w:val="001B2FC9"/>
    <w:rsid w:val="001B3138"/>
    <w:rsid w:val="001B3313"/>
    <w:rsid w:val="001B4160"/>
    <w:rsid w:val="001B4E4B"/>
    <w:rsid w:val="001B50AC"/>
    <w:rsid w:val="001B5E05"/>
    <w:rsid w:val="001B6D68"/>
    <w:rsid w:val="001B6F2E"/>
    <w:rsid w:val="001C0344"/>
    <w:rsid w:val="001C0F2A"/>
    <w:rsid w:val="001C1A59"/>
    <w:rsid w:val="001C270F"/>
    <w:rsid w:val="001C3526"/>
    <w:rsid w:val="001C4525"/>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57E9"/>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943"/>
    <w:rsid w:val="00223D11"/>
    <w:rsid w:val="002242D3"/>
    <w:rsid w:val="00227C1A"/>
    <w:rsid w:val="002301E6"/>
    <w:rsid w:val="00232555"/>
    <w:rsid w:val="00232F76"/>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3D7F"/>
    <w:rsid w:val="00264077"/>
    <w:rsid w:val="00266B9A"/>
    <w:rsid w:val="00267BAE"/>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0B51"/>
    <w:rsid w:val="00291763"/>
    <w:rsid w:val="00291D80"/>
    <w:rsid w:val="00292E82"/>
    <w:rsid w:val="00293156"/>
    <w:rsid w:val="00293BE7"/>
    <w:rsid w:val="00293D78"/>
    <w:rsid w:val="002946DC"/>
    <w:rsid w:val="0029493B"/>
    <w:rsid w:val="002A08CC"/>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5A04"/>
    <w:rsid w:val="002B7656"/>
    <w:rsid w:val="002C0642"/>
    <w:rsid w:val="002C0D1F"/>
    <w:rsid w:val="002C1492"/>
    <w:rsid w:val="002C1E8B"/>
    <w:rsid w:val="002C2EFE"/>
    <w:rsid w:val="002C497F"/>
    <w:rsid w:val="002C53AA"/>
    <w:rsid w:val="002C5B2D"/>
    <w:rsid w:val="002C6AF9"/>
    <w:rsid w:val="002C7DFC"/>
    <w:rsid w:val="002D08B8"/>
    <w:rsid w:val="002D14F3"/>
    <w:rsid w:val="002D16E4"/>
    <w:rsid w:val="002D2D9F"/>
    <w:rsid w:val="002D2FEF"/>
    <w:rsid w:val="002D36A3"/>
    <w:rsid w:val="002D36C2"/>
    <w:rsid w:val="002D3FCB"/>
    <w:rsid w:val="002D4FEF"/>
    <w:rsid w:val="002D502D"/>
    <w:rsid w:val="002D5860"/>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B2A"/>
    <w:rsid w:val="00313F3D"/>
    <w:rsid w:val="00314013"/>
    <w:rsid w:val="00314945"/>
    <w:rsid w:val="00315389"/>
    <w:rsid w:val="00315746"/>
    <w:rsid w:val="003157BE"/>
    <w:rsid w:val="00315E96"/>
    <w:rsid w:val="00316E7D"/>
    <w:rsid w:val="00317FC8"/>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374F"/>
    <w:rsid w:val="00344496"/>
    <w:rsid w:val="0034482E"/>
    <w:rsid w:val="00345968"/>
    <w:rsid w:val="00347667"/>
    <w:rsid w:val="003507E2"/>
    <w:rsid w:val="00350CE0"/>
    <w:rsid w:val="003522B2"/>
    <w:rsid w:val="0035455E"/>
    <w:rsid w:val="00354A6F"/>
    <w:rsid w:val="00354B48"/>
    <w:rsid w:val="00355789"/>
    <w:rsid w:val="003609B6"/>
    <w:rsid w:val="00361119"/>
    <w:rsid w:val="003618E4"/>
    <w:rsid w:val="0036538D"/>
    <w:rsid w:val="00365D12"/>
    <w:rsid w:val="00366A11"/>
    <w:rsid w:val="00366E20"/>
    <w:rsid w:val="0037018D"/>
    <w:rsid w:val="00372299"/>
    <w:rsid w:val="00372F02"/>
    <w:rsid w:val="00373729"/>
    <w:rsid w:val="00373C91"/>
    <w:rsid w:val="0037419B"/>
    <w:rsid w:val="003748F0"/>
    <w:rsid w:val="003755C6"/>
    <w:rsid w:val="00375AEF"/>
    <w:rsid w:val="00376367"/>
    <w:rsid w:val="00376B02"/>
    <w:rsid w:val="0037733A"/>
    <w:rsid w:val="003776DC"/>
    <w:rsid w:val="003779C1"/>
    <w:rsid w:val="00380FEC"/>
    <w:rsid w:val="00381226"/>
    <w:rsid w:val="00381B1B"/>
    <w:rsid w:val="00381FF6"/>
    <w:rsid w:val="0038241C"/>
    <w:rsid w:val="00383D7D"/>
    <w:rsid w:val="00384CCE"/>
    <w:rsid w:val="003865E5"/>
    <w:rsid w:val="003906EC"/>
    <w:rsid w:val="003926C1"/>
    <w:rsid w:val="00392900"/>
    <w:rsid w:val="00393357"/>
    <w:rsid w:val="00395008"/>
    <w:rsid w:val="00395E7B"/>
    <w:rsid w:val="00395F4C"/>
    <w:rsid w:val="003A00A8"/>
    <w:rsid w:val="003A51C5"/>
    <w:rsid w:val="003A5A73"/>
    <w:rsid w:val="003A5DAC"/>
    <w:rsid w:val="003A6591"/>
    <w:rsid w:val="003A6E9A"/>
    <w:rsid w:val="003B08C8"/>
    <w:rsid w:val="003B246A"/>
    <w:rsid w:val="003B2567"/>
    <w:rsid w:val="003B381A"/>
    <w:rsid w:val="003B46CC"/>
    <w:rsid w:val="003B4976"/>
    <w:rsid w:val="003B4B3F"/>
    <w:rsid w:val="003B6258"/>
    <w:rsid w:val="003B6560"/>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D7135"/>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4B22"/>
    <w:rsid w:val="0041634D"/>
    <w:rsid w:val="00416ABC"/>
    <w:rsid w:val="00417EF7"/>
    <w:rsid w:val="0042141E"/>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38A"/>
    <w:rsid w:val="0043173B"/>
    <w:rsid w:val="00431B0A"/>
    <w:rsid w:val="00431DA4"/>
    <w:rsid w:val="00432A90"/>
    <w:rsid w:val="00432A91"/>
    <w:rsid w:val="004332A4"/>
    <w:rsid w:val="004344B8"/>
    <w:rsid w:val="0043453F"/>
    <w:rsid w:val="00434A74"/>
    <w:rsid w:val="004350F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41DE"/>
    <w:rsid w:val="00466926"/>
    <w:rsid w:val="00466FDA"/>
    <w:rsid w:val="004671D0"/>
    <w:rsid w:val="004674D1"/>
    <w:rsid w:val="00470773"/>
    <w:rsid w:val="00471FF9"/>
    <w:rsid w:val="004722A1"/>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3C8"/>
    <w:rsid w:val="00492457"/>
    <w:rsid w:val="004924A8"/>
    <w:rsid w:val="004934BA"/>
    <w:rsid w:val="004934E9"/>
    <w:rsid w:val="00494737"/>
    <w:rsid w:val="00494D5C"/>
    <w:rsid w:val="00495A6A"/>
    <w:rsid w:val="00495D5E"/>
    <w:rsid w:val="00495EE3"/>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3CF5"/>
    <w:rsid w:val="004B59E0"/>
    <w:rsid w:val="004B667B"/>
    <w:rsid w:val="004B71C7"/>
    <w:rsid w:val="004C03AA"/>
    <w:rsid w:val="004C0B9A"/>
    <w:rsid w:val="004C12DB"/>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58E"/>
    <w:rsid w:val="004E0A28"/>
    <w:rsid w:val="004E1A0F"/>
    <w:rsid w:val="004E2E89"/>
    <w:rsid w:val="004E33C2"/>
    <w:rsid w:val="004E3B9A"/>
    <w:rsid w:val="004E49B0"/>
    <w:rsid w:val="004E60D2"/>
    <w:rsid w:val="004E62DE"/>
    <w:rsid w:val="004E6B05"/>
    <w:rsid w:val="004E76A1"/>
    <w:rsid w:val="004F05DE"/>
    <w:rsid w:val="004F1A78"/>
    <w:rsid w:val="004F6376"/>
    <w:rsid w:val="004F6A93"/>
    <w:rsid w:val="004F6F14"/>
    <w:rsid w:val="004F728D"/>
    <w:rsid w:val="004F76D9"/>
    <w:rsid w:val="004F79A6"/>
    <w:rsid w:val="00501BF5"/>
    <w:rsid w:val="00501D8B"/>
    <w:rsid w:val="00502F7C"/>
    <w:rsid w:val="005039EC"/>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886"/>
    <w:rsid w:val="00517EF8"/>
    <w:rsid w:val="00520083"/>
    <w:rsid w:val="0052029E"/>
    <w:rsid w:val="0052076A"/>
    <w:rsid w:val="00520A2C"/>
    <w:rsid w:val="00520E25"/>
    <w:rsid w:val="0052183D"/>
    <w:rsid w:val="00522B01"/>
    <w:rsid w:val="00522F44"/>
    <w:rsid w:val="0052360A"/>
    <w:rsid w:val="005242BA"/>
    <w:rsid w:val="005243B8"/>
    <w:rsid w:val="005252DD"/>
    <w:rsid w:val="005259BF"/>
    <w:rsid w:val="00530A8D"/>
    <w:rsid w:val="0053125B"/>
    <w:rsid w:val="00531C6D"/>
    <w:rsid w:val="00532EF4"/>
    <w:rsid w:val="005347CE"/>
    <w:rsid w:val="00535477"/>
    <w:rsid w:val="00535DEA"/>
    <w:rsid w:val="0053723A"/>
    <w:rsid w:val="00537636"/>
    <w:rsid w:val="00537B1D"/>
    <w:rsid w:val="00540191"/>
    <w:rsid w:val="00540A2A"/>
    <w:rsid w:val="00541F27"/>
    <w:rsid w:val="00542297"/>
    <w:rsid w:val="005424B8"/>
    <w:rsid w:val="005424BC"/>
    <w:rsid w:val="00542A28"/>
    <w:rsid w:val="005441D4"/>
    <w:rsid w:val="00545B8D"/>
    <w:rsid w:val="0054672D"/>
    <w:rsid w:val="00547728"/>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8DA"/>
    <w:rsid w:val="00574A6C"/>
    <w:rsid w:val="005765C0"/>
    <w:rsid w:val="005778DE"/>
    <w:rsid w:val="00580B3F"/>
    <w:rsid w:val="00581535"/>
    <w:rsid w:val="005825F2"/>
    <w:rsid w:val="0058344D"/>
    <w:rsid w:val="00583885"/>
    <w:rsid w:val="005860AF"/>
    <w:rsid w:val="00587F1D"/>
    <w:rsid w:val="00590348"/>
    <w:rsid w:val="00591161"/>
    <w:rsid w:val="00592318"/>
    <w:rsid w:val="00593133"/>
    <w:rsid w:val="0059575D"/>
    <w:rsid w:val="00596825"/>
    <w:rsid w:val="005A06A0"/>
    <w:rsid w:val="005A150A"/>
    <w:rsid w:val="005A1C93"/>
    <w:rsid w:val="005A2B3E"/>
    <w:rsid w:val="005A3644"/>
    <w:rsid w:val="005A4087"/>
    <w:rsid w:val="005A4533"/>
    <w:rsid w:val="005A4A26"/>
    <w:rsid w:val="005A4B18"/>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3BD"/>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A48"/>
    <w:rsid w:val="005E4E00"/>
    <w:rsid w:val="005E5481"/>
    <w:rsid w:val="005E55E4"/>
    <w:rsid w:val="005E6C5F"/>
    <w:rsid w:val="005E7636"/>
    <w:rsid w:val="005F028E"/>
    <w:rsid w:val="005F04B4"/>
    <w:rsid w:val="005F0E7E"/>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832"/>
    <w:rsid w:val="00621E1F"/>
    <w:rsid w:val="006228B2"/>
    <w:rsid w:val="006228E1"/>
    <w:rsid w:val="00622E32"/>
    <w:rsid w:val="00623688"/>
    <w:rsid w:val="006247E0"/>
    <w:rsid w:val="00625ABA"/>
    <w:rsid w:val="00625F82"/>
    <w:rsid w:val="00627999"/>
    <w:rsid w:val="00630FF7"/>
    <w:rsid w:val="00633433"/>
    <w:rsid w:val="006341B5"/>
    <w:rsid w:val="006346C9"/>
    <w:rsid w:val="00634727"/>
    <w:rsid w:val="00634B64"/>
    <w:rsid w:val="0063578C"/>
    <w:rsid w:val="00636355"/>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205"/>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15DF"/>
    <w:rsid w:val="00683920"/>
    <w:rsid w:val="00685147"/>
    <w:rsid w:val="00685653"/>
    <w:rsid w:val="0068590D"/>
    <w:rsid w:val="00685A89"/>
    <w:rsid w:val="006861B3"/>
    <w:rsid w:val="00686FA2"/>
    <w:rsid w:val="006870C5"/>
    <w:rsid w:val="006901CE"/>
    <w:rsid w:val="006906F9"/>
    <w:rsid w:val="00690F0E"/>
    <w:rsid w:val="006911C0"/>
    <w:rsid w:val="00691B7C"/>
    <w:rsid w:val="00692ADF"/>
    <w:rsid w:val="00693907"/>
    <w:rsid w:val="00694B73"/>
    <w:rsid w:val="00694DF2"/>
    <w:rsid w:val="00695F80"/>
    <w:rsid w:val="006966CD"/>
    <w:rsid w:val="00696735"/>
    <w:rsid w:val="0069780E"/>
    <w:rsid w:val="006A0015"/>
    <w:rsid w:val="006A2CA2"/>
    <w:rsid w:val="006A3DEE"/>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C715D"/>
    <w:rsid w:val="006D399F"/>
    <w:rsid w:val="006D4F0C"/>
    <w:rsid w:val="006D5645"/>
    <w:rsid w:val="006E0C8A"/>
    <w:rsid w:val="006E2A23"/>
    <w:rsid w:val="006E35E5"/>
    <w:rsid w:val="006E3C72"/>
    <w:rsid w:val="006E4F20"/>
    <w:rsid w:val="006E649A"/>
    <w:rsid w:val="006F03D1"/>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37F9"/>
    <w:rsid w:val="0070421B"/>
    <w:rsid w:val="00704380"/>
    <w:rsid w:val="007043F0"/>
    <w:rsid w:val="0070482E"/>
    <w:rsid w:val="00704988"/>
    <w:rsid w:val="00704D25"/>
    <w:rsid w:val="0070781C"/>
    <w:rsid w:val="00710519"/>
    <w:rsid w:val="007107E0"/>
    <w:rsid w:val="00710F6E"/>
    <w:rsid w:val="00711663"/>
    <w:rsid w:val="007116B4"/>
    <w:rsid w:val="00711F1A"/>
    <w:rsid w:val="007121FB"/>
    <w:rsid w:val="00712580"/>
    <w:rsid w:val="007133E4"/>
    <w:rsid w:val="00713788"/>
    <w:rsid w:val="00713940"/>
    <w:rsid w:val="007151A2"/>
    <w:rsid w:val="007158DD"/>
    <w:rsid w:val="00716774"/>
    <w:rsid w:val="0071740A"/>
    <w:rsid w:val="007209DD"/>
    <w:rsid w:val="00722E49"/>
    <w:rsid w:val="0072300F"/>
    <w:rsid w:val="00723A08"/>
    <w:rsid w:val="00723B5C"/>
    <w:rsid w:val="00724391"/>
    <w:rsid w:val="00724C18"/>
    <w:rsid w:val="00725233"/>
    <w:rsid w:val="00725FB1"/>
    <w:rsid w:val="00726630"/>
    <w:rsid w:val="00727F73"/>
    <w:rsid w:val="00730705"/>
    <w:rsid w:val="00730944"/>
    <w:rsid w:val="00731475"/>
    <w:rsid w:val="0073248E"/>
    <w:rsid w:val="00733EE9"/>
    <w:rsid w:val="00735B8E"/>
    <w:rsid w:val="00736651"/>
    <w:rsid w:val="0073673C"/>
    <w:rsid w:val="00736935"/>
    <w:rsid w:val="0073702F"/>
    <w:rsid w:val="007378EC"/>
    <w:rsid w:val="00737DD9"/>
    <w:rsid w:val="00743DE7"/>
    <w:rsid w:val="0074509E"/>
    <w:rsid w:val="00745279"/>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288F"/>
    <w:rsid w:val="00763F36"/>
    <w:rsid w:val="007648A0"/>
    <w:rsid w:val="00766647"/>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3932"/>
    <w:rsid w:val="007C49C0"/>
    <w:rsid w:val="007C55C1"/>
    <w:rsid w:val="007C5738"/>
    <w:rsid w:val="007C5772"/>
    <w:rsid w:val="007C5962"/>
    <w:rsid w:val="007C5AC3"/>
    <w:rsid w:val="007C5BD5"/>
    <w:rsid w:val="007C5CE7"/>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55AC"/>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27DAC"/>
    <w:rsid w:val="0083003F"/>
    <w:rsid w:val="00830677"/>
    <w:rsid w:val="00831077"/>
    <w:rsid w:val="00831A4A"/>
    <w:rsid w:val="00832134"/>
    <w:rsid w:val="0083219E"/>
    <w:rsid w:val="008324B3"/>
    <w:rsid w:val="00834534"/>
    <w:rsid w:val="0083497C"/>
    <w:rsid w:val="008352A6"/>
    <w:rsid w:val="00835B5B"/>
    <w:rsid w:val="00835CC2"/>
    <w:rsid w:val="008367AE"/>
    <w:rsid w:val="00836E50"/>
    <w:rsid w:val="00837772"/>
    <w:rsid w:val="00840477"/>
    <w:rsid w:val="0084121D"/>
    <w:rsid w:val="00841456"/>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A81"/>
    <w:rsid w:val="00863CC1"/>
    <w:rsid w:val="00863ECB"/>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1515"/>
    <w:rsid w:val="008922E8"/>
    <w:rsid w:val="00893916"/>
    <w:rsid w:val="0089442C"/>
    <w:rsid w:val="00895818"/>
    <w:rsid w:val="00896B73"/>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D6D0B"/>
    <w:rsid w:val="008E1932"/>
    <w:rsid w:val="008E1B6A"/>
    <w:rsid w:val="008E261D"/>
    <w:rsid w:val="008E3054"/>
    <w:rsid w:val="008E32FF"/>
    <w:rsid w:val="008E4202"/>
    <w:rsid w:val="008E5625"/>
    <w:rsid w:val="008E5C5B"/>
    <w:rsid w:val="008E6A37"/>
    <w:rsid w:val="008F0354"/>
    <w:rsid w:val="008F085A"/>
    <w:rsid w:val="008F1462"/>
    <w:rsid w:val="008F2413"/>
    <w:rsid w:val="008F248D"/>
    <w:rsid w:val="008F4B2C"/>
    <w:rsid w:val="008F4C08"/>
    <w:rsid w:val="008F6851"/>
    <w:rsid w:val="008F6CE3"/>
    <w:rsid w:val="008F7BC4"/>
    <w:rsid w:val="009003B8"/>
    <w:rsid w:val="00900E7A"/>
    <w:rsid w:val="009013B5"/>
    <w:rsid w:val="00902215"/>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27708"/>
    <w:rsid w:val="009305C4"/>
    <w:rsid w:val="00930833"/>
    <w:rsid w:val="00931FAF"/>
    <w:rsid w:val="00932478"/>
    <w:rsid w:val="009360F6"/>
    <w:rsid w:val="009371DC"/>
    <w:rsid w:val="0093759D"/>
    <w:rsid w:val="00940239"/>
    <w:rsid w:val="00942BD6"/>
    <w:rsid w:val="00942DED"/>
    <w:rsid w:val="00944404"/>
    <w:rsid w:val="009452D7"/>
    <w:rsid w:val="00945D12"/>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0F12"/>
    <w:rsid w:val="00971DA3"/>
    <w:rsid w:val="00972161"/>
    <w:rsid w:val="0097261B"/>
    <w:rsid w:val="00974881"/>
    <w:rsid w:val="0097606C"/>
    <w:rsid w:val="009771D1"/>
    <w:rsid w:val="0098012D"/>
    <w:rsid w:val="00980845"/>
    <w:rsid w:val="00981BD9"/>
    <w:rsid w:val="0098225F"/>
    <w:rsid w:val="00982C99"/>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957B2"/>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047"/>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B4D"/>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3F61"/>
    <w:rsid w:val="00A160D3"/>
    <w:rsid w:val="00A16DC9"/>
    <w:rsid w:val="00A20225"/>
    <w:rsid w:val="00A24269"/>
    <w:rsid w:val="00A243E4"/>
    <w:rsid w:val="00A248B5"/>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3E5"/>
    <w:rsid w:val="00A4173D"/>
    <w:rsid w:val="00A41A95"/>
    <w:rsid w:val="00A4248B"/>
    <w:rsid w:val="00A4376E"/>
    <w:rsid w:val="00A44D22"/>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46A5"/>
    <w:rsid w:val="00A65805"/>
    <w:rsid w:val="00A66BEE"/>
    <w:rsid w:val="00A671C9"/>
    <w:rsid w:val="00A67DFD"/>
    <w:rsid w:val="00A74F9F"/>
    <w:rsid w:val="00A750B3"/>
    <w:rsid w:val="00A75559"/>
    <w:rsid w:val="00A75AE8"/>
    <w:rsid w:val="00A7623D"/>
    <w:rsid w:val="00A76754"/>
    <w:rsid w:val="00A8217C"/>
    <w:rsid w:val="00A824A7"/>
    <w:rsid w:val="00A83644"/>
    <w:rsid w:val="00A83C07"/>
    <w:rsid w:val="00A83F40"/>
    <w:rsid w:val="00A84945"/>
    <w:rsid w:val="00A85543"/>
    <w:rsid w:val="00A86EDD"/>
    <w:rsid w:val="00A8728B"/>
    <w:rsid w:val="00A91682"/>
    <w:rsid w:val="00A92125"/>
    <w:rsid w:val="00A92E4A"/>
    <w:rsid w:val="00A94348"/>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79A"/>
    <w:rsid w:val="00AC3934"/>
    <w:rsid w:val="00AC50C8"/>
    <w:rsid w:val="00AC5581"/>
    <w:rsid w:val="00AC56AD"/>
    <w:rsid w:val="00AC61BE"/>
    <w:rsid w:val="00AC7E2D"/>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0A2"/>
    <w:rsid w:val="00AF4401"/>
    <w:rsid w:val="00AF4463"/>
    <w:rsid w:val="00AF502B"/>
    <w:rsid w:val="00AF53CB"/>
    <w:rsid w:val="00AF65C5"/>
    <w:rsid w:val="00AF6B6F"/>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1E2B"/>
    <w:rsid w:val="00B33294"/>
    <w:rsid w:val="00B33657"/>
    <w:rsid w:val="00B34885"/>
    <w:rsid w:val="00B34D68"/>
    <w:rsid w:val="00B35AE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6D46"/>
    <w:rsid w:val="00B57107"/>
    <w:rsid w:val="00B60D27"/>
    <w:rsid w:val="00B619E4"/>
    <w:rsid w:val="00B61CD3"/>
    <w:rsid w:val="00B61D0B"/>
    <w:rsid w:val="00B61FFD"/>
    <w:rsid w:val="00B6351C"/>
    <w:rsid w:val="00B6439A"/>
    <w:rsid w:val="00B6443B"/>
    <w:rsid w:val="00B6517B"/>
    <w:rsid w:val="00B658A2"/>
    <w:rsid w:val="00B65E71"/>
    <w:rsid w:val="00B66C26"/>
    <w:rsid w:val="00B67829"/>
    <w:rsid w:val="00B71FB3"/>
    <w:rsid w:val="00B73492"/>
    <w:rsid w:val="00B744D6"/>
    <w:rsid w:val="00B7512A"/>
    <w:rsid w:val="00B76548"/>
    <w:rsid w:val="00B76BED"/>
    <w:rsid w:val="00B806E6"/>
    <w:rsid w:val="00B82DC1"/>
    <w:rsid w:val="00B835D5"/>
    <w:rsid w:val="00B84028"/>
    <w:rsid w:val="00B84307"/>
    <w:rsid w:val="00B8430D"/>
    <w:rsid w:val="00B85661"/>
    <w:rsid w:val="00B8579C"/>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2317"/>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50"/>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6B8F"/>
    <w:rsid w:val="00C271C4"/>
    <w:rsid w:val="00C274F3"/>
    <w:rsid w:val="00C30A54"/>
    <w:rsid w:val="00C316F7"/>
    <w:rsid w:val="00C31DF0"/>
    <w:rsid w:val="00C321A6"/>
    <w:rsid w:val="00C33916"/>
    <w:rsid w:val="00C33BCF"/>
    <w:rsid w:val="00C34FE2"/>
    <w:rsid w:val="00C353A0"/>
    <w:rsid w:val="00C368D7"/>
    <w:rsid w:val="00C36FD1"/>
    <w:rsid w:val="00C371A5"/>
    <w:rsid w:val="00C400B0"/>
    <w:rsid w:val="00C413FC"/>
    <w:rsid w:val="00C42424"/>
    <w:rsid w:val="00C43D33"/>
    <w:rsid w:val="00C44407"/>
    <w:rsid w:val="00C456E8"/>
    <w:rsid w:val="00C45CDA"/>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19AA"/>
    <w:rsid w:val="00C638C2"/>
    <w:rsid w:val="00C651D4"/>
    <w:rsid w:val="00C6669E"/>
    <w:rsid w:val="00C672B0"/>
    <w:rsid w:val="00C72976"/>
    <w:rsid w:val="00C729C7"/>
    <w:rsid w:val="00C75F5F"/>
    <w:rsid w:val="00C777AD"/>
    <w:rsid w:val="00C80C53"/>
    <w:rsid w:val="00C81195"/>
    <w:rsid w:val="00C81798"/>
    <w:rsid w:val="00C8244A"/>
    <w:rsid w:val="00C85387"/>
    <w:rsid w:val="00C85E52"/>
    <w:rsid w:val="00C86471"/>
    <w:rsid w:val="00C8677B"/>
    <w:rsid w:val="00C86F96"/>
    <w:rsid w:val="00C901C2"/>
    <w:rsid w:val="00C909C6"/>
    <w:rsid w:val="00C923B7"/>
    <w:rsid w:val="00C93FE0"/>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2B8D"/>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3D90"/>
    <w:rsid w:val="00CD4EB0"/>
    <w:rsid w:val="00CD512D"/>
    <w:rsid w:val="00CD5831"/>
    <w:rsid w:val="00CD6F6E"/>
    <w:rsid w:val="00CE157F"/>
    <w:rsid w:val="00CE1966"/>
    <w:rsid w:val="00CE1ED4"/>
    <w:rsid w:val="00CE2216"/>
    <w:rsid w:val="00CE2971"/>
    <w:rsid w:val="00CE3014"/>
    <w:rsid w:val="00CE30E5"/>
    <w:rsid w:val="00CE438D"/>
    <w:rsid w:val="00CE6FC6"/>
    <w:rsid w:val="00CE7B88"/>
    <w:rsid w:val="00CF2056"/>
    <w:rsid w:val="00CF4471"/>
    <w:rsid w:val="00CF51C0"/>
    <w:rsid w:val="00CF59F1"/>
    <w:rsid w:val="00CF5B2A"/>
    <w:rsid w:val="00CF5F57"/>
    <w:rsid w:val="00CF64A7"/>
    <w:rsid w:val="00CF6730"/>
    <w:rsid w:val="00CF70E5"/>
    <w:rsid w:val="00CF7CEC"/>
    <w:rsid w:val="00D00901"/>
    <w:rsid w:val="00D00B0F"/>
    <w:rsid w:val="00D01BF4"/>
    <w:rsid w:val="00D0272C"/>
    <w:rsid w:val="00D045CE"/>
    <w:rsid w:val="00D05082"/>
    <w:rsid w:val="00D05FEF"/>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47F37"/>
    <w:rsid w:val="00D511C6"/>
    <w:rsid w:val="00D5121D"/>
    <w:rsid w:val="00D516AC"/>
    <w:rsid w:val="00D521BB"/>
    <w:rsid w:val="00D52875"/>
    <w:rsid w:val="00D53941"/>
    <w:rsid w:val="00D54050"/>
    <w:rsid w:val="00D56AC0"/>
    <w:rsid w:val="00D600EE"/>
    <w:rsid w:val="00D6081B"/>
    <w:rsid w:val="00D60960"/>
    <w:rsid w:val="00D6240A"/>
    <w:rsid w:val="00D63093"/>
    <w:rsid w:val="00D63380"/>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2FC1"/>
    <w:rsid w:val="00D9439D"/>
    <w:rsid w:val="00D9540B"/>
    <w:rsid w:val="00DA0FA7"/>
    <w:rsid w:val="00DA12B0"/>
    <w:rsid w:val="00DA2BA0"/>
    <w:rsid w:val="00DA39AD"/>
    <w:rsid w:val="00DA3D1F"/>
    <w:rsid w:val="00DA5B13"/>
    <w:rsid w:val="00DA6917"/>
    <w:rsid w:val="00DA6926"/>
    <w:rsid w:val="00DB0965"/>
    <w:rsid w:val="00DB0E47"/>
    <w:rsid w:val="00DB2BDD"/>
    <w:rsid w:val="00DB2C79"/>
    <w:rsid w:val="00DB4121"/>
    <w:rsid w:val="00DB46C3"/>
    <w:rsid w:val="00DB5742"/>
    <w:rsid w:val="00DB5EDF"/>
    <w:rsid w:val="00DB6C46"/>
    <w:rsid w:val="00DB72B8"/>
    <w:rsid w:val="00DC16AF"/>
    <w:rsid w:val="00DC1FF5"/>
    <w:rsid w:val="00DC2A9A"/>
    <w:rsid w:val="00DC2E2E"/>
    <w:rsid w:val="00DC4D68"/>
    <w:rsid w:val="00DC6463"/>
    <w:rsid w:val="00DC7822"/>
    <w:rsid w:val="00DC7AF1"/>
    <w:rsid w:val="00DD0AD7"/>
    <w:rsid w:val="00DD2CDA"/>
    <w:rsid w:val="00DD2D92"/>
    <w:rsid w:val="00DD3026"/>
    <w:rsid w:val="00DD33DC"/>
    <w:rsid w:val="00DD3BB0"/>
    <w:rsid w:val="00DD61F5"/>
    <w:rsid w:val="00DD7418"/>
    <w:rsid w:val="00DE4AF9"/>
    <w:rsid w:val="00DE64A6"/>
    <w:rsid w:val="00DE66EB"/>
    <w:rsid w:val="00DE7035"/>
    <w:rsid w:val="00DF12E3"/>
    <w:rsid w:val="00DF2A20"/>
    <w:rsid w:val="00DF3F1D"/>
    <w:rsid w:val="00DF595C"/>
    <w:rsid w:val="00DF7EA7"/>
    <w:rsid w:val="00E0200F"/>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DFC"/>
    <w:rsid w:val="00E25FA2"/>
    <w:rsid w:val="00E2723D"/>
    <w:rsid w:val="00E27C77"/>
    <w:rsid w:val="00E3179E"/>
    <w:rsid w:val="00E32AC9"/>
    <w:rsid w:val="00E33FD7"/>
    <w:rsid w:val="00E354DA"/>
    <w:rsid w:val="00E354F5"/>
    <w:rsid w:val="00E3687E"/>
    <w:rsid w:val="00E40974"/>
    <w:rsid w:val="00E40AAB"/>
    <w:rsid w:val="00E41205"/>
    <w:rsid w:val="00E41F32"/>
    <w:rsid w:val="00E42608"/>
    <w:rsid w:val="00E43387"/>
    <w:rsid w:val="00E43536"/>
    <w:rsid w:val="00E43AAC"/>
    <w:rsid w:val="00E43DA3"/>
    <w:rsid w:val="00E44B80"/>
    <w:rsid w:val="00E45938"/>
    <w:rsid w:val="00E47430"/>
    <w:rsid w:val="00E474BD"/>
    <w:rsid w:val="00E50FB7"/>
    <w:rsid w:val="00E5199F"/>
    <w:rsid w:val="00E526DF"/>
    <w:rsid w:val="00E53C15"/>
    <w:rsid w:val="00E54127"/>
    <w:rsid w:val="00E54EE6"/>
    <w:rsid w:val="00E56715"/>
    <w:rsid w:val="00E56C2C"/>
    <w:rsid w:val="00E57F8E"/>
    <w:rsid w:val="00E611C8"/>
    <w:rsid w:val="00E619AB"/>
    <w:rsid w:val="00E6344A"/>
    <w:rsid w:val="00E64E69"/>
    <w:rsid w:val="00E64FB7"/>
    <w:rsid w:val="00E665F4"/>
    <w:rsid w:val="00E669A1"/>
    <w:rsid w:val="00E67501"/>
    <w:rsid w:val="00E679BA"/>
    <w:rsid w:val="00E70243"/>
    <w:rsid w:val="00E70E2E"/>
    <w:rsid w:val="00E72CC6"/>
    <w:rsid w:val="00E73C6C"/>
    <w:rsid w:val="00E73D44"/>
    <w:rsid w:val="00E7494A"/>
    <w:rsid w:val="00E74BE2"/>
    <w:rsid w:val="00E74C66"/>
    <w:rsid w:val="00E75933"/>
    <w:rsid w:val="00E77951"/>
    <w:rsid w:val="00E77A1B"/>
    <w:rsid w:val="00E808BE"/>
    <w:rsid w:val="00E81E36"/>
    <w:rsid w:val="00E81E40"/>
    <w:rsid w:val="00E82ECE"/>
    <w:rsid w:val="00E8713B"/>
    <w:rsid w:val="00E90774"/>
    <w:rsid w:val="00E90C61"/>
    <w:rsid w:val="00E92135"/>
    <w:rsid w:val="00E92A82"/>
    <w:rsid w:val="00E92AA8"/>
    <w:rsid w:val="00E9344E"/>
    <w:rsid w:val="00E93E39"/>
    <w:rsid w:val="00E94391"/>
    <w:rsid w:val="00E97E2B"/>
    <w:rsid w:val="00EA08CA"/>
    <w:rsid w:val="00EA0C0C"/>
    <w:rsid w:val="00EA1DD0"/>
    <w:rsid w:val="00EA2AEA"/>
    <w:rsid w:val="00EA332B"/>
    <w:rsid w:val="00EA3D36"/>
    <w:rsid w:val="00EA40AA"/>
    <w:rsid w:val="00EA57E2"/>
    <w:rsid w:val="00EA7186"/>
    <w:rsid w:val="00EB018B"/>
    <w:rsid w:val="00EB1003"/>
    <w:rsid w:val="00EB167E"/>
    <w:rsid w:val="00EB24ED"/>
    <w:rsid w:val="00EB2A00"/>
    <w:rsid w:val="00EB309B"/>
    <w:rsid w:val="00EB3AA2"/>
    <w:rsid w:val="00EB4138"/>
    <w:rsid w:val="00EB4763"/>
    <w:rsid w:val="00EB6CB7"/>
    <w:rsid w:val="00EC078B"/>
    <w:rsid w:val="00EC07A0"/>
    <w:rsid w:val="00EC08E4"/>
    <w:rsid w:val="00EC3086"/>
    <w:rsid w:val="00EC3CB4"/>
    <w:rsid w:val="00EC4293"/>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246B"/>
    <w:rsid w:val="00EE2F4B"/>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06FD6"/>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561"/>
    <w:rsid w:val="00F5475B"/>
    <w:rsid w:val="00F574D0"/>
    <w:rsid w:val="00F6031F"/>
    <w:rsid w:val="00F61664"/>
    <w:rsid w:val="00F61B99"/>
    <w:rsid w:val="00F64C45"/>
    <w:rsid w:val="00F6502B"/>
    <w:rsid w:val="00F6612A"/>
    <w:rsid w:val="00F66724"/>
    <w:rsid w:val="00F67F04"/>
    <w:rsid w:val="00F70207"/>
    <w:rsid w:val="00F702CB"/>
    <w:rsid w:val="00F716D4"/>
    <w:rsid w:val="00F71757"/>
    <w:rsid w:val="00F71AC2"/>
    <w:rsid w:val="00F739D4"/>
    <w:rsid w:val="00F74C8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0D5F"/>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08D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296079D6"/>
    <w:rsid w:val="7E5A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3B7DE"/>
  <w15:docId w15:val="{9D9897A9-6BCF-4B1E-925D-5A0D4AAE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99"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 w:type="paragraph" w:customStyle="1" w:styleId="p1">
    <w:name w:val="p1"/>
    <w:basedOn w:val="Normal"/>
    <w:rsid w:val="00067918"/>
    <w:pPr>
      <w:spacing w:after="0" w:line="240" w:lineRule="auto"/>
      <w:jc w:val="left"/>
    </w:pPr>
    <w:rPr>
      <w:color w:val="0076BA"/>
      <w:sz w:val="21"/>
      <w:szCs w:val="21"/>
      <w:lang w:eastAsia="en-GB"/>
    </w:rPr>
  </w:style>
  <w:style w:type="paragraph" w:customStyle="1" w:styleId="p2">
    <w:name w:val="p2"/>
    <w:basedOn w:val="Normal"/>
    <w:rsid w:val="00067918"/>
    <w:pPr>
      <w:spacing w:after="0" w:line="240" w:lineRule="auto"/>
      <w:jc w:val="left"/>
    </w:pPr>
    <w:rPr>
      <w:color w:val="0076BA"/>
      <w:sz w:val="21"/>
      <w:szCs w:val="21"/>
      <w:lang w:eastAsia="en-GB"/>
    </w:rPr>
  </w:style>
  <w:style w:type="character" w:customStyle="1" w:styleId="s2">
    <w:name w:val="s2"/>
    <w:basedOn w:val="DefaultParagraphFont"/>
    <w:rsid w:val="00067918"/>
    <w:rPr>
      <w:rFonts w:ascii="Arial" w:hAnsi="Arial" w:cs="Arial" w:hint="default"/>
      <w:b w:val="0"/>
      <w:bCs w:val="0"/>
      <w:i w:val="0"/>
      <w:iCs w:val="0"/>
      <w:sz w:val="21"/>
      <w:szCs w:val="21"/>
    </w:rPr>
  </w:style>
  <w:style w:type="character" w:customStyle="1" w:styleId="s3">
    <w:name w:val="s3"/>
    <w:basedOn w:val="DefaultParagraphFont"/>
    <w:rsid w:val="00067918"/>
    <w:rPr>
      <w:rFonts w:ascii="Arial" w:hAnsi="Arial" w:cs="Arial" w:hint="default"/>
      <w:b w:val="0"/>
      <w:bCs w:val="0"/>
      <w:i w:val="0"/>
      <w:iCs w:val="0"/>
      <w:color w:val="181818"/>
      <w:sz w:val="21"/>
      <w:szCs w:val="21"/>
    </w:rPr>
  </w:style>
  <w:style w:type="paragraph" w:customStyle="1" w:styleId="p3">
    <w:name w:val="p3"/>
    <w:basedOn w:val="Normal"/>
    <w:rsid w:val="001B107C"/>
    <w:pPr>
      <w:spacing w:after="0" w:line="240" w:lineRule="auto"/>
      <w:jc w:val="left"/>
    </w:pPr>
    <w:rPr>
      <w:color w:val="181818"/>
      <w:sz w:val="21"/>
      <w:szCs w:val="21"/>
      <w:lang w:eastAsia="en-GB"/>
    </w:rPr>
  </w:style>
  <w:style w:type="paragraph" w:customStyle="1" w:styleId="p4">
    <w:name w:val="p4"/>
    <w:basedOn w:val="Normal"/>
    <w:rsid w:val="005A1C93"/>
    <w:pPr>
      <w:spacing w:after="0" w:line="240" w:lineRule="auto"/>
      <w:jc w:val="left"/>
    </w:pPr>
    <w:rPr>
      <w:color w:val="181818"/>
      <w:sz w:val="21"/>
      <w:szCs w:val="21"/>
      <w:lang w:eastAsia="en-GB"/>
    </w:rPr>
  </w:style>
  <w:style w:type="character" w:customStyle="1" w:styleId="s1">
    <w:name w:val="s1"/>
    <w:basedOn w:val="DefaultParagraphFont"/>
    <w:rsid w:val="005A1C93"/>
    <w:rPr>
      <w:rFonts w:ascii="Arial-BoldMT" w:hAnsi="Arial-BoldMT" w:hint="default"/>
      <w:b/>
      <w:bCs/>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3.jpe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esma.europa.eu/about-esma/data-protectio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jp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sma.europa.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2026</Year>
    <TaxCatchAll xmlns="d0fb0f98-34f9-4d57-9559-eb8efd17aa5e">
      <Value>61</Value>
      <Value>10</Value>
      <Value>17</Value>
      <Value>645</Value>
      <Value>469</Value>
    </TaxCatchAll>
    <_dlc_DocId xmlns="d0fb0f98-34f9-4d57-9559-eb8efd17aa5e">ESMA91-1505572268-4723</_dlc_DocId>
    <_dlc_DocIdUrl xmlns="d0fb0f98-34f9-4d57-9559-eb8efd17aa5e">
      <Url>https://securitiesandmarketsauth.sharepoint.com/sites/sherpa-ccp/_layouts/15/DocIdRedir.aspx?ID=ESMA91-1505572268-4723</Url>
      <Description>ESMA91-1505572268-4723</Description>
    </_dlc_DocIdUrl>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c4f39f6cc8445948be69a6c278de6ef xmlns="d0fb0f98-34f9-4d57-9559-eb8efd17aa5e">
      <Terms xmlns="http://schemas.microsoft.com/office/infopath/2007/PartnerControls">
        <TermInfo xmlns="http://schemas.microsoft.com/office/infopath/2007/PartnerControls">
          <TermName xmlns="http://schemas.microsoft.com/office/infopath/2007/PartnerControls">EMIR 3</TermName>
          <TermId xmlns="http://schemas.microsoft.com/office/infopath/2007/PartnerControls">f931d6ea-49c1-471a-b933-589830532ca3</TermId>
        </TermInfo>
      </Terms>
    </ac4f39f6cc8445948be69a6c278de6ef>
    <ocd626d180d94eeaae0a33d4a9b513ce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cd626d180d94eeaae0a33d4a9b513ce>
    <h6d3aedb91e548d9a7a4b474e9cdf7ee xmlns="d0fb0f98-34f9-4d57-9559-eb8efd17aa5e">
      <Terms xmlns="http://schemas.microsoft.com/office/infopath/2007/PartnerControls">
        <TermInfo xmlns="http://schemas.microsoft.com/office/infopath/2007/PartnerControls">
          <TermName xmlns="http://schemas.microsoft.com/office/infopath/2007/PartnerControls">RTS 153</TermName>
          <TermId xmlns="http://schemas.microsoft.com/office/infopath/2007/PartnerControls">a51dd9b2-9e17-4703-9a7c-7aa18e1d70b8</TermId>
        </TermInfo>
      </Terms>
    </h6d3aedb91e548d9a7a4b474e9cdf7ee>
    <lcf76f155ced4ddcb4097134ff3c332f xmlns="d667209d-b9a4-40b6-9e60-58adc13a6cfb">
      <Terms xmlns="http://schemas.microsoft.com/office/infopath/2007/PartnerControls"/>
    </lcf76f155ced4ddcb4097134ff3c332f>
    <_Flow_SignoffStatus xmlns="d667209d-b9a4-40b6-9e60-58adc13a6cfb" xsi:nil="true"/>
    <b1af2f151fee4e71ab04d3be0acf309a xmlns="d0fb0f98-34f9-4d57-9559-eb8efd17aa5e">
      <Terms xmlns="http://schemas.microsoft.com/office/infopath/2007/PartnerControls">
        <TermInfo xmlns="http://schemas.microsoft.com/office/infopath/2007/PartnerControls">
          <TermName xmlns="http://schemas.microsoft.com/office/infopath/2007/PartnerControls">CCP</TermName>
          <TermId xmlns="http://schemas.microsoft.com/office/infopath/2007/PartnerControls">cfa1e806-4441-4d82-a168-2bc2f7f5a273</TermId>
        </TermInfo>
      </Terms>
    </b1af2f151fee4e71ab04d3be0acf309a>
    <c0a75b1bac544bb79ff9701b7c8df79e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c0a75b1bac544bb79ff9701b7c8df79e>
    <c4c347a134a6410b9867f4d35258a852 xmlns="d0fb0f98-34f9-4d57-9559-eb8efd17aa5e">
      <Terms xmlns="http://schemas.microsoft.com/office/infopath/2007/PartnerControls"/>
    </c4c347a134a6410b9867f4d35258a852>
  </documentManagement>
</p:properties>
</file>

<file path=customXml/item5.xml><?xml version="1.0" encoding="utf-8"?>
<ct:contentTypeSchema xmlns:ct="http://schemas.microsoft.com/office/2006/metadata/contentType" xmlns:ma="http://schemas.microsoft.com/office/2006/metadata/properties/metaAttributes" ct:_="" ma:_="" ma:contentTypeName="CCP Policy Document" ma:contentTypeID="0x0101002536E5CA04E63B45B37CD642F35CBCC80100346EDC87F9FE834AB7EEAA787CE140FC" ma:contentTypeVersion="35" ma:contentTypeDescription="" ma:contentTypeScope="" ma:versionID="e9ce02f900eb64d2f0d7169a308f0898">
  <xsd:schema xmlns:xsd="http://www.w3.org/2001/XMLSchema" xmlns:xs="http://www.w3.org/2001/XMLSchema" xmlns:p="http://schemas.microsoft.com/office/2006/metadata/properties" xmlns:ns2="d0fb0f98-34f9-4d57-9559-eb8efd17aa5e" xmlns:ns3="d667209d-b9a4-40b6-9e60-58adc13a6cfb" targetNamespace="http://schemas.microsoft.com/office/2006/metadata/properties" ma:root="true" ma:fieldsID="8e80d928a4eb712c6b33e00518fa8101" ns2:_="" ns3:_="">
    <xsd:import namespace="d0fb0f98-34f9-4d57-9559-eb8efd17aa5e"/>
    <xsd:import namespace="d667209d-b9a4-40b6-9e60-58adc13a6cfb"/>
    <xsd:element name="properties">
      <xsd:complexType>
        <xsd:sequence>
          <xsd:element name="documentManagement">
            <xsd:complexType>
              <xsd:all>
                <xsd:element ref="ns2:Year"/>
                <xsd:element ref="ns2:MeetingDate" minOccurs="0"/>
                <xsd:element ref="ns2:TaxCatchAll" minOccurs="0"/>
                <xsd:element ref="ns2:b1af2f151fee4e71ab04d3be0acf309a"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simpleType>
    </xsd:element>
    <xsd:element name="MeetingDate" ma:index="8" nillable="true" ma:displayName="Meeting Date" ma:format="DateTime" ma:internalName="MeetingDate" ma:readOnly="false">
      <xsd:simpleType>
        <xsd:restriction base="dms:DateTime"/>
      </xsd:simpleType>
    </xsd:element>
    <xsd:element name="TaxCatchAll" ma:index="9" nillable="true" ma:displayName="Taxonomy Catch All Column" ma:hidden="true" ma:list="{0c2a3ff9-455c-4741-8eeb-29e4f0a20ffa}"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b1af2f151fee4e71ab04d3be0acf309a" ma:index="17" nillable="true" ma:taxonomy="true" ma:internalName="b1af2f151fee4e71ab04d3be0acf309a" ma:taxonomyFieldName="TeamName" ma:displayName="Team Name" ma:readOnly="false" ma:fieldId="{b1af2f15-1fee-4e71-ab04-d3be0acf309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0c2a3ff9-455c-4741-8eeb-29e4f0a20ffa}"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9" nillable="true" ma:taxonomy="true" ma:internalName="ac4f39f6cc8445948be69a6c278de6ef" ma:taxonomyFieldName="Topic" ma:displayName="Topic" ma:readOnly="false" ma:fieldId="{ac4f39f6-cc84-4594-8be6-9a6c278de6ef}" ma:sspId="d4b01e31-ead0-4f68-a8e9-2aaca35f2e62" ma:termSetId="225e8f82-8f9d-46fb-b297-a82487760143" ma:anchorId="00000000-0000-0000-0000-000000000000" ma:open="false" ma:isKeyword="false">
      <xsd:complexType>
        <xsd:sequence>
          <xsd:element ref="pc:Terms" minOccurs="0" maxOccurs="1"/>
        </xsd:sequence>
      </xsd:complexType>
    </xsd:element>
    <xsd:element name="h6d3aedb91e548d9a7a4b474e9cdf7ee" ma:index="20" nillable="true" ma:taxonomy="true" ma:internalName="h6d3aedb91e548d9a7a4b474e9cdf7ee" ma:taxonomyFieldName="SubTopic" ma:displayName="Sub Topic" ma:readOnly="false" ma:fieldId="{16d3aedb-91e5-48d9-a7a4-b474e9cdf7ee}" ma:sspId="d4b01e31-ead0-4f68-a8e9-2aaca35f2e62" ma:termSetId="03c604cf-47bd-413c-ad46-5896f73630f4" ma:anchorId="00000000-0000-0000-0000-000000000000" ma:open="false" ma:isKeyword="false">
      <xsd:complexType>
        <xsd:sequence>
          <xsd:element ref="pc:Terms" minOccurs="0" maxOccurs="1"/>
        </xsd:sequence>
      </xsd:complexType>
    </xsd:element>
    <xsd:element name="c0a75b1bac544bb79ff9701b7c8df79e" ma:index="21" ma:taxonomy="true" ma:internalName="c0a75b1bac544bb79ff9701b7c8df79e" ma:taxonomyFieldName="DocumentType" ma:displayName="Document Type" ma:readOnly="false" ma:fieldId="{c0a75b1b-ac54-4bb7-9ff9-701b7c8df79e}"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2" ma:taxonomy="true" ma:internalName="ocd626d180d94eeaae0a33d4a9b513ce" ma:taxonomyFieldName="ConfidentialityLevel" ma:displayName="Confidentiality Level" ma:readOnly="false" ma:default="5;#Restricted|187aa7e6-627f-4951-b138-6ff841dc883d" ma:fieldId="{8cd626d1-80d9-4eea-ae0a-33d4a9b513c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3" nillable="true" ma:taxonomy="true" ma:internalName="c4c347a134a6410b9867f4d35258a852" ma:taxonomyFieldName="EsmaAudience" ma:displayName="Audience" ma:readOnly="false" ma:fieldId="{c4c347a1-34a6-410b-9867-f4d35258a852}"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7209d-b9a4-40b6-9e60-58adc13a6cfb"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_Flow_SignoffStatus" ma:index="4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3B3ABB-1E22-43DF-B118-E1D48363CC1A}">
  <ds:schemaRefs>
    <ds:schemaRef ds:uri="http://schemas.microsoft.com/sharepoint/events"/>
    <ds:schemaRef ds:uri="http://www.w3.org/2000/xmlns/"/>
  </ds:schemaRefs>
</ds:datastoreItem>
</file>

<file path=customXml/itemProps2.xml><?xml version="1.0" encoding="utf-8"?>
<ds:datastoreItem xmlns:ds="http://schemas.openxmlformats.org/officeDocument/2006/customXml" ds:itemID="{C42EF9BF-723E-4F1C-81C9-D3982651C9CE}">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06112EF9-F9D9-42DC-92D5-3CDDBE09D539}">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3F37C169-B082-42D7-95A8-39DCDC7C43D3}">
  <ds:schemaRefs>
    <ds:schemaRef ds:uri="http://schemas.microsoft.com/office/2006/metadata/properties"/>
    <ds:schemaRef ds:uri="http://www.w3.org/2000/xmlns/"/>
    <ds:schemaRef ds:uri="d0fb0f98-34f9-4d57-9559-eb8efd17aa5e"/>
    <ds:schemaRef ds:uri="http://www.w3.org/2001/XMLSchema-instance"/>
    <ds:schemaRef ds:uri="http://schemas.microsoft.com/office/infopath/2007/PartnerControls"/>
    <ds:schemaRef ds:uri="d667209d-b9a4-40b6-9e60-58adc13a6cfb"/>
  </ds:schemaRefs>
</ds:datastoreItem>
</file>

<file path=customXml/itemProps5.xml><?xml version="1.0" encoding="utf-8"?>
<ds:datastoreItem xmlns:ds="http://schemas.openxmlformats.org/officeDocument/2006/customXml" ds:itemID="{230282C5-32BF-4D56-B930-335C7103D4E3}">
  <ds:schemaRefs>
    <ds:schemaRef ds:uri="http://schemas.microsoft.com/office/2006/metadata/contentType"/>
    <ds:schemaRef ds:uri="http://schemas.microsoft.com/office/2006/metadata/properties/metaAttributes"/>
    <ds:schemaRef ds:uri="http://www.w3.org/2000/xmlns/"/>
    <ds:schemaRef ds:uri="http://www.w3.org/2001/XMLSchema"/>
    <ds:schemaRef ds:uri="d0fb0f98-34f9-4d57-9559-eb8efd17aa5e"/>
    <ds:schemaRef ds:uri="d667209d-b9a4-40b6-9e60-58adc13a6cfb"/>
  </ds:schemaRefs>
</ds:datastoreItem>
</file>

<file path=customXml/itemProps6.xml><?xml version="1.0" encoding="utf-8"?>
<ds:datastoreItem xmlns:ds="http://schemas.openxmlformats.org/officeDocument/2006/customXml" ds:itemID="{7FB30FA8-3D72-457A-9AB5-7BB1703E6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3754</Words>
  <Characters>19790</Characters>
  <Application>Microsoft Office Word</Application>
  <DocSecurity>0</DocSecurity>
  <Lines>164</Lines>
  <Paragraphs>46</Paragraphs>
  <ScaleCrop>false</ScaleCrop>
  <Company>ESMA</Company>
  <LinksUpToDate>false</LinksUpToDate>
  <CharactersWithSpaces>23498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Pablo Iglesias-Rodriguez</cp:lastModifiedBy>
  <cp:revision>2</cp:revision>
  <cp:lastPrinted>2015-02-18T20:01:00Z</cp:lastPrinted>
  <dcterms:created xsi:type="dcterms:W3CDTF">2026-04-30T21:50:00Z</dcterms:created>
  <dcterms:modified xsi:type="dcterms:W3CDTF">2026-04-30T21:50:00Z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0x0101002536E5CA04E63B45B37CD642F35CBCC80100346EDC87F9FE834AB7EEAA787CE140FC</vt:lpwstr>
  </property>
  <property fmtid="{D5CDD505-2E9C-101B-9397-08002B2CF9AE}" pid="3" name="_dlc_DocIdItemGuid">
    <vt:lpwstr>f1f531c7-559a-4e19-b4ae-15d6e2a84815</vt:lpwstr>
  </property>
  <property fmtid="{D5CDD505-2E9C-101B-9397-08002B2CF9AE}" pid="4" name="TeamName">
    <vt:lpwstr>10;#CCP|cfa1e806-4441-4d82-a168-2bc2f7f5a273</vt:lpwstr>
  </property>
  <property fmtid="{D5CDD505-2E9C-101B-9397-08002B2CF9AE}" pid="5" name="Topic">
    <vt:lpwstr>469;#EMIR 3|f931d6ea-49c1-471a-b933-589830532ca3</vt:lpwstr>
  </property>
  <property fmtid="{D5CDD505-2E9C-101B-9397-08002B2CF9AE}" pid="6" name="ConfidentialityLevel">
    <vt:lpwstr>17;#Regular|07f1e362-856b-423d-bea6-a14079762141</vt:lpwstr>
  </property>
  <property fmtid="{D5CDD505-2E9C-101B-9397-08002B2CF9AE}" pid="7" name="DocumentType">
    <vt:lpwstr>61;#Form / Request|efe27f23-61a2-47e7-916e-544dd02c80f4</vt:lpwstr>
  </property>
  <property fmtid="{D5CDD505-2E9C-101B-9397-08002B2CF9AE}" pid="8" name="mf50acab3f6949599688191e8740e810">
    <vt:lpwstr>Regular|07f1e362-856b-423d-bea6-a14079762141</vt:lpwstr>
  </property>
  <property fmtid="{D5CDD505-2E9C-101B-9397-08002B2CF9AE}" pid="9" name="ESMATemplatesConfidentialityLevel">
    <vt:lpwstr>8;#Public|a0c619ff-bd46-48f0-b213-6b7c03fe156d</vt:lpwstr>
  </property>
  <property fmtid="{D5CDD505-2E9C-101B-9397-08002B2CF9AE}" pid="10" name="ESMATemplatesTopic">
    <vt:lpwstr>105;#Report|6152310e-8bc8-447a-92f1-7d43d5ef86b8</vt:lpwstr>
  </property>
  <property fmtid="{D5CDD505-2E9C-101B-9397-08002B2CF9AE}" pid="11" name="n84bf37b4eaf4fd99e887816221de8a8">
    <vt:lpwstr>EN|f7e7f686-dfa7-4032-a218-a5881e990598</vt:lpwstr>
  </property>
  <property fmtid="{D5CDD505-2E9C-101B-9397-08002B2CF9AE}" pid="12" name="DocumentSetDescription">
    <vt:lpwstr/>
  </property>
  <property fmtid="{D5CDD505-2E9C-101B-9397-08002B2CF9AE}" pid="13" name="_ExtendedDescription">
    <vt:lpwstr/>
  </property>
  <property fmtid="{D5CDD505-2E9C-101B-9397-08002B2CF9AE}" pid="14" name="URL">
    <vt:lpwstr/>
  </property>
  <property fmtid="{D5CDD505-2E9C-101B-9397-08002B2CF9AE}" pid="15" name="MediaServiceImageTags">
    <vt:lpwstr/>
  </property>
  <property fmtid="{D5CDD505-2E9C-101B-9397-08002B2CF9AE}" pid="16" name="_docset_NoMedatataSyncRequired">
    <vt:lpwstr>False</vt:lpwstr>
  </property>
  <property fmtid="{D5CDD505-2E9C-101B-9397-08002B2CF9AE}" pid="17" name="MultiTopic">
    <vt:lpwstr/>
  </property>
  <property fmtid="{D5CDD505-2E9C-101B-9397-08002B2CF9AE}" pid="18" name="EsmaAudience">
    <vt:lpwstr/>
  </property>
  <property fmtid="{D5CDD505-2E9C-101B-9397-08002B2CF9AE}" pid="19" name="SubTopic">
    <vt:lpwstr>645;#RTS 153|a51dd9b2-9e17-4703-9a7c-7aa18e1d70b8</vt:lpwstr>
  </property>
  <property fmtid="{D5CDD505-2E9C-101B-9397-08002B2CF9AE}" pid="20" name="MSIP_Label_05ae7051-b702-462d-8e81-9ac0b6085f00_Extended_MSFT_Method">
    <vt:lpwstr>Standard</vt:lpwstr>
  </property>
  <property fmtid="{D5CDD505-2E9C-101B-9397-08002B2CF9AE}" pid="21" name="MSIP_Label_05ae7051-b702-462d-8e81-9ac0b6085f00_Removed">
    <vt:lpwstr>False</vt:lpwstr>
  </property>
  <property fmtid="{D5CDD505-2E9C-101B-9397-08002B2CF9AE}" pid="22" name="MSIP_Label_05ae7051-b702-462d-8e81-9ac0b6085f00_ActionId">
    <vt:lpwstr>a2cf8dee-15b1-4b34-8492-7a43b92a8920</vt:lpwstr>
  </property>
  <property fmtid="{D5CDD505-2E9C-101B-9397-08002B2CF9AE}" pid="23" name="MSIP_Label_05ae7051-b702-462d-8e81-9ac0b6085f00_Name">
    <vt:lpwstr>Regular</vt:lpwstr>
  </property>
  <property fmtid="{D5CDD505-2E9C-101B-9397-08002B2CF9AE}" pid="24" name="MSIP_Label_05ae7051-b702-462d-8e81-9ac0b6085f00_SetDate">
    <vt:lpwstr>2025-06-21T04:45:36Z</vt:lpwstr>
  </property>
  <property fmtid="{D5CDD505-2E9C-101B-9397-08002B2CF9AE}" pid="25" name="MSIP_Label_05ae7051-b702-462d-8e81-9ac0b6085f00_SiteId">
    <vt:lpwstr>e406f268-4ae7-4c80-8994-02493da00c03</vt:lpwstr>
  </property>
  <property fmtid="{D5CDD505-2E9C-101B-9397-08002B2CF9AE}" pid="26" name="MSIP_Label_05ae7051-b702-462d-8e81-9ac0b6085f00_Enabled">
    <vt:lpwstr>True</vt:lpwstr>
  </property>
  <property fmtid="{D5CDD505-2E9C-101B-9397-08002B2CF9AE}" pid="27" name="Sensitivity">
    <vt:lpwstr>Regular</vt:lpwstr>
  </property>
  <property fmtid="{D5CDD505-2E9C-101B-9397-08002B2CF9AE}" pid="28" name="docLang">
    <vt:lpwstr>en</vt:lpwstr>
  </property>
</Properties>
</file>