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9E29EE3" w:rsidR="004E60D2" w:rsidRPr="00252134" w:rsidRDefault="007C5962" w:rsidP="004E60D2">
      <w:pPr>
        <w:pStyle w:val="Subtitle"/>
        <w:spacing w:after="0"/>
        <w:rPr>
          <w:b w:val="0"/>
          <w:bCs w:val="0"/>
        </w:rPr>
        <w:sectPr w:rsidR="004E60D2" w:rsidRPr="00252134" w:rsidSect="004E60D2">
          <w:headerReference w:type="default" r:id="rId12"/>
          <w:footerReference w:type="even"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w:t>
      </w:r>
      <w:r w:rsidR="00F71757" w:rsidRPr="00F71757">
        <w:t>amending Commission Delegated Regulation (RTS) 153/2013 in relation to public guarantees, public bank guarantees and commercial bank guarantees as collateral and in relation to certain aspects of investment policy and highly secure arrangements for the deposit of financial instruments</w:t>
      </w:r>
      <w:r w:rsidRPr="007C5962">
        <w:t xml:space="preserve">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1CEE37B1">
                <wp:simplePos x="0" y="0"/>
                <wp:positionH relativeFrom="page">
                  <wp:align>right</wp:align>
                </wp:positionH>
                <wp:positionV relativeFrom="paragraph">
                  <wp:posOffset>1171575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5D99" id="Freeform: Shape 1" o:spid="_x0000_s1026" style="position:absolute;margin-left:544.9pt;margin-top:92.25pt;width:596.1pt;height:769.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JVJyAT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3868228" w:rsidR="00E70E2E" w:rsidRDefault="00E70E2E" w:rsidP="00E70E2E">
      <w:pPr>
        <w:rPr>
          <w:b/>
        </w:rPr>
      </w:pPr>
      <w:r w:rsidRPr="00517886">
        <w:t xml:space="preserve">ESMA will consider all comments received by </w:t>
      </w:r>
      <w:r w:rsidR="00366A11">
        <w:rPr>
          <w:b/>
        </w:rPr>
        <w:t>30 April</w:t>
      </w:r>
      <w:r w:rsidR="009013B5">
        <w:rPr>
          <w:b/>
        </w:rPr>
        <w:t xml:space="preserve">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3E37C3D0"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74C84">
        <w:t>COLL</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661D9C2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F74C84">
        <w:t>COLL</w:t>
      </w:r>
      <w:r w:rsidRPr="00863BFD">
        <w:t>_nameofrespondent</w:t>
      </w:r>
      <w:proofErr w:type="spellEnd"/>
      <w:r w:rsidRPr="00863BFD">
        <w:t xml:space="preserve">. </w:t>
      </w:r>
    </w:p>
    <w:p w14:paraId="115A7ABF" w14:textId="3BB0FDD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350CE0">
        <w:t>COLL</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1622A1" w:rsidRPr="00AB6D88" w14:paraId="50D77A5E" w14:textId="77777777" w:rsidTr="001C3BA2">
        <w:trPr>
          <w:trHeight w:val="660"/>
        </w:trPr>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3ABDE264" w:rsidR="00C2682A" w:rsidRPr="00104E00" w:rsidRDefault="001C3BA2" w:rsidP="00104E00">
                <w:pPr>
                  <w:jc w:val="left"/>
                  <w:rPr>
                    <w:rStyle w:val="PlaceholderText"/>
                  </w:rPr>
                </w:pPr>
                <w:r w:rsidRPr="001C3BA2">
                  <w:rPr>
                    <w:rStyle w:val="PlaceholderText"/>
                  </w:rPr>
                  <w:t>​​Deutsche Börse Group including Eurex Clearing AG and European Commodity Clearing AG​</w:t>
                </w:r>
              </w:p>
            </w:tc>
          </w:sdtContent>
        </w:sdt>
      </w:tr>
      <w:tr w:rsidR="001622A1"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3B2E8C23" w:rsidR="00C2682A" w:rsidRPr="00104E00" w:rsidRDefault="00AB50CE"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C3BA2">
                  <w:t>Central Counterparty</w:t>
                </w:r>
              </w:sdtContent>
            </w:sdt>
          </w:p>
        </w:tc>
      </w:tr>
      <w:tr w:rsidR="001622A1"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1622A1"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71999DA5" w:rsidR="00C2682A" w:rsidRPr="00104E00" w:rsidRDefault="001C3BA2"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7FEBD42E" w:rsidR="00693907" w:rsidRPr="00B15006" w:rsidRDefault="0042141E" w:rsidP="00693907">
      <w:pPr>
        <w:pStyle w:val="Questionstyle"/>
      </w:pPr>
      <w:r w:rsidRPr="0042141E">
        <w:t>Do</w:t>
      </w:r>
      <w:r w:rsidR="001C3526">
        <w:t xml:space="preserve"> </w:t>
      </w:r>
      <w:r w:rsidR="001C3526" w:rsidRPr="001C3526">
        <w:t>you agree that the existing provision on concentration limits should apply to guarantees and as such Article 42 should be amended to provide legal clarity on this?</w:t>
      </w:r>
      <w:r w:rsidR="00693907" w:rsidRPr="00B15006">
        <w:t xml:space="preserve"> </w:t>
      </w:r>
    </w:p>
    <w:p w14:paraId="1E634CEC" w14:textId="509E79DC" w:rsidR="00693907" w:rsidRDefault="00693907" w:rsidP="00693907">
      <w:r>
        <w:t>&lt;ESMA_QUESTION_</w:t>
      </w:r>
      <w:r w:rsidR="00B744D6">
        <w:t>COLL</w:t>
      </w:r>
      <w:r>
        <w:t>_1&gt;</w:t>
      </w:r>
    </w:p>
    <w:p w14:paraId="4696D005" w14:textId="68952CE5" w:rsidR="0002772D" w:rsidRDefault="00735A20" w:rsidP="00571BDD">
      <w:permStart w:id="910108688" w:edGrp="everyone"/>
      <w:r w:rsidRPr="00735A20">
        <w:t>As both CCPs of Deutsche Börse Group (DBG), Eurex Clearing AG and European Commodity Clearing AG, will be subject</w:t>
      </w:r>
      <w:r w:rsidR="00B8338E">
        <w:t xml:space="preserve"> to the new collateral and investment policy </w:t>
      </w:r>
      <w:r w:rsidR="00123C9F">
        <w:t>requirements as specified by ESMA, we are responding with a join</w:t>
      </w:r>
      <w:r w:rsidR="0002772D">
        <w:t>t</w:t>
      </w:r>
      <w:r w:rsidR="00123C9F">
        <w:t xml:space="preserve"> group statement. </w:t>
      </w:r>
      <w:r w:rsidR="0002772D">
        <w:t xml:space="preserve">As such, DBG welcomes </w:t>
      </w:r>
      <w:r w:rsidR="0002772D" w:rsidRPr="0002772D">
        <w:t>the opportunity to respond to ESMA’s consultation on draft RTS amending Commission Delegated Regulation (RTS) 153/2013 in relation to public guarantees, public bank guarantees and commercial bank guarantees as collateral and in relation to certain aspects of investment policy and highly secure arrangements for the deposit of financial instruments</w:t>
      </w:r>
      <w:r w:rsidR="0002772D">
        <w:t>.</w:t>
      </w:r>
    </w:p>
    <w:p w14:paraId="66994A05" w14:textId="4FEEB88C" w:rsidR="00BA6637" w:rsidRDefault="00570703" w:rsidP="00CE3F07">
      <w:r>
        <w:t>DBG</w:t>
      </w:r>
      <w:r w:rsidR="00CE3F07">
        <w:t xml:space="preserve"> believes that the use of guarantees can further promote and support clearing of commodity derivatives and is especially of relevance for energy market participants. It is, however, essential to implement a prudent and efficient risk management framework for guarantees to avoid additional risks that may hamper the use of guarantees for CCPs and their clients.</w:t>
      </w:r>
      <w:r w:rsidR="0002772D" w:rsidRPr="0002772D">
        <w:t xml:space="preserve"> </w:t>
      </w:r>
      <w:r w:rsidR="003D77FF">
        <w:t xml:space="preserve">We therefore </w:t>
      </w:r>
      <w:r w:rsidR="00A6576F">
        <w:t>agree with many of the proposals by ESMA, which overall amount to a well</w:t>
      </w:r>
      <w:r w:rsidR="5D605D36">
        <w:t>-</w:t>
      </w:r>
      <w:r w:rsidR="00A6576F">
        <w:t xml:space="preserve">balanced </w:t>
      </w:r>
      <w:r w:rsidR="00B62126">
        <w:t xml:space="preserve">regulatory </w:t>
      </w:r>
      <w:r w:rsidR="00A6576F">
        <w:t xml:space="preserve">approach </w:t>
      </w:r>
      <w:r w:rsidR="00B62126">
        <w:t xml:space="preserve">that ensures </w:t>
      </w:r>
      <w:r w:rsidR="00223E0B">
        <w:t xml:space="preserve">that guarantees can be used under a prudent framework. </w:t>
      </w:r>
      <w:proofErr w:type="gramStart"/>
      <w:r w:rsidR="00223E0B">
        <w:t xml:space="preserve">In particular, </w:t>
      </w:r>
      <w:r w:rsidR="00B66BC3">
        <w:t>we</w:t>
      </w:r>
      <w:proofErr w:type="gramEnd"/>
      <w:r w:rsidR="00B66BC3">
        <w:t xml:space="preserve"> </w:t>
      </w:r>
      <w:r w:rsidR="0DA8FECD">
        <w:t>welcome</w:t>
      </w:r>
      <w:r w:rsidR="6C8E3961">
        <w:t xml:space="preserve"> </w:t>
      </w:r>
      <w:r w:rsidR="0DA8FECD">
        <w:t>the</w:t>
      </w:r>
      <w:r w:rsidR="00B66BC3">
        <w:t xml:space="preserve"> clarification that a CCP may accept guarantees from financial clearing members for the collateralization of </w:t>
      </w:r>
      <w:r w:rsidR="70EFF31E">
        <w:t>their</w:t>
      </w:r>
      <w:r w:rsidR="0DA8FECD">
        <w:t xml:space="preserve"> </w:t>
      </w:r>
      <w:r w:rsidR="00B66BC3">
        <w:t>non-financial clients</w:t>
      </w:r>
      <w:r w:rsidR="004B5C50">
        <w:t xml:space="preserve">. However, regarding the proposed requirement to post guarantees to </w:t>
      </w:r>
      <w:r w:rsidR="002C288D">
        <w:t>segregated accounts,</w:t>
      </w:r>
      <w:r w:rsidR="00356CAE">
        <w:t xml:space="preserve"> we call for more flexibility </w:t>
      </w:r>
      <w:r w:rsidR="00ED6852">
        <w:t>to</w:t>
      </w:r>
      <w:r w:rsidR="00537523">
        <w:t xml:space="preserve"> utilize</w:t>
      </w:r>
      <w:r w:rsidR="00B66BC3">
        <w:t xml:space="preserve"> </w:t>
      </w:r>
      <w:r w:rsidR="38AECD73">
        <w:t>alternative operational ways</w:t>
      </w:r>
      <w:r w:rsidR="5E603DB4">
        <w:t xml:space="preserve"> tha</w:t>
      </w:r>
      <w:r w:rsidR="64B82B98">
        <w:t>t also achieve</w:t>
      </w:r>
      <w:r w:rsidR="5E603DB4">
        <w:t xml:space="preserve"> the</w:t>
      </w:r>
      <w:r w:rsidR="38AECD73">
        <w:t xml:space="preserve"> aims and benefits</w:t>
      </w:r>
      <w:r w:rsidR="417F12D8">
        <w:t xml:space="preserve"> </w:t>
      </w:r>
      <w:r w:rsidR="251F0797">
        <w:t>attributed to</w:t>
      </w:r>
      <w:r w:rsidR="417F12D8">
        <w:t xml:space="preserve"> segregated accounts</w:t>
      </w:r>
      <w:r w:rsidR="6CBAACA8">
        <w:t>,</w:t>
      </w:r>
      <w:r w:rsidR="38AECD73">
        <w:t xml:space="preserve"> such as clear attribution</w:t>
      </w:r>
      <w:r w:rsidR="034E8F34">
        <w:t xml:space="preserve"> and</w:t>
      </w:r>
      <w:r w:rsidR="38AECD73">
        <w:t xml:space="preserve"> enforceability</w:t>
      </w:r>
      <w:r w:rsidR="79B6D10B">
        <w:t>.</w:t>
      </w:r>
      <w:r w:rsidR="00B66BC3" w:rsidRPr="00B66BC3">
        <w:t xml:space="preserve"> </w:t>
      </w:r>
    </w:p>
    <w:p w14:paraId="08CA1032" w14:textId="2E6D12A2" w:rsidR="00BD6A0B" w:rsidRDefault="004B7EF2" w:rsidP="00BD6A0B">
      <w:r>
        <w:lastRenderedPageBreak/>
        <w:t>Additionally, we</w:t>
      </w:r>
      <w:r w:rsidR="00246980" w:rsidRPr="00246980">
        <w:t xml:space="preserve"> urge ESMA to use this opportunity to amend RTS 153/2013 to explicitly clarify the eligibility of DLT</w:t>
      </w:r>
      <w:r w:rsidR="00246980" w:rsidRPr="00246980">
        <w:rPr>
          <w:rFonts w:ascii="Cambria Math" w:hAnsi="Cambria Math" w:cs="Cambria Math"/>
        </w:rPr>
        <w:t>‑</w:t>
      </w:r>
      <w:r w:rsidR="00246980" w:rsidRPr="00246980">
        <w:t xml:space="preserve">based collateral. Both the CFTC in the United States and the ECB for the </w:t>
      </w:r>
      <w:proofErr w:type="spellStart"/>
      <w:r w:rsidR="00246980" w:rsidRPr="00246980">
        <w:t>Eurosystem</w:t>
      </w:r>
      <w:proofErr w:type="spellEnd"/>
      <w:r w:rsidR="00246980" w:rsidRPr="00246980">
        <w:t xml:space="preserve"> have already stated that, within their respective frameworks, DLT</w:t>
      </w:r>
      <w:r w:rsidR="00246980" w:rsidRPr="00246980">
        <w:rPr>
          <w:rFonts w:ascii="Cambria Math" w:hAnsi="Cambria Math" w:cs="Cambria Math"/>
        </w:rPr>
        <w:t>‑</w:t>
      </w:r>
      <w:r w:rsidR="00246980" w:rsidRPr="00246980">
        <w:t xml:space="preserve">based collateral may be used provided it meets existing collateral requirements. </w:t>
      </w:r>
      <w:r w:rsidR="003D0864">
        <w:t xml:space="preserve">While </w:t>
      </w:r>
      <w:r w:rsidR="001F2D76">
        <w:t xml:space="preserve">arguably </w:t>
      </w:r>
      <w:r w:rsidR="009A5BEE">
        <w:t>EMIR requirements are technologically agnostic and therefore already allow the use of DLT-based financial instruments</w:t>
      </w:r>
      <w:r w:rsidR="001F2D76">
        <w:t xml:space="preserve"> as collateral</w:t>
      </w:r>
      <w:r w:rsidR="009A5BEE">
        <w:t>, if they fulfil the existing regulatory requirements,</w:t>
      </w:r>
      <w:r w:rsidR="008538B0">
        <w:t xml:space="preserve"> a clarification by ESMA in this regard would enhance legal certainty. </w:t>
      </w:r>
      <w:r w:rsidR="001554A2">
        <w:t xml:space="preserve">Furthermore, ESMA should clarify in the RTS that </w:t>
      </w:r>
      <w:proofErr w:type="spellStart"/>
      <w:r w:rsidR="001554A2">
        <w:t>MiCA</w:t>
      </w:r>
      <w:proofErr w:type="spellEnd"/>
      <w:r w:rsidR="001554A2">
        <w:t xml:space="preserve"> instruments can fulfil the requirements for highly liquid collateral with minimum </w:t>
      </w:r>
      <w:r w:rsidR="005A3AF2">
        <w:t xml:space="preserve">market and credit risk. </w:t>
      </w:r>
      <w:r w:rsidR="00A67114">
        <w:t>If such measures are not taken</w:t>
      </w:r>
      <w:r w:rsidR="00D52C67">
        <w:t xml:space="preserve"> by ESMA</w:t>
      </w:r>
      <w:r w:rsidR="00A67114">
        <w:t>, the EU clearing ecosystem risks falling significantly behind</w:t>
      </w:r>
      <w:r w:rsidR="00D52C67">
        <w:t xml:space="preserve"> global competitors</w:t>
      </w:r>
      <w:r w:rsidR="002D056F">
        <w:t>.</w:t>
      </w:r>
      <w:r w:rsidR="007E448E">
        <w:t xml:space="preserve"> A comprehensive overview of recommended changes regarding the use of DLT-based collateral is attached to this consultation response.</w:t>
      </w:r>
      <w:r w:rsidR="00D52C67">
        <w:t xml:space="preserve"> </w:t>
      </w:r>
      <w:r w:rsidR="005A3AF2">
        <w:t xml:space="preserve"> </w:t>
      </w:r>
    </w:p>
    <w:p w14:paraId="296CDE39" w14:textId="77777777" w:rsidR="00F56C06" w:rsidRDefault="00F56C06" w:rsidP="00F56C06">
      <w:r>
        <w:t>A further need for clarification arises from the legal ambiguity surrounding the acceptance of exchange</w:t>
      </w:r>
      <w:r>
        <w:rPr>
          <w:rFonts w:ascii="Cambria Math" w:hAnsi="Cambria Math" w:cs="Cambria Math"/>
        </w:rPr>
        <w:t>‑</w:t>
      </w:r>
      <w:r>
        <w:t xml:space="preserve">traded funds (ETFs) as eligible collateral. CCPs see respective market demand considering the </w:t>
      </w:r>
      <w:r w:rsidRPr="00C13A4F">
        <w:t xml:space="preserve">growth </w:t>
      </w:r>
      <w:r>
        <w:t>in</w:t>
      </w:r>
      <w:r w:rsidRPr="00C13A4F">
        <w:t xml:space="preserve"> assets under management, liquidity improvements, and general recognition of ETFs in the market</w:t>
      </w:r>
      <w:r>
        <w:t>. While ETFs can meet all conditions set out in RTS 153/2013 for qualifying as highly liquid financial instruments with minimal market and credit risk, the current drafting – which categorises eligible financial instruments into narrowly defined sub</w:t>
      </w:r>
      <w:r>
        <w:rPr>
          <w:rFonts w:ascii="Cambria Math" w:hAnsi="Cambria Math" w:cs="Cambria Math"/>
        </w:rPr>
        <w:t>‑</w:t>
      </w:r>
      <w:r>
        <w:t xml:space="preserve">categories – effectively excludes ETFs from use as collateral. Explicitly allowing ETFs to be used as eligible collateral would provide tangible benefits: it would strengthen counterparties’ liquidity management during periods of market stress by expanding the range of eligible collateral, enhance the attractiveness of the EU clearing ecosystem, and support EU equity markets by increasing demand for ETFs in line with the objectives of the SIU. ESMA could facilitate this by introducing the following amendment into Annex 1 Section 1 first paragraph of RTS 153/2013: </w:t>
      </w:r>
    </w:p>
    <w:p w14:paraId="5095F0EB" w14:textId="77777777" w:rsidR="00F56C06" w:rsidRPr="00F35C77" w:rsidRDefault="00F56C06" w:rsidP="00F56C06">
      <w:pPr>
        <w:ind w:left="709"/>
        <w:rPr>
          <w:i/>
          <w:iCs/>
        </w:rPr>
      </w:pPr>
      <w:r w:rsidRPr="00F35C77">
        <w:rPr>
          <w:i/>
          <w:iCs/>
        </w:rPr>
        <w:t xml:space="preserve">(…) highly liquid collateral in the form of financial instruments shall be financial instruments meeting the conditions provided for in point 1 of Annex II to this Regulation or transferable securities, </w:t>
      </w:r>
      <w:r w:rsidRPr="00F35C77">
        <w:rPr>
          <w:b/>
          <w:bCs/>
          <w:i/>
          <w:iCs/>
          <w:color w:val="00B050"/>
        </w:rPr>
        <w:t xml:space="preserve">exchange traded </w:t>
      </w:r>
      <w:r>
        <w:rPr>
          <w:b/>
          <w:bCs/>
          <w:i/>
          <w:iCs/>
          <w:color w:val="00B050"/>
        </w:rPr>
        <w:t>funds</w:t>
      </w:r>
      <w:r w:rsidRPr="00F35C77">
        <w:rPr>
          <w:b/>
          <w:bCs/>
          <w:i/>
          <w:iCs/>
          <w:color w:val="00B050"/>
        </w:rPr>
        <w:t>,</w:t>
      </w:r>
      <w:r w:rsidRPr="00F35C77">
        <w:rPr>
          <w:i/>
          <w:iCs/>
          <w:color w:val="00B050"/>
        </w:rPr>
        <w:t xml:space="preserve"> </w:t>
      </w:r>
      <w:r w:rsidRPr="00F35C77">
        <w:rPr>
          <w:i/>
          <w:iCs/>
        </w:rPr>
        <w:t>and money-market instruments which meet each of the following conditions:</w:t>
      </w:r>
      <w:r>
        <w:rPr>
          <w:i/>
          <w:iCs/>
        </w:rPr>
        <w:t xml:space="preserve"> (…)</w:t>
      </w:r>
    </w:p>
    <w:p w14:paraId="7111AB2B" w14:textId="0A212C10" w:rsidR="00735A20" w:rsidRDefault="002D056F" w:rsidP="00571BDD">
      <w:r>
        <w:t>Furthermore</w:t>
      </w:r>
      <w:r w:rsidR="008F71EF" w:rsidRPr="008F71EF">
        <w:t>, we support ESMA’s proposal to include the EU, the Bank for International Settlements, and the International Monetary Fund as eligible issuers under CCP investment policies. However, we believe this is also an opportunity for ESMA to make broader improvements to the investment policy framework. For example, while CCPs are currently permitted to use derivatives to hedge foreign</w:t>
      </w:r>
      <w:r w:rsidR="008F71EF" w:rsidRPr="008F71EF">
        <w:rPr>
          <w:rFonts w:ascii="Cambria Math" w:hAnsi="Cambria Math" w:cs="Cambria Math"/>
        </w:rPr>
        <w:t>‑</w:t>
      </w:r>
      <w:r w:rsidR="008F71EF" w:rsidRPr="008F71EF">
        <w:t>exchange risks, they remain prohibited from hedging interest</w:t>
      </w:r>
      <w:r w:rsidR="008F71EF" w:rsidRPr="008F71EF">
        <w:rPr>
          <w:rFonts w:ascii="Cambria Math" w:hAnsi="Cambria Math" w:cs="Cambria Math"/>
        </w:rPr>
        <w:t>‑</w:t>
      </w:r>
      <w:r w:rsidR="008F71EF" w:rsidRPr="008F71EF">
        <w:t>rate risks</w:t>
      </w:r>
      <w:r w:rsidR="00356ACE">
        <w:t xml:space="preserve"> – </w:t>
      </w:r>
      <w:r w:rsidR="008F71EF" w:rsidRPr="008F71EF">
        <w:t>an asymmetry that does not reflect actual risk profiles. In addition, several existing requirements are not achieving their intended objectives in practice. A case in point is the 95% collateralization requirement for non</w:t>
      </w:r>
      <w:r w:rsidR="008F71EF" w:rsidRPr="008F71EF">
        <w:rPr>
          <w:rFonts w:ascii="Cambria Math" w:hAnsi="Cambria Math" w:cs="Cambria Math"/>
        </w:rPr>
        <w:t>‑</w:t>
      </w:r>
      <w:r w:rsidR="008F71EF" w:rsidRPr="008F71EF">
        <w:t>central</w:t>
      </w:r>
      <w:r w:rsidR="008F71EF" w:rsidRPr="008F71EF">
        <w:rPr>
          <w:rFonts w:ascii="Cambria Math" w:hAnsi="Cambria Math" w:cs="Cambria Math"/>
        </w:rPr>
        <w:t>‑</w:t>
      </w:r>
      <w:r w:rsidR="008F71EF" w:rsidRPr="008F71EF">
        <w:t>bank overnight deposits, which is designed to add protection but can instead force CCPs to withdraw and reinvest cash held at a central bank simply to meet the rule. We provide a more detailed overview of these issues</w:t>
      </w:r>
      <w:r w:rsidR="008F71EF">
        <w:t xml:space="preserve"> </w:t>
      </w:r>
      <w:r w:rsidR="008F71EF" w:rsidRPr="008F71EF">
        <w:t>in our response to question 16.</w:t>
      </w:r>
    </w:p>
    <w:p w14:paraId="5A0B74F1" w14:textId="7CC88B79" w:rsidR="0030497B" w:rsidRPr="0030497B" w:rsidRDefault="0093023D" w:rsidP="006E5305">
      <w:r>
        <w:t xml:space="preserve">Finally, </w:t>
      </w:r>
      <w:r w:rsidR="001C2955">
        <w:t>we would like to highlight that</w:t>
      </w:r>
      <w:r>
        <w:t xml:space="preserve"> </w:t>
      </w:r>
      <w:r w:rsidR="004375C9">
        <w:t xml:space="preserve">internationally active </w:t>
      </w:r>
      <w:r w:rsidR="004C482D">
        <w:t xml:space="preserve">clearing </w:t>
      </w:r>
      <w:r w:rsidR="004375C9">
        <w:t xml:space="preserve">banks would be interested in </w:t>
      </w:r>
      <w:r w:rsidR="00922494">
        <w:t>clearing</w:t>
      </w:r>
      <w:r w:rsidR="004375C9">
        <w:t xml:space="preserve"> their affiliate business </w:t>
      </w:r>
      <w:r w:rsidR="00922494">
        <w:t>in</w:t>
      </w:r>
      <w:r w:rsidR="004375C9">
        <w:t xml:space="preserve"> the EU, notably for Euro denominated products, provided </w:t>
      </w:r>
      <w:r w:rsidR="00922494">
        <w:t xml:space="preserve">that </w:t>
      </w:r>
      <w:r w:rsidR="004375C9">
        <w:t>at least the same netting efficiencies currently available at non-EU CCPs</w:t>
      </w:r>
      <w:r w:rsidR="00922494">
        <w:t xml:space="preserve"> can be realized</w:t>
      </w:r>
      <w:r w:rsidR="004375C9">
        <w:t>.</w:t>
      </w:r>
      <w:r w:rsidR="00F24434">
        <w:t xml:space="preserve"> </w:t>
      </w:r>
      <w:r w:rsidR="004C482D">
        <w:t xml:space="preserve">While third </w:t>
      </w:r>
      <w:r w:rsidR="004C482D">
        <w:lastRenderedPageBreak/>
        <w:t xml:space="preserve">country CCPs recognized in the EU seem to be able to meet the market demand by clearing banks for affiliate netting, </w:t>
      </w:r>
      <w:r w:rsidR="006679D6">
        <w:t xml:space="preserve">legal ambiguity in the EU framework </w:t>
      </w:r>
      <w:r w:rsidR="00F3206F">
        <w:t>does not a</w:t>
      </w:r>
      <w:r w:rsidR="00DD095C">
        <w:t>llow</w:t>
      </w:r>
      <w:r w:rsidR="00F3206F">
        <w:t xml:space="preserve"> clearing banks to realize </w:t>
      </w:r>
      <w:r w:rsidR="006679D6">
        <w:t>such efficiencies at EU CCPs</w:t>
      </w:r>
      <w:r w:rsidR="004375C9">
        <w:t>.</w:t>
      </w:r>
      <w:r w:rsidR="00F24434">
        <w:t xml:space="preserve"> </w:t>
      </w:r>
      <w:proofErr w:type="gramStart"/>
      <w:r w:rsidR="00814300">
        <w:t>In particular,</w:t>
      </w:r>
      <w:r w:rsidR="006E5305" w:rsidRPr="006E5305">
        <w:t xml:space="preserve"> existing</w:t>
      </w:r>
      <w:proofErr w:type="gramEnd"/>
      <w:r w:rsidR="006E5305" w:rsidRPr="006E5305">
        <w:t xml:space="preserve"> Level 2 standards indicate a differentiation of clients, clearing members</w:t>
      </w:r>
      <w:r w:rsidR="00711996">
        <w:t>,</w:t>
      </w:r>
      <w:r w:rsidR="006E5305" w:rsidRPr="006E5305">
        <w:t xml:space="preserve"> and affiliates, </w:t>
      </w:r>
      <w:r w:rsidR="00814300">
        <w:t xml:space="preserve">whilst </w:t>
      </w:r>
      <w:r w:rsidR="006E5305" w:rsidRPr="006E5305">
        <w:t xml:space="preserve">the EMIR Level 1 text does not explicitly define affiliate business. As a result, it has become the EU market standard to segregate affiliate business and treat them </w:t>
      </w:r>
      <w:r w:rsidR="00D079E0">
        <w:t>as</w:t>
      </w:r>
      <w:r w:rsidR="006E5305" w:rsidRPr="006E5305">
        <w:t xml:space="preserve"> client business instead of clearing member business </w:t>
      </w:r>
      <w:r w:rsidR="00D079E0">
        <w:t>as</w:t>
      </w:r>
      <w:r w:rsidR="006E5305" w:rsidRPr="006E5305">
        <w:t xml:space="preserve"> in other jurisdictions</w:t>
      </w:r>
      <w:r w:rsidR="00814300">
        <w:t>/ by non-EU CCPs</w:t>
      </w:r>
      <w:r w:rsidR="006E5305" w:rsidRPr="006E5305">
        <w:t xml:space="preserve">. However, the legal ambiguity has proven to have a negative effect on </w:t>
      </w:r>
      <w:r w:rsidR="00AE71AB">
        <w:t>EU</w:t>
      </w:r>
      <w:r w:rsidR="006E5305" w:rsidRPr="006E5305">
        <w:t xml:space="preserve"> competitiveness as netting effects and risk offsets for affiliate transactions cannot be reali</w:t>
      </w:r>
      <w:r w:rsidR="001D0289">
        <w:t>z</w:t>
      </w:r>
      <w:r w:rsidR="006E5305" w:rsidRPr="006E5305">
        <w:t>ed</w:t>
      </w:r>
      <w:r w:rsidR="00F3206F">
        <w:t xml:space="preserve"> by the interested clearing banks</w:t>
      </w:r>
      <w:r w:rsidR="006E5305" w:rsidRPr="006E5305">
        <w:t>.</w:t>
      </w:r>
      <w:r w:rsidR="00B027E6">
        <w:t xml:space="preserve"> </w:t>
      </w:r>
      <w:r w:rsidR="00F3206F">
        <w:t xml:space="preserve">As a result, clearing banks are </w:t>
      </w:r>
      <w:r w:rsidR="48E19FE4">
        <w:t>disincentivized</w:t>
      </w:r>
      <w:r w:rsidR="00F3206F">
        <w:t xml:space="preserve"> to clear their affiliate business at EU CCPs. </w:t>
      </w:r>
      <w:r w:rsidR="004C521E">
        <w:t>T</w:t>
      </w:r>
      <w:r w:rsidR="004C521E" w:rsidRPr="005D57DE">
        <w:t xml:space="preserve">o create a level playing field, ensure legal certainty and reassure </w:t>
      </w:r>
      <w:r w:rsidR="004C521E">
        <w:t>clearing banks,</w:t>
      </w:r>
      <w:r w:rsidR="00F3206F">
        <w:t xml:space="preserve"> EU</w:t>
      </w:r>
      <w:r w:rsidR="004C521E">
        <w:t xml:space="preserve"> </w:t>
      </w:r>
      <w:r w:rsidR="004C521E" w:rsidRPr="005D57DE">
        <w:t>CCPs</w:t>
      </w:r>
      <w:r w:rsidR="004C521E">
        <w:t>,</w:t>
      </w:r>
      <w:r w:rsidR="004C521E" w:rsidRPr="005D57DE">
        <w:t xml:space="preserve"> and their </w:t>
      </w:r>
      <w:r w:rsidR="004C521E">
        <w:t>competent authorities</w:t>
      </w:r>
      <w:r w:rsidR="004C521E" w:rsidRPr="005D57DE">
        <w:t xml:space="preserve"> in </w:t>
      </w:r>
      <w:r w:rsidR="004C521E">
        <w:t>launching</w:t>
      </w:r>
      <w:r w:rsidR="004C521E" w:rsidRPr="005D57DE">
        <w:t xml:space="preserve"> respective set-ups,</w:t>
      </w:r>
      <w:r w:rsidR="004C521E">
        <w:t xml:space="preserve"> </w:t>
      </w:r>
      <w:r w:rsidR="004C521E" w:rsidRPr="005D57DE">
        <w:t>ESMA should explicitly clarify that the treatment of affiliate assets and positions as proprietary assets and positions of the clearing member is an option</w:t>
      </w:r>
      <w:r w:rsidR="00F3206F">
        <w:t xml:space="preserve"> that clearing banks can cho</w:t>
      </w:r>
      <w:r w:rsidR="00175769">
        <w:t>o</w:t>
      </w:r>
      <w:r w:rsidR="00F3206F">
        <w:t xml:space="preserve">se next to the traditional </w:t>
      </w:r>
      <w:r w:rsidR="1E1E75F1">
        <w:t>segregation</w:t>
      </w:r>
      <w:r w:rsidR="33727F09">
        <w:t>.</w:t>
      </w:r>
      <w:r w:rsidR="004C521E">
        <w:t xml:space="preserve"> </w:t>
      </w:r>
      <w:r w:rsidR="008246C0" w:rsidRPr="008246C0">
        <w:t>Ensuring a</w:t>
      </w:r>
      <w:r w:rsidR="008246C0">
        <w:t xml:space="preserve">n </w:t>
      </w:r>
      <w:r w:rsidR="008246C0" w:rsidRPr="008246C0">
        <w:t xml:space="preserve">optionality would not only provide efficiencies but also risk management benefits: by allocating group risks to the proprietary accounts of the clearing member, the clients </w:t>
      </w:r>
      <w:r w:rsidR="00CE430D">
        <w:t>would be</w:t>
      </w:r>
      <w:r w:rsidR="008246C0" w:rsidRPr="008246C0">
        <w:t xml:space="preserve"> less exposed to the clearing member</w:t>
      </w:r>
      <w:r w:rsidR="00870C11">
        <w:t xml:space="preserve"> group’s </w:t>
      </w:r>
      <w:r w:rsidR="008246C0" w:rsidRPr="008246C0">
        <w:t>risks</w:t>
      </w:r>
      <w:r w:rsidR="00F26314">
        <w:t>.</w:t>
      </w:r>
      <w:r w:rsidR="008246C0" w:rsidRPr="008246C0">
        <w:t xml:space="preserve"> </w:t>
      </w:r>
      <w:r w:rsidR="00B027E6">
        <w:t xml:space="preserve">ESMA could </w:t>
      </w:r>
      <w:r w:rsidR="00F26314">
        <w:t xml:space="preserve">therefore </w:t>
      </w:r>
      <w:r w:rsidR="00B027E6">
        <w:t xml:space="preserve">provide </w:t>
      </w:r>
      <w:r w:rsidR="00F95A83">
        <w:t xml:space="preserve">a respective clarification </w:t>
      </w:r>
      <w:r w:rsidR="001D6C8C">
        <w:t>of the treatment of affiliate nett</w:t>
      </w:r>
      <w:r w:rsidR="00ED6020">
        <w:t>in</w:t>
      </w:r>
      <w:r w:rsidR="001D6C8C">
        <w:t>g</w:t>
      </w:r>
      <w:r w:rsidR="00F95A83">
        <w:t xml:space="preserve"> </w:t>
      </w:r>
      <w:r w:rsidR="0003483C">
        <w:t>in</w:t>
      </w:r>
      <w:r w:rsidR="00F95A83">
        <w:t xml:space="preserve"> the EMIR</w:t>
      </w:r>
      <w:r w:rsidR="00B027E6">
        <w:t xml:space="preserve"> </w:t>
      </w:r>
      <w:r w:rsidR="00F3206F">
        <w:t xml:space="preserve">segregation </w:t>
      </w:r>
      <w:r w:rsidR="00B027E6">
        <w:t xml:space="preserve">Q&amp;A </w:t>
      </w:r>
      <w:r w:rsidR="00ED6020">
        <w:t xml:space="preserve">to </w:t>
      </w:r>
      <w:r w:rsidR="00041387">
        <w:t>ensure</w:t>
      </w:r>
      <w:r w:rsidR="00ED6020">
        <w:t xml:space="preserve"> legal guidance in the mid-term and update the</w:t>
      </w:r>
      <w:r w:rsidR="00BA279F">
        <w:t xml:space="preserve"> currently revised</w:t>
      </w:r>
      <w:r w:rsidR="00ED6020">
        <w:t xml:space="preserve"> RTS in the long-term </w:t>
      </w:r>
      <w:r w:rsidR="004439B1">
        <w:t>for legal certainty.</w:t>
      </w:r>
      <w:r w:rsidR="00F95A83">
        <w:t xml:space="preserve"> </w:t>
      </w:r>
    </w:p>
    <w:p w14:paraId="550E1F96" w14:textId="24C84C6C" w:rsidR="00571BDD" w:rsidRPr="00571BDD" w:rsidRDefault="001F19E0" w:rsidP="00571BDD">
      <w:pPr>
        <w:rPr>
          <w:lang w:val="en-US"/>
        </w:rPr>
      </w:pPr>
      <w:r>
        <w:t xml:space="preserve">Regarding Q1, </w:t>
      </w:r>
      <w:r w:rsidR="002724C1">
        <w:t xml:space="preserve">DBG welcomes the </w:t>
      </w:r>
      <w:r w:rsidR="00990F45">
        <w:t xml:space="preserve">proposed </w:t>
      </w:r>
      <w:r w:rsidR="00755814">
        <w:t xml:space="preserve">draft on </w:t>
      </w:r>
      <w:r w:rsidR="003C4BC2">
        <w:t>concentration limits</w:t>
      </w:r>
      <w:r w:rsidR="00CA2992">
        <w:t xml:space="preserve"> providing legal clarity</w:t>
      </w:r>
      <w:r w:rsidR="00915C63">
        <w:t xml:space="preserve"> while ensuring room for flexibility</w:t>
      </w:r>
      <w:r w:rsidR="00CA2992">
        <w:t>.</w:t>
      </w:r>
      <w:r w:rsidR="00571BDD" w:rsidRPr="6548345A">
        <w:rPr>
          <w:rFonts w:eastAsia="Times New Roman"/>
          <w:color w:val="000000" w:themeColor="text1"/>
          <w:lang w:val="en-US" w:eastAsia="en-GB"/>
        </w:rPr>
        <w:t xml:space="preserve"> </w:t>
      </w:r>
      <w:r w:rsidR="00571BDD" w:rsidRPr="00571BDD">
        <w:rPr>
          <w:lang w:val="en-US"/>
        </w:rPr>
        <w:t xml:space="preserve">A CCP </w:t>
      </w:r>
      <w:r w:rsidR="00197A0D">
        <w:rPr>
          <w:lang w:val="en-US"/>
        </w:rPr>
        <w:t>should have the discretion to</w:t>
      </w:r>
      <w:r w:rsidR="00571BDD" w:rsidRPr="00571BDD">
        <w:rPr>
          <w:lang w:val="en-US"/>
        </w:rPr>
        <w:t xml:space="preserve"> apply different concentration limits for public guarantees, public bank guarantees</w:t>
      </w:r>
      <w:r w:rsidR="7CBA7052" w:rsidRPr="6548345A">
        <w:rPr>
          <w:lang w:val="en-US"/>
        </w:rPr>
        <w:t>,</w:t>
      </w:r>
      <w:r w:rsidR="00571BDD" w:rsidRPr="00571BDD">
        <w:rPr>
          <w:lang w:val="en-US"/>
        </w:rPr>
        <w:t xml:space="preserve"> and commercial bank guarantees. Concentration levels may be set in absolute terms and/or in relative terms. Concentration limits shall also consider other types of eligible collateral provided to a CCP as well as regulatory requirements for a CCP to maintain a certain level of liquidity (e.g. cash quota). </w:t>
      </w:r>
    </w:p>
    <w:p w14:paraId="065B9C26" w14:textId="77777777" w:rsidR="00136C67" w:rsidRDefault="00571BDD" w:rsidP="002A03C3">
      <w:pPr>
        <w:rPr>
          <w:lang w:val="en-US"/>
        </w:rPr>
      </w:pPr>
      <w:r w:rsidRPr="00571BDD">
        <w:rPr>
          <w:lang w:val="en-US"/>
        </w:rPr>
        <w:t xml:space="preserve">Concentration limits for guarantees shall not exceed the concentration limits set for bonds. </w:t>
      </w:r>
      <w:r w:rsidR="002A03C3" w:rsidRPr="002A03C3">
        <w:rPr>
          <w:lang w:val="en-US"/>
        </w:rPr>
        <w:t xml:space="preserve">Furthermore, concentration limits </w:t>
      </w:r>
      <w:proofErr w:type="gramStart"/>
      <w:r w:rsidR="002A03C3" w:rsidRPr="002A03C3">
        <w:rPr>
          <w:lang w:val="en-US"/>
        </w:rPr>
        <w:t>shall</w:t>
      </w:r>
      <w:proofErr w:type="gramEnd"/>
      <w:r w:rsidR="002A03C3" w:rsidRPr="002A03C3">
        <w:rPr>
          <w:lang w:val="en-US"/>
        </w:rPr>
        <w:t xml:space="preserve"> also consider close links between the issuer of a bond and the</w:t>
      </w:r>
      <w:r w:rsidR="002A03C3">
        <w:rPr>
          <w:lang w:val="en-US"/>
        </w:rPr>
        <w:t xml:space="preserve"> </w:t>
      </w:r>
      <w:r w:rsidR="002A03C3" w:rsidRPr="002A03C3">
        <w:rPr>
          <w:lang w:val="en-US"/>
        </w:rPr>
        <w:t>issuer of a guarantee</w:t>
      </w:r>
      <w:r w:rsidR="002A03C3">
        <w:rPr>
          <w:lang w:val="en-US"/>
        </w:rPr>
        <w:t>.</w:t>
      </w:r>
    </w:p>
    <w:permEnd w:id="910108688"/>
    <w:p w14:paraId="7D4640BC" w14:textId="7E72FC22" w:rsidR="00693907" w:rsidRDefault="00136C67" w:rsidP="002A03C3">
      <w:r w:rsidRPr="00136C67">
        <w:t>&lt;</w:t>
      </w:r>
      <w:r w:rsidR="00693907">
        <w:t>ESMA_QUESTION_</w:t>
      </w:r>
      <w:r w:rsidR="00B744D6">
        <w:t>COLL</w:t>
      </w:r>
      <w:r w:rsidR="00693907">
        <w:t>_1&gt;</w:t>
      </w:r>
    </w:p>
    <w:p w14:paraId="0B2E60F7" w14:textId="77777777" w:rsidR="00693907" w:rsidRDefault="00693907" w:rsidP="00693907"/>
    <w:p w14:paraId="0D4A902B" w14:textId="67C691EF" w:rsidR="00693907" w:rsidRPr="00C57036" w:rsidRDefault="007C5CE7" w:rsidP="00693907">
      <w:pPr>
        <w:pStyle w:val="Questionstyle"/>
      </w:pPr>
      <w:r w:rsidRPr="007C5CE7">
        <w:t>Do</w:t>
      </w:r>
      <w:r w:rsidR="002C497F">
        <w:t xml:space="preserve"> </w:t>
      </w:r>
      <w:r w:rsidR="002C497F" w:rsidRPr="002C497F">
        <w:t xml:space="preserve">you agree with the inclusion of the level of collateralisation of the guarantee as a criterion for the CCP to consider when establishing concentration limits? </w:t>
      </w:r>
      <w:r w:rsidR="00693907" w:rsidRPr="00C57036">
        <w:t xml:space="preserve">   </w:t>
      </w:r>
    </w:p>
    <w:p w14:paraId="00896A16" w14:textId="79A6D7D2" w:rsidR="00693907" w:rsidRDefault="00693907" w:rsidP="00693907">
      <w:r>
        <w:t>&lt;ESMA_QUESTION_</w:t>
      </w:r>
      <w:r w:rsidR="008D6D0B">
        <w:t>COLL</w:t>
      </w:r>
      <w:r>
        <w:t>_2&gt;</w:t>
      </w:r>
    </w:p>
    <w:p w14:paraId="51AB9ACD" w14:textId="3B631483" w:rsidR="003E4D36" w:rsidRDefault="00253B1B" w:rsidP="00693907">
      <w:permStart w:id="834943991" w:edGrp="everyone"/>
      <w:r>
        <w:t xml:space="preserve">DBG agrees with </w:t>
      </w:r>
      <w:r w:rsidR="00B81FB3">
        <w:t>including the level of collater</w:t>
      </w:r>
      <w:r w:rsidR="003F2935">
        <w:t>alisation as one criterion</w:t>
      </w:r>
      <w:r w:rsidR="00AA611F">
        <w:t xml:space="preserve"> for the CCP to consider the pro</w:t>
      </w:r>
      <w:r w:rsidR="00F25437">
        <w:t>file of a guarantee. A</w:t>
      </w:r>
      <w:r w:rsidR="008D7089">
        <w:t>s it can be assumed that higher collateralisation leads potenti</w:t>
      </w:r>
      <w:r w:rsidR="0081701E">
        <w:t>a</w:t>
      </w:r>
      <w:r w:rsidR="008D7089">
        <w:t>lly to a lower risk profile it should be consequenti</w:t>
      </w:r>
      <w:r w:rsidR="00D00991">
        <w:t xml:space="preserve">ally </w:t>
      </w:r>
      <w:proofErr w:type="gramStart"/>
      <w:r w:rsidR="00D00991">
        <w:t>taken</w:t>
      </w:r>
      <w:r w:rsidR="003E4D36">
        <w:t xml:space="preserve"> i</w:t>
      </w:r>
      <w:r w:rsidR="005C09D2">
        <w:t>nto account</w:t>
      </w:r>
      <w:proofErr w:type="gramEnd"/>
      <w:r w:rsidR="005C09D2">
        <w:t xml:space="preserve"> when setting concentr</w:t>
      </w:r>
      <w:r w:rsidR="00AF31D2">
        <w:t>ation limits.</w:t>
      </w:r>
    </w:p>
    <w:permEnd w:id="834943991"/>
    <w:p w14:paraId="456D2494" w14:textId="7C8052C1" w:rsidR="00693907" w:rsidRDefault="00693907" w:rsidP="00693907">
      <w:r>
        <w:lastRenderedPageBreak/>
        <w:t>&lt;ESMA_QUESTION_</w:t>
      </w:r>
      <w:r w:rsidR="008D6D0B">
        <w:t>COLL</w:t>
      </w:r>
      <w:r>
        <w:t>_2&gt;</w:t>
      </w:r>
    </w:p>
    <w:p w14:paraId="07210AC9" w14:textId="77777777" w:rsidR="00693907" w:rsidRDefault="00693907" w:rsidP="00693907"/>
    <w:p w14:paraId="19A7880E" w14:textId="37B3D236" w:rsidR="00693907" w:rsidRPr="00EB5987" w:rsidRDefault="006901CE" w:rsidP="00693907">
      <w:pPr>
        <w:pStyle w:val="Questionstyle"/>
      </w:pPr>
      <w:r w:rsidRPr="006901CE">
        <w:t>Do</w:t>
      </w:r>
      <w:r>
        <w:t xml:space="preserve"> </w:t>
      </w:r>
      <w:r w:rsidR="005039EC" w:rsidRPr="005039EC">
        <w:t>you agree with the inclusion of the new criteria (e) in paragraph 3 of Article 42, so that the CCP can consider the activity of the non-financial client when setting concentration limits?</w:t>
      </w:r>
      <w:r w:rsidR="00693907" w:rsidRPr="00EB5987">
        <w:t xml:space="preserve">    </w:t>
      </w:r>
    </w:p>
    <w:p w14:paraId="4B1B3C0E" w14:textId="4203ECA6" w:rsidR="00693907" w:rsidRDefault="00693907" w:rsidP="00693907">
      <w:r>
        <w:t>&lt;ESMA_QUESTION_</w:t>
      </w:r>
      <w:r w:rsidR="008D6D0B">
        <w:t>COLL</w:t>
      </w:r>
      <w:r>
        <w:t>_3&gt;</w:t>
      </w:r>
    </w:p>
    <w:p w14:paraId="0B7F9B85" w14:textId="75F9F8C0" w:rsidR="00A8367C" w:rsidRDefault="00D247BE" w:rsidP="00693907">
      <w:permStart w:id="1178823114" w:edGrp="everyone"/>
      <w:r>
        <w:t xml:space="preserve">DBG </w:t>
      </w:r>
      <w:r w:rsidRPr="00D247BE">
        <w:t xml:space="preserve">believes that the use of guarantees can further promote and support clearing of commodity derivatives and is especially of relevance for energy market participants. </w:t>
      </w:r>
      <w:r w:rsidR="004D6D79">
        <w:t>Following the energy crisis in 2022 and respective</w:t>
      </w:r>
      <w:r w:rsidR="00C418B0">
        <w:t xml:space="preserve"> emergency </w:t>
      </w:r>
      <w:r w:rsidR="003C329B">
        <w:t>measures</w:t>
      </w:r>
      <w:r w:rsidR="004949A9">
        <w:t>,</w:t>
      </w:r>
      <w:r w:rsidR="003C329B">
        <w:t xml:space="preserve"> there have been ongoing demands to </w:t>
      </w:r>
      <w:r w:rsidR="003323C4">
        <w:t>exten</w:t>
      </w:r>
      <w:r w:rsidR="00F126BE">
        <w:t>d</w:t>
      </w:r>
      <w:r w:rsidR="003323C4">
        <w:t xml:space="preserve"> the scope of guarantees especially from energy market participants</w:t>
      </w:r>
      <w:r w:rsidRPr="00D247BE">
        <w:t>.</w:t>
      </w:r>
      <w:r w:rsidR="00CA5758">
        <w:t xml:space="preserve"> </w:t>
      </w:r>
    </w:p>
    <w:p w14:paraId="6EDBBD0D" w14:textId="31BB777E" w:rsidR="00693907" w:rsidRDefault="00CA5758" w:rsidP="00693907">
      <w:r>
        <w:t xml:space="preserve">This is </w:t>
      </w:r>
      <w:r w:rsidR="12F7C3D9">
        <w:t>particular</w:t>
      </w:r>
      <w:r w:rsidR="40B039FF">
        <w:t>l</w:t>
      </w:r>
      <w:r w:rsidR="12F7C3D9">
        <w:t>y</w:t>
      </w:r>
      <w:r>
        <w:t xml:space="preserve"> relevant for their specific business as</w:t>
      </w:r>
      <w:r w:rsidR="00A87E84">
        <w:t xml:space="preserve"> their </w:t>
      </w:r>
      <w:r w:rsidR="006E0FEB">
        <w:t xml:space="preserve">access to </w:t>
      </w:r>
      <w:r w:rsidR="00973445">
        <w:t>liquid assets might be restricted in certain cases</w:t>
      </w:r>
      <w:r w:rsidR="0054731C">
        <w:t xml:space="preserve"> while at the same time </w:t>
      </w:r>
      <w:r w:rsidR="00262491">
        <w:t xml:space="preserve">the underlying activity </w:t>
      </w:r>
      <w:r w:rsidR="000A5B22">
        <w:t>and</w:t>
      </w:r>
      <w:r w:rsidR="0054731C">
        <w:t xml:space="preserve"> assets </w:t>
      </w:r>
      <w:r w:rsidR="00B80CFD">
        <w:t>like hedging positions corresponding to</w:t>
      </w:r>
      <w:r w:rsidR="00231F74">
        <w:t xml:space="preserve"> their physi</w:t>
      </w:r>
      <w:r w:rsidR="00403359">
        <w:t>cal activities</w:t>
      </w:r>
      <w:r w:rsidR="00262491">
        <w:t xml:space="preserve"> </w:t>
      </w:r>
      <w:r w:rsidR="00F01175">
        <w:t>should be consi</w:t>
      </w:r>
      <w:r w:rsidR="0031038B">
        <w:t>dered in setting respective concentration limits.</w:t>
      </w:r>
      <w:r w:rsidR="00F25092">
        <w:t xml:space="preserve"> Therefore</w:t>
      </w:r>
      <w:r w:rsidR="6B8CEEF3">
        <w:t>,</w:t>
      </w:r>
      <w:r w:rsidR="00F25092">
        <w:t xml:space="preserve"> a respective criterion</w:t>
      </w:r>
      <w:r w:rsidR="00AB2671">
        <w:t xml:space="preserve"> while applying concentration limits</w:t>
      </w:r>
      <w:r w:rsidR="00F25092">
        <w:t xml:space="preserve"> is welcomed</w:t>
      </w:r>
      <w:r w:rsidR="00AB2671">
        <w:t>.</w:t>
      </w:r>
    </w:p>
    <w:permEnd w:id="1178823114"/>
    <w:p w14:paraId="7EF07F00" w14:textId="43ADDCB7" w:rsidR="00693907" w:rsidRDefault="00693907" w:rsidP="00693907">
      <w:r>
        <w:t>&lt;ESMA_QUESTION_</w:t>
      </w:r>
      <w:r w:rsidR="00135967">
        <w:t>COLL</w:t>
      </w:r>
      <w:r>
        <w:t>_3&gt;</w:t>
      </w:r>
    </w:p>
    <w:p w14:paraId="6B4516C3" w14:textId="77777777" w:rsidR="00693907" w:rsidRDefault="00693907" w:rsidP="00693907"/>
    <w:p w14:paraId="5487291B" w14:textId="0684972D" w:rsidR="00693907" w:rsidRPr="007966CD" w:rsidRDefault="00191142" w:rsidP="00693907">
      <w:pPr>
        <w:pStyle w:val="Questionstyle"/>
      </w:pPr>
      <w:r w:rsidRPr="00191142">
        <w:t>Shall there be specific concentration limits established for guarantees provided by non-clearing members, given these exposures are not considered in the Stress Test?</w:t>
      </w:r>
      <w:r w:rsidR="00693907" w:rsidRPr="007966CD">
        <w:t xml:space="preserve">   </w:t>
      </w:r>
    </w:p>
    <w:p w14:paraId="6040CACC" w14:textId="2C012C7C" w:rsidR="00693907" w:rsidRDefault="00693907" w:rsidP="00693907">
      <w:r>
        <w:t>&lt;ESMA_QUESTION_</w:t>
      </w:r>
      <w:r w:rsidR="00E665F4">
        <w:t>COLL</w:t>
      </w:r>
      <w:r>
        <w:t>_4&gt;</w:t>
      </w:r>
    </w:p>
    <w:p w14:paraId="0FA0592F" w14:textId="77777777" w:rsidR="00CE10B3" w:rsidRDefault="00CE10B3" w:rsidP="00CE10B3">
      <w:permStart w:id="2012300575" w:edGrp="everyone"/>
      <w:r>
        <w:t>From a CCP risk</w:t>
      </w:r>
      <w:r>
        <w:rPr>
          <w:rFonts w:ascii="Cambria Math" w:hAnsi="Cambria Math" w:cs="Cambria Math"/>
        </w:rPr>
        <w:t>‑</w:t>
      </w:r>
      <w:r>
        <w:t>management perspective, the introduction of specific concentration limits for guarantees issued by non</w:t>
      </w:r>
      <w:r>
        <w:rPr>
          <w:rFonts w:ascii="Cambria Math" w:hAnsi="Cambria Math" w:cs="Cambria Math"/>
        </w:rPr>
        <w:t>‑</w:t>
      </w:r>
      <w:r>
        <w:t>clearing members is both warranted and beneficial for the robustness of the clearing ecosystem.</w:t>
      </w:r>
    </w:p>
    <w:p w14:paraId="158A1A39" w14:textId="5130FF1A" w:rsidR="00CE10B3" w:rsidRDefault="00CE10B3" w:rsidP="00CE10B3">
      <w:pPr>
        <w:rPr>
          <w:rFonts w:eastAsia="Arial"/>
        </w:rPr>
      </w:pPr>
      <w:r w:rsidRPr="6548345A">
        <w:rPr>
          <w:rFonts w:eastAsia="Arial"/>
        </w:rPr>
        <w:t xml:space="preserve">First, these exposures are currently not captured in the CCP’s Stress Test framework, which is designed to assess the resilience of the default waterfall under Cover‑2 assumptions. As highlighted in ESMA’s consultation paper, guarantees issued by clearing members are already incorporated into the stress‑testing methodology, but non‑clearing‑member guarantees are not. This creates an asymmetry in risk capture and may lead to pockets of unassessed credit concentration. </w:t>
      </w:r>
    </w:p>
    <w:p w14:paraId="6E1CAE62" w14:textId="77777777" w:rsidR="00CE10B3" w:rsidRDefault="00CE10B3" w:rsidP="00CE10B3">
      <w:r>
        <w:t>Second, the absence of a quantitative limit may allow large exposures to accumulate vis</w:t>
      </w:r>
      <w:r>
        <w:rPr>
          <w:rFonts w:ascii="Cambria Math" w:hAnsi="Cambria Math" w:cs="Cambria Math"/>
        </w:rPr>
        <w:t>‑</w:t>
      </w:r>
      <w:r>
        <w:t>à</w:t>
      </w:r>
      <w:r>
        <w:rPr>
          <w:rFonts w:ascii="Cambria Math" w:hAnsi="Cambria Math" w:cs="Cambria Math"/>
        </w:rPr>
        <w:t>‑</w:t>
      </w:r>
      <w:r>
        <w:t>vis a single non</w:t>
      </w:r>
      <w:r>
        <w:rPr>
          <w:rFonts w:ascii="Cambria Math" w:hAnsi="Cambria Math" w:cs="Cambria Math"/>
        </w:rPr>
        <w:t>‑</w:t>
      </w:r>
      <w:r>
        <w:t>clearing guarantor, especially in markets with a limited number of commercial banks or public entities offering guarantees. Without Stress Test integration, these concentrations could crystallise into material losses if a guarantor fails to perform, potentially undermining the default waterfall’s integrity.</w:t>
      </w:r>
    </w:p>
    <w:p w14:paraId="19F4023B" w14:textId="789A3008" w:rsidR="00CE10B3" w:rsidRDefault="00CE10B3" w:rsidP="00CE10B3">
      <w:r>
        <w:lastRenderedPageBreak/>
        <w:t>Third, establishing specific limits enhances risk sensitivity and proportionality. Th</w:t>
      </w:r>
      <w:r w:rsidR="007B1084">
        <w:t>is</w:t>
      </w:r>
      <w:r>
        <w:t xml:space="preserve"> consultation acknowledges that concentration limits contribute meaningfully to reducing CCP credit</w:t>
      </w:r>
      <w:r>
        <w:rPr>
          <w:rFonts w:ascii="Cambria Math" w:hAnsi="Cambria Math" w:cs="Cambria Math"/>
        </w:rPr>
        <w:t>‑</w:t>
      </w:r>
      <w:r>
        <w:t>risk concentration while maintaining flexibility for CCPs to calibrate limits based on the risk profile of the underlying activity. Creating a dedicated limit for non</w:t>
      </w:r>
      <w:r>
        <w:rPr>
          <w:rFonts w:ascii="Cambria Math" w:hAnsi="Cambria Math" w:cs="Cambria Math"/>
        </w:rPr>
        <w:t>‑</w:t>
      </w:r>
      <w:r>
        <w:t>clearing</w:t>
      </w:r>
      <w:r>
        <w:rPr>
          <w:rFonts w:ascii="Cambria Math" w:hAnsi="Cambria Math" w:cs="Cambria Math"/>
        </w:rPr>
        <w:t>‑</w:t>
      </w:r>
      <w:r>
        <w:t xml:space="preserve">member guarantees aligns with this principle by ensuring these exposures do not exceed a prudent share of total collateral. </w:t>
      </w:r>
    </w:p>
    <w:p w14:paraId="7FE4A78C" w14:textId="301F4A12" w:rsidR="00CE10B3" w:rsidRDefault="00CE10B3" w:rsidP="00CE10B3">
      <w:r>
        <w:t>Additionally, a specific limit would improve the consistency and comparability of risk management across CCPs. Given that guarantees from non</w:t>
      </w:r>
      <w:r>
        <w:rPr>
          <w:rFonts w:ascii="Cambria Math" w:hAnsi="Cambria Math" w:cs="Cambria Math"/>
        </w:rPr>
        <w:t>‑</w:t>
      </w:r>
      <w:r>
        <w:t xml:space="preserve">clearing entities may vary widely in legal enforceability, collateralisation structure, and credit quality, a harmonised regulatory baseline would prevent regulatory arbitrage and maintain a level playing field. </w:t>
      </w:r>
    </w:p>
    <w:p w14:paraId="01FC9F66" w14:textId="39D1FFD0" w:rsidR="00CE10B3" w:rsidRDefault="00CE10B3" w:rsidP="00CE10B3">
      <w:r>
        <w:t>Finally, imposing such limits contributes to avoiding wrong</w:t>
      </w:r>
      <w:r>
        <w:rPr>
          <w:rFonts w:ascii="Cambria Math" w:hAnsi="Cambria Math" w:cs="Cambria Math"/>
        </w:rPr>
        <w:t>‑</w:t>
      </w:r>
      <w:r>
        <w:t>way and contagion risks. Where a guarantor is not a clearing member, the CCP has less historical information and fewer direct supervisory touchpoints; therefore, prudential constraints on how much exposure can accumulate toward such an entity serve as an important compensatory control.</w:t>
      </w:r>
    </w:p>
    <w:p w14:paraId="30B0D3B8" w14:textId="5D65BBAA" w:rsidR="00693907" w:rsidRDefault="00CE10B3" w:rsidP="00CE10B3">
      <w:r>
        <w:t>In summary, the combination of (i) missing Stress Test incorporation, (ii) potential for unmonitored concentration build</w:t>
      </w:r>
      <w:r>
        <w:rPr>
          <w:rFonts w:ascii="Cambria Math" w:hAnsi="Cambria Math" w:cs="Cambria Math"/>
        </w:rPr>
        <w:t>‑</w:t>
      </w:r>
      <w:r>
        <w:t>up, and (iii) the heterogeneous nature of non</w:t>
      </w:r>
      <w:r>
        <w:rPr>
          <w:rFonts w:ascii="Cambria Math" w:hAnsi="Cambria Math" w:cs="Cambria Math"/>
        </w:rPr>
        <w:t>‑</w:t>
      </w:r>
      <w:r>
        <w:t>clearing</w:t>
      </w:r>
      <w:r>
        <w:rPr>
          <w:rFonts w:ascii="Cambria Math" w:hAnsi="Cambria Math" w:cs="Cambria Math"/>
        </w:rPr>
        <w:t>‑</w:t>
      </w:r>
      <w:r>
        <w:t>member guarantors supports introducing specific concentration limits as a prudent, proportionate, and stability</w:t>
      </w:r>
      <w:r>
        <w:rPr>
          <w:rFonts w:ascii="Cambria Math" w:hAnsi="Cambria Math" w:cs="Cambria Math"/>
        </w:rPr>
        <w:t>‑</w:t>
      </w:r>
      <w:r>
        <w:t>enhancing measure.</w:t>
      </w:r>
    </w:p>
    <w:permEnd w:id="2012300575"/>
    <w:p w14:paraId="0AB70AFF" w14:textId="6628E3FD" w:rsidR="00693907" w:rsidRDefault="00693907" w:rsidP="00693907">
      <w:r>
        <w:t>&lt;ESMA_QUESTION_</w:t>
      </w:r>
      <w:r w:rsidR="00E665F4">
        <w:t>COLL</w:t>
      </w:r>
      <w:r>
        <w:t>_4&gt;</w:t>
      </w:r>
    </w:p>
    <w:p w14:paraId="2B2D8140" w14:textId="77777777" w:rsidR="00693907" w:rsidRDefault="00693907" w:rsidP="00693907"/>
    <w:p w14:paraId="0BC438F6" w14:textId="3D7F0085" w:rsidR="00693907" w:rsidRPr="007966CD" w:rsidRDefault="00625ABA" w:rsidP="00693907">
      <w:pPr>
        <w:pStyle w:val="Questionstyle"/>
      </w:pPr>
      <w:r w:rsidRPr="00625ABA">
        <w:t xml:space="preserve">Is ESMA’s </w:t>
      </w:r>
      <w:proofErr w:type="gramStart"/>
      <w:r w:rsidRPr="00625ABA">
        <w:t>understanding</w:t>
      </w:r>
      <w:proofErr w:type="gramEnd"/>
      <w:r w:rsidRPr="00625ABA">
        <w:t xml:space="preserve"> correct? Are there other essential features of the guarantees that should be highlighted?</w:t>
      </w:r>
      <w:r w:rsidR="00693907" w:rsidRPr="007966CD">
        <w:t xml:space="preserve">   </w:t>
      </w:r>
    </w:p>
    <w:p w14:paraId="01C9FE80" w14:textId="0C467029" w:rsidR="00693907" w:rsidRDefault="00693907" w:rsidP="00693907">
      <w:r>
        <w:t>&lt;ESMA_QUESTION_</w:t>
      </w:r>
      <w:r w:rsidR="00863ECB">
        <w:t>COLL</w:t>
      </w:r>
      <w:r>
        <w:t>_5&gt;</w:t>
      </w:r>
    </w:p>
    <w:p w14:paraId="3A2063CD" w14:textId="4C1B5DEA" w:rsidR="00156C0B" w:rsidRPr="00156C0B" w:rsidRDefault="00156C0B" w:rsidP="00156C0B">
      <w:pPr>
        <w:rPr>
          <w:lang w:val="en-AU"/>
        </w:rPr>
      </w:pPr>
      <w:permStart w:id="1536499182" w:edGrp="everyone"/>
      <w:r w:rsidRPr="00156C0B">
        <w:rPr>
          <w:lang w:val="en-US"/>
        </w:rPr>
        <w:t xml:space="preserve">DBG welcomes the clarification under Sec. 18 and 19 of the Consultation Paper </w:t>
      </w:r>
      <w:r w:rsidR="00535A92">
        <w:rPr>
          <w:lang w:val="en-US"/>
        </w:rPr>
        <w:t>clarifying</w:t>
      </w:r>
      <w:r w:rsidRPr="00156C0B">
        <w:rPr>
          <w:lang w:val="en-US"/>
        </w:rPr>
        <w:t xml:space="preserve"> that a CCP may also accept commercial bank guarantees, public bank guarantees and public guarantees from financial clearing members for the collateralization of non-financial clients of such clearing members to whom a CCP has no direct initial and ongoing exposure. As this has been the intention of adapting Art. 46</w:t>
      </w:r>
      <w:r w:rsidR="002608C3">
        <w:rPr>
          <w:lang w:val="en-US"/>
        </w:rPr>
        <w:t xml:space="preserve"> EMIR</w:t>
      </w:r>
      <w:r w:rsidRPr="00156C0B">
        <w:rPr>
          <w:lang w:val="en-US"/>
        </w:rPr>
        <w:t xml:space="preserve"> this clarification provides much needed regulatory certainty. For </w:t>
      </w:r>
      <w:r w:rsidR="00961982" w:rsidRPr="6548345A">
        <w:rPr>
          <w:lang w:val="en-US"/>
        </w:rPr>
        <w:t xml:space="preserve">the </w:t>
      </w:r>
      <w:r w:rsidRPr="00156C0B">
        <w:rPr>
          <w:lang w:val="en-US"/>
        </w:rPr>
        <w:t>sake of regulatory and legal certainty we would also like to suggest that a corresponding clarification be included in the RTS (e.g. as a new Recital (3)).</w:t>
      </w:r>
    </w:p>
    <w:p w14:paraId="07A175AF" w14:textId="77777777" w:rsidR="00156C0B" w:rsidRPr="00156C0B" w:rsidRDefault="00156C0B" w:rsidP="00156C0B">
      <w:pPr>
        <w:rPr>
          <w:lang w:val="en-AU"/>
        </w:rPr>
      </w:pPr>
      <w:r w:rsidRPr="00156C0B">
        <w:rPr>
          <w:lang w:val="en-AU"/>
        </w:rPr>
        <w:t xml:space="preserve">Furthermore, in our view, “ESMA’s understanding of the functioning of bank guarantees for which the principal is a client of a clearing member” as expressed under Sec. 20 </w:t>
      </w:r>
      <w:r w:rsidRPr="00156C0B">
        <w:rPr>
          <w:lang w:val="en-US"/>
        </w:rPr>
        <w:t>of the Consultation Paper</w:t>
      </w:r>
      <w:r w:rsidRPr="00156C0B">
        <w:rPr>
          <w:lang w:val="en-AU"/>
        </w:rPr>
        <w:t xml:space="preserve"> is not fully correct. Firstly, we would like to point out that the statement that “</w:t>
      </w:r>
      <w:r w:rsidRPr="00156C0B">
        <w:rPr>
          <w:i/>
          <w:iCs/>
          <w:lang w:val="en-AU"/>
        </w:rPr>
        <w:t>the CCP has only a contractual relationship with the clearing member (not with the client)</w:t>
      </w:r>
      <w:r w:rsidRPr="00156C0B">
        <w:rPr>
          <w:lang w:val="en-AU"/>
        </w:rPr>
        <w:t xml:space="preserve">” is often true, but not universally so. Whilst this is true for </w:t>
      </w:r>
      <w:r w:rsidRPr="00156C0B">
        <w:rPr>
          <w:lang w:val="en-US"/>
        </w:rPr>
        <w:t xml:space="preserve">standard derivative clearing models, </w:t>
      </w:r>
      <w:r w:rsidRPr="00156C0B">
        <w:rPr>
          <w:lang w:val="en-AU"/>
        </w:rPr>
        <w:t>in the spot market at ECC,</w:t>
      </w:r>
      <w:r w:rsidRPr="00156C0B">
        <w:rPr>
          <w:lang w:val="en-US"/>
        </w:rPr>
        <w:t xml:space="preserve"> for</w:t>
      </w:r>
      <w:r w:rsidRPr="00156C0B">
        <w:rPr>
          <w:lang w:val="en-AU"/>
        </w:rPr>
        <w:t xml:space="preserve"> example, a direct contractual relationship is established with the client.</w:t>
      </w:r>
    </w:p>
    <w:p w14:paraId="582C759E" w14:textId="77777777" w:rsidR="00156C0B" w:rsidRPr="00156C0B" w:rsidRDefault="00555218" w:rsidP="00156C0B">
      <w:pPr>
        <w:rPr>
          <w:lang w:val="en-AU"/>
        </w:rPr>
      </w:pPr>
      <w:r>
        <w:rPr>
          <w:lang w:val="en-AU"/>
        </w:rPr>
        <w:lastRenderedPageBreak/>
        <w:t>Secondly</w:t>
      </w:r>
      <w:r w:rsidR="00156C0B" w:rsidRPr="00156C0B">
        <w:rPr>
          <w:lang w:val="en-AU"/>
        </w:rPr>
        <w:t>, we see no (regulatory) reasons for limiting the security purpose of the guarantee to the default of the clearing member vis-à-vis the CCP (“</w:t>
      </w:r>
      <w:r w:rsidR="00156C0B" w:rsidRPr="00156C0B">
        <w:rPr>
          <w:i/>
          <w:iCs/>
          <w:lang w:val="en-AU"/>
        </w:rPr>
        <w:t>In case of a client default alone, […], the guarantee should not be executed by the CCP unless the default of the client causes the clearing member to default on its obligations to the CCP</w:t>
      </w:r>
      <w:r w:rsidR="00156C0B" w:rsidRPr="00156C0B">
        <w:rPr>
          <w:lang w:val="en-AU"/>
        </w:rPr>
        <w:t>”). At the same time, however, such a restriction would significantly devalue guarantees as collateral, as the key factor in the market’s acceptance of guarantees as collateral is that, in the event of a client default, the clearing member can also satisfy its claims from that collateral. Otherwise, the clearing member cannot offset the value of the guarantee against client’s collateral. Therefore, clients would have to provide separate collateral for their relationship with the clearing member in addition to the guarantee and the whole arrangement would make no economic sense for the clients.</w:t>
      </w:r>
    </w:p>
    <w:p w14:paraId="3CA90D55" w14:textId="5A4670F0" w:rsidR="00156C0B" w:rsidRPr="00156C0B" w:rsidRDefault="00156C0B" w:rsidP="00156C0B">
      <w:pPr>
        <w:rPr>
          <w:lang w:val="en-US"/>
        </w:rPr>
      </w:pPr>
      <w:r w:rsidRPr="00156C0B">
        <w:rPr>
          <w:lang w:val="en-AU"/>
        </w:rPr>
        <w:t xml:space="preserve">Moreover, the client’s default vis-à-vis the clearing member is (indirectly) provided for as a security purpose under Sec. 23 of the Consultation Paper and Annex I, </w:t>
      </w:r>
      <w:r w:rsidR="007A5BA1" w:rsidRPr="00156C0B">
        <w:rPr>
          <w:lang w:val="en-US"/>
        </w:rPr>
        <w:t>Sec. 2 para. 1 lit. (ab)</w:t>
      </w:r>
      <w:r w:rsidR="007A5BA1">
        <w:rPr>
          <w:lang w:val="en-US"/>
        </w:rPr>
        <w:t>,</w:t>
      </w:r>
      <w:r w:rsidR="007A5BA1" w:rsidRPr="007A5BA1">
        <w:rPr>
          <w:lang w:val="en-US"/>
        </w:rPr>
        <w:t xml:space="preserve"> </w:t>
      </w:r>
      <w:r w:rsidR="007A5BA1" w:rsidRPr="00156C0B">
        <w:rPr>
          <w:lang w:val="en-US"/>
        </w:rPr>
        <w:t xml:space="preserve">Sec. 2 para. 3 lit. (c) as well as Annex I Sec. 2a para. 1 lit. (ab) </w:t>
      </w:r>
      <w:proofErr w:type="spellStart"/>
      <w:r w:rsidR="007A5BA1" w:rsidRPr="00156C0B">
        <w:rPr>
          <w:lang w:val="en-US"/>
        </w:rPr>
        <w:t>DelReg</w:t>
      </w:r>
      <w:proofErr w:type="spellEnd"/>
      <w:r w:rsidR="007A5BA1" w:rsidRPr="00156C0B">
        <w:rPr>
          <w:lang w:val="en-US"/>
        </w:rPr>
        <w:t xml:space="preserve"> 153/2013</w:t>
      </w:r>
      <w:r w:rsidRPr="00156C0B">
        <w:rPr>
          <w:lang w:val="en-AU"/>
        </w:rPr>
        <w:t xml:space="preserve"> of the draft RTS, via the indirect route of a “</w:t>
      </w:r>
      <w:r w:rsidRPr="00156C0B">
        <w:rPr>
          <w:i/>
          <w:iCs/>
          <w:lang w:val="en-AU"/>
        </w:rPr>
        <w:t>transfer clause</w:t>
      </w:r>
      <w:r w:rsidRPr="00156C0B">
        <w:rPr>
          <w:lang w:val="en-AU"/>
        </w:rPr>
        <w:t>” in favour of the clearing member. We see no advantage in taking this indirect route via such a “</w:t>
      </w:r>
      <w:r w:rsidRPr="00156C0B">
        <w:rPr>
          <w:i/>
          <w:iCs/>
          <w:lang w:val="en-AU"/>
        </w:rPr>
        <w:t>transfer clause</w:t>
      </w:r>
      <w:r w:rsidRPr="00156C0B">
        <w:rPr>
          <w:lang w:val="en-AU"/>
        </w:rPr>
        <w:t>”; on the contrary, it would add additional legal complexity. It should also be possible to execute the guarantee - without the transfer of the beneficiary - in the event of a default by the client (who is the principal). Thereby, it</w:t>
      </w:r>
      <w:r w:rsidRPr="00156C0B">
        <w:rPr>
          <w:lang w:val="en-US"/>
        </w:rPr>
        <w:t xml:space="preserve"> must merely </w:t>
      </w:r>
      <w:r w:rsidRPr="00156C0B">
        <w:rPr>
          <w:lang w:val="en-AU"/>
        </w:rPr>
        <w:t xml:space="preserve">be ensured that the clearing member can only be satisfied from the guarantee </w:t>
      </w:r>
      <w:r w:rsidRPr="00156C0B">
        <w:rPr>
          <w:lang w:val="en-US"/>
        </w:rPr>
        <w:t>if he has fully settled the CCP’s relevant claims in respect of the client. However, this can be achieved in various ways (other than via a “</w:t>
      </w:r>
      <w:r w:rsidRPr="00156C0B">
        <w:rPr>
          <w:i/>
          <w:iCs/>
          <w:lang w:val="en-US"/>
        </w:rPr>
        <w:t>transfer of the beneficiary from the CCP to the clearing member</w:t>
      </w:r>
      <w:r w:rsidRPr="00156C0B">
        <w:rPr>
          <w:lang w:val="en-US"/>
        </w:rPr>
        <w:t xml:space="preserve">”) that have already been successfully implemented internationally and within Europe (e.g. enforcement only by the CCP (“pass-through”), or enforcement by the clearing member only upon presentation of the original signed cover sheet of the guarantee (“second beneficiary”) etc.). In this regard, the RTS should be designed in a </w:t>
      </w:r>
      <w:r w:rsidR="3478A833" w:rsidRPr="6548345A">
        <w:rPr>
          <w:lang w:val="en-US"/>
        </w:rPr>
        <w:t>principle</w:t>
      </w:r>
      <w:r w:rsidRPr="00156C0B">
        <w:rPr>
          <w:lang w:val="en-US"/>
        </w:rPr>
        <w:t>-based manner and should not prescribe one specific implementation method.</w:t>
      </w:r>
    </w:p>
    <w:p w14:paraId="3C71550A" w14:textId="77777777" w:rsidR="00156C0B" w:rsidRPr="00156C0B" w:rsidRDefault="00156C0B" w:rsidP="00156C0B">
      <w:pPr>
        <w:rPr>
          <w:lang w:val="en-US"/>
        </w:rPr>
      </w:pPr>
      <w:r w:rsidRPr="00156C0B">
        <w:rPr>
          <w:lang w:val="en-US"/>
        </w:rPr>
        <w:t xml:space="preserve">We therefore recommend </w:t>
      </w:r>
      <w:r w:rsidR="00BC4177" w:rsidRPr="00BC4177">
        <w:rPr>
          <w:lang w:val="en-US"/>
        </w:rPr>
        <w:t xml:space="preserve">amending </w:t>
      </w:r>
      <w:r w:rsidRPr="00156C0B">
        <w:rPr>
          <w:lang w:val="en-US"/>
        </w:rPr>
        <w:t xml:space="preserve">the wording of Annex I Sec. 2 para. 1 lit. (ab) </w:t>
      </w:r>
      <w:proofErr w:type="spellStart"/>
      <w:r w:rsidRPr="00156C0B">
        <w:rPr>
          <w:lang w:val="en-US"/>
        </w:rPr>
        <w:t>DelReg</w:t>
      </w:r>
      <w:proofErr w:type="spellEnd"/>
      <w:r w:rsidRPr="00156C0B">
        <w:rPr>
          <w:lang w:val="en-US"/>
        </w:rPr>
        <w:t xml:space="preserve"> 153/2013 of the draft RTS to:</w:t>
      </w:r>
    </w:p>
    <w:p w14:paraId="62D82E55" w14:textId="77777777" w:rsidR="00156C0B" w:rsidRPr="00156C0B" w:rsidRDefault="00156C0B" w:rsidP="00156C0B">
      <w:pPr>
        <w:rPr>
          <w:i/>
          <w:iCs/>
          <w:lang w:val="en-AU"/>
        </w:rPr>
      </w:pPr>
      <w:r w:rsidRPr="00156C0B">
        <w:rPr>
          <w:i/>
          <w:iCs/>
          <w:lang w:val="en-AU"/>
        </w:rPr>
        <w:t>“</w:t>
      </w:r>
      <w:proofErr w:type="gramStart"/>
      <w:r w:rsidRPr="00156C0B">
        <w:rPr>
          <w:i/>
          <w:iCs/>
          <w:lang w:val="en-AU"/>
        </w:rPr>
        <w:t>commercial</w:t>
      </w:r>
      <w:proofErr w:type="gramEnd"/>
      <w:r w:rsidRPr="00156C0B">
        <w:rPr>
          <w:i/>
          <w:iCs/>
          <w:lang w:val="en-AU"/>
        </w:rPr>
        <w:t xml:space="preserve"> bank guarantees issued to guarantee a non-financial client, shall ensure that</w:t>
      </w:r>
      <w:r w:rsidRPr="00156C0B">
        <w:rPr>
          <w:lang w:val="en-US"/>
        </w:rPr>
        <w:t xml:space="preserve"> </w:t>
      </w:r>
      <w:r w:rsidRPr="00156C0B">
        <w:rPr>
          <w:i/>
          <w:iCs/>
          <w:lang w:val="en-AU"/>
        </w:rPr>
        <w:t>the clearing member can only be satisfied from the guarantee if he has fully settled the CCP’s relevant claims in respect of that client;”</w:t>
      </w:r>
    </w:p>
    <w:p w14:paraId="1A765A95" w14:textId="77777777" w:rsidR="00156C0B" w:rsidRPr="00156C0B" w:rsidRDefault="00156C0B" w:rsidP="00156C0B">
      <w:pPr>
        <w:rPr>
          <w:lang w:val="en-US"/>
        </w:rPr>
      </w:pPr>
      <w:r w:rsidRPr="00156C0B">
        <w:rPr>
          <w:lang w:val="en-US"/>
        </w:rPr>
        <w:t xml:space="preserve">We further recommend </w:t>
      </w:r>
      <w:r w:rsidR="00BC4177" w:rsidRPr="00BC4177">
        <w:rPr>
          <w:lang w:val="en-US"/>
        </w:rPr>
        <w:t xml:space="preserve">amending </w:t>
      </w:r>
      <w:r w:rsidRPr="00156C0B">
        <w:rPr>
          <w:lang w:val="en-US"/>
        </w:rPr>
        <w:t xml:space="preserve">the wording of Annex I Sec. 2 para. 3 lit. (c) as well as Annex I Sec. 2a para. 1 lit. (ab) </w:t>
      </w:r>
      <w:proofErr w:type="spellStart"/>
      <w:r w:rsidRPr="00156C0B">
        <w:rPr>
          <w:lang w:val="en-US"/>
        </w:rPr>
        <w:t>DelReg</w:t>
      </w:r>
      <w:proofErr w:type="spellEnd"/>
      <w:r w:rsidRPr="00156C0B">
        <w:rPr>
          <w:lang w:val="en-US"/>
        </w:rPr>
        <w:t xml:space="preserve"> 153/2013 of the draft RTS accordingly to:</w:t>
      </w:r>
    </w:p>
    <w:p w14:paraId="497DC897" w14:textId="77777777" w:rsidR="007D32C9" w:rsidRDefault="00156C0B" w:rsidP="00156C0B">
      <w:r w:rsidRPr="00156C0B">
        <w:rPr>
          <w:lang w:val="en-US"/>
        </w:rPr>
        <w:t>“</w:t>
      </w:r>
      <w:proofErr w:type="gramStart"/>
      <w:r w:rsidRPr="00156C0B">
        <w:rPr>
          <w:lang w:val="en-US"/>
        </w:rPr>
        <w:t>public</w:t>
      </w:r>
      <w:proofErr w:type="gramEnd"/>
      <w:r w:rsidRPr="00156C0B">
        <w:rPr>
          <w:lang w:val="en-US"/>
        </w:rPr>
        <w:t xml:space="preserve"> guarantees issued to guarantee a non-financial client shall </w:t>
      </w:r>
      <w:r w:rsidRPr="00156C0B">
        <w:rPr>
          <w:i/>
          <w:iCs/>
          <w:lang w:val="en-AU"/>
        </w:rPr>
        <w:t>ensure that</w:t>
      </w:r>
      <w:r w:rsidRPr="00156C0B">
        <w:rPr>
          <w:lang w:val="en-US"/>
        </w:rPr>
        <w:t xml:space="preserve"> </w:t>
      </w:r>
      <w:r w:rsidRPr="00156C0B">
        <w:rPr>
          <w:i/>
          <w:iCs/>
          <w:lang w:val="en-AU"/>
        </w:rPr>
        <w:t>the clearing member can only be satisfied from the guarantee if he has fully settled the CCP’s relevant claims in respect of that client;”</w:t>
      </w:r>
    </w:p>
    <w:p w14:paraId="14442B16" w14:textId="2C3CA2E9" w:rsidR="00C853D6" w:rsidRPr="002C173D" w:rsidRDefault="00C853D6" w:rsidP="00146AAC">
      <w:pPr>
        <w:rPr>
          <w:lang w:val="en-US"/>
        </w:rPr>
      </w:pPr>
    </w:p>
    <w:permEnd w:id="1536499182"/>
    <w:p w14:paraId="3CE960DF" w14:textId="78A656CA" w:rsidR="00693907" w:rsidRDefault="00693907" w:rsidP="00693907">
      <w:r>
        <w:t>&lt;ESMA_QUESTION_</w:t>
      </w:r>
      <w:r w:rsidR="00863ECB">
        <w:t>COLL</w:t>
      </w:r>
      <w:r>
        <w:t>_5&gt;</w:t>
      </w:r>
    </w:p>
    <w:p w14:paraId="6036296B" w14:textId="77777777" w:rsidR="00693907" w:rsidRDefault="00693907" w:rsidP="00693907"/>
    <w:p w14:paraId="18DFE8FB" w14:textId="3C691446" w:rsidR="00693907" w:rsidRDefault="00EC4293" w:rsidP="00693907">
      <w:pPr>
        <w:pStyle w:val="Questionstyle"/>
      </w:pPr>
      <w:r w:rsidRPr="00EC4293">
        <w:t>Do</w:t>
      </w:r>
      <w:r w:rsidR="00AC379A">
        <w:t xml:space="preserve"> </w:t>
      </w:r>
      <w:r w:rsidR="00AC379A" w:rsidRPr="00AC379A">
        <w:t>you agree with the conditions proposed by ESMA? Please provide your views specifically for each condition (a), (b), (c) and (d).</w:t>
      </w:r>
    </w:p>
    <w:p w14:paraId="60F9A95E" w14:textId="24CFF6A7" w:rsidR="00693907" w:rsidRDefault="00693907" w:rsidP="00693907">
      <w:r>
        <w:t>&lt;ESMA_QUESTION_</w:t>
      </w:r>
      <w:r w:rsidR="00863ECB">
        <w:t>COLL</w:t>
      </w:r>
      <w:r>
        <w:t>_6&gt;</w:t>
      </w:r>
    </w:p>
    <w:p w14:paraId="7BF22F7A" w14:textId="77777777" w:rsidR="00616155" w:rsidRPr="00616155" w:rsidRDefault="00616155" w:rsidP="00616155">
      <w:pPr>
        <w:rPr>
          <w:lang w:val="de-DE"/>
        </w:rPr>
      </w:pPr>
      <w:permStart w:id="1016208263" w:edGrp="everyone"/>
    </w:p>
    <w:p w14:paraId="47C4036B" w14:textId="77777777" w:rsidR="00F918E2" w:rsidRPr="00D748CD" w:rsidRDefault="00616155">
      <w:pPr>
        <w:pStyle w:val="ListParagraph"/>
        <w:numPr>
          <w:ilvl w:val="0"/>
          <w:numId w:val="45"/>
        </w:numPr>
        <w:rPr>
          <w:i/>
          <w:iCs/>
          <w:lang w:val="en-US"/>
        </w:rPr>
      </w:pPr>
      <w:r w:rsidRPr="00D748CD">
        <w:rPr>
          <w:i/>
          <w:iCs/>
          <w:lang w:val="en-US"/>
        </w:rPr>
        <w:t xml:space="preserve">The guarantee must be issued to guarantee a non-financial client, clearly identifying this </w:t>
      </w:r>
      <w:proofErr w:type="gramStart"/>
      <w:r w:rsidRPr="00D748CD">
        <w:rPr>
          <w:i/>
          <w:iCs/>
          <w:lang w:val="en-US"/>
        </w:rPr>
        <w:t>client;</w:t>
      </w:r>
      <w:proofErr w:type="gramEnd"/>
      <w:r w:rsidRPr="00D748CD">
        <w:rPr>
          <w:i/>
          <w:iCs/>
          <w:lang w:val="en-US"/>
        </w:rPr>
        <w:t xml:space="preserve"> </w:t>
      </w:r>
    </w:p>
    <w:p w14:paraId="0C88B330" w14:textId="77777777" w:rsidR="00F918E2" w:rsidRDefault="00F918E2" w:rsidP="00F918E2">
      <w:pPr>
        <w:pStyle w:val="ListParagraph"/>
        <w:rPr>
          <w:lang w:val="en-US"/>
        </w:rPr>
      </w:pPr>
    </w:p>
    <w:p w14:paraId="140D31FF" w14:textId="1C6DC827" w:rsidR="006E1235" w:rsidRPr="006E1235" w:rsidRDefault="006E1235" w:rsidP="006E1235">
      <w:pPr>
        <w:pStyle w:val="ListParagraph"/>
        <w:rPr>
          <w:lang w:val="en-US"/>
        </w:rPr>
      </w:pPr>
      <w:r w:rsidRPr="006E1235">
        <w:rPr>
          <w:lang w:val="en-US"/>
        </w:rPr>
        <w:t>From a CCP risk</w:t>
      </w:r>
      <w:r w:rsidR="7A0A229C" w:rsidRPr="6548345A">
        <w:rPr>
          <w:lang w:val="en-US"/>
        </w:rPr>
        <w:t xml:space="preserve"> </w:t>
      </w:r>
      <w:r w:rsidRPr="006E1235">
        <w:rPr>
          <w:lang w:val="en-US"/>
        </w:rPr>
        <w:t xml:space="preserve">management perspective, </w:t>
      </w:r>
      <w:r w:rsidR="001E452A">
        <w:rPr>
          <w:lang w:val="en-US"/>
        </w:rPr>
        <w:t>ECAG and ECC</w:t>
      </w:r>
      <w:r w:rsidRPr="006E1235">
        <w:rPr>
          <w:lang w:val="en-US"/>
        </w:rPr>
        <w:t xml:space="preserve"> support this requirement. Clear identification of the </w:t>
      </w:r>
      <w:r w:rsidR="5A5A1FF6" w:rsidRPr="6548345A">
        <w:rPr>
          <w:lang w:val="en-US"/>
        </w:rPr>
        <w:t>nonfinancial</w:t>
      </w:r>
      <w:r w:rsidRPr="006E1235">
        <w:rPr>
          <w:lang w:val="en-US"/>
        </w:rPr>
        <w:t xml:space="preserve"> client who is the principal under the guarantee is essential to maintain the integrity, traceability, and </w:t>
      </w:r>
      <w:r w:rsidR="00550C4C" w:rsidRPr="00071E22">
        <w:rPr>
          <w:lang w:val="en-US"/>
        </w:rPr>
        <w:t xml:space="preserve">legal </w:t>
      </w:r>
      <w:r w:rsidRPr="006E1235">
        <w:rPr>
          <w:lang w:val="en-US"/>
        </w:rPr>
        <w:t>enforceability of the collateral framework.</w:t>
      </w:r>
      <w:r w:rsidR="00060F6E">
        <w:rPr>
          <w:lang w:val="en-US"/>
        </w:rPr>
        <w:t xml:space="preserve"> </w:t>
      </w:r>
      <w:r w:rsidR="00071E22" w:rsidRPr="00071E22">
        <w:rPr>
          <w:lang w:val="en-US"/>
        </w:rPr>
        <w:t xml:space="preserve">In addition, it </w:t>
      </w:r>
      <w:r w:rsidRPr="006E1235">
        <w:rPr>
          <w:lang w:val="en-US"/>
        </w:rPr>
        <w:t xml:space="preserve">reduces operational risk and enhances transparency across the clearing chain. For these reasons, </w:t>
      </w:r>
      <w:r w:rsidR="00071E22">
        <w:rPr>
          <w:lang w:val="en-US"/>
        </w:rPr>
        <w:t>DBG</w:t>
      </w:r>
      <w:r w:rsidRPr="006E1235">
        <w:rPr>
          <w:lang w:val="en-US"/>
        </w:rPr>
        <w:t xml:space="preserve"> strongly endorse </w:t>
      </w:r>
      <w:proofErr w:type="gramStart"/>
      <w:r w:rsidRPr="006E1235">
        <w:rPr>
          <w:lang w:val="en-US"/>
        </w:rPr>
        <w:t>condition</w:t>
      </w:r>
      <w:proofErr w:type="gramEnd"/>
      <w:r w:rsidRPr="006E1235">
        <w:rPr>
          <w:lang w:val="en-US"/>
        </w:rPr>
        <w:t xml:space="preserve"> (a) as a necessary and proportionate safeguard.</w:t>
      </w:r>
    </w:p>
    <w:p w14:paraId="22CB3285" w14:textId="77777777" w:rsidR="00F918E2" w:rsidRDefault="00F918E2" w:rsidP="00F918E2">
      <w:pPr>
        <w:pStyle w:val="ListParagraph"/>
        <w:rPr>
          <w:lang w:val="en-US"/>
        </w:rPr>
      </w:pPr>
    </w:p>
    <w:p w14:paraId="6CA1B5C6" w14:textId="483417EC" w:rsidR="00D748CD" w:rsidRPr="00D748CD" w:rsidRDefault="00616155">
      <w:pPr>
        <w:pStyle w:val="ListParagraph"/>
        <w:numPr>
          <w:ilvl w:val="0"/>
          <w:numId w:val="45"/>
        </w:numPr>
        <w:rPr>
          <w:i/>
          <w:iCs/>
          <w:lang w:val="en-US"/>
        </w:rPr>
      </w:pPr>
      <w:r w:rsidRPr="00D748CD">
        <w:rPr>
          <w:i/>
          <w:iCs/>
          <w:lang w:val="en-US"/>
        </w:rPr>
        <w:t xml:space="preserve">The beneficiary of the guarantee should be the CCP. The guarantee may provide, under conditions to be defined by the CCP, the possibility of </w:t>
      </w:r>
      <w:proofErr w:type="gramStart"/>
      <w:r w:rsidRPr="00D748CD">
        <w:rPr>
          <w:i/>
          <w:iCs/>
          <w:lang w:val="en-US"/>
        </w:rPr>
        <w:t>transfer of</w:t>
      </w:r>
      <w:proofErr w:type="gramEnd"/>
      <w:r w:rsidRPr="00D748CD">
        <w:rPr>
          <w:i/>
          <w:iCs/>
          <w:lang w:val="en-US"/>
        </w:rPr>
        <w:t xml:space="preserve"> the beneficiary from the CCP to the clearing member of the client. This transfer clause can provide certain flexibility to the CCP and the clearing member </w:t>
      </w:r>
      <w:proofErr w:type="gramStart"/>
      <w:r w:rsidRPr="00D748CD">
        <w:rPr>
          <w:i/>
          <w:iCs/>
          <w:lang w:val="en-US"/>
        </w:rPr>
        <w:t>and</w:t>
      </w:r>
      <w:proofErr w:type="gramEnd"/>
      <w:r w:rsidRPr="00D748CD">
        <w:rPr>
          <w:i/>
          <w:iCs/>
          <w:lang w:val="en-US"/>
        </w:rPr>
        <w:t xml:space="preserve"> might be necessary when the client exits the market or the clearing member wants to assume direct control of the </w:t>
      </w:r>
      <w:proofErr w:type="gramStart"/>
      <w:r w:rsidRPr="00D748CD">
        <w:rPr>
          <w:i/>
          <w:iCs/>
          <w:lang w:val="en-US"/>
        </w:rPr>
        <w:t>guarantee;</w:t>
      </w:r>
      <w:proofErr w:type="gramEnd"/>
    </w:p>
    <w:p w14:paraId="47870490" w14:textId="77777777" w:rsidR="00D748CD" w:rsidRDefault="00D748CD" w:rsidP="00D748CD">
      <w:pPr>
        <w:pStyle w:val="ListParagraph"/>
        <w:rPr>
          <w:lang w:val="en-US"/>
        </w:rPr>
      </w:pPr>
    </w:p>
    <w:p w14:paraId="5D63903B" w14:textId="60D1DEBB" w:rsidR="001F7452" w:rsidRPr="001F7452" w:rsidRDefault="00792973" w:rsidP="001F7452">
      <w:pPr>
        <w:pStyle w:val="ListParagraph"/>
        <w:rPr>
          <w:lang w:val="en-AU"/>
        </w:rPr>
      </w:pPr>
      <w:r>
        <w:rPr>
          <w:lang w:val="en-US"/>
        </w:rPr>
        <w:t>W</w:t>
      </w:r>
      <w:proofErr w:type="spellStart"/>
      <w:r w:rsidR="001F7452" w:rsidRPr="001F7452">
        <w:rPr>
          <w:lang w:val="en-AU"/>
        </w:rPr>
        <w:t>e</w:t>
      </w:r>
      <w:proofErr w:type="spellEnd"/>
      <w:r w:rsidR="001F7452" w:rsidRPr="001F7452">
        <w:rPr>
          <w:lang w:val="en-AU"/>
        </w:rPr>
        <w:t xml:space="preserve"> have already commented on this in detail above </w:t>
      </w:r>
      <w:r w:rsidR="00083580">
        <w:rPr>
          <w:lang w:val="en-AU"/>
        </w:rPr>
        <w:t>in our response to</w:t>
      </w:r>
      <w:r w:rsidR="001F7452" w:rsidRPr="001F7452">
        <w:rPr>
          <w:lang w:val="en-AU"/>
        </w:rPr>
        <w:t xml:space="preserve"> question 5. As already stated there, we see no reason for this restriction, but rather significant disadvantages.</w:t>
      </w:r>
      <w:r w:rsidR="001F7452" w:rsidRPr="001F7452">
        <w:rPr>
          <w:lang w:val="en-US"/>
        </w:rPr>
        <w:t xml:space="preserve"> </w:t>
      </w:r>
      <w:r w:rsidR="001F7452" w:rsidRPr="001F7452">
        <w:rPr>
          <w:lang w:val="en-AU"/>
        </w:rPr>
        <w:t xml:space="preserve">Accordingly, we have </w:t>
      </w:r>
      <w:r w:rsidR="00F70DA8">
        <w:rPr>
          <w:lang w:val="en-AU"/>
        </w:rPr>
        <w:t>made</w:t>
      </w:r>
      <w:r w:rsidR="001F7452" w:rsidRPr="001F7452">
        <w:rPr>
          <w:lang w:val="en-AU"/>
        </w:rPr>
        <w:t xml:space="preserve"> specific proposals above for an amended wording of Annex I, </w:t>
      </w:r>
      <w:r w:rsidR="001F7452" w:rsidRPr="00156C0B">
        <w:rPr>
          <w:lang w:val="en-US"/>
        </w:rPr>
        <w:t>Sec. 2 para. 1 lit. (ab)</w:t>
      </w:r>
      <w:r w:rsidR="001F7452" w:rsidRPr="001F7452">
        <w:rPr>
          <w:lang w:val="en-US"/>
        </w:rPr>
        <w:t xml:space="preserve">, </w:t>
      </w:r>
      <w:r w:rsidR="001F7452" w:rsidRPr="00156C0B">
        <w:rPr>
          <w:lang w:val="en-US"/>
        </w:rPr>
        <w:t xml:space="preserve">Sec. 2 para. 3 lit. (c) as well as Annex I Sec. 2a para. 1 lit. (ab) </w:t>
      </w:r>
      <w:proofErr w:type="spellStart"/>
      <w:r w:rsidR="001F7452" w:rsidRPr="00156C0B">
        <w:rPr>
          <w:lang w:val="en-US"/>
        </w:rPr>
        <w:t>DelReg</w:t>
      </w:r>
      <w:proofErr w:type="spellEnd"/>
      <w:r w:rsidR="001F7452" w:rsidRPr="00156C0B">
        <w:rPr>
          <w:lang w:val="en-US"/>
        </w:rPr>
        <w:t xml:space="preserve"> 153/2013</w:t>
      </w:r>
      <w:r w:rsidR="001F7452" w:rsidRPr="001F7452">
        <w:rPr>
          <w:lang w:val="en-AU"/>
        </w:rPr>
        <w:t xml:space="preserve"> of the draft RTS.</w:t>
      </w:r>
    </w:p>
    <w:p w14:paraId="6CD7DA06" w14:textId="77777777" w:rsidR="00D748CD" w:rsidRDefault="00D748CD" w:rsidP="00D748CD">
      <w:pPr>
        <w:pStyle w:val="ListParagraph"/>
        <w:rPr>
          <w:lang w:val="en-US"/>
        </w:rPr>
      </w:pPr>
    </w:p>
    <w:p w14:paraId="3E7E7F59" w14:textId="354BA91A" w:rsidR="00D748CD" w:rsidRPr="00D748CD" w:rsidRDefault="00616155" w:rsidP="6548345A">
      <w:pPr>
        <w:pStyle w:val="ListParagraph"/>
        <w:numPr>
          <w:ilvl w:val="0"/>
          <w:numId w:val="45"/>
        </w:numPr>
        <w:rPr>
          <w:i/>
          <w:iCs/>
          <w:lang w:val="en-US"/>
        </w:rPr>
      </w:pPr>
      <w:r w:rsidRPr="00616155">
        <w:rPr>
          <w:i/>
          <w:iCs/>
          <w:lang w:val="en-US"/>
        </w:rPr>
        <w:t xml:space="preserve">The guarantee must be posted to an individually segregated account at the name of the non-financial client who is the principal in the guarantee. This would </w:t>
      </w:r>
      <w:proofErr w:type="gramStart"/>
      <w:r w:rsidRPr="00616155">
        <w:rPr>
          <w:i/>
          <w:iCs/>
          <w:lang w:val="en-US"/>
        </w:rPr>
        <w:t>allow</w:t>
      </w:r>
      <w:proofErr w:type="gramEnd"/>
      <w:r w:rsidRPr="00616155">
        <w:rPr>
          <w:i/>
          <w:iCs/>
          <w:lang w:val="en-US"/>
        </w:rPr>
        <w:t xml:space="preserve"> to clearly link the guarantee to the positions of the client. This individually segregated account would also </w:t>
      </w:r>
      <w:proofErr w:type="gramStart"/>
      <w:r w:rsidRPr="00616155">
        <w:rPr>
          <w:i/>
          <w:iCs/>
          <w:lang w:val="en-US"/>
        </w:rPr>
        <w:t>allow</w:t>
      </w:r>
      <w:proofErr w:type="gramEnd"/>
      <w:r w:rsidRPr="00616155">
        <w:rPr>
          <w:i/>
          <w:iCs/>
          <w:lang w:val="en-US"/>
        </w:rPr>
        <w:t xml:space="preserve"> to identify the collateral of the client in case the clearing member defaults and the positions of its clients </w:t>
      </w:r>
      <w:proofErr w:type="gramStart"/>
      <w:r w:rsidRPr="00616155">
        <w:rPr>
          <w:i/>
          <w:iCs/>
          <w:lang w:val="en-US"/>
        </w:rPr>
        <w:t>have to</w:t>
      </w:r>
      <w:proofErr w:type="gramEnd"/>
      <w:r w:rsidRPr="00616155">
        <w:rPr>
          <w:i/>
          <w:iCs/>
          <w:lang w:val="en-US"/>
        </w:rPr>
        <w:t xml:space="preserve"> be transferred to another clearing member.</w:t>
      </w:r>
    </w:p>
    <w:p w14:paraId="78716A37" w14:textId="21C56181" w:rsidR="00D748CD" w:rsidRPr="00D748CD" w:rsidRDefault="00D748CD" w:rsidP="6548345A">
      <w:pPr>
        <w:pStyle w:val="ListParagraph"/>
        <w:rPr>
          <w:i/>
          <w:iCs/>
          <w:lang w:val="en-US"/>
        </w:rPr>
      </w:pPr>
    </w:p>
    <w:p w14:paraId="0F2F32A0" w14:textId="295EEAAA" w:rsidR="00BC0EAB" w:rsidRDefault="00BC0EAB" w:rsidP="00BC0EAB">
      <w:pPr>
        <w:pStyle w:val="ListParagraph"/>
        <w:rPr>
          <w:lang w:val="en-US"/>
        </w:rPr>
      </w:pPr>
      <w:r w:rsidRPr="00BC0EAB">
        <w:rPr>
          <w:lang w:val="en-US"/>
        </w:rPr>
        <w:t xml:space="preserve">The draft RTS introduces a requirement for guarantees to be posted in segregated accounts, with a clear and unambiguous link to the corresponding covered portfolio. </w:t>
      </w:r>
      <w:r w:rsidR="00780AAC">
        <w:rPr>
          <w:lang w:val="en-US"/>
        </w:rPr>
        <w:t xml:space="preserve">It can be assumed </w:t>
      </w:r>
      <w:r w:rsidRPr="00BC0EAB">
        <w:rPr>
          <w:lang w:val="en-US"/>
        </w:rPr>
        <w:t xml:space="preserve">that this measure could materially increase both cost and operational complexity for market participants. </w:t>
      </w:r>
    </w:p>
    <w:p w14:paraId="4C05C7A0" w14:textId="77777777" w:rsidR="00780AAC" w:rsidRPr="00BC0EAB" w:rsidRDefault="00780AAC" w:rsidP="00BC0EAB">
      <w:pPr>
        <w:pStyle w:val="ListParagraph"/>
        <w:rPr>
          <w:lang w:val="en-US"/>
        </w:rPr>
      </w:pPr>
    </w:p>
    <w:p w14:paraId="364E90DD" w14:textId="77777777" w:rsidR="00BC0EAB" w:rsidRDefault="00BC0EAB" w:rsidP="00BC0EAB">
      <w:pPr>
        <w:pStyle w:val="ListParagraph"/>
        <w:rPr>
          <w:lang w:val="en-US"/>
        </w:rPr>
      </w:pPr>
      <w:r w:rsidRPr="00BC0EAB">
        <w:rPr>
          <w:lang w:val="en-US"/>
        </w:rPr>
        <w:t>At the same time, segregated account structures contribute to enhanced transparency, facilitate the clear attribution of collateral, and support robust risk</w:t>
      </w:r>
      <w:r w:rsidRPr="00BC0EAB">
        <w:rPr>
          <w:rFonts w:ascii="Cambria Math" w:hAnsi="Cambria Math" w:cs="Cambria Math"/>
          <w:lang w:val="en-US"/>
        </w:rPr>
        <w:t>‑</w:t>
      </w:r>
      <w:r w:rsidRPr="00BC0EAB">
        <w:rPr>
          <w:lang w:val="en-US"/>
        </w:rPr>
        <w:t xml:space="preserve">management processes. </w:t>
      </w:r>
      <w:r w:rsidRPr="00BC0EAB">
        <w:rPr>
          <w:lang w:val="en-US"/>
        </w:rPr>
        <w:lastRenderedPageBreak/>
        <w:t xml:space="preserve">These aspects are relevant for ensuring the integrity of the </w:t>
      </w:r>
      <w:proofErr w:type="gramStart"/>
      <w:r w:rsidRPr="00BC0EAB">
        <w:rPr>
          <w:lang w:val="en-US"/>
        </w:rPr>
        <w:t>guarantee</w:t>
      </w:r>
      <w:proofErr w:type="gramEnd"/>
      <w:r w:rsidRPr="00BC0EAB">
        <w:rPr>
          <w:lang w:val="en-US"/>
        </w:rPr>
        <w:t xml:space="preserve"> framework, especially in situations requiring accurate client</w:t>
      </w:r>
      <w:r w:rsidRPr="00BC0EAB">
        <w:rPr>
          <w:rFonts w:ascii="Cambria Math" w:hAnsi="Cambria Math" w:cs="Cambria Math"/>
          <w:lang w:val="en-US"/>
        </w:rPr>
        <w:t>‑</w:t>
      </w:r>
      <w:r w:rsidRPr="00BC0EAB">
        <w:rPr>
          <w:lang w:val="en-US"/>
        </w:rPr>
        <w:t>level identification.</w:t>
      </w:r>
    </w:p>
    <w:p w14:paraId="4D2F2705" w14:textId="77777777" w:rsidR="006C2C11" w:rsidRPr="00BC0EAB" w:rsidRDefault="006C2C11" w:rsidP="00BC0EAB">
      <w:pPr>
        <w:pStyle w:val="ListParagraph"/>
        <w:rPr>
          <w:lang w:val="en-US"/>
        </w:rPr>
      </w:pPr>
    </w:p>
    <w:p w14:paraId="2B5E9B8A" w14:textId="77777777" w:rsidR="00F43D7B" w:rsidRDefault="006C2C11" w:rsidP="00BC0EAB">
      <w:pPr>
        <w:pStyle w:val="ListParagraph"/>
        <w:rPr>
          <w:lang w:val="en-US"/>
        </w:rPr>
      </w:pPr>
      <w:r>
        <w:rPr>
          <w:lang w:val="en-US"/>
        </w:rPr>
        <w:t>DBG</w:t>
      </w:r>
      <w:r w:rsidR="00BC0EAB" w:rsidRPr="00BC0EAB">
        <w:rPr>
          <w:lang w:val="en-US"/>
        </w:rPr>
        <w:t xml:space="preserve"> consider</w:t>
      </w:r>
      <w:r>
        <w:rPr>
          <w:lang w:val="en-US"/>
        </w:rPr>
        <w:t>s</w:t>
      </w:r>
      <w:r w:rsidR="00BC0EAB" w:rsidRPr="00BC0EAB">
        <w:rPr>
          <w:lang w:val="en-US"/>
        </w:rPr>
        <w:t xml:space="preserve"> it important to reflect both dimensions: the potential operational and financial burden on clients, and the benefits for clarity, control, and risk mitigation. A neutral and balanced assessment would therefore acknowledge that while the segregation requirement may impose significant practical challenges, it also provides structural advantages that support the soundness and enforceability of the collateral framework.</w:t>
      </w:r>
      <w:r w:rsidR="0080597D">
        <w:rPr>
          <w:lang w:val="en-US"/>
        </w:rPr>
        <w:t xml:space="preserve"> </w:t>
      </w:r>
    </w:p>
    <w:p w14:paraId="77B9E750" w14:textId="77777777" w:rsidR="00F43D7B" w:rsidRDefault="00F43D7B" w:rsidP="00BC0EAB">
      <w:pPr>
        <w:pStyle w:val="ListParagraph"/>
        <w:rPr>
          <w:lang w:val="en-US"/>
        </w:rPr>
      </w:pPr>
    </w:p>
    <w:p w14:paraId="200E8EBD" w14:textId="5230E9B3" w:rsidR="00D748CD" w:rsidRDefault="0080597D" w:rsidP="00BC0EAB">
      <w:pPr>
        <w:pStyle w:val="ListParagraph"/>
        <w:rPr>
          <w:lang w:val="en-US"/>
        </w:rPr>
      </w:pPr>
      <w:r>
        <w:rPr>
          <w:lang w:val="en-US"/>
        </w:rPr>
        <w:t xml:space="preserve">It should be </w:t>
      </w:r>
      <w:r w:rsidR="00531163">
        <w:rPr>
          <w:lang w:val="en-US"/>
        </w:rPr>
        <w:t xml:space="preserve">at </w:t>
      </w:r>
      <w:r>
        <w:rPr>
          <w:lang w:val="en-US"/>
        </w:rPr>
        <w:t>the discretion of a CCP if the aim</w:t>
      </w:r>
      <w:r w:rsidR="00551682">
        <w:rPr>
          <w:lang w:val="en-US"/>
        </w:rPr>
        <w:t>s</w:t>
      </w:r>
      <w:r>
        <w:rPr>
          <w:lang w:val="en-US"/>
        </w:rPr>
        <w:t xml:space="preserve"> </w:t>
      </w:r>
      <w:r w:rsidR="00A540DA">
        <w:rPr>
          <w:lang w:val="en-US"/>
        </w:rPr>
        <w:t xml:space="preserve">and benefits of segregated accounts </w:t>
      </w:r>
      <w:r w:rsidR="006D201F">
        <w:rPr>
          <w:lang w:val="en-US"/>
        </w:rPr>
        <w:t>such as</w:t>
      </w:r>
      <w:r w:rsidR="005534E2">
        <w:rPr>
          <w:lang w:val="en-US"/>
        </w:rPr>
        <w:t xml:space="preserve"> </w:t>
      </w:r>
      <w:r w:rsidR="00431061">
        <w:rPr>
          <w:lang w:val="en-US"/>
        </w:rPr>
        <w:t xml:space="preserve">clear attribution or </w:t>
      </w:r>
      <w:r w:rsidR="00F43D7B">
        <w:rPr>
          <w:lang w:val="en-US"/>
        </w:rPr>
        <w:t xml:space="preserve">enforceability can be ensured in alternative </w:t>
      </w:r>
      <w:r w:rsidR="00551682">
        <w:rPr>
          <w:lang w:val="en-US"/>
        </w:rPr>
        <w:t xml:space="preserve">operational </w:t>
      </w:r>
      <w:r w:rsidR="00F43D7B">
        <w:rPr>
          <w:lang w:val="en-US"/>
        </w:rPr>
        <w:t xml:space="preserve">ways or if </w:t>
      </w:r>
      <w:r w:rsidR="00551682">
        <w:rPr>
          <w:lang w:val="en-US"/>
        </w:rPr>
        <w:t xml:space="preserve">segregated accounts are </w:t>
      </w:r>
      <w:proofErr w:type="gramStart"/>
      <w:r w:rsidR="009C7B12">
        <w:rPr>
          <w:lang w:val="en-US"/>
        </w:rPr>
        <w:t>a pre</w:t>
      </w:r>
      <w:proofErr w:type="gramEnd"/>
      <w:r w:rsidR="009C7B12">
        <w:rPr>
          <w:lang w:val="en-US"/>
        </w:rPr>
        <w:t>-</w:t>
      </w:r>
      <w:proofErr w:type="gramStart"/>
      <w:r w:rsidR="009C7B12">
        <w:rPr>
          <w:lang w:val="en-US"/>
        </w:rPr>
        <w:t>condition</w:t>
      </w:r>
      <w:proofErr w:type="gramEnd"/>
      <w:r w:rsidR="009C7B12">
        <w:rPr>
          <w:lang w:val="en-US"/>
        </w:rPr>
        <w:t>.</w:t>
      </w:r>
    </w:p>
    <w:p w14:paraId="71568060" w14:textId="77777777" w:rsidR="00D748CD" w:rsidRDefault="00D748CD" w:rsidP="00D748CD">
      <w:pPr>
        <w:pStyle w:val="ListParagraph"/>
        <w:rPr>
          <w:lang w:val="en-US"/>
        </w:rPr>
      </w:pPr>
    </w:p>
    <w:p w14:paraId="36F3F3D3" w14:textId="77777777" w:rsidR="001D5E50" w:rsidRDefault="00616155">
      <w:pPr>
        <w:pStyle w:val="ListParagraph"/>
        <w:numPr>
          <w:ilvl w:val="0"/>
          <w:numId w:val="45"/>
        </w:numPr>
        <w:rPr>
          <w:i/>
          <w:iCs/>
          <w:lang w:val="en-US"/>
        </w:rPr>
      </w:pPr>
      <w:r w:rsidRPr="00616155">
        <w:rPr>
          <w:i/>
          <w:iCs/>
          <w:lang w:val="en-US"/>
        </w:rPr>
        <w:t>The guarantee should not be issued by an entity that is part of the same group as the non-financial clearing member or the non-financial client covered by the guarantee; nor, the clearing member of the non-financial client covered by the guarantee.</w:t>
      </w:r>
    </w:p>
    <w:p w14:paraId="1E33B70A" w14:textId="77777777" w:rsidR="001D5E50" w:rsidRDefault="001D5E50" w:rsidP="001D5E50">
      <w:pPr>
        <w:pStyle w:val="ListParagraph"/>
        <w:rPr>
          <w:i/>
          <w:iCs/>
          <w:lang w:val="en-US"/>
        </w:rPr>
      </w:pPr>
    </w:p>
    <w:p w14:paraId="78D775F6" w14:textId="01C4F687" w:rsidR="001D5E50" w:rsidRDefault="00C540FC" w:rsidP="001D5E50">
      <w:pPr>
        <w:pStyle w:val="ListParagraph"/>
        <w:rPr>
          <w:i/>
          <w:iCs/>
          <w:lang w:val="en-US"/>
        </w:rPr>
      </w:pPr>
      <w:r>
        <w:rPr>
          <w:lang w:val="en-US"/>
        </w:rPr>
        <w:t>DBG supports this requirement and adds that s</w:t>
      </w:r>
      <w:r w:rsidR="00954AC7" w:rsidRPr="00954AC7">
        <w:rPr>
          <w:lang w:val="en-US"/>
        </w:rPr>
        <w:t xml:space="preserve">ince wrong-way risks </w:t>
      </w:r>
      <w:proofErr w:type="gramStart"/>
      <w:r w:rsidR="00954AC7" w:rsidRPr="00954AC7">
        <w:rPr>
          <w:lang w:val="en-US"/>
        </w:rPr>
        <w:t>shall</w:t>
      </w:r>
      <w:proofErr w:type="gramEnd"/>
      <w:r w:rsidR="00954AC7" w:rsidRPr="00954AC7">
        <w:rPr>
          <w:lang w:val="en-US"/>
        </w:rPr>
        <w:t xml:space="preserve"> be avoided at any time</w:t>
      </w:r>
      <w:r w:rsidR="007E653B">
        <w:rPr>
          <w:lang w:val="en-US"/>
        </w:rPr>
        <w:t>,</w:t>
      </w:r>
      <w:r w:rsidR="00954AC7" w:rsidRPr="00954AC7">
        <w:rPr>
          <w:lang w:val="en-US"/>
        </w:rPr>
        <w:t xml:space="preserve"> bank guarantees issued by a clearing member shall not be permissible for that clearing member’s initial margin requirements or that of an affiliate. In addition to that, </w:t>
      </w:r>
      <w:proofErr w:type="gramStart"/>
      <w:r w:rsidR="00954AC7" w:rsidRPr="00954AC7">
        <w:rPr>
          <w:lang w:val="en-US"/>
        </w:rPr>
        <w:t>in order to</w:t>
      </w:r>
      <w:proofErr w:type="gramEnd"/>
      <w:r w:rsidR="00954AC7" w:rsidRPr="00954AC7">
        <w:rPr>
          <w:lang w:val="en-US"/>
        </w:rPr>
        <w:t xml:space="preserve"> avoid contagion effects in times of market stress, a CCP may reject guarantees for non-financial clearing members (or non-financial clients of a clearing member) from guarantors that already act as a (financial) clearing member for this CCP</w:t>
      </w:r>
      <w:r w:rsidR="00954AC7" w:rsidRPr="00954AC7">
        <w:rPr>
          <w:i/>
          <w:iCs/>
          <w:lang w:val="en-US"/>
        </w:rPr>
        <w:t>.</w:t>
      </w:r>
    </w:p>
    <w:p w14:paraId="64E3603A" w14:textId="6E687D4F" w:rsidR="00693907" w:rsidRPr="006A7940" w:rsidRDefault="00616155" w:rsidP="006A7940">
      <w:pPr>
        <w:pStyle w:val="ListParagraph"/>
        <w:rPr>
          <w:i/>
          <w:iCs/>
          <w:lang w:val="en-US"/>
        </w:rPr>
      </w:pPr>
      <w:r w:rsidRPr="00616155">
        <w:rPr>
          <w:i/>
          <w:iCs/>
          <w:lang w:val="en-US"/>
        </w:rPr>
        <w:t xml:space="preserve"> </w:t>
      </w:r>
    </w:p>
    <w:permEnd w:id="1016208263"/>
    <w:p w14:paraId="01EF6C30" w14:textId="07544920" w:rsidR="00693907" w:rsidRDefault="00693907" w:rsidP="00693907">
      <w:r>
        <w:t>&lt;ESMA_QUESTION_</w:t>
      </w:r>
      <w:r w:rsidR="00863ECB">
        <w:t>COLL</w:t>
      </w:r>
      <w:r>
        <w:t>_6&gt;</w:t>
      </w:r>
    </w:p>
    <w:p w14:paraId="59161C1E" w14:textId="77777777" w:rsidR="00693907" w:rsidRDefault="00693907" w:rsidP="00693907"/>
    <w:p w14:paraId="40418AF6" w14:textId="7D335F7B" w:rsidR="00693907" w:rsidRDefault="00930833" w:rsidP="00693907">
      <w:pPr>
        <w:pStyle w:val="Questionstyle"/>
      </w:pPr>
      <w:r w:rsidRPr="00930833">
        <w:t>In relation to condition (c), do you agree with ESMA proposal? If not, is it in your opinion legally and practically feasible that guarantees are posted to an omnibus account?</w:t>
      </w:r>
      <w:r w:rsidR="00693907" w:rsidRPr="00F31533">
        <w:t xml:space="preserve"> </w:t>
      </w:r>
    </w:p>
    <w:p w14:paraId="2D7CC49A" w14:textId="5D077D19" w:rsidR="00693907" w:rsidRDefault="00693907" w:rsidP="00693907">
      <w:r>
        <w:t>&lt;ESMA_QUESTION_</w:t>
      </w:r>
      <w:r w:rsidR="00EE246B">
        <w:t>COLL</w:t>
      </w:r>
      <w:r>
        <w:t>_7&gt;</w:t>
      </w:r>
    </w:p>
    <w:p w14:paraId="268F1B7E" w14:textId="148F0CC4" w:rsidR="00693907" w:rsidRDefault="003665F8" w:rsidP="003665F8">
      <w:permStart w:id="90601763" w:edGrp="everyone"/>
      <w:r>
        <w:t xml:space="preserve">DBG principally agrees that individually segregated collateral accounts ensure that the guarantee only covers the risk exposure of the client and does not cover risk exposures of other </w:t>
      </w:r>
      <w:proofErr w:type="gramStart"/>
      <w:r>
        <w:t>clients</w:t>
      </w:r>
      <w:proofErr w:type="gramEnd"/>
      <w:r>
        <w:t xml:space="preserve"> portability in a clearing member default scenario. There may be solutions for omnibus accounts that allow the allocation of risk exposures of individual clients to a sub-set of collateral (i.e. guarantees) within the account. These solutions, however, are not in place today and need to be developed, implemented, tested and additionally monitored. And these new solutions also come with additional costs.</w:t>
      </w:r>
    </w:p>
    <w:permEnd w:id="90601763"/>
    <w:p w14:paraId="5B1E788E" w14:textId="28A72A04" w:rsidR="00693907" w:rsidRDefault="00693907" w:rsidP="00693907">
      <w:r>
        <w:t>&lt;ESMA_QUESTION_</w:t>
      </w:r>
      <w:r w:rsidR="00EE246B">
        <w:t>COLL</w:t>
      </w:r>
      <w:r>
        <w:t>_7&gt;</w:t>
      </w:r>
    </w:p>
    <w:p w14:paraId="3B03B9E0" w14:textId="77777777" w:rsidR="00693907" w:rsidRDefault="00693907" w:rsidP="00693907"/>
    <w:p w14:paraId="18FE9B7F" w14:textId="11DAFFAC" w:rsidR="00693907" w:rsidRDefault="0038241C" w:rsidP="00693907">
      <w:pPr>
        <w:pStyle w:val="Questionstyle"/>
      </w:pPr>
      <w:r w:rsidRPr="0038241C">
        <w:t>Is there any other condition you consider would be necessary in relation to the extension of the use of guarantees to guarantee non-financial clients? E.g. should it be mandated that CCPs have in place a mechanism to identify the default of a non-financial client?</w:t>
      </w:r>
      <w:r w:rsidR="00693907">
        <w:t xml:space="preserve"> </w:t>
      </w:r>
    </w:p>
    <w:p w14:paraId="7AA017CC" w14:textId="7608FAED" w:rsidR="00693907" w:rsidRDefault="00693907" w:rsidP="00693907">
      <w:r>
        <w:t>&lt;ESMA_QUESTION_</w:t>
      </w:r>
      <w:r w:rsidR="004C12DB">
        <w:t>COLL</w:t>
      </w:r>
      <w:r>
        <w:t>_8&gt;</w:t>
      </w:r>
    </w:p>
    <w:p w14:paraId="43A59459" w14:textId="0A916416" w:rsidR="00E42C8C" w:rsidRDefault="00E42C8C" w:rsidP="00E42C8C">
      <w:permStart w:id="689849779" w:edGrp="everyone"/>
      <w:r>
        <w:t>DBG does not support mandating CCPs to implement an internal mechanism to identify the default of a non</w:t>
      </w:r>
      <w:r w:rsidR="000F1FEA">
        <w:t>-</w:t>
      </w:r>
      <w:r>
        <w:t>financial client.</w:t>
      </w:r>
    </w:p>
    <w:p w14:paraId="4238E08A" w14:textId="5C5ED669" w:rsidR="00E42C8C" w:rsidRDefault="00E42C8C" w:rsidP="00E42C8C">
      <w:r>
        <w:t>The responsibility for monitoring and identifying a client default lies with the clearing member, who is the direct counterparty of the CCP and contractually responsible for all obligations arising from its clients’ positions. ESMA acknowledges that guarantees are issued for non</w:t>
      </w:r>
      <w:r w:rsidR="00563FA0">
        <w:t>-</w:t>
      </w:r>
      <w:r>
        <w:t xml:space="preserve">financial clients of clearing members, meaning that the CCP has no direct relationship with these clients and therefore no operational visibility into their creditworthiness, payment behaviour, or internal risk triggers. </w:t>
      </w:r>
    </w:p>
    <w:p w14:paraId="1B0AEF8B" w14:textId="77777777" w:rsidR="00E42C8C" w:rsidRDefault="00E42C8C" w:rsidP="00E42C8C">
      <w:r>
        <w:t>Introducing a CCP level detection mechanism would create a duplication of control processes and operational inefficiencies as well as unnecessary complexity, as CCPs lack access to the necessary real time information streams that clearing members already maintain.</w:t>
      </w:r>
    </w:p>
    <w:p w14:paraId="6ABDE3F2" w14:textId="1A248B2E" w:rsidR="00693907" w:rsidRDefault="00E42C8C" w:rsidP="00E42C8C">
      <w:r>
        <w:t xml:space="preserve">Moreover, the CCP’s risk exposure materialises only if a client default leads to the clearing member defaulting towards the CCP, a relationship reaffirmed in ESMA’s explanations of the </w:t>
      </w:r>
      <w:proofErr w:type="gramStart"/>
      <w:r>
        <w:t>guarantee</w:t>
      </w:r>
      <w:proofErr w:type="gramEnd"/>
      <w:r>
        <w:t xml:space="preserve"> structure. For these reasons, mandating CCPs to detect client defaults would be disproportionate, inefficient, and misaligned with the established clearing architecture. The existing model</w:t>
      </w:r>
      <w:r w:rsidR="001B5823">
        <w:t xml:space="preserve"> - </w:t>
      </w:r>
      <w:r>
        <w:t>where clearing members remain fully responsible for identifying and notifying CCPs of client defaults</w:t>
      </w:r>
      <w:r w:rsidR="001B5823">
        <w:t xml:space="preserve"> -</w:t>
      </w:r>
      <w:r>
        <w:t>should be preserved.</w:t>
      </w:r>
    </w:p>
    <w:permEnd w:id="689849779"/>
    <w:p w14:paraId="11DE980E" w14:textId="6F37CCA9" w:rsidR="00693907" w:rsidRDefault="00693907" w:rsidP="00693907">
      <w:r>
        <w:t>&lt;ESMA_QUESTION_</w:t>
      </w:r>
      <w:r w:rsidR="004C12DB">
        <w:t>COLL</w:t>
      </w:r>
      <w:r>
        <w:t>_8&gt;</w:t>
      </w:r>
    </w:p>
    <w:p w14:paraId="73AF06AE" w14:textId="77777777" w:rsidR="00970F12" w:rsidRDefault="00970F12" w:rsidP="00693907"/>
    <w:p w14:paraId="5D69E955" w14:textId="104F9CA1" w:rsidR="00970F12" w:rsidRDefault="00970F12" w:rsidP="00970F12">
      <w:pPr>
        <w:pStyle w:val="Questionstyle"/>
      </w:pPr>
      <w:r w:rsidRPr="004344B8">
        <w:t>Do</w:t>
      </w:r>
      <w:r>
        <w:t xml:space="preserve"> </w:t>
      </w:r>
      <w:r w:rsidR="00EA1DD0" w:rsidRPr="00EA1DD0">
        <w:t>you agree with ESMA’s proposal to require that there are a credit rating and reliable financial data on the guarantor available for the CCP to use in its internal assessment?</w:t>
      </w:r>
    </w:p>
    <w:p w14:paraId="432959FD" w14:textId="5BAAE542" w:rsidR="00970F12" w:rsidRDefault="00970F12" w:rsidP="00970F12">
      <w:r>
        <w:t>&lt;ESMA_QUESTION_</w:t>
      </w:r>
      <w:r w:rsidR="008E4202">
        <w:t>COLL</w:t>
      </w:r>
      <w:r>
        <w:t>_</w:t>
      </w:r>
      <w:r w:rsidR="008E4202">
        <w:t>9</w:t>
      </w:r>
      <w:r>
        <w:t>&gt;</w:t>
      </w:r>
    </w:p>
    <w:p w14:paraId="2D06AD0C" w14:textId="13FAEEBF" w:rsidR="00205DD4" w:rsidRDefault="00205DD4" w:rsidP="00205DD4">
      <w:permStart w:id="1211653911" w:edGrp="everyone"/>
      <w:r>
        <w:t>From a CCP risk management perspective, DBG agrees with ESMA’s proposal. Access to credit ratings and reliable, up to date financial data is essential to ensuring that CCPs can properly assess the creditworthiness and default risk of</w:t>
      </w:r>
      <w:r w:rsidR="00D61223">
        <w:t xml:space="preserve"> public</w:t>
      </w:r>
      <w:r>
        <w:t xml:space="preserve"> guarantors — particularly relevant in the context of guarantees that are not backed by cash. This requirement is also fully consistent with the operating reality as the heterogeneity of guarantor types and especially public entities introduce material credit, liquidity, and legal risks that CCPs must be able to quantify and monitor. </w:t>
      </w:r>
    </w:p>
    <w:p w14:paraId="560A5276" w14:textId="77777777" w:rsidR="00205DD4" w:rsidRDefault="00205DD4" w:rsidP="00205DD4">
      <w:r>
        <w:lastRenderedPageBreak/>
        <w:t xml:space="preserve">DBG supports a minimum credit rating threshold and emphasises that the availability of financial data is indispensable, especially for public guarantors below the central government level, where transparency is significantly lower. DBG notes that many regional or local public authorities do not publish annual financial statements and often lack external and independent credit ratings, which makes consistent credit assessment impossible without regulatory requirements. </w:t>
      </w:r>
    </w:p>
    <w:p w14:paraId="74297C6C" w14:textId="28746FC8" w:rsidR="00205DD4" w:rsidRDefault="00205DD4" w:rsidP="00205DD4">
      <w:r>
        <w:t xml:space="preserve">In addition, the temporary 2022 emergency regime had only limited practical effect precisely because of these information and credit risk gaps. For the regime to function in ongoing operations, the RTS must ensure that eligible </w:t>
      </w:r>
      <w:r w:rsidR="00BC517E">
        <w:t xml:space="preserve">public </w:t>
      </w:r>
      <w:r>
        <w:t>guarantors provide an external credit rating, sufficient financial disclosures and evidence that they meet the CCP’s internal risk management criteria, including wrong</w:t>
      </w:r>
      <w:r w:rsidR="00DF6D9B">
        <w:t>-</w:t>
      </w:r>
      <w:r>
        <w:t>way risk and concentration risk controls.</w:t>
      </w:r>
    </w:p>
    <w:p w14:paraId="1CD87586" w14:textId="5C91F83E" w:rsidR="00205DD4" w:rsidRDefault="00205DD4" w:rsidP="00970F12">
      <w:r>
        <w:t xml:space="preserve">For these reasons, DBG strongly support ESMA’s proposal. Reliable credit information is necessary both </w:t>
      </w:r>
      <w:r w:rsidR="002B7C39">
        <w:t xml:space="preserve">for </w:t>
      </w:r>
      <w:r>
        <w:t>initial validation and ongoing monitoring of guarantor quality. In the absence of such transparency, CCPs would face unquantifiable risk, especially where guarantees are intended to cover exposures of non</w:t>
      </w:r>
      <w:r w:rsidR="7CC277AC">
        <w:t>-</w:t>
      </w:r>
      <w:r>
        <w:t>financial clients, and where liquidity risks can be magnified by delayed or legally complex execution processes.</w:t>
      </w:r>
    </w:p>
    <w:permEnd w:id="1211653911"/>
    <w:p w14:paraId="2FB2642C" w14:textId="5A842994" w:rsidR="00970F12" w:rsidRDefault="00970F12" w:rsidP="00970F12">
      <w:r>
        <w:t>&lt;ESMA_QUESTION_</w:t>
      </w:r>
      <w:r w:rsidR="008E4202">
        <w:t>COLL</w:t>
      </w:r>
      <w:r>
        <w:t>_</w:t>
      </w:r>
      <w:r w:rsidR="008E4202">
        <w:t>9</w:t>
      </w:r>
      <w:r>
        <w:t>&gt;</w:t>
      </w:r>
    </w:p>
    <w:p w14:paraId="47C1564C" w14:textId="77777777" w:rsidR="00970F12" w:rsidRDefault="00970F12" w:rsidP="00693907"/>
    <w:p w14:paraId="2964373E" w14:textId="6323EC60" w:rsidR="005E4A48" w:rsidRDefault="005E4A48" w:rsidP="005E4A48">
      <w:pPr>
        <w:pStyle w:val="Questionstyle"/>
      </w:pPr>
      <w:r w:rsidRPr="004344B8">
        <w:t>Do</w:t>
      </w:r>
      <w:r w:rsidR="00E77951">
        <w:t xml:space="preserve"> </w:t>
      </w:r>
      <w:r w:rsidR="003A00A8" w:rsidRPr="003A00A8">
        <w:t>you consider that the direct access of a public guarantor to real-time gross settlement systems such as T2 should be a requirement for public guarantors? Please provide evidence or reasoning to support your response.</w:t>
      </w:r>
    </w:p>
    <w:p w14:paraId="04A80332" w14:textId="40679483" w:rsidR="005E4A48" w:rsidRDefault="005E4A48" w:rsidP="005E4A48">
      <w:r>
        <w:t>&lt;ESMA_QUESTION_</w:t>
      </w:r>
      <w:r w:rsidR="0037419B">
        <w:t>COLL</w:t>
      </w:r>
      <w:r>
        <w:t>_</w:t>
      </w:r>
      <w:r w:rsidR="0037419B">
        <w:t>10</w:t>
      </w:r>
      <w:r>
        <w:t>&gt;</w:t>
      </w:r>
    </w:p>
    <w:p w14:paraId="772D1A02" w14:textId="3AF6B06A" w:rsidR="006A7940" w:rsidRDefault="006A7940" w:rsidP="005E4A48">
      <w:permStart w:id="1236927022" w:edGrp="everyone"/>
      <w:r w:rsidRPr="006A7940">
        <w:t>From a CCP risk management and liquidity protection perspective, direct access to a real</w:t>
      </w:r>
      <w:r w:rsidR="00CA5F97">
        <w:t>-</w:t>
      </w:r>
      <w:r w:rsidRPr="006A7940">
        <w:t xml:space="preserve">time gross settlement (RTGS) system such as T2 is highly desirable and should be an absolute requirement. </w:t>
      </w:r>
    </w:p>
    <w:p w14:paraId="3C8F3516" w14:textId="18D168C1" w:rsidR="005E4A48" w:rsidRDefault="006A7940" w:rsidP="005E4A48">
      <w:r w:rsidRPr="006A7940">
        <w:t>Only a direct RTGS access avoids settlement and liquidity timing risks when a CCP must rapidly enforce a guarantee in a default scenario. Alternatives like routing through a separate payment agent would introduce operational complexity and potential delays</w:t>
      </w:r>
      <w:r w:rsidR="00024C2B">
        <w:t xml:space="preserve"> and </w:t>
      </w:r>
      <w:r w:rsidR="00024C2B" w:rsidRPr="00024C2B">
        <w:t>substantially increase risks since payment agents may default</w:t>
      </w:r>
      <w:r w:rsidRPr="006A7940">
        <w:t>. DBG</w:t>
      </w:r>
      <w:r w:rsidR="00191167">
        <w:t xml:space="preserve"> can</w:t>
      </w:r>
      <w:r w:rsidRPr="006A7940">
        <w:t xml:space="preserve"> confirm that </w:t>
      </w:r>
      <w:r w:rsidR="00191167">
        <w:t xml:space="preserve">the </w:t>
      </w:r>
      <w:r w:rsidRPr="006A7940">
        <w:t xml:space="preserve">lack of </w:t>
      </w:r>
      <w:r w:rsidR="00191167">
        <w:t xml:space="preserve">the </w:t>
      </w:r>
      <w:r w:rsidRPr="006A7940">
        <w:t>RTGS access is one of the key liquidity risks associated with public guarantees. A fast, final, irrevocable payment mechanism is essential for resilience</w:t>
      </w:r>
      <w:r w:rsidR="007D60AA">
        <w:t xml:space="preserve"> of CCPs and the whole </w:t>
      </w:r>
      <w:r w:rsidR="00672BEB">
        <w:t>clearing system</w:t>
      </w:r>
      <w:r w:rsidRPr="006A7940">
        <w:t>.</w:t>
      </w:r>
    </w:p>
    <w:permEnd w:id="1236927022"/>
    <w:p w14:paraId="5CF44F01" w14:textId="5CA565F5" w:rsidR="005E4A48" w:rsidRDefault="005E4A48" w:rsidP="005E4A48">
      <w:r>
        <w:t>&lt;ESMA_QUESTION_</w:t>
      </w:r>
      <w:r w:rsidR="0037419B">
        <w:t>COLL</w:t>
      </w:r>
      <w:r>
        <w:t>_</w:t>
      </w:r>
      <w:r w:rsidR="0037419B">
        <w:t>10</w:t>
      </w:r>
      <w:r>
        <w:t>&gt;</w:t>
      </w:r>
    </w:p>
    <w:p w14:paraId="10E37C90" w14:textId="77777777" w:rsidR="005E4A48" w:rsidRDefault="005E4A48" w:rsidP="00693907"/>
    <w:p w14:paraId="71E277F2" w14:textId="4AE639BC" w:rsidR="005E4A48" w:rsidRDefault="005E4A48" w:rsidP="005E4A48">
      <w:pPr>
        <w:pStyle w:val="Questionstyle"/>
      </w:pPr>
      <w:r w:rsidRPr="004344B8">
        <w:lastRenderedPageBreak/>
        <w:t>Do</w:t>
      </w:r>
      <w:r>
        <w:t xml:space="preserve"> </w:t>
      </w:r>
      <w:r w:rsidR="00502F7C" w:rsidRPr="00502F7C">
        <w:t>you agree that public guarantees should be accompanied by a legal opinion confirming the effective representation of the guarantor, the validity of the guarantee and its enforceability?</w:t>
      </w:r>
    </w:p>
    <w:p w14:paraId="182071EF" w14:textId="6E70C2AB" w:rsidR="005E4A48" w:rsidRDefault="005E4A48" w:rsidP="005E4A48">
      <w:r>
        <w:t>&lt;ESMA_QUESTION_</w:t>
      </w:r>
      <w:r w:rsidR="004641DE">
        <w:t>COLL</w:t>
      </w:r>
      <w:r>
        <w:t>_</w:t>
      </w:r>
      <w:r w:rsidR="004641DE">
        <w:t>11</w:t>
      </w:r>
      <w:r>
        <w:t>&gt;</w:t>
      </w:r>
    </w:p>
    <w:p w14:paraId="4EAA0203" w14:textId="77777777" w:rsidR="00692200" w:rsidRDefault="00692200" w:rsidP="00692200">
      <w:permStart w:id="1519336460" w:edGrp="everyone"/>
      <w:r>
        <w:t>DBG supports ESMA’s proposal that public guarantees should be accompanied by an independent legal opinion confirming the effective representation of the guarantor, the validity of the guarantee, and its enforceability.</w:t>
      </w:r>
    </w:p>
    <w:p w14:paraId="03B19E49" w14:textId="008945DC" w:rsidR="00692200" w:rsidRDefault="00692200" w:rsidP="00692200">
      <w:r>
        <w:t>Public guarantees differ fundamentally from commercial bank guarantees in terms of their legal basis, standardisation, and operational execution.</w:t>
      </w:r>
      <w:r w:rsidR="00BE3BBD">
        <w:t xml:space="preserve"> P</w:t>
      </w:r>
      <w:r>
        <w:t>ublic guarantors are subject to heterogeneous public</w:t>
      </w:r>
      <w:r>
        <w:rPr>
          <w:rFonts w:ascii="Cambria Math" w:hAnsi="Cambria Math" w:cs="Cambria Math"/>
        </w:rPr>
        <w:t>‑</w:t>
      </w:r>
      <w:r>
        <w:t>law frameworks, frequently lack uniform contractual practices, and often operate under statutory or administrative constraints that make the assessment of their legal capacity and authority significantly more complex. These structural features create substantial uncertainty for CCPs when determining whether a public entity has acted within its statutory mandate and whether all necessary approvals have been obtained.</w:t>
      </w:r>
    </w:p>
    <w:p w14:paraId="5011FEC1" w14:textId="77777777" w:rsidR="00692200" w:rsidRDefault="00692200" w:rsidP="00692200">
      <w:r>
        <w:t>Moreover, the absence of standardised instruments means that CCPs would be required to undertake continuous and resource</w:t>
      </w:r>
      <w:r>
        <w:rPr>
          <w:rFonts w:ascii="Cambria Math" w:hAnsi="Cambria Math" w:cs="Cambria Math"/>
        </w:rPr>
        <w:t>‑</w:t>
      </w:r>
      <w:r>
        <w:t>intensive legal verification across multiple jurisdictions if no formal opinion were provided. This is particularly relevant given the ultra vires concerns that arise with public bodies, where actions taken outside the legally assigned remit may be void or unenforceable. A legal opinion is therefore essential to ensure that the guarantee constitutes a valid, binding obligation and that the chosen law and jurisdiction are recognised under the governing legal framework of both the guarantor and any involved payment agent.</w:t>
      </w:r>
    </w:p>
    <w:p w14:paraId="5D6720B5" w14:textId="77777777" w:rsidR="00692200" w:rsidRDefault="00692200" w:rsidP="00692200">
      <w:r>
        <w:t>Enforceability is equally critical in the context of CCP risk management. Public guarantors frequently lack direct access to real</w:t>
      </w:r>
      <w:r>
        <w:rPr>
          <w:rFonts w:ascii="Cambria Math" w:hAnsi="Cambria Math" w:cs="Cambria Math"/>
        </w:rPr>
        <w:t>‑</w:t>
      </w:r>
      <w:r>
        <w:t>time gross settlement systems, which necessitates the involvement of payment agents and, in turn, increases operational and legal complexity. Ensuring that the CCP can assert and realise its rights without restrictions, waiting periods, or special authorisations is indispensable, particularly during default management where delayed settlement could undermine the CCP’s ability to manage liquidity and market risk. A legal opinion confirming that the guarantee is enforceable on first demand, and that it cannot be contested or revoked, provides the level of legal certainty required for the CCP to rely on such collateral.</w:t>
      </w:r>
    </w:p>
    <w:p w14:paraId="2FBF8A68" w14:textId="6795D790" w:rsidR="005E4A48" w:rsidRDefault="00692200" w:rsidP="00692200">
      <w:r>
        <w:t xml:space="preserve">For these reasons, </w:t>
      </w:r>
      <w:r w:rsidR="0017038A">
        <w:t xml:space="preserve">DBG </w:t>
      </w:r>
      <w:r>
        <w:t>considers the requirement for an independent legal opinion to be both necessary and proportionate. It strengthens legal certainty, supports prudent risk management, and ensures that public guarantees can be used in practice without introducing additional legal or operational vulnerabilities into the CCP’s collateral framework.</w:t>
      </w:r>
    </w:p>
    <w:permEnd w:id="1519336460"/>
    <w:p w14:paraId="622D948A" w14:textId="50AF4799" w:rsidR="005E4A48" w:rsidRDefault="005E4A48" w:rsidP="005E4A48">
      <w:r>
        <w:t>&lt;ESMA_QUESTION_</w:t>
      </w:r>
      <w:r w:rsidR="004641DE">
        <w:t>COLL</w:t>
      </w:r>
      <w:r>
        <w:t>_</w:t>
      </w:r>
      <w:r w:rsidR="004641DE">
        <w:t>11</w:t>
      </w:r>
      <w:r>
        <w:t>&gt;</w:t>
      </w:r>
    </w:p>
    <w:p w14:paraId="281801E2" w14:textId="77777777" w:rsidR="005E4A48" w:rsidRDefault="005E4A48" w:rsidP="00693907"/>
    <w:p w14:paraId="1922BA8F" w14:textId="0E442475" w:rsidR="005E4A48" w:rsidRDefault="005E4A48" w:rsidP="005E4A48">
      <w:pPr>
        <w:pStyle w:val="Questionstyle"/>
      </w:pPr>
      <w:r w:rsidRPr="004344B8">
        <w:lastRenderedPageBreak/>
        <w:t xml:space="preserve">Do </w:t>
      </w:r>
      <w:r w:rsidR="004B3CF5" w:rsidRPr="004B3CF5">
        <w:t>you agree that the conditions for commercial bank guarantees should explicitly foresee that the guarantor is a credit institution as defined in CRR?</w:t>
      </w:r>
    </w:p>
    <w:p w14:paraId="645BB6CB" w14:textId="03D6F764" w:rsidR="005E4A48" w:rsidRDefault="005E4A48" w:rsidP="005E4A48">
      <w:r>
        <w:t>&lt;ESMA_QUESTION_</w:t>
      </w:r>
      <w:r w:rsidR="0070781C">
        <w:t>COLL</w:t>
      </w:r>
      <w:r>
        <w:t>_</w:t>
      </w:r>
      <w:r w:rsidR="0070781C">
        <w:t>12</w:t>
      </w:r>
      <w:r>
        <w:t>&gt;</w:t>
      </w:r>
    </w:p>
    <w:p w14:paraId="640E9FBF" w14:textId="59C45380" w:rsidR="00B82766" w:rsidRDefault="00B82766" w:rsidP="00B82766">
      <w:permStart w:id="184505729" w:edGrp="everyone"/>
      <w:r>
        <w:t>Requiring that bank guarantees be issued exclusively by credit institutions regulated under the Capital Requirements Regulation (CRR) provides several structural and risk management benefits for the whole clearing system as it strengthens legal certainty, credit quality assurance, operational reliability, and the overall robustness of the collateral framework.</w:t>
      </w:r>
    </w:p>
    <w:p w14:paraId="2D808874" w14:textId="4020CCEC" w:rsidR="005E4A48" w:rsidRDefault="00B82766" w:rsidP="00B82766">
      <w:r>
        <w:t>Limiting eligible guarantors to CRR regulated credit institutions establishes clear legal certainty regarding the nature of the guarantor as it removes ambiguity about what entities are eligible, ensuring that the CCP relies only on institutions subject to harmonised prudential requirements and supervisory scrutiny. In addition, CRR regulated institutions are subject to stringent capital, liquidity, and risk management requirements. This regulatory regime ensures that such guarantors maintain robust capitalisation, governance, and liquidity positions, thereby lowering the probability that the guarantor itself becomes a source of systemic risk. Moreover, CRR regulation contributes to operational reliability in default scenarios. CCPs depend on guarantees that can be executed within the liquidation period without regulatory or procedural impediments. CRR oversight promotes standardisation in banks’ operational processes, including timely payment execution and integration into real</w:t>
      </w:r>
      <w:r w:rsidR="00721DD9">
        <w:t>-</w:t>
      </w:r>
      <w:r>
        <w:t>time gross settlement systems. The restriction of the pool of guarantors to CRR regulated credit institutions reduces the legal and administrative risks that arise from entities operating outside harmonised EU banking regulation.</w:t>
      </w:r>
    </w:p>
    <w:permEnd w:id="184505729"/>
    <w:p w14:paraId="36FF8389" w14:textId="245D9198" w:rsidR="005E4A48" w:rsidRDefault="005E4A48" w:rsidP="005E4A48">
      <w:r>
        <w:t>&lt;ESMA_QUESTION_</w:t>
      </w:r>
      <w:r w:rsidR="0070781C">
        <w:t>COLL</w:t>
      </w:r>
      <w:r>
        <w:t>_</w:t>
      </w:r>
      <w:r w:rsidR="0070781C">
        <w:t>12</w:t>
      </w:r>
      <w:r>
        <w:t>&gt;</w:t>
      </w:r>
    </w:p>
    <w:p w14:paraId="1D796774" w14:textId="77777777" w:rsidR="005E4A48" w:rsidRDefault="005E4A48" w:rsidP="00693907"/>
    <w:p w14:paraId="3F18CDD5" w14:textId="07197B4B" w:rsidR="005E4A48" w:rsidRDefault="005E4A48" w:rsidP="005E4A48">
      <w:pPr>
        <w:pStyle w:val="Questionstyle"/>
      </w:pPr>
      <w:r w:rsidRPr="004344B8">
        <w:t xml:space="preserve">Do </w:t>
      </w:r>
      <w:r w:rsidR="00AC7E2D" w:rsidRPr="00AC7E2D">
        <w:t>you agree that the possibility for CCP to accept uncollateralised bank guarantees should be specified in Section two of Annex I of RTS 153/2013?</w:t>
      </w:r>
    </w:p>
    <w:p w14:paraId="359D42A4" w14:textId="5A277687" w:rsidR="005E4A48" w:rsidRDefault="005E4A48" w:rsidP="005E4A48">
      <w:r>
        <w:t>&lt;ESMA_QUESTION_</w:t>
      </w:r>
      <w:r w:rsidR="003618E4">
        <w:t>COLL</w:t>
      </w:r>
      <w:r>
        <w:t>_</w:t>
      </w:r>
      <w:r w:rsidR="003618E4">
        <w:t>13</w:t>
      </w:r>
      <w:r>
        <w:t>&gt;</w:t>
      </w:r>
    </w:p>
    <w:p w14:paraId="6D125462" w14:textId="6F44D761" w:rsidR="005E4A48" w:rsidRDefault="7EE9D22A" w:rsidP="005E4A48">
      <w:permStart w:id="819362067" w:edGrp="everyone"/>
      <w:r w:rsidRPr="003D7D17">
        <w:t xml:space="preserve">Yes, </w:t>
      </w:r>
      <w:r>
        <w:t>DBG</w:t>
      </w:r>
      <w:r w:rsidRPr="003D7D17">
        <w:t xml:space="preserve"> agree</w:t>
      </w:r>
      <w:r>
        <w:t>s</w:t>
      </w:r>
      <w:r w:rsidRPr="003D7D17">
        <w:t xml:space="preserve"> that the possibility for CCP to accept uncollateralised bank guarantees should be specified in Section two of Annex I of RTS 153/2013.</w:t>
      </w:r>
    </w:p>
    <w:permEnd w:id="819362067"/>
    <w:p w14:paraId="733C2664" w14:textId="49DF325F" w:rsidR="005E4A48" w:rsidRDefault="005E4A48" w:rsidP="005E4A48">
      <w:r>
        <w:t>&lt;ESMA_QUESTION_</w:t>
      </w:r>
      <w:r w:rsidR="0070781C">
        <w:t>COLL</w:t>
      </w:r>
      <w:r>
        <w:t>_</w:t>
      </w:r>
      <w:r w:rsidR="0070781C">
        <w:t>13</w:t>
      </w:r>
      <w:r>
        <w:t>&gt;</w:t>
      </w:r>
    </w:p>
    <w:p w14:paraId="7AC8814A" w14:textId="77777777" w:rsidR="005E4A48" w:rsidRDefault="005E4A48" w:rsidP="00693907"/>
    <w:p w14:paraId="29F2BAAB" w14:textId="173468ED" w:rsidR="005E4A48" w:rsidRDefault="005E4A48" w:rsidP="005E4A48">
      <w:pPr>
        <w:pStyle w:val="Questionstyle"/>
      </w:pPr>
      <w:r w:rsidRPr="004344B8">
        <w:t xml:space="preserve">Do </w:t>
      </w:r>
      <w:r w:rsidR="002A08CC" w:rsidRPr="002A08CC">
        <w:t>you agree with ESMA that the conditions applicable to commercial bank guarantees should also be applicable to public bank guarantees? Please specify in your answer whether any addition condition should be considered.</w:t>
      </w:r>
    </w:p>
    <w:p w14:paraId="298A4705" w14:textId="7F3BB770" w:rsidR="001918E0" w:rsidRDefault="6305C663" w:rsidP="001918E0">
      <w:permStart w:id="1776364355" w:edGrp="everyone"/>
      <w:r>
        <w:t>&lt;ESMA_QUESTION_</w:t>
      </w:r>
      <w:r w:rsidR="41E1252A">
        <w:t>COLL</w:t>
      </w:r>
      <w:r>
        <w:t>_</w:t>
      </w:r>
      <w:r w:rsidR="41E1252A">
        <w:t>14</w:t>
      </w:r>
      <w:r>
        <w:t>&gt;</w:t>
      </w:r>
    </w:p>
    <w:p w14:paraId="0E694DCD" w14:textId="54F31C94" w:rsidR="001918E0" w:rsidRDefault="001918E0" w:rsidP="001918E0">
      <w:r>
        <w:lastRenderedPageBreak/>
        <w:t xml:space="preserve">DBG broadly agrees with ESMA that, as a starting point, the conditions applicable to commercial bank guarantees should also apply to public bank guarantees, </w:t>
      </w:r>
      <w:proofErr w:type="gramStart"/>
      <w:r>
        <w:t>in order to</w:t>
      </w:r>
      <w:proofErr w:type="gramEnd"/>
      <w:r>
        <w:t xml:space="preserve"> ensure a consistent and risk</w:t>
      </w:r>
      <w:r>
        <w:rPr>
          <w:rFonts w:ascii="Cambria Math" w:hAnsi="Cambria Math" w:cs="Cambria Math"/>
        </w:rPr>
        <w:t>‑</w:t>
      </w:r>
      <w:r>
        <w:t>sensitive framework for CCPs.</w:t>
      </w:r>
    </w:p>
    <w:p w14:paraId="78DA7BA6" w14:textId="3C4F78C2" w:rsidR="001918E0" w:rsidRDefault="001918E0" w:rsidP="001918E0">
      <w:r>
        <w:t xml:space="preserve">At the same time, </w:t>
      </w:r>
      <w:r w:rsidR="00F12B6F">
        <w:t>DBG</w:t>
      </w:r>
      <w:r>
        <w:t xml:space="preserve"> considers it important to recognise that public banks may differ materially from commercial banks in terms of their legal basis, scope of permitted activities and governance structures. These specificities can give rise to distinct legal, credit and liquidity risk considerations, which should be appropriately reflected in the applicable conditions.</w:t>
      </w:r>
    </w:p>
    <w:p w14:paraId="70C688C3" w14:textId="4FB03BE9" w:rsidR="001918E0" w:rsidRDefault="001918E0" w:rsidP="001918E0">
      <w:r>
        <w:t xml:space="preserve">In this context, </w:t>
      </w:r>
      <w:r w:rsidR="00F12B6F">
        <w:t>DBG</w:t>
      </w:r>
      <w:r>
        <w:t xml:space="preserve"> supports the introduction of additional, targeted conditions for public bank guarantees where necessary, in particular </w:t>
      </w:r>
      <w:proofErr w:type="gramStart"/>
      <w:r>
        <w:t>with regard to</w:t>
      </w:r>
      <w:proofErr w:type="gramEnd"/>
      <w:r>
        <w:t>:</w:t>
      </w:r>
    </w:p>
    <w:p w14:paraId="50EDD9BB" w14:textId="77777777" w:rsidR="001918E0" w:rsidRDefault="001918E0" w:rsidP="00F12B6F">
      <w:pPr>
        <w:ind w:left="709"/>
      </w:pPr>
      <w:r>
        <w:t>the legal enforceability of the guarantee under applicable public law frameworks,</w:t>
      </w:r>
    </w:p>
    <w:p w14:paraId="4FC6B0A7" w14:textId="77777777" w:rsidR="001918E0" w:rsidRDefault="001918E0" w:rsidP="00F12B6F">
      <w:pPr>
        <w:ind w:left="709"/>
      </w:pPr>
      <w:r>
        <w:t>the reliability and timeliness of payment in a default scenario, and</w:t>
      </w:r>
    </w:p>
    <w:p w14:paraId="1473C8B8" w14:textId="77777777" w:rsidR="001918E0" w:rsidRDefault="001918E0" w:rsidP="00F12B6F">
      <w:pPr>
        <w:ind w:left="709"/>
      </w:pPr>
      <w:r>
        <w:t>the availability of robust financial information enabling the CCP to perform an effective ongoing risk assessment.</w:t>
      </w:r>
    </w:p>
    <w:p w14:paraId="134D58FA" w14:textId="24FBB563" w:rsidR="005E4A48" w:rsidRDefault="001918E0" w:rsidP="001918E0">
      <w:r>
        <w:t>A calibrated approach that combines a common baseline of requirements with the possibility to address public</w:t>
      </w:r>
      <w:r>
        <w:rPr>
          <w:rFonts w:ascii="Cambria Math" w:hAnsi="Cambria Math" w:cs="Cambria Math"/>
        </w:rPr>
        <w:t>‑</w:t>
      </w:r>
      <w:r>
        <w:t>bank</w:t>
      </w:r>
      <w:r>
        <w:rPr>
          <w:rFonts w:ascii="Cambria Math" w:hAnsi="Cambria Math" w:cs="Cambria Math"/>
        </w:rPr>
        <w:t>‑</w:t>
      </w:r>
      <w:r>
        <w:t>specific risks would</w:t>
      </w:r>
      <w:r w:rsidR="00651836">
        <w:t xml:space="preserve"> </w:t>
      </w:r>
      <w:r>
        <w:t>best support CCP resilience while allowing public bank guarantees to remain a viable collateral option where their risk profile can be appropriately managed</w:t>
      </w:r>
    </w:p>
    <w:permEnd w:id="1776364355"/>
    <w:p w14:paraId="195B3B53" w14:textId="35E0DC42" w:rsidR="005E4A48" w:rsidRDefault="005E4A48" w:rsidP="005E4A48">
      <w:r>
        <w:t>&lt;ESMA_QUESTION_</w:t>
      </w:r>
      <w:r w:rsidR="00313B2A">
        <w:t>COLL</w:t>
      </w:r>
      <w:r>
        <w:t>_</w:t>
      </w:r>
      <w:r w:rsidR="00313B2A">
        <w:t>14</w:t>
      </w:r>
      <w:r>
        <w:t>&gt;</w:t>
      </w:r>
    </w:p>
    <w:p w14:paraId="53CE4543" w14:textId="77777777" w:rsidR="005E4A48" w:rsidRDefault="005E4A48" w:rsidP="00693907"/>
    <w:p w14:paraId="55038FDB" w14:textId="7ECBE4B4" w:rsidR="005E4A48" w:rsidRDefault="005E4A48" w:rsidP="005E4A48">
      <w:pPr>
        <w:pStyle w:val="Questionstyle"/>
      </w:pPr>
      <w:r w:rsidRPr="004344B8">
        <w:t>Do</w:t>
      </w:r>
      <w:r w:rsidR="001F57E9" w:rsidRPr="001F57E9">
        <w:t xml:space="preserve"> you agree with the proposed way to address the lack of definition of “public bank”?</w:t>
      </w:r>
      <w:r w:rsidR="001F57E9">
        <w:t xml:space="preserve"> </w:t>
      </w:r>
      <w:r w:rsidRPr="004344B8">
        <w:t xml:space="preserve"> </w:t>
      </w:r>
    </w:p>
    <w:p w14:paraId="04B2A90B" w14:textId="18F9E43B" w:rsidR="005E4A48" w:rsidRDefault="005E4A48" w:rsidP="005E4A48">
      <w:r>
        <w:t>&lt;ESMA_QUESTION_</w:t>
      </w:r>
      <w:r w:rsidR="00830677">
        <w:t>COLL</w:t>
      </w:r>
      <w:r>
        <w:t>_</w:t>
      </w:r>
      <w:r w:rsidR="00830677">
        <w:t>15</w:t>
      </w:r>
      <w:r>
        <w:t>&gt;</w:t>
      </w:r>
    </w:p>
    <w:p w14:paraId="7BECEAEF" w14:textId="0FE1305C" w:rsidR="003F6D19" w:rsidRDefault="00974254" w:rsidP="005E4A48">
      <w:permStart w:id="870328820" w:edGrp="everyone"/>
      <w:r>
        <w:t xml:space="preserve">DBG </w:t>
      </w:r>
      <w:r w:rsidRPr="00974254">
        <w:t xml:space="preserve">broadly agrees with ESMA’s proposed approach to address the current lack of a definition of “public bank” in </w:t>
      </w:r>
      <w:proofErr w:type="gramStart"/>
      <w:r w:rsidRPr="00974254">
        <w:t>EMIR, and</w:t>
      </w:r>
      <w:proofErr w:type="gramEnd"/>
      <w:r w:rsidRPr="00974254">
        <w:t xml:space="preserve"> acknowledges the need for greater legal clarity and harmonisation across CCPs and Member States.</w:t>
      </w:r>
      <w:r w:rsidR="00E34428" w:rsidRPr="00E34428">
        <w:t xml:space="preserve"> From </w:t>
      </w:r>
      <w:r w:rsidR="00E34428">
        <w:t>DBG’</w:t>
      </w:r>
      <w:r w:rsidR="00E34428" w:rsidRPr="00E34428">
        <w:t>s perspective, it is important that any definition of “public bank” is sufficiently clear, objective</w:t>
      </w:r>
      <w:r w:rsidR="00C60995">
        <w:t>,</w:t>
      </w:r>
      <w:r w:rsidR="00E34428" w:rsidRPr="00E34428">
        <w:t xml:space="preserve"> and operationally workable, while at the same time reflecting the diversity of public banking institutions across jurisdictions. In particular, the definition should </w:t>
      </w:r>
      <w:proofErr w:type="gramStart"/>
      <w:r w:rsidR="00E34428" w:rsidRPr="00E34428">
        <w:t>take into account</w:t>
      </w:r>
      <w:proofErr w:type="gramEnd"/>
      <w:r w:rsidR="00E34428" w:rsidRPr="00E34428">
        <w:t xml:space="preserve"> the specific legal basis, ownership structure</w:t>
      </w:r>
      <w:r w:rsidR="00655C0C">
        <w:t>,</w:t>
      </w:r>
      <w:r w:rsidR="00E34428" w:rsidRPr="00E34428">
        <w:t xml:space="preserve"> and scope of permitted activities of public banks, as these elements may materially affect their risk profile and the enforceability of guarantees.</w:t>
      </w:r>
      <w:r w:rsidR="003F6D19" w:rsidRPr="003F6D19">
        <w:t xml:space="preserve"> </w:t>
      </w:r>
    </w:p>
    <w:p w14:paraId="550BAE5C" w14:textId="0A9A812B" w:rsidR="005E4A48" w:rsidRDefault="003F6D19" w:rsidP="005E4A48">
      <w:r>
        <w:t>DBG</w:t>
      </w:r>
      <w:r w:rsidRPr="003F6D19">
        <w:t xml:space="preserve"> supports an approach that anchors the definition in clear legal and institutional criteria, rather than relying solely on naming conventions or national classifications. At the same time, CCPs </w:t>
      </w:r>
      <w:r w:rsidRPr="003F6D19">
        <w:lastRenderedPageBreak/>
        <w:t>should retain the ability to assess, within their internal risk frameworks, whether a specific institution classified as a public bank meets the requirements for accepting its guarantees as collateral.</w:t>
      </w:r>
    </w:p>
    <w:permEnd w:id="870328820"/>
    <w:p w14:paraId="3C2CF56F" w14:textId="05A819D9" w:rsidR="005E4A48" w:rsidRDefault="005E4A48" w:rsidP="005E4A48">
      <w:r>
        <w:t>&lt;ESMA_QUESTION_</w:t>
      </w:r>
      <w:r w:rsidR="00830677">
        <w:t>COLL</w:t>
      </w:r>
      <w:r>
        <w:t>_</w:t>
      </w:r>
      <w:r w:rsidR="00830677">
        <w:t>15</w:t>
      </w:r>
      <w:r>
        <w:t>&gt;</w:t>
      </w:r>
    </w:p>
    <w:p w14:paraId="7946BE06" w14:textId="77777777" w:rsidR="005E4A48" w:rsidRDefault="005E4A48" w:rsidP="00693907"/>
    <w:p w14:paraId="072A90DC" w14:textId="0B8479CF" w:rsidR="005E4A48" w:rsidRDefault="005E4A48" w:rsidP="005E4A48">
      <w:pPr>
        <w:pStyle w:val="Questionstyle"/>
      </w:pPr>
      <w:r w:rsidRPr="004344B8">
        <w:t xml:space="preserve">Do </w:t>
      </w:r>
      <w:r w:rsidR="00827DAC" w:rsidRPr="00827DAC">
        <w:t>you agree with the proposed change concerning the conditions under which debt instruments can be considered highly liquid, bearing minimal credit and market risk (and hence considered as eligible financial instruments for the purpose of CCP investment policy)?</w:t>
      </w:r>
    </w:p>
    <w:p w14:paraId="0703E9DE" w14:textId="6C3C21CC" w:rsidR="005E4A48" w:rsidRDefault="005E4A48" w:rsidP="005E4A48">
      <w:r>
        <w:t>&lt;ESMA_QUESTION_</w:t>
      </w:r>
      <w:r w:rsidR="00830677">
        <w:t>COLL</w:t>
      </w:r>
      <w:r>
        <w:t>_</w:t>
      </w:r>
      <w:r w:rsidR="00830677">
        <w:t>16</w:t>
      </w:r>
      <w:r>
        <w:t>&gt;</w:t>
      </w:r>
    </w:p>
    <w:p w14:paraId="668CA56A" w14:textId="1AAB04DA" w:rsidR="00960166" w:rsidRDefault="005B15ED" w:rsidP="000853C0">
      <w:permStart w:id="444013336" w:edGrp="everyone"/>
      <w:r>
        <w:t xml:space="preserve">We agree with ESMA’s </w:t>
      </w:r>
      <w:r w:rsidR="6248832A">
        <w:t>proposal</w:t>
      </w:r>
      <w:r w:rsidRPr="005B15ED">
        <w:t xml:space="preserve"> to include the EU, the Bank for International Settlements, and the International Monetary Fund as eligible issuers under CCP investment policies</w:t>
      </w:r>
      <w:r w:rsidR="006E5817">
        <w:t xml:space="preserve">. </w:t>
      </w:r>
      <w:r w:rsidR="00E9479C">
        <w:t xml:space="preserve">The EU </w:t>
      </w:r>
      <w:proofErr w:type="gramStart"/>
      <w:r w:rsidR="00D45B08">
        <w:t xml:space="preserve">in particular </w:t>
      </w:r>
      <w:r w:rsidR="00E9479C">
        <w:t>has</w:t>
      </w:r>
      <w:proofErr w:type="gramEnd"/>
      <w:r w:rsidR="00E9479C">
        <w:t xml:space="preserve"> become one of the biggest issuers and E</w:t>
      </w:r>
      <w:r w:rsidR="00E012EB">
        <w:t>U</w:t>
      </w:r>
      <w:r w:rsidR="00E9479C">
        <w:t xml:space="preserve"> debt instruments have become well established and highly trusted</w:t>
      </w:r>
      <w:r w:rsidR="00EB6204">
        <w:t xml:space="preserve">. </w:t>
      </w:r>
      <w:r w:rsidR="00437B3D">
        <w:t xml:space="preserve">The omission of the EU </w:t>
      </w:r>
      <w:r w:rsidR="00D45B08">
        <w:t xml:space="preserve">as eligible issuer in the RTS is a clear indication that the current CCP investment policy rules are outdated. </w:t>
      </w:r>
      <w:r w:rsidR="00F31C89">
        <w:t>This omission is not surprising, as the EU has only recently started issuing large-scale joint debt in the context of the COVID 19 pandemic.</w:t>
      </w:r>
      <w:r w:rsidR="00960166">
        <w:t xml:space="preserve"> However, it is not the only </w:t>
      </w:r>
      <w:r w:rsidR="00597B3A">
        <w:t xml:space="preserve">area of the </w:t>
      </w:r>
      <w:r w:rsidR="00960166">
        <w:t>investment policy requirement</w:t>
      </w:r>
      <w:r w:rsidR="00597B3A">
        <w:t>s</w:t>
      </w:r>
      <w:r w:rsidR="00960166">
        <w:t xml:space="preserve"> that ESMA should </w:t>
      </w:r>
      <w:r w:rsidR="00597B3A">
        <w:t>revise</w:t>
      </w:r>
      <w:r w:rsidR="00960166">
        <w:t xml:space="preserve">. </w:t>
      </w:r>
      <w:proofErr w:type="gramStart"/>
      <w:r w:rsidR="000853C0">
        <w:t>In order to</w:t>
      </w:r>
      <w:proofErr w:type="gramEnd"/>
      <w:r w:rsidR="000853C0">
        <w:t xml:space="preserve"> remove unintended incentives from the current RTS and to reflect evolving market conditions while maintaining the same prudent regulatory coverage of CCPs’ investment policies</w:t>
      </w:r>
      <w:r w:rsidR="005B2BCD">
        <w:t>, we also recommend the following amendments:</w:t>
      </w:r>
    </w:p>
    <w:p w14:paraId="34E54205" w14:textId="77777777" w:rsidR="000B23AA" w:rsidRDefault="000B23AA" w:rsidP="000B23AA">
      <w:pPr>
        <w:pStyle w:val="ListParagraph"/>
        <w:numPr>
          <w:ilvl w:val="0"/>
          <w:numId w:val="47"/>
        </w:numPr>
      </w:pPr>
      <w:r w:rsidRPr="00846F11">
        <w:t>Include derivative contracts to hedge interest rate risk</w:t>
      </w:r>
    </w:p>
    <w:p w14:paraId="5A2281F9" w14:textId="08419227" w:rsidR="000B23AA" w:rsidRDefault="000B23AA" w:rsidP="000B23AA">
      <w:r>
        <w:t>Derivative contracts are only considered permissible financial investments if they are used to hedge the portfolio of a defaulted clearing member or to hedge currency</w:t>
      </w:r>
      <w:r w:rsidR="00643BED">
        <w:t xml:space="preserve"> risk</w:t>
      </w:r>
      <w:r>
        <w:t xml:space="preserve">. CCPs are excluded from the use of derivatives to hedge interest rate risk, despite CCPs facing comparable exposure to both interest rate and currency risks. Accordingly, an inclusion of derivative contracts used for hedging both currency and interest rate risks in paragraph 2 Annex II as highly liquid financial investments would significantly improve a CCP’s liquidity and secured investment management processes. </w:t>
      </w:r>
    </w:p>
    <w:p w14:paraId="78E10439" w14:textId="77777777" w:rsidR="000B23AA" w:rsidRDefault="000B23AA" w:rsidP="000B23AA">
      <w:pPr>
        <w:pStyle w:val="ListParagraph"/>
        <w:numPr>
          <w:ilvl w:val="0"/>
          <w:numId w:val="47"/>
        </w:numPr>
      </w:pPr>
      <w:r w:rsidRPr="009E1A20">
        <w:t>Increasing flexibility regarding time-to-maturity</w:t>
      </w:r>
    </w:p>
    <w:p w14:paraId="6B6BE595" w14:textId="78074DF9" w:rsidR="000B23AA" w:rsidRPr="007472FE" w:rsidRDefault="000B23AA" w:rsidP="000B23AA">
      <w:pPr>
        <w:rPr>
          <w:color w:val="FF0000"/>
        </w:rPr>
      </w:pPr>
      <w:r w:rsidRPr="009E1A20">
        <w:t xml:space="preserve">Point 1(c) of Annex II, which limits the average time-to-maturity of a CCP’s portfolio to two years, warrants review. Given the current limitation to highly liquid financial instruments the CCP can invest in according to Annex II of RTS 153/2013, and that the CCP has the possibility to mobilize the securities anytime, if needed, the requirement is too restrictive. This requirement forces CCPs into frequent replacement of expiring positions, despite a limited selection of eligible instruments, creating both operational challenges and potential risks. Extending the required average maturity </w:t>
      </w:r>
      <w:r w:rsidRPr="009E1A20">
        <w:lastRenderedPageBreak/>
        <w:t>from two to five years would enable CCPs to establish a more robust and stable investment strategy.</w:t>
      </w:r>
      <w:r w:rsidR="007472FE">
        <w:t xml:space="preserve"> </w:t>
      </w:r>
      <w:r w:rsidR="00E920E2" w:rsidRPr="000F5E84">
        <w:t xml:space="preserve">At the same time, the </w:t>
      </w:r>
      <w:r w:rsidR="001E1D27" w:rsidRPr="000F5E84">
        <w:t xml:space="preserve">already outlined inclusion of interest rate derivatives </w:t>
      </w:r>
      <w:r w:rsidR="004761C0" w:rsidRPr="000F5E84">
        <w:t>would en</w:t>
      </w:r>
      <w:r w:rsidR="009D582A" w:rsidRPr="000F5E84">
        <w:t xml:space="preserve">able </w:t>
      </w:r>
      <w:r w:rsidR="00CD0DD3" w:rsidRPr="000F5E84">
        <w:t xml:space="preserve">robust hedging for any </w:t>
      </w:r>
      <w:r w:rsidR="00E61C07" w:rsidRPr="000F5E84">
        <w:t xml:space="preserve">longer dated </w:t>
      </w:r>
      <w:r w:rsidR="00C73550" w:rsidRPr="000F5E84">
        <w:t>investments.</w:t>
      </w:r>
      <w:r w:rsidR="00C73550">
        <w:rPr>
          <w:color w:val="FF0000"/>
        </w:rPr>
        <w:t xml:space="preserve"> </w:t>
      </w:r>
      <w:r w:rsidR="000F2269">
        <w:rPr>
          <w:color w:val="FF0000"/>
        </w:rPr>
        <w:t xml:space="preserve"> </w:t>
      </w:r>
    </w:p>
    <w:p w14:paraId="671BEE99" w14:textId="54A408A4" w:rsidR="005B2BCD" w:rsidRDefault="005B2BCD" w:rsidP="005B2BCD">
      <w:pPr>
        <w:pStyle w:val="ListParagraph"/>
        <w:numPr>
          <w:ilvl w:val="0"/>
          <w:numId w:val="47"/>
        </w:numPr>
      </w:pPr>
      <w:r w:rsidRPr="005B2BCD">
        <w:t>Removing unintended incentives from Art. 45 (2) regarding cash deposits</w:t>
      </w:r>
    </w:p>
    <w:p w14:paraId="7461EF0C" w14:textId="3B287483" w:rsidR="00EF05FD" w:rsidRDefault="00EF05FD" w:rsidP="00EF05FD">
      <w:r>
        <w:t xml:space="preserve">In its current form, Art. 45(2) of the RTS 153/2013 has the unintended consequence of pushing CCPs to withdraw cash from their central bank deposits </w:t>
      </w:r>
      <w:proofErr w:type="gramStart"/>
      <w:r>
        <w:t>in order to</w:t>
      </w:r>
      <w:proofErr w:type="gramEnd"/>
      <w:r>
        <w:t xml:space="preserve"> fund collateralized cash deposits at non-central bank institutions. The resulting practice undermines the article's intent to maximize the security of </w:t>
      </w:r>
      <w:r w:rsidR="00AB3A9A">
        <w:t xml:space="preserve">a </w:t>
      </w:r>
      <w:r>
        <w:t>CCP</w:t>
      </w:r>
      <w:r w:rsidR="00AB3A9A">
        <w:t>’s</w:t>
      </w:r>
      <w:r>
        <w:t xml:space="preserve"> cash deposits and instead leads CCPs to reduce their holdings in central banks, the most secure depositories. </w:t>
      </w:r>
    </w:p>
    <w:p w14:paraId="21056A5B" w14:textId="77777777" w:rsidR="00EF05FD" w:rsidRDefault="00EF05FD" w:rsidP="00EF05FD">
      <w:r>
        <w:t xml:space="preserve">According to Art. 47(4) EMIR, CCPs can maintain their cash deposits either at central banks or, alternatively, under other “highly secure arrangements” specified in Art. 45 RTS 153/2013. Art. 45(2), in turn, requires a CCP to have 95% of overnight cash held with institutions other than central banks to be collateralized. However, CCPs inevitably must accept unsecured investments as part of their usual operations. For instance, a CCP may not be able to securely invest funds stemming from late settlement or a late margin call if the respective repo market is no longer available and the CCP has no access to the respective central bank. As a result, to stay within the 95% collateralization rate for non-central bank overnight deposits, a CCP may be forced to withdraw funds from the central bank to invest these in another active repo market </w:t>
      </w:r>
      <w:proofErr w:type="gramStart"/>
      <w:r>
        <w:t>in order to</w:t>
      </w:r>
      <w:proofErr w:type="gramEnd"/>
      <w:r>
        <w:t xml:space="preserve"> counterbalance the unsecured investments. Consequently, instead of enhancing security, Art. 45(2) may lead to CCPs to shift funds from the most secure form of deposits – central bank deposits – to other deposit types.  </w:t>
      </w:r>
    </w:p>
    <w:p w14:paraId="60630125" w14:textId="77777777" w:rsidR="00EF05FD" w:rsidRDefault="00EF05FD" w:rsidP="00EF05FD">
      <w:r>
        <w:t xml:space="preserve">The unintended incentives under the current requirements may also be demonstrated based on a hypothetical scenario: Under the current requirement, a CCP may choose to have zero funds deposited at a central bank. In this case, 95% of the CCPs total cash would have to be collateralized while 5% of the CCPs total cash could be deposited unsecured with a commercial bank. Such a CCP would have little incentive to deposit any funds at a central bank since the more cash the CCP would deposit at the central bank, the more it would need to collateralize its non-central bank deposits. If the same CCP deposited 50% of its cash at a central bank, it could now only deposit 2.5% of its total cash unsecured with a commercial bank.  </w:t>
      </w:r>
    </w:p>
    <w:p w14:paraId="05EE0524" w14:textId="32D7F7D3" w:rsidR="00F31C89" w:rsidRDefault="00EF05FD" w:rsidP="00EF05FD">
      <w:r>
        <w:t xml:space="preserve">These unintended incentives could be easily resolved by requiring CCPs to either collateralize or hold at a central bank 95% of their total cash deposits. A respective amendment of the regulatory requirement would maintain the same degree of security as is currently in place – i.e. at most a CCP could deposit 5% of its total cash unsecured at a commercial bank – while not leading CCPs to withdraw central bank deposits </w:t>
      </w:r>
      <w:proofErr w:type="gramStart"/>
      <w:r>
        <w:t>in order to</w:t>
      </w:r>
      <w:proofErr w:type="gramEnd"/>
      <w:r>
        <w:t xml:space="preserve"> counterbalance unsecured investments.</w:t>
      </w:r>
    </w:p>
    <w:p w14:paraId="3C2FA7FD" w14:textId="4503758B" w:rsidR="005E4A48" w:rsidRDefault="001120A3" w:rsidP="00EF05FD">
      <w:pPr>
        <w:pStyle w:val="ListParagraph"/>
        <w:numPr>
          <w:ilvl w:val="0"/>
          <w:numId w:val="47"/>
        </w:numPr>
      </w:pPr>
      <w:r w:rsidRPr="001120A3">
        <w:t>Adding state bodies other than central banks as entities falling under highly secured arrangements for the deposit of financial instruments and cash</w:t>
      </w:r>
    </w:p>
    <w:p w14:paraId="46787E95" w14:textId="179CF5C5" w:rsidR="007A2D4D" w:rsidRPr="007A2D4D" w:rsidRDefault="007A2D4D" w:rsidP="007A2D4D">
      <w:pPr>
        <w:tabs>
          <w:tab w:val="left" w:pos="1480"/>
        </w:tabs>
      </w:pPr>
      <w:r>
        <w:tab/>
      </w:r>
    </w:p>
    <w:p w14:paraId="7FA35801" w14:textId="2656D08B" w:rsidR="001120A3" w:rsidRDefault="001120A3" w:rsidP="001120A3">
      <w:r w:rsidRPr="001120A3">
        <w:lastRenderedPageBreak/>
        <w:t>Currently, CCPs may only deposit financial instruments and cash with central banks or with credit institutions that meet the criteria of Art. 44(1) (for financial instruments) or Art. 45(1)(b) (for cash). CCPs cannot make deposits with EU member states’ bodies performing similar functions as central banks as further defined in Art. 1(4)(a) EMIR, even though such bodies are arguably highly secure. Adding such entities under Art. 44(1) and Art. 45(1)(b) respectively, would increase the flexibility for CCPs’ deposits while maintaining the high security standards for such deposits. Finally, the exposure created by such deposits equals the exposure of investing into the debt of the respective state, e.g. buying a government bond, as in essence, the deposit creates exposure to the state. Hence, such deposits should be considered as equivalent to an arrangement that ensures the collateralisation of the cash for the purpose of the calculation outlined in Art. 45(2).</w:t>
      </w:r>
    </w:p>
    <w:p w14:paraId="6E92CA8E" w14:textId="525775D6" w:rsidR="00AC5F5D" w:rsidRDefault="001C3688" w:rsidP="6548345A">
      <w:pPr>
        <w:pStyle w:val="ListParagraph"/>
        <w:numPr>
          <w:ilvl w:val="0"/>
          <w:numId w:val="47"/>
        </w:numPr>
      </w:pPr>
      <w:r w:rsidRPr="001C3688">
        <w:t>Clarification regarding short dated financial instruments and covered bonds</w:t>
      </w:r>
    </w:p>
    <w:p w14:paraId="3F85DA4E" w14:textId="166681C9" w:rsidR="00AC5F5D" w:rsidRDefault="00D347D4" w:rsidP="001120A3">
      <w:r w:rsidRPr="00D347D4">
        <w:t xml:space="preserve">The current regime is ambiguous regarding a CCP’s ability to invest in short dated financial instruments, such as commercial papers, and covered bonds. Given the typically low market risk and, depending on the issuer, low credit risk of these instruments, ESMA should clarify </w:t>
      </w:r>
      <w:r w:rsidR="00FA60FD">
        <w:t xml:space="preserve">in the RTS or </w:t>
      </w:r>
      <w:r w:rsidRPr="00D347D4">
        <w:t>through a Q&amp;A that they can qualify as highly liquid financial instruments under the criteria outlined in Annex II</w:t>
      </w:r>
      <w:r w:rsidR="004120F4">
        <w:t xml:space="preserve"> (in case </w:t>
      </w:r>
      <w:proofErr w:type="gramStart"/>
      <w:r w:rsidR="004120F4">
        <w:t>all of</w:t>
      </w:r>
      <w:proofErr w:type="gramEnd"/>
      <w:r w:rsidR="004120F4">
        <w:t xml:space="preserve"> the existing criteria are fulfilled)</w:t>
      </w:r>
      <w:r w:rsidRPr="00D347D4">
        <w:t>. Specifically, short-term debt instruments such as commercial papers would enable CCPs to more easily manage the average maturity of their portfolios in compliance with Annex II, point 1(c), thereby directly supporting the regulatory objectives related to investment security.</w:t>
      </w:r>
    </w:p>
    <w:p w14:paraId="73F4372C" w14:textId="5BDB3C85" w:rsidR="0014686C" w:rsidRDefault="009A4BCD" w:rsidP="009A4BCD">
      <w:pPr>
        <w:pStyle w:val="ListParagraph"/>
        <w:numPr>
          <w:ilvl w:val="0"/>
          <w:numId w:val="47"/>
        </w:numPr>
      </w:pPr>
      <w:r w:rsidRPr="009A4BCD">
        <w:t>Removing ‘types of financial instruments’ from the scope of concentration limits</w:t>
      </w:r>
    </w:p>
    <w:p w14:paraId="39D7D8CB" w14:textId="6113011F" w:rsidR="0014686C" w:rsidRDefault="004A3693" w:rsidP="004A3693">
      <w:r>
        <w:t>Under Art. 45(2) of RTS 153/2013, CCPs must set concentration limits based on factors such as individual issuers, instruments and types of financial instruments. While concentration limits support diversification, applying them to “types of financial instruments” is of limited relevance for CCPs. CCPs are restricted to investing primarily in high</w:t>
      </w:r>
      <w:r>
        <w:rPr>
          <w:rFonts w:ascii="Cambria Math" w:hAnsi="Cambria Math" w:cs="Cambria Math"/>
        </w:rPr>
        <w:t>‑</w:t>
      </w:r>
      <w:r>
        <w:t>quality debt securities subject to strict eligibility criteria set out in Annex II of the RTS. Such investments can only be further categorised into repos or direct holdings. Derivatives are permitted solely for hedging purposes and are therefore inherently linked to, and limited by, the underlying risks. As a result, it remains unclear how CCPs should meaningfully distinguish between different types of financial instruments. In practice, this requirement has led to largely formalistic outcomes without materially enhancing the protection of CCP investments. Removing Art. 45(2)(b) would therefore be appropriate, as the remaining provisions already ensure adequate diversification and concentration control of CCP investments.</w:t>
      </w:r>
    </w:p>
    <w:p w14:paraId="03F25F82" w14:textId="67585BDE" w:rsidR="004A3693" w:rsidRDefault="00BC0246" w:rsidP="00BC0246">
      <w:pPr>
        <w:pStyle w:val="ListParagraph"/>
        <w:numPr>
          <w:ilvl w:val="0"/>
          <w:numId w:val="47"/>
        </w:numPr>
      </w:pPr>
      <w:r w:rsidRPr="00BC0246">
        <w:t>Clarification regarding time-to-maturity of individual financial instruments </w:t>
      </w:r>
    </w:p>
    <w:p w14:paraId="2B0944D3" w14:textId="7B0D619E" w:rsidR="000F2269" w:rsidRPr="00CD02BA" w:rsidRDefault="00BE2C23" w:rsidP="00CD02BA">
      <w:r>
        <w:t>ESMA</w:t>
      </w:r>
      <w:r w:rsidRPr="00BE2C23">
        <w:t xml:space="preserve"> should clarify that minimal market and credit risk is achievable through appropriate risk mitigation measures. Currently, regulatory intervention prevents CCPs from investing in longer-dated financial instruments, based on the argument that these instruments inherently fail to meet minimal risk criteria. While it is true that longer-dated instruments carry their own market and credit risks, these risks can be effectively managed. For instance,</w:t>
      </w:r>
      <w:r w:rsidR="005045A1">
        <w:t xml:space="preserve"> </w:t>
      </w:r>
      <w:r w:rsidR="005045A1" w:rsidRPr="000F5E84">
        <w:t>as outlined</w:t>
      </w:r>
      <w:r w:rsidR="00586E86" w:rsidRPr="000F5E84">
        <w:t xml:space="preserve"> above,</w:t>
      </w:r>
      <w:r w:rsidR="005045A1" w:rsidRPr="000F5E84">
        <w:t xml:space="preserve"> for direct investments</w:t>
      </w:r>
      <w:r w:rsidRPr="00BE2C23">
        <w:t xml:space="preserve"> credit risk can be mitigated through hedging with interest rate derivatives.</w:t>
      </w:r>
      <w:r w:rsidR="005045A1">
        <w:t xml:space="preserve"> </w:t>
      </w:r>
      <w:r w:rsidR="005045A1" w:rsidRPr="000F5E84">
        <w:t xml:space="preserve">For longer dated </w:t>
      </w:r>
      <w:r w:rsidR="005045A1" w:rsidRPr="000F5E84">
        <w:lastRenderedPageBreak/>
        <w:t>r</w:t>
      </w:r>
      <w:r w:rsidR="00BE4A98" w:rsidRPr="000F5E84">
        <w:t>epurchase agreements</w:t>
      </w:r>
      <w:r w:rsidR="005045A1" w:rsidRPr="000F5E84">
        <w:t xml:space="preserve"> ha</w:t>
      </w:r>
      <w:r w:rsidR="000F5E84" w:rsidRPr="000F5E84">
        <w:t>ir</w:t>
      </w:r>
      <w:r w:rsidR="005045A1" w:rsidRPr="000F5E84">
        <w:t>cut models can be applied.</w:t>
      </w:r>
      <w:r w:rsidRPr="00BE2C23">
        <w:t xml:space="preserve"> As noted above, CCPs should be permitted to use such derivatives for hedging these risks. Furthermore, limiting investments to high-quality credit instruments can also address credit risk associated with longer-dated maturities.  </w:t>
      </w:r>
    </w:p>
    <w:permEnd w:id="444013336"/>
    <w:p w14:paraId="0B4C738C" w14:textId="6290A124" w:rsidR="005E4A48" w:rsidRDefault="005E4A48" w:rsidP="005E4A48">
      <w:r>
        <w:t>&lt;ESMA_QUESTION_</w:t>
      </w:r>
      <w:r w:rsidR="00830677">
        <w:t>COLL</w:t>
      </w:r>
      <w:r>
        <w:t>_</w:t>
      </w:r>
      <w:r w:rsidR="00830677">
        <w:t>16</w:t>
      </w:r>
      <w:r>
        <w:t>&gt;</w:t>
      </w:r>
    </w:p>
    <w:p w14:paraId="10DA205F" w14:textId="77777777" w:rsidR="005E4A48" w:rsidRDefault="005E4A48" w:rsidP="00693907"/>
    <w:p w14:paraId="148436C5" w14:textId="4EBE401D" w:rsidR="005E4A48" w:rsidRDefault="005E4A48" w:rsidP="005E4A48">
      <w:pPr>
        <w:pStyle w:val="Questionstyle"/>
      </w:pPr>
      <w:r w:rsidRPr="004344B8">
        <w:t xml:space="preserve">Do </w:t>
      </w:r>
      <w:r w:rsidR="009D0047" w:rsidRPr="009D0047">
        <w:t>you agree with the proposed change concerning the highly secure arrangements for the deposit of financial instruments posted as margins or as default fund contributions?</w:t>
      </w:r>
    </w:p>
    <w:p w14:paraId="2F35E308" w14:textId="1A75FCCA" w:rsidR="005E4A48" w:rsidRDefault="005E4A48" w:rsidP="005E4A48">
      <w:r>
        <w:t>&lt;ESMA_QUESTION_</w:t>
      </w:r>
      <w:r w:rsidR="0072300F">
        <w:t>COLL</w:t>
      </w:r>
      <w:r>
        <w:t>_</w:t>
      </w:r>
      <w:r w:rsidR="0072300F">
        <w:t>17</w:t>
      </w:r>
      <w:r>
        <w:t>&gt;</w:t>
      </w:r>
    </w:p>
    <w:p w14:paraId="41537DFA" w14:textId="227E9E79" w:rsidR="005E4A48" w:rsidRPr="00EE6B1A" w:rsidRDefault="00AA6E49" w:rsidP="005E4A48">
      <w:pPr>
        <w:rPr>
          <w:lang w:val="en-US"/>
        </w:rPr>
      </w:pPr>
      <w:permStart w:id="2055102596" w:edGrp="everyone"/>
      <w:r w:rsidRPr="00EE6B1A">
        <w:rPr>
          <w:lang w:val="en-US"/>
        </w:rPr>
        <w:t xml:space="preserve">DBG </w:t>
      </w:r>
      <w:r w:rsidR="002F012C" w:rsidRPr="00EE6B1A">
        <w:rPr>
          <w:lang w:val="en-US"/>
        </w:rPr>
        <w:t>welcomes the su</w:t>
      </w:r>
      <w:r w:rsidR="002F012C">
        <w:rPr>
          <w:lang w:val="en-US"/>
        </w:rPr>
        <w:t xml:space="preserve">ggested </w:t>
      </w:r>
      <w:r w:rsidR="00EE00BF">
        <w:rPr>
          <w:lang w:val="en-US"/>
        </w:rPr>
        <w:t xml:space="preserve">changes to </w:t>
      </w:r>
      <w:r w:rsidR="005A7B35">
        <w:rPr>
          <w:lang w:val="en-US"/>
        </w:rPr>
        <w:t>include the Union Re</w:t>
      </w:r>
      <w:r w:rsidR="00B724A3">
        <w:rPr>
          <w:lang w:val="en-US"/>
        </w:rPr>
        <w:t>g</w:t>
      </w:r>
      <w:r w:rsidR="005A7B35">
        <w:rPr>
          <w:lang w:val="en-US"/>
        </w:rPr>
        <w:t xml:space="preserve">istry </w:t>
      </w:r>
      <w:r w:rsidR="00A95FA7">
        <w:rPr>
          <w:lang w:val="en-US"/>
        </w:rPr>
        <w:t>i</w:t>
      </w:r>
      <w:r w:rsidR="005A7B35">
        <w:rPr>
          <w:lang w:val="en-US"/>
        </w:rPr>
        <w:t xml:space="preserve">n </w:t>
      </w:r>
      <w:r w:rsidR="093B4168">
        <w:rPr>
          <w:lang w:val="en-US"/>
        </w:rPr>
        <w:t>Art</w:t>
      </w:r>
      <w:r w:rsidR="093B4168" w:rsidRPr="6548345A">
        <w:rPr>
          <w:lang w:val="en-US"/>
        </w:rPr>
        <w:t>.</w:t>
      </w:r>
      <w:r w:rsidR="00EE6B1A">
        <w:rPr>
          <w:lang w:val="en-US"/>
        </w:rPr>
        <w:t xml:space="preserve"> 44(1) of the RTS </w:t>
      </w:r>
      <w:proofErr w:type="gramStart"/>
      <w:r w:rsidR="00EE6B1A">
        <w:rPr>
          <w:lang w:val="en-US"/>
        </w:rPr>
        <w:t xml:space="preserve">in </w:t>
      </w:r>
      <w:r w:rsidR="005A7B35">
        <w:rPr>
          <w:lang w:val="en-US"/>
        </w:rPr>
        <w:t>order to</w:t>
      </w:r>
      <w:proofErr w:type="gramEnd"/>
      <w:r w:rsidR="005A7B35">
        <w:rPr>
          <w:lang w:val="en-US"/>
        </w:rPr>
        <w:t xml:space="preserve"> </w:t>
      </w:r>
      <w:r w:rsidR="00B724A3">
        <w:rPr>
          <w:lang w:val="en-US"/>
        </w:rPr>
        <w:t>enable</w:t>
      </w:r>
      <w:r w:rsidR="0041667E">
        <w:rPr>
          <w:lang w:val="en-US"/>
        </w:rPr>
        <w:t xml:space="preserve"> CCPs </w:t>
      </w:r>
      <w:r w:rsidR="00B724A3">
        <w:rPr>
          <w:lang w:val="en-US"/>
        </w:rPr>
        <w:t>to accept emission allowances as collateral</w:t>
      </w:r>
      <w:r w:rsidR="004850BE">
        <w:rPr>
          <w:lang w:val="en-US"/>
        </w:rPr>
        <w:t xml:space="preserve"> where </w:t>
      </w:r>
      <w:r w:rsidR="001F5696">
        <w:rPr>
          <w:lang w:val="en-US"/>
        </w:rPr>
        <w:t xml:space="preserve">emission allowances are the underlying </w:t>
      </w:r>
      <w:r w:rsidR="00D52283">
        <w:rPr>
          <w:lang w:val="en-US"/>
        </w:rPr>
        <w:t>of a derivative co</w:t>
      </w:r>
      <w:r w:rsidR="00B908A7">
        <w:rPr>
          <w:lang w:val="en-US"/>
        </w:rPr>
        <w:t xml:space="preserve">ntract </w:t>
      </w:r>
      <w:r w:rsidR="00A95FA7">
        <w:rPr>
          <w:lang w:val="en-US"/>
        </w:rPr>
        <w:t>or the financial instrument that originates the CCP-exposure.</w:t>
      </w:r>
    </w:p>
    <w:permEnd w:id="2055102596"/>
    <w:p w14:paraId="3B14B204" w14:textId="18ED8F55" w:rsidR="005E4A48" w:rsidRPr="00EE6B1A" w:rsidRDefault="005E4A48" w:rsidP="005E4A48">
      <w:pPr>
        <w:rPr>
          <w:lang w:val="en-US"/>
        </w:rPr>
      </w:pPr>
      <w:r w:rsidRPr="00EE6B1A">
        <w:rPr>
          <w:lang w:val="en-US"/>
        </w:rPr>
        <w:t>&lt;ESMA_QUESTION_</w:t>
      </w:r>
      <w:r w:rsidR="0072300F" w:rsidRPr="00EE6B1A">
        <w:rPr>
          <w:lang w:val="en-US"/>
        </w:rPr>
        <w:t>COLL</w:t>
      </w:r>
      <w:r w:rsidRPr="00EE6B1A">
        <w:rPr>
          <w:lang w:val="en-US"/>
        </w:rPr>
        <w:t>_</w:t>
      </w:r>
      <w:r w:rsidR="0072300F" w:rsidRPr="00EE6B1A">
        <w:rPr>
          <w:lang w:val="en-US"/>
        </w:rPr>
        <w:t>17</w:t>
      </w:r>
      <w:r w:rsidRPr="00EE6B1A">
        <w:rPr>
          <w:lang w:val="en-US"/>
        </w:rPr>
        <w:t>&gt;</w:t>
      </w:r>
    </w:p>
    <w:p w14:paraId="1575BAA1" w14:textId="77777777" w:rsidR="005E4A48" w:rsidRPr="00EE6B1A" w:rsidRDefault="005E4A48" w:rsidP="00693907">
      <w:pPr>
        <w:rPr>
          <w:lang w:val="en-US"/>
        </w:rPr>
      </w:pPr>
    </w:p>
    <w:p w14:paraId="237BFC19" w14:textId="77777777" w:rsidR="00693907" w:rsidRPr="00EE6B1A" w:rsidRDefault="00693907" w:rsidP="00693907">
      <w:pPr>
        <w:rPr>
          <w:lang w:val="en-US"/>
        </w:rPr>
      </w:pPr>
    </w:p>
    <w:p w14:paraId="1EC367CD" w14:textId="67C1E71A" w:rsidR="00E619AB" w:rsidRPr="00EE6B1A" w:rsidRDefault="00E619AB" w:rsidP="00693907">
      <w:pPr>
        <w:rPr>
          <w:lang w:val="en-US"/>
        </w:rPr>
      </w:pPr>
    </w:p>
    <w:sectPr w:rsidR="00E619AB" w:rsidRPr="00EE6B1A"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7915" w14:textId="77777777" w:rsidR="004139E0" w:rsidRDefault="004139E0" w:rsidP="00F716D4">
      <w:r>
        <w:separator/>
      </w:r>
    </w:p>
    <w:p w14:paraId="7E1EC46F" w14:textId="77777777" w:rsidR="004139E0" w:rsidRDefault="004139E0" w:rsidP="00F716D4"/>
  </w:endnote>
  <w:endnote w:type="continuationSeparator" w:id="0">
    <w:p w14:paraId="55D7F340" w14:textId="77777777" w:rsidR="004139E0" w:rsidRDefault="004139E0" w:rsidP="00F716D4">
      <w:r>
        <w:continuationSeparator/>
      </w:r>
    </w:p>
    <w:p w14:paraId="589BCFEA" w14:textId="77777777" w:rsidR="004139E0" w:rsidRDefault="004139E0" w:rsidP="00F716D4"/>
  </w:endnote>
  <w:endnote w:type="continuationNotice" w:id="1">
    <w:p w14:paraId="26A19B2A" w14:textId="77777777" w:rsidR="004139E0" w:rsidRDefault="004139E0"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3191" w14:textId="79DDC798" w:rsidR="001C3BA2" w:rsidRDefault="001C3BA2">
    <w:pPr>
      <w:pStyle w:val="Footer"/>
    </w:pPr>
    <w:r>
      <w:rPr>
        <w:noProof/>
      </w:rPr>
      <mc:AlternateContent>
        <mc:Choice Requires="wps">
          <w:drawing>
            <wp:anchor distT="0" distB="0" distL="0" distR="0" simplePos="0" relativeHeight="251658243" behindDoc="0" locked="0" layoutInCell="1" allowOverlap="1" wp14:anchorId="4C3F1438" wp14:editId="70DF41E8">
              <wp:simplePos x="635" y="635"/>
              <wp:positionH relativeFrom="page">
                <wp:align>center</wp:align>
              </wp:positionH>
              <wp:positionV relativeFrom="page">
                <wp:align>bottom</wp:align>
              </wp:positionV>
              <wp:extent cx="346075" cy="368935"/>
              <wp:effectExtent l="0" t="0" r="15875" b="0"/>
              <wp:wrapNone/>
              <wp:docPr id="796923089" name="Textfeld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68935"/>
                      </a:xfrm>
                      <a:prstGeom prst="rect">
                        <a:avLst/>
                      </a:prstGeom>
                      <a:noFill/>
                      <a:ln>
                        <a:noFill/>
                      </a:ln>
                    </wps:spPr>
                    <wps:txbx>
                      <w:txbxContent>
                        <w:p w14:paraId="163EE678" w14:textId="061C4E02"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3F1438" id="_x0000_t202" coordsize="21600,21600" o:spt="202" path="m,l,21600r21600,l21600,xe">
              <v:stroke joinstyle="miter"/>
              <v:path gradientshapeok="t" o:connecttype="rect"/>
            </v:shapetype>
            <v:shape id="Textfeld 2" o:spid="_x0000_s1026" type="#_x0000_t202" alt="Public" style="position:absolute;left:0;text-align:left;margin-left:0;margin-top:0;width:27.25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" filled="f" stroked="f">
              <v:textbox style="mso-fit-shape-to-text:t" inset="0,0,0,15pt">
                <w:txbxContent>
                  <w:p w14:paraId="163EE678" w14:textId="061C4E02"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4993B35" w:rsidR="296079D6" w:rsidRDefault="001C3BA2" w:rsidP="296079D6">
          <w:pPr>
            <w:pStyle w:val="Header"/>
            <w:ind w:left="-115"/>
            <w:jc w:val="left"/>
          </w:pPr>
          <w:r>
            <w:rPr>
              <w:noProof/>
            </w:rPr>
            <mc:AlternateContent>
              <mc:Choice Requires="wps">
                <w:drawing>
                  <wp:anchor distT="0" distB="0" distL="0" distR="0" simplePos="0" relativeHeight="251658244" behindDoc="0" locked="0" layoutInCell="1" allowOverlap="1" wp14:anchorId="058119A7" wp14:editId="2B1C8298">
                    <wp:simplePos x="635" y="635"/>
                    <wp:positionH relativeFrom="page">
                      <wp:align>center</wp:align>
                    </wp:positionH>
                    <wp:positionV relativeFrom="page">
                      <wp:align>bottom</wp:align>
                    </wp:positionV>
                    <wp:extent cx="346075" cy="368935"/>
                    <wp:effectExtent l="0" t="0" r="15875" b="0"/>
                    <wp:wrapNone/>
                    <wp:docPr id="318005404" name="Textfeld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68935"/>
                            </a:xfrm>
                            <a:prstGeom prst="rect">
                              <a:avLst/>
                            </a:prstGeom>
                            <a:noFill/>
                            <a:ln>
                              <a:noFill/>
                            </a:ln>
                          </wps:spPr>
                          <wps:txbx>
                            <w:txbxContent>
                              <w:p w14:paraId="54CA7645" w14:textId="76281D83"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119A7" id="_x0000_t202" coordsize="21600,21600" o:spt="202" path="m,l,21600r21600,l21600,xe">
                    <v:stroke joinstyle="miter"/>
                    <v:path gradientshapeok="t" o:connecttype="rect"/>
                  </v:shapetype>
                  <v:shape id="Textfeld 3" o:spid="_x0000_s1027" type="#_x0000_t202" alt="Public" style="position:absolute;left:0;text-align:left;margin-left:0;margin-top:0;width:27.25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" filled="f" stroked="f">
                    <v:textbox style="mso-fit-shape-to-text:t" inset="0,0,0,15pt">
                      <w:txbxContent>
                        <w:p w14:paraId="54CA7645" w14:textId="76281D83"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v:textbox>
                    <w10:wrap anchorx="page" anchory="page"/>
                  </v:shape>
                </w:pict>
              </mc:Fallback>
            </mc:AlternateContent>
          </w: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28751876" w:rsidR="296079D6" w:rsidRDefault="001C3BA2" w:rsidP="296079D6">
          <w:pPr>
            <w:pStyle w:val="Header"/>
            <w:ind w:left="-115"/>
            <w:jc w:val="left"/>
          </w:pPr>
          <w:r>
            <w:rPr>
              <w:noProof/>
            </w:rPr>
            <mc:AlternateContent>
              <mc:Choice Requires="wps">
                <w:drawing>
                  <wp:anchor distT="0" distB="0" distL="0" distR="0" simplePos="0" relativeHeight="251658242" behindDoc="0" locked="0" layoutInCell="1" allowOverlap="1" wp14:anchorId="2F3822D0" wp14:editId="5DE5371D">
                    <wp:simplePos x="635" y="635"/>
                    <wp:positionH relativeFrom="page">
                      <wp:align>center</wp:align>
                    </wp:positionH>
                    <wp:positionV relativeFrom="page">
                      <wp:align>bottom</wp:align>
                    </wp:positionV>
                    <wp:extent cx="346075" cy="368935"/>
                    <wp:effectExtent l="0" t="0" r="15875" b="0"/>
                    <wp:wrapNone/>
                    <wp:docPr id="888076667" name="Textfeld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68935"/>
                            </a:xfrm>
                            <a:prstGeom prst="rect">
                              <a:avLst/>
                            </a:prstGeom>
                            <a:noFill/>
                            <a:ln>
                              <a:noFill/>
                            </a:ln>
                          </wps:spPr>
                          <wps:txbx>
                            <w:txbxContent>
                              <w:p w14:paraId="6211E63B" w14:textId="63BA493C"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822D0" id="_x0000_t202" coordsize="21600,21600" o:spt="202" path="m,l,21600r21600,l21600,xe">
                    <v:stroke joinstyle="miter"/>
                    <v:path gradientshapeok="t" o:connecttype="rect"/>
                  </v:shapetype>
                  <v:shape id="Textfeld 1" o:spid="_x0000_s1028" type="#_x0000_t202" alt="Public" style="position:absolute;left:0;text-align:left;margin-left:0;margin-top:0;width:27.2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" filled="f" stroked="f">
                    <v:textbox style="mso-fit-shape-to-text:t" inset="0,0,0,15pt">
                      <w:txbxContent>
                        <w:p w14:paraId="6211E63B" w14:textId="63BA493C"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v:textbox>
                    <w10:wrap anchorx="page" anchory="page"/>
                  </v:shape>
                </w:pict>
              </mc:Fallback>
            </mc:AlternateContent>
          </w: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7D6BAA6B" w:rsidR="296079D6" w:rsidRDefault="001C3BA2" w:rsidP="296079D6">
          <w:pPr>
            <w:pStyle w:val="Header"/>
            <w:ind w:left="-115"/>
            <w:jc w:val="left"/>
          </w:pPr>
          <w:r>
            <w:rPr>
              <w:noProof/>
            </w:rPr>
            <mc:AlternateContent>
              <mc:Choice Requires="wps">
                <w:drawing>
                  <wp:anchor distT="0" distB="0" distL="0" distR="0" simplePos="0" relativeHeight="251658246" behindDoc="0" locked="0" layoutInCell="1" allowOverlap="1" wp14:anchorId="2675D68A" wp14:editId="08AED0A6">
                    <wp:simplePos x="857250" y="9553575"/>
                    <wp:positionH relativeFrom="page">
                      <wp:align>center</wp:align>
                    </wp:positionH>
                    <wp:positionV relativeFrom="page">
                      <wp:align>bottom</wp:align>
                    </wp:positionV>
                    <wp:extent cx="346075" cy="368935"/>
                    <wp:effectExtent l="0" t="0" r="15875" b="0"/>
                    <wp:wrapNone/>
                    <wp:docPr id="140580960" name="Textfeld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68935"/>
                            </a:xfrm>
                            <a:prstGeom prst="rect">
                              <a:avLst/>
                            </a:prstGeom>
                            <a:noFill/>
                            <a:ln>
                              <a:noFill/>
                            </a:ln>
                          </wps:spPr>
                          <wps:txbx>
                            <w:txbxContent>
                              <w:p w14:paraId="5A65F9FE" w14:textId="153475AB"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75D68A" id="_x0000_t202" coordsize="21600,21600" o:spt="202" path="m,l,21600r21600,l21600,xe">
                    <v:stroke joinstyle="miter"/>
                    <v:path gradientshapeok="t" o:connecttype="rect"/>
                  </v:shapetype>
                  <v:shape id="Textfeld 5" o:spid="_x0000_s1029" type="#_x0000_t202" alt="Public" style="position:absolute;left:0;text-align:left;margin-left:0;margin-top:0;width:27.25pt;height:29.0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" filled="f" stroked="f">
                    <v:textbox style="mso-fit-shape-to-text:t" inset="0,0,0,15pt">
                      <w:txbxContent>
                        <w:p w14:paraId="5A65F9FE" w14:textId="153475AB"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v:textbox>
                    <w10:wrap anchorx="page" anchory="page"/>
                  </v:shape>
                </w:pict>
              </mc:Fallback>
            </mc:AlternateContent>
          </w: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22B5F1F8" w:rsidR="00C54034" w:rsidRPr="00104E00" w:rsidRDefault="001C3BA2" w:rsidP="00104E00">
    <w:pPr>
      <w:pStyle w:val="Footer"/>
      <w:jc w:val="left"/>
      <w:rPr>
        <w:color w:val="001B4F"/>
        <w:sz w:val="15"/>
        <w:szCs w:val="15"/>
        <w:lang w:val="fr-FR"/>
      </w:rPr>
    </w:pPr>
    <w:r>
      <w:rPr>
        <w:noProof/>
        <w:color w:val="001B4F"/>
        <w:sz w:val="15"/>
        <w:szCs w:val="15"/>
        <w:lang w:val="fr-FR"/>
      </w:rPr>
      <mc:AlternateContent>
        <mc:Choice Requires="wps">
          <w:drawing>
            <wp:anchor distT="0" distB="0" distL="0" distR="0" simplePos="0" relativeHeight="251658245" behindDoc="0" locked="0" layoutInCell="1" allowOverlap="1" wp14:anchorId="391089BE" wp14:editId="31A8396D">
              <wp:simplePos x="790575" y="9953625"/>
              <wp:positionH relativeFrom="page">
                <wp:align>center</wp:align>
              </wp:positionH>
              <wp:positionV relativeFrom="page">
                <wp:align>bottom</wp:align>
              </wp:positionV>
              <wp:extent cx="346075" cy="368935"/>
              <wp:effectExtent l="0" t="0" r="15875" b="0"/>
              <wp:wrapNone/>
              <wp:docPr id="119784405" name="Textfeld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68935"/>
                      </a:xfrm>
                      <a:prstGeom prst="rect">
                        <a:avLst/>
                      </a:prstGeom>
                      <a:noFill/>
                      <a:ln>
                        <a:noFill/>
                      </a:ln>
                    </wps:spPr>
                    <wps:txbx>
                      <w:txbxContent>
                        <w:p w14:paraId="5119B4CD" w14:textId="623A0765"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1089BE" id="_x0000_t202" coordsize="21600,21600" o:spt="202" path="m,l,21600r21600,l21600,xe">
              <v:stroke joinstyle="miter"/>
              <v:path gradientshapeok="t" o:connecttype="rect"/>
            </v:shapetype>
            <v:shape id="Textfeld 4" o:spid="_x0000_s1030" type="#_x0000_t202" alt="Public" style="position:absolute;margin-left:0;margin-top:0;width:27.25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" filled="f" stroked="f">
              <v:textbox style="mso-fit-shape-to-text:t" inset="0,0,0,15pt">
                <w:txbxContent>
                  <w:p w14:paraId="5119B4CD" w14:textId="623A0765" w:rsidR="001C3BA2" w:rsidRPr="001C3BA2" w:rsidRDefault="001C3BA2" w:rsidP="001C3BA2">
                    <w:pPr>
                      <w:spacing w:after="0"/>
                      <w:rPr>
                        <w:rFonts w:ascii="Aptos" w:eastAsia="Aptos" w:hAnsi="Aptos" w:cs="Aptos"/>
                        <w:noProof/>
                        <w:color w:val="000000"/>
                        <w:sz w:val="20"/>
                      </w:rPr>
                    </w:pPr>
                    <w:r w:rsidRPr="001C3BA2">
                      <w:rPr>
                        <w:rFonts w:ascii="Aptos" w:eastAsia="Aptos" w:hAnsi="Aptos" w:cs="Aptos"/>
                        <w:noProof/>
                        <w:color w:val="000000"/>
                        <w:sz w:val="20"/>
                      </w:rPr>
                      <w:t>Public</w:t>
                    </w:r>
                  </w:p>
                </w:txbxContent>
              </v:textbox>
              <w10:wrap anchorx="page" anchory="page"/>
            </v:shape>
          </w:pict>
        </mc:Fallback>
      </mc:AlternateContent>
    </w:r>
    <w:r w:rsidR="00104E00" w:rsidRPr="00104E00">
      <w:rPr>
        <w:color w:val="001B4F"/>
        <w:sz w:val="15"/>
        <w:szCs w:val="15"/>
        <w:lang w:val="fr-FR"/>
      </w:rPr>
      <w:t xml:space="preserve">ESMA - 201-203 rue de Bercy - CS 80910 - 75589 Paris Cedex 12 - France - Tel. </w:t>
    </w:r>
    <w:r w:rsidR="00104E00" w:rsidRPr="00104E00">
      <w:rPr>
        <w:color w:val="001B4F"/>
        <w:sz w:val="15"/>
        <w:szCs w:val="15"/>
        <w:lang w:val="fr-BE"/>
      </w:rPr>
      <w:t xml:space="preserve">+33 (0) 1 58 36 43 21 - </w:t>
    </w:r>
    <w:hyperlink r:id="rId1" w:history="1">
      <w:r w:rsidR="00104E00" w:rsidRPr="00A8626B">
        <w:rPr>
          <w:rStyle w:val="Hyperlink"/>
          <w:sz w:val="15"/>
          <w:szCs w:val="15"/>
          <w:lang w:val="fr-FR"/>
        </w:rPr>
        <w:t>www.esma.</w:t>
      </w:r>
      <w:proofErr w:type="spellStart"/>
      <w:r w:rsidR="00104E00" w:rsidRPr="00A8626B">
        <w:rPr>
          <w:rStyle w:val="Hyperlink"/>
          <w:sz w:val="15"/>
          <w:szCs w:val="15"/>
          <w:lang w:val="fr-BE"/>
        </w:rPr>
        <w:t>europa</w:t>
      </w:r>
      <w:proofErr w:type="spellEnd"/>
      <w:r w:rsidR="00104E00"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sidR="00104E00">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6EC5805D"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944F" w14:textId="77777777" w:rsidR="004139E0" w:rsidRDefault="004139E0" w:rsidP="00F716D4">
      <w:r>
        <w:separator/>
      </w:r>
    </w:p>
    <w:p w14:paraId="44808B77" w14:textId="77777777" w:rsidR="004139E0" w:rsidRDefault="004139E0" w:rsidP="00F716D4"/>
  </w:footnote>
  <w:footnote w:type="continuationSeparator" w:id="0">
    <w:p w14:paraId="69DD61A3" w14:textId="77777777" w:rsidR="004139E0" w:rsidRDefault="004139E0" w:rsidP="00F716D4">
      <w:r>
        <w:continuationSeparator/>
      </w:r>
    </w:p>
    <w:p w14:paraId="6CF79A3B" w14:textId="77777777" w:rsidR="004139E0" w:rsidRDefault="004139E0" w:rsidP="00F716D4"/>
  </w:footnote>
  <w:footnote w:type="continuationNotice" w:id="1">
    <w:p w14:paraId="6E8601A6" w14:textId="77777777" w:rsidR="004139E0" w:rsidRDefault="004139E0"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0CFC632"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1832">
      <w:rPr>
        <w:rStyle w:val="normaltextrun"/>
        <w:color w:val="001B4F"/>
        <w:sz w:val="16"/>
        <w:szCs w:val="16"/>
        <w:shd w:val="clear" w:color="auto" w:fill="FFFFFF"/>
      </w:rPr>
      <w:t>23 February 2026</w:t>
    </w:r>
  </w:p>
  <w:p w14:paraId="4AF05B1F" w14:textId="12B51104" w:rsidR="004E60D2" w:rsidRDefault="004E60D2" w:rsidP="00621832">
    <w:pPr>
      <w:jc w:val="right"/>
    </w:pPr>
    <w:r w:rsidRPr="00A13F61">
      <w:rPr>
        <w:rStyle w:val="normaltextrun"/>
        <w:color w:val="001B4F"/>
        <w:sz w:val="16"/>
        <w:szCs w:val="16"/>
        <w:shd w:val="clear" w:color="auto" w:fill="FFFFFF"/>
      </w:rPr>
      <w:t>ESMA</w:t>
    </w:r>
    <w:r w:rsidR="00A13F61" w:rsidRPr="00A13F61">
      <w:rPr>
        <w:rStyle w:val="normaltextrun"/>
        <w:color w:val="001B4F"/>
        <w:sz w:val="16"/>
        <w:szCs w:val="16"/>
        <w:shd w:val="clear" w:color="auto" w:fill="FFFFFF"/>
      </w:rPr>
      <w:t>91-1505572268-4723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3F180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D8013C"/>
    <w:multiLevelType w:val="hybridMultilevel"/>
    <w:tmpl w:val="63E26EC6"/>
    <w:lvl w:ilvl="0" w:tplc="4726079A">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EA1BBC"/>
    <w:multiLevelType w:val="hybridMultilevel"/>
    <w:tmpl w:val="C1E4D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DA4B3E"/>
    <w:multiLevelType w:val="multilevel"/>
    <w:tmpl w:val="BCBE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3CF70C46"/>
    <w:multiLevelType w:val="multilevel"/>
    <w:tmpl w:val="365A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E03028"/>
    <w:multiLevelType w:val="multilevel"/>
    <w:tmpl w:val="64E2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74703E0"/>
    <w:multiLevelType w:val="multilevel"/>
    <w:tmpl w:val="9058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C0B1EA9"/>
    <w:multiLevelType w:val="multilevel"/>
    <w:tmpl w:val="DBB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034CA7"/>
    <w:multiLevelType w:val="hybridMultilevel"/>
    <w:tmpl w:val="C1E4D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3D170F1"/>
    <w:multiLevelType w:val="hybridMultilevel"/>
    <w:tmpl w:val="603C7C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AD6C56"/>
    <w:multiLevelType w:val="multilevel"/>
    <w:tmpl w:val="CA1A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5E1C78"/>
    <w:multiLevelType w:val="multilevel"/>
    <w:tmpl w:val="D87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8" w15:restartNumberingAfterBreak="0">
    <w:nsid w:val="7F413B3F"/>
    <w:multiLevelType w:val="hybridMultilevel"/>
    <w:tmpl w:val="C1E4D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FF124FC"/>
    <w:multiLevelType w:val="multilevel"/>
    <w:tmpl w:val="3412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541748">
    <w:abstractNumId w:val="18"/>
  </w:num>
  <w:num w:numId="2" w16cid:durableId="1769932826">
    <w:abstractNumId w:val="22"/>
  </w:num>
  <w:num w:numId="3" w16cid:durableId="550074866">
    <w:abstractNumId w:val="13"/>
  </w:num>
  <w:num w:numId="4" w16cid:durableId="1881627233">
    <w:abstractNumId w:val="28"/>
  </w:num>
  <w:num w:numId="5" w16cid:durableId="208225584">
    <w:abstractNumId w:val="0"/>
  </w:num>
  <w:num w:numId="6" w16cid:durableId="1787233265">
    <w:abstractNumId w:val="6"/>
  </w:num>
  <w:num w:numId="7" w16cid:durableId="1846357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6"/>
  </w:num>
  <w:num w:numId="9" w16cid:durableId="1008846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2"/>
  </w:num>
  <w:num w:numId="12" w16cid:durableId="1500659627">
    <w:abstractNumId w:val="35"/>
  </w:num>
  <w:num w:numId="13" w16cid:durableId="1879658227">
    <w:abstractNumId w:val="26"/>
  </w:num>
  <w:num w:numId="14" w16cid:durableId="1495758855">
    <w:abstractNumId w:val="11"/>
  </w:num>
  <w:num w:numId="15" w16cid:durableId="1186556611">
    <w:abstractNumId w:val="2"/>
  </w:num>
  <w:num w:numId="16" w16cid:durableId="679087124">
    <w:abstractNumId w:val="16"/>
  </w:num>
  <w:num w:numId="17" w16cid:durableId="1695498691">
    <w:abstractNumId w:val="17"/>
  </w:num>
  <w:num w:numId="18" w16cid:durableId="1042363640">
    <w:abstractNumId w:val="19"/>
  </w:num>
  <w:num w:numId="19" w16cid:durableId="820345968">
    <w:abstractNumId w:val="30"/>
  </w:num>
  <w:num w:numId="20" w16cid:durableId="1805388212">
    <w:abstractNumId w:val="42"/>
  </w:num>
  <w:num w:numId="21" w16cid:durableId="538709007">
    <w:abstractNumId w:val="29"/>
  </w:num>
  <w:num w:numId="22" w16cid:durableId="104540172">
    <w:abstractNumId w:val="10"/>
  </w:num>
  <w:num w:numId="23" w16cid:durableId="1824349076">
    <w:abstractNumId w:val="34"/>
  </w:num>
  <w:num w:numId="24" w16cid:durableId="672032853">
    <w:abstractNumId w:val="33"/>
  </w:num>
  <w:num w:numId="25" w16cid:durableId="48917541">
    <w:abstractNumId w:val="23"/>
  </w:num>
  <w:num w:numId="26" w16cid:durableId="978925443">
    <w:abstractNumId w:val="37"/>
  </w:num>
  <w:num w:numId="27" w16cid:durableId="1036613928">
    <w:abstractNumId w:val="47"/>
  </w:num>
  <w:num w:numId="28" w16cid:durableId="872039349">
    <w:abstractNumId w:val="8"/>
  </w:num>
  <w:num w:numId="29" w16cid:durableId="924530660">
    <w:abstractNumId w:val="4"/>
  </w:num>
  <w:num w:numId="30" w16cid:durableId="419180233">
    <w:abstractNumId w:val="25"/>
  </w:num>
  <w:num w:numId="31" w16cid:durableId="276761337">
    <w:abstractNumId w:val="24"/>
  </w:num>
  <w:num w:numId="32" w16cid:durableId="1166238383">
    <w:abstractNumId w:val="41"/>
  </w:num>
  <w:num w:numId="33" w16cid:durableId="2076850202">
    <w:abstractNumId w:val="40"/>
  </w:num>
  <w:num w:numId="34" w16cid:durableId="469176496">
    <w:abstractNumId w:val="14"/>
  </w:num>
  <w:num w:numId="35" w16cid:durableId="674843309">
    <w:abstractNumId w:val="21"/>
  </w:num>
  <w:num w:numId="36" w16cid:durableId="1954971501">
    <w:abstractNumId w:val="49"/>
  </w:num>
  <w:num w:numId="37" w16cid:durableId="2103648059">
    <w:abstractNumId w:val="1"/>
  </w:num>
  <w:num w:numId="38" w16cid:durableId="699748750">
    <w:abstractNumId w:val="44"/>
  </w:num>
  <w:num w:numId="39" w16cid:durableId="750157250">
    <w:abstractNumId w:val="50"/>
  </w:num>
  <w:num w:numId="40" w16cid:durableId="2087261064">
    <w:abstractNumId w:val="31"/>
  </w:num>
  <w:num w:numId="41" w16cid:durableId="2070491143">
    <w:abstractNumId w:val="46"/>
  </w:num>
  <w:num w:numId="42" w16cid:durableId="743989926">
    <w:abstractNumId w:val="20"/>
  </w:num>
  <w:num w:numId="43" w16cid:durableId="706174127">
    <w:abstractNumId w:val="27"/>
  </w:num>
  <w:num w:numId="44" w16cid:durableId="1286889590">
    <w:abstractNumId w:val="38"/>
  </w:num>
  <w:num w:numId="45" w16cid:durableId="1100873995">
    <w:abstractNumId w:val="43"/>
  </w:num>
  <w:num w:numId="46" w16cid:durableId="2082362255">
    <w:abstractNumId w:val="12"/>
  </w:num>
  <w:num w:numId="47" w16cid:durableId="1579830369">
    <w:abstractNumId w:val="48"/>
  </w:num>
  <w:num w:numId="48" w16cid:durableId="1109200193">
    <w:abstractNumId w:val="5"/>
  </w:num>
  <w:num w:numId="49" w16cid:durableId="205223323">
    <w:abstractNumId w:val="3"/>
  </w:num>
  <w:num w:numId="50" w16cid:durableId="1716536561">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DBA"/>
    <w:rsid w:val="00002232"/>
    <w:rsid w:val="00002491"/>
    <w:rsid w:val="00002CC6"/>
    <w:rsid w:val="0000378E"/>
    <w:rsid w:val="00003ABA"/>
    <w:rsid w:val="00003AEB"/>
    <w:rsid w:val="00005BBA"/>
    <w:rsid w:val="00005D8C"/>
    <w:rsid w:val="000062F5"/>
    <w:rsid w:val="00006C2B"/>
    <w:rsid w:val="00007014"/>
    <w:rsid w:val="000075D4"/>
    <w:rsid w:val="00007968"/>
    <w:rsid w:val="0001067A"/>
    <w:rsid w:val="00013CCE"/>
    <w:rsid w:val="000140D5"/>
    <w:rsid w:val="0001410B"/>
    <w:rsid w:val="000141D6"/>
    <w:rsid w:val="0001486A"/>
    <w:rsid w:val="00014A95"/>
    <w:rsid w:val="00015B5E"/>
    <w:rsid w:val="00015F1D"/>
    <w:rsid w:val="000173BA"/>
    <w:rsid w:val="0001774B"/>
    <w:rsid w:val="00020D0F"/>
    <w:rsid w:val="000215EB"/>
    <w:rsid w:val="00021E83"/>
    <w:rsid w:val="00023713"/>
    <w:rsid w:val="00023C4D"/>
    <w:rsid w:val="00023EE2"/>
    <w:rsid w:val="00024C2B"/>
    <w:rsid w:val="00025E71"/>
    <w:rsid w:val="00026226"/>
    <w:rsid w:val="00026269"/>
    <w:rsid w:val="00027154"/>
    <w:rsid w:val="000271AB"/>
    <w:rsid w:val="000273B9"/>
    <w:rsid w:val="0002772D"/>
    <w:rsid w:val="00027D3C"/>
    <w:rsid w:val="00027ECF"/>
    <w:rsid w:val="000303BE"/>
    <w:rsid w:val="00032A0B"/>
    <w:rsid w:val="00033A94"/>
    <w:rsid w:val="000344D6"/>
    <w:rsid w:val="0003483C"/>
    <w:rsid w:val="00034960"/>
    <w:rsid w:val="000349F5"/>
    <w:rsid w:val="000366E9"/>
    <w:rsid w:val="00036FAE"/>
    <w:rsid w:val="00041387"/>
    <w:rsid w:val="00041858"/>
    <w:rsid w:val="00041977"/>
    <w:rsid w:val="0004389E"/>
    <w:rsid w:val="00043FD2"/>
    <w:rsid w:val="00044D96"/>
    <w:rsid w:val="00045CA6"/>
    <w:rsid w:val="000463A6"/>
    <w:rsid w:val="00046CC9"/>
    <w:rsid w:val="00046E91"/>
    <w:rsid w:val="000476E9"/>
    <w:rsid w:val="000502FE"/>
    <w:rsid w:val="0005126D"/>
    <w:rsid w:val="00051992"/>
    <w:rsid w:val="00051E9A"/>
    <w:rsid w:val="000521A7"/>
    <w:rsid w:val="00052CDA"/>
    <w:rsid w:val="00052F47"/>
    <w:rsid w:val="0005300A"/>
    <w:rsid w:val="0005345B"/>
    <w:rsid w:val="000537BB"/>
    <w:rsid w:val="0005399B"/>
    <w:rsid w:val="00054DE6"/>
    <w:rsid w:val="0005638E"/>
    <w:rsid w:val="000569D7"/>
    <w:rsid w:val="000576D7"/>
    <w:rsid w:val="00060011"/>
    <w:rsid w:val="00060CB6"/>
    <w:rsid w:val="00060F6E"/>
    <w:rsid w:val="00060F72"/>
    <w:rsid w:val="00062592"/>
    <w:rsid w:val="000636A1"/>
    <w:rsid w:val="0006398C"/>
    <w:rsid w:val="000649D9"/>
    <w:rsid w:val="00064C08"/>
    <w:rsid w:val="000652BE"/>
    <w:rsid w:val="00066479"/>
    <w:rsid w:val="00066811"/>
    <w:rsid w:val="0006723C"/>
    <w:rsid w:val="000676A6"/>
    <w:rsid w:val="000677CB"/>
    <w:rsid w:val="00070376"/>
    <w:rsid w:val="00070630"/>
    <w:rsid w:val="00070974"/>
    <w:rsid w:val="000710C1"/>
    <w:rsid w:val="00071E22"/>
    <w:rsid w:val="00071EAD"/>
    <w:rsid w:val="00071F4E"/>
    <w:rsid w:val="00072271"/>
    <w:rsid w:val="00072B54"/>
    <w:rsid w:val="0007463D"/>
    <w:rsid w:val="00074979"/>
    <w:rsid w:val="000749F0"/>
    <w:rsid w:val="0007514B"/>
    <w:rsid w:val="0007609D"/>
    <w:rsid w:val="00077C67"/>
    <w:rsid w:val="00080976"/>
    <w:rsid w:val="00081CEB"/>
    <w:rsid w:val="00081E60"/>
    <w:rsid w:val="00082817"/>
    <w:rsid w:val="00082D8E"/>
    <w:rsid w:val="00082E31"/>
    <w:rsid w:val="00083580"/>
    <w:rsid w:val="00083974"/>
    <w:rsid w:val="00083AA3"/>
    <w:rsid w:val="00084D5C"/>
    <w:rsid w:val="000853C0"/>
    <w:rsid w:val="00085947"/>
    <w:rsid w:val="000868FE"/>
    <w:rsid w:val="000878D1"/>
    <w:rsid w:val="00090F4B"/>
    <w:rsid w:val="000914D2"/>
    <w:rsid w:val="00091AC8"/>
    <w:rsid w:val="000921AE"/>
    <w:rsid w:val="000921D7"/>
    <w:rsid w:val="000925FF"/>
    <w:rsid w:val="000927B1"/>
    <w:rsid w:val="0009280A"/>
    <w:rsid w:val="00093106"/>
    <w:rsid w:val="000932E0"/>
    <w:rsid w:val="00094853"/>
    <w:rsid w:val="00094C4C"/>
    <w:rsid w:val="00096762"/>
    <w:rsid w:val="000969C8"/>
    <w:rsid w:val="00097268"/>
    <w:rsid w:val="0009752D"/>
    <w:rsid w:val="00097AEE"/>
    <w:rsid w:val="000A014A"/>
    <w:rsid w:val="000A0396"/>
    <w:rsid w:val="000A04B6"/>
    <w:rsid w:val="000A0E36"/>
    <w:rsid w:val="000A1BB5"/>
    <w:rsid w:val="000A1BD2"/>
    <w:rsid w:val="000A1CEA"/>
    <w:rsid w:val="000A2127"/>
    <w:rsid w:val="000A358F"/>
    <w:rsid w:val="000A361F"/>
    <w:rsid w:val="000A3D91"/>
    <w:rsid w:val="000A3FED"/>
    <w:rsid w:val="000A43CC"/>
    <w:rsid w:val="000A5B22"/>
    <w:rsid w:val="000A7314"/>
    <w:rsid w:val="000A76FA"/>
    <w:rsid w:val="000A7B53"/>
    <w:rsid w:val="000A7B64"/>
    <w:rsid w:val="000B23AA"/>
    <w:rsid w:val="000B275C"/>
    <w:rsid w:val="000B2C3D"/>
    <w:rsid w:val="000B55C0"/>
    <w:rsid w:val="000B5DF2"/>
    <w:rsid w:val="000B7826"/>
    <w:rsid w:val="000C06C9"/>
    <w:rsid w:val="000C1DCC"/>
    <w:rsid w:val="000C1EEF"/>
    <w:rsid w:val="000C1FBC"/>
    <w:rsid w:val="000C24A2"/>
    <w:rsid w:val="000C2B6A"/>
    <w:rsid w:val="000C2F88"/>
    <w:rsid w:val="000C55C8"/>
    <w:rsid w:val="000C57C4"/>
    <w:rsid w:val="000C5FD3"/>
    <w:rsid w:val="000C701D"/>
    <w:rsid w:val="000C773C"/>
    <w:rsid w:val="000C7C4A"/>
    <w:rsid w:val="000D1343"/>
    <w:rsid w:val="000D17AA"/>
    <w:rsid w:val="000D2D0B"/>
    <w:rsid w:val="000D4660"/>
    <w:rsid w:val="000D705D"/>
    <w:rsid w:val="000D71F1"/>
    <w:rsid w:val="000D7EB9"/>
    <w:rsid w:val="000E0223"/>
    <w:rsid w:val="000E0CF3"/>
    <w:rsid w:val="000E18A8"/>
    <w:rsid w:val="000E1AEC"/>
    <w:rsid w:val="000E1C38"/>
    <w:rsid w:val="000E3937"/>
    <w:rsid w:val="000E4926"/>
    <w:rsid w:val="000E49B7"/>
    <w:rsid w:val="000E4ED2"/>
    <w:rsid w:val="000E5F7F"/>
    <w:rsid w:val="000E7086"/>
    <w:rsid w:val="000E736A"/>
    <w:rsid w:val="000E7C65"/>
    <w:rsid w:val="000F0329"/>
    <w:rsid w:val="000F04D2"/>
    <w:rsid w:val="000F0AAE"/>
    <w:rsid w:val="000F1FEA"/>
    <w:rsid w:val="000F2269"/>
    <w:rsid w:val="000F55B7"/>
    <w:rsid w:val="000F5E84"/>
    <w:rsid w:val="000F604F"/>
    <w:rsid w:val="000F7399"/>
    <w:rsid w:val="001010C8"/>
    <w:rsid w:val="00101BF1"/>
    <w:rsid w:val="001027F1"/>
    <w:rsid w:val="001028AF"/>
    <w:rsid w:val="00102B12"/>
    <w:rsid w:val="00104E00"/>
    <w:rsid w:val="00104F2E"/>
    <w:rsid w:val="001072DD"/>
    <w:rsid w:val="001101E8"/>
    <w:rsid w:val="00110D7A"/>
    <w:rsid w:val="00111464"/>
    <w:rsid w:val="0011167D"/>
    <w:rsid w:val="001120A3"/>
    <w:rsid w:val="00112892"/>
    <w:rsid w:val="00112E48"/>
    <w:rsid w:val="001130EA"/>
    <w:rsid w:val="001138E8"/>
    <w:rsid w:val="00114259"/>
    <w:rsid w:val="0011520D"/>
    <w:rsid w:val="001168B2"/>
    <w:rsid w:val="00116FD6"/>
    <w:rsid w:val="00117C20"/>
    <w:rsid w:val="00120F0E"/>
    <w:rsid w:val="00121A5D"/>
    <w:rsid w:val="00121BED"/>
    <w:rsid w:val="0012337A"/>
    <w:rsid w:val="00123C9F"/>
    <w:rsid w:val="00123D39"/>
    <w:rsid w:val="001244CD"/>
    <w:rsid w:val="0012566F"/>
    <w:rsid w:val="001262B1"/>
    <w:rsid w:val="00130F41"/>
    <w:rsid w:val="00130FAF"/>
    <w:rsid w:val="00132184"/>
    <w:rsid w:val="00132841"/>
    <w:rsid w:val="00135967"/>
    <w:rsid w:val="00135F2B"/>
    <w:rsid w:val="00136C67"/>
    <w:rsid w:val="001372DD"/>
    <w:rsid w:val="001405BA"/>
    <w:rsid w:val="00141497"/>
    <w:rsid w:val="0014253A"/>
    <w:rsid w:val="001425C8"/>
    <w:rsid w:val="001431AE"/>
    <w:rsid w:val="0014326B"/>
    <w:rsid w:val="00143B87"/>
    <w:rsid w:val="001449F7"/>
    <w:rsid w:val="001459E3"/>
    <w:rsid w:val="001462AA"/>
    <w:rsid w:val="0014686C"/>
    <w:rsid w:val="00146A0B"/>
    <w:rsid w:val="00146AAC"/>
    <w:rsid w:val="001474BE"/>
    <w:rsid w:val="0014761E"/>
    <w:rsid w:val="0015061C"/>
    <w:rsid w:val="00151907"/>
    <w:rsid w:val="0015240E"/>
    <w:rsid w:val="001544C8"/>
    <w:rsid w:val="00154AF2"/>
    <w:rsid w:val="001554A2"/>
    <w:rsid w:val="00155FAB"/>
    <w:rsid w:val="001562F9"/>
    <w:rsid w:val="001567A1"/>
    <w:rsid w:val="001567C2"/>
    <w:rsid w:val="00156857"/>
    <w:rsid w:val="00156C0B"/>
    <w:rsid w:val="00157590"/>
    <w:rsid w:val="00157BC9"/>
    <w:rsid w:val="00157E79"/>
    <w:rsid w:val="00157EED"/>
    <w:rsid w:val="0016087A"/>
    <w:rsid w:val="00160A5C"/>
    <w:rsid w:val="001613EC"/>
    <w:rsid w:val="001622A1"/>
    <w:rsid w:val="00162DC4"/>
    <w:rsid w:val="0016358A"/>
    <w:rsid w:val="001638D4"/>
    <w:rsid w:val="00164664"/>
    <w:rsid w:val="00164F15"/>
    <w:rsid w:val="001651A4"/>
    <w:rsid w:val="0016552B"/>
    <w:rsid w:val="00165FD7"/>
    <w:rsid w:val="00166B04"/>
    <w:rsid w:val="00166D12"/>
    <w:rsid w:val="001670A6"/>
    <w:rsid w:val="001701FA"/>
    <w:rsid w:val="0017038A"/>
    <w:rsid w:val="001705C6"/>
    <w:rsid w:val="00171183"/>
    <w:rsid w:val="001725A5"/>
    <w:rsid w:val="00172681"/>
    <w:rsid w:val="00172BEB"/>
    <w:rsid w:val="0017312F"/>
    <w:rsid w:val="00173AC7"/>
    <w:rsid w:val="00173F68"/>
    <w:rsid w:val="001745D7"/>
    <w:rsid w:val="00175088"/>
    <w:rsid w:val="00175754"/>
    <w:rsid w:val="00175769"/>
    <w:rsid w:val="00175AEB"/>
    <w:rsid w:val="00176982"/>
    <w:rsid w:val="0017701C"/>
    <w:rsid w:val="00181264"/>
    <w:rsid w:val="00181BD1"/>
    <w:rsid w:val="0018204A"/>
    <w:rsid w:val="00182F7C"/>
    <w:rsid w:val="00183EC9"/>
    <w:rsid w:val="001843B5"/>
    <w:rsid w:val="0018443F"/>
    <w:rsid w:val="00184F32"/>
    <w:rsid w:val="00186829"/>
    <w:rsid w:val="001868CA"/>
    <w:rsid w:val="00187304"/>
    <w:rsid w:val="001875BE"/>
    <w:rsid w:val="00190013"/>
    <w:rsid w:val="0019017A"/>
    <w:rsid w:val="00190B8C"/>
    <w:rsid w:val="00190FF8"/>
    <w:rsid w:val="00191142"/>
    <w:rsid w:val="00191167"/>
    <w:rsid w:val="001918E0"/>
    <w:rsid w:val="00192388"/>
    <w:rsid w:val="0019311A"/>
    <w:rsid w:val="00193422"/>
    <w:rsid w:val="00193817"/>
    <w:rsid w:val="0019508A"/>
    <w:rsid w:val="001960D8"/>
    <w:rsid w:val="00197A0D"/>
    <w:rsid w:val="001A08E5"/>
    <w:rsid w:val="001A1642"/>
    <w:rsid w:val="001A371B"/>
    <w:rsid w:val="001A3A02"/>
    <w:rsid w:val="001A4766"/>
    <w:rsid w:val="001A514B"/>
    <w:rsid w:val="001A6041"/>
    <w:rsid w:val="001A6A0D"/>
    <w:rsid w:val="001A6A74"/>
    <w:rsid w:val="001A6C51"/>
    <w:rsid w:val="001A6FAA"/>
    <w:rsid w:val="001A79A3"/>
    <w:rsid w:val="001A7D73"/>
    <w:rsid w:val="001B0363"/>
    <w:rsid w:val="001B1355"/>
    <w:rsid w:val="001B2FC9"/>
    <w:rsid w:val="001B3138"/>
    <w:rsid w:val="001B4160"/>
    <w:rsid w:val="001B424E"/>
    <w:rsid w:val="001B4E4B"/>
    <w:rsid w:val="001B50AC"/>
    <w:rsid w:val="001B5823"/>
    <w:rsid w:val="001B5E05"/>
    <w:rsid w:val="001B6D68"/>
    <w:rsid w:val="001B6F2E"/>
    <w:rsid w:val="001C0344"/>
    <w:rsid w:val="001C0F2A"/>
    <w:rsid w:val="001C1A59"/>
    <w:rsid w:val="001C270F"/>
    <w:rsid w:val="001C2955"/>
    <w:rsid w:val="001C3383"/>
    <w:rsid w:val="001C3526"/>
    <w:rsid w:val="001C3688"/>
    <w:rsid w:val="001C3BA2"/>
    <w:rsid w:val="001C4679"/>
    <w:rsid w:val="001C5770"/>
    <w:rsid w:val="001C5890"/>
    <w:rsid w:val="001C5DE5"/>
    <w:rsid w:val="001C6195"/>
    <w:rsid w:val="001C97A2"/>
    <w:rsid w:val="001D000A"/>
    <w:rsid w:val="001D0289"/>
    <w:rsid w:val="001D0883"/>
    <w:rsid w:val="001D2205"/>
    <w:rsid w:val="001D3A1F"/>
    <w:rsid w:val="001D3FB6"/>
    <w:rsid w:val="001D4550"/>
    <w:rsid w:val="001D5498"/>
    <w:rsid w:val="001D5BAF"/>
    <w:rsid w:val="001D5E50"/>
    <w:rsid w:val="001D6401"/>
    <w:rsid w:val="001D66C9"/>
    <w:rsid w:val="001D6C8C"/>
    <w:rsid w:val="001D722A"/>
    <w:rsid w:val="001D7996"/>
    <w:rsid w:val="001E04FC"/>
    <w:rsid w:val="001E1D27"/>
    <w:rsid w:val="001E2BA0"/>
    <w:rsid w:val="001E3E4B"/>
    <w:rsid w:val="001E407D"/>
    <w:rsid w:val="001E40FB"/>
    <w:rsid w:val="001E452A"/>
    <w:rsid w:val="001E66EC"/>
    <w:rsid w:val="001E68C5"/>
    <w:rsid w:val="001E6A49"/>
    <w:rsid w:val="001E6B17"/>
    <w:rsid w:val="001E6BFC"/>
    <w:rsid w:val="001F07C7"/>
    <w:rsid w:val="001F0F63"/>
    <w:rsid w:val="001F19E0"/>
    <w:rsid w:val="001F2132"/>
    <w:rsid w:val="001F2D76"/>
    <w:rsid w:val="001F3996"/>
    <w:rsid w:val="001F3CE9"/>
    <w:rsid w:val="001F44A4"/>
    <w:rsid w:val="001F5696"/>
    <w:rsid w:val="001F579D"/>
    <w:rsid w:val="001F57E9"/>
    <w:rsid w:val="001F65EF"/>
    <w:rsid w:val="001F697B"/>
    <w:rsid w:val="001F7452"/>
    <w:rsid w:val="002005A6"/>
    <w:rsid w:val="00201DB5"/>
    <w:rsid w:val="002042AC"/>
    <w:rsid w:val="00204CBC"/>
    <w:rsid w:val="002051F1"/>
    <w:rsid w:val="00205A69"/>
    <w:rsid w:val="00205DD4"/>
    <w:rsid w:val="002067BA"/>
    <w:rsid w:val="0020693D"/>
    <w:rsid w:val="0021058D"/>
    <w:rsid w:val="00210D4A"/>
    <w:rsid w:val="00210EF2"/>
    <w:rsid w:val="00211E2F"/>
    <w:rsid w:val="00211E9E"/>
    <w:rsid w:val="00211ECA"/>
    <w:rsid w:val="00214FB4"/>
    <w:rsid w:val="00215575"/>
    <w:rsid w:val="00215940"/>
    <w:rsid w:val="002165DB"/>
    <w:rsid w:val="00217C23"/>
    <w:rsid w:val="00220089"/>
    <w:rsid w:val="00220561"/>
    <w:rsid w:val="00220CE4"/>
    <w:rsid w:val="00222D9B"/>
    <w:rsid w:val="00223643"/>
    <w:rsid w:val="00223788"/>
    <w:rsid w:val="00223D11"/>
    <w:rsid w:val="00223E0B"/>
    <w:rsid w:val="002242D3"/>
    <w:rsid w:val="00225648"/>
    <w:rsid w:val="00227C1A"/>
    <w:rsid w:val="002301E6"/>
    <w:rsid w:val="00230CBB"/>
    <w:rsid w:val="00231F74"/>
    <w:rsid w:val="00232555"/>
    <w:rsid w:val="00232F90"/>
    <w:rsid w:val="00233433"/>
    <w:rsid w:val="00233B08"/>
    <w:rsid w:val="00233C3B"/>
    <w:rsid w:val="0023499C"/>
    <w:rsid w:val="00235CE3"/>
    <w:rsid w:val="0023636A"/>
    <w:rsid w:val="00236F34"/>
    <w:rsid w:val="002372F7"/>
    <w:rsid w:val="00237775"/>
    <w:rsid w:val="00237FA3"/>
    <w:rsid w:val="00240532"/>
    <w:rsid w:val="002405FA"/>
    <w:rsid w:val="00240651"/>
    <w:rsid w:val="00240803"/>
    <w:rsid w:val="0024426D"/>
    <w:rsid w:val="00244F1D"/>
    <w:rsid w:val="00245004"/>
    <w:rsid w:val="00245FB4"/>
    <w:rsid w:val="00246980"/>
    <w:rsid w:val="00247C11"/>
    <w:rsid w:val="00250898"/>
    <w:rsid w:val="00250D2B"/>
    <w:rsid w:val="00251EA9"/>
    <w:rsid w:val="002520A9"/>
    <w:rsid w:val="00252843"/>
    <w:rsid w:val="00253B1B"/>
    <w:rsid w:val="002543F8"/>
    <w:rsid w:val="002551A4"/>
    <w:rsid w:val="002559F3"/>
    <w:rsid w:val="00256DFE"/>
    <w:rsid w:val="002608C3"/>
    <w:rsid w:val="00261D56"/>
    <w:rsid w:val="00261FD3"/>
    <w:rsid w:val="00262361"/>
    <w:rsid w:val="00262491"/>
    <w:rsid w:val="00263505"/>
    <w:rsid w:val="00264077"/>
    <w:rsid w:val="002641C4"/>
    <w:rsid w:val="00265286"/>
    <w:rsid w:val="00265E61"/>
    <w:rsid w:val="00266B9A"/>
    <w:rsid w:val="002670DD"/>
    <w:rsid w:val="00267A0A"/>
    <w:rsid w:val="00267C8C"/>
    <w:rsid w:val="00270E54"/>
    <w:rsid w:val="00271122"/>
    <w:rsid w:val="00271F87"/>
    <w:rsid w:val="002724C1"/>
    <w:rsid w:val="00273633"/>
    <w:rsid w:val="00273681"/>
    <w:rsid w:val="00275176"/>
    <w:rsid w:val="002752BD"/>
    <w:rsid w:val="002752D9"/>
    <w:rsid w:val="002754B5"/>
    <w:rsid w:val="002757E6"/>
    <w:rsid w:val="002764C5"/>
    <w:rsid w:val="00276A5A"/>
    <w:rsid w:val="002772AE"/>
    <w:rsid w:val="00280613"/>
    <w:rsid w:val="00281957"/>
    <w:rsid w:val="002819C4"/>
    <w:rsid w:val="0028274D"/>
    <w:rsid w:val="00282B96"/>
    <w:rsid w:val="002833D6"/>
    <w:rsid w:val="0028345E"/>
    <w:rsid w:val="00283F51"/>
    <w:rsid w:val="002856FD"/>
    <w:rsid w:val="00286064"/>
    <w:rsid w:val="002867B1"/>
    <w:rsid w:val="002868FC"/>
    <w:rsid w:val="00287BBB"/>
    <w:rsid w:val="00287E3B"/>
    <w:rsid w:val="0028F63C"/>
    <w:rsid w:val="00290638"/>
    <w:rsid w:val="00291763"/>
    <w:rsid w:val="00291D80"/>
    <w:rsid w:val="00292E82"/>
    <w:rsid w:val="00293156"/>
    <w:rsid w:val="0029331C"/>
    <w:rsid w:val="00293462"/>
    <w:rsid w:val="00293BE7"/>
    <w:rsid w:val="00293D78"/>
    <w:rsid w:val="002946DC"/>
    <w:rsid w:val="0029493B"/>
    <w:rsid w:val="00294BDB"/>
    <w:rsid w:val="002A03C3"/>
    <w:rsid w:val="002A08CC"/>
    <w:rsid w:val="002A0978"/>
    <w:rsid w:val="002A0C82"/>
    <w:rsid w:val="002A0CD8"/>
    <w:rsid w:val="002A13EB"/>
    <w:rsid w:val="002A35EF"/>
    <w:rsid w:val="002A3BB2"/>
    <w:rsid w:val="002A3DE0"/>
    <w:rsid w:val="002A40EA"/>
    <w:rsid w:val="002A41CA"/>
    <w:rsid w:val="002A4669"/>
    <w:rsid w:val="002A46E8"/>
    <w:rsid w:val="002A48E0"/>
    <w:rsid w:val="002A491C"/>
    <w:rsid w:val="002A4C8E"/>
    <w:rsid w:val="002A6CD6"/>
    <w:rsid w:val="002B1FEF"/>
    <w:rsid w:val="002B2DF8"/>
    <w:rsid w:val="002B3473"/>
    <w:rsid w:val="002B354F"/>
    <w:rsid w:val="002B3614"/>
    <w:rsid w:val="002B4290"/>
    <w:rsid w:val="002B45D1"/>
    <w:rsid w:val="002B47F9"/>
    <w:rsid w:val="002B4ED8"/>
    <w:rsid w:val="002B4FAA"/>
    <w:rsid w:val="002B52C2"/>
    <w:rsid w:val="002B5B61"/>
    <w:rsid w:val="002B7656"/>
    <w:rsid w:val="002B7A58"/>
    <w:rsid w:val="002B7C39"/>
    <w:rsid w:val="002C0642"/>
    <w:rsid w:val="002C1492"/>
    <w:rsid w:val="002C170F"/>
    <w:rsid w:val="002C173D"/>
    <w:rsid w:val="002C1E8B"/>
    <w:rsid w:val="002C288D"/>
    <w:rsid w:val="002C2EFE"/>
    <w:rsid w:val="002C343D"/>
    <w:rsid w:val="002C497F"/>
    <w:rsid w:val="002C53AA"/>
    <w:rsid w:val="002C5B2D"/>
    <w:rsid w:val="002C5E07"/>
    <w:rsid w:val="002C6682"/>
    <w:rsid w:val="002C66D5"/>
    <w:rsid w:val="002C6AF9"/>
    <w:rsid w:val="002C7DFC"/>
    <w:rsid w:val="002D056F"/>
    <w:rsid w:val="002D08B8"/>
    <w:rsid w:val="002D14C5"/>
    <w:rsid w:val="002D14F3"/>
    <w:rsid w:val="002D16E4"/>
    <w:rsid w:val="002D2D9F"/>
    <w:rsid w:val="002D2FEF"/>
    <w:rsid w:val="002D36A3"/>
    <w:rsid w:val="002D36C2"/>
    <w:rsid w:val="002D3CEB"/>
    <w:rsid w:val="002D3FCB"/>
    <w:rsid w:val="002D4FEF"/>
    <w:rsid w:val="002D502D"/>
    <w:rsid w:val="002D63F5"/>
    <w:rsid w:val="002D6E1A"/>
    <w:rsid w:val="002E036D"/>
    <w:rsid w:val="002E10A5"/>
    <w:rsid w:val="002E1517"/>
    <w:rsid w:val="002E1760"/>
    <w:rsid w:val="002E1B22"/>
    <w:rsid w:val="002E2DC6"/>
    <w:rsid w:val="002E387F"/>
    <w:rsid w:val="002E3E09"/>
    <w:rsid w:val="002E76FC"/>
    <w:rsid w:val="002E7F4B"/>
    <w:rsid w:val="002E7F6C"/>
    <w:rsid w:val="002F012C"/>
    <w:rsid w:val="002F0C91"/>
    <w:rsid w:val="002F0E3E"/>
    <w:rsid w:val="002F1683"/>
    <w:rsid w:val="002F197F"/>
    <w:rsid w:val="002F1B19"/>
    <w:rsid w:val="002F1FBF"/>
    <w:rsid w:val="002F4139"/>
    <w:rsid w:val="002F44B4"/>
    <w:rsid w:val="002F455E"/>
    <w:rsid w:val="00300624"/>
    <w:rsid w:val="00300F56"/>
    <w:rsid w:val="00301006"/>
    <w:rsid w:val="00301C2B"/>
    <w:rsid w:val="0030497B"/>
    <w:rsid w:val="00304A71"/>
    <w:rsid w:val="003066C8"/>
    <w:rsid w:val="0030739D"/>
    <w:rsid w:val="00307AFB"/>
    <w:rsid w:val="0031038B"/>
    <w:rsid w:val="00311184"/>
    <w:rsid w:val="00311469"/>
    <w:rsid w:val="00311718"/>
    <w:rsid w:val="00311E05"/>
    <w:rsid w:val="00312279"/>
    <w:rsid w:val="00312675"/>
    <w:rsid w:val="00313B2A"/>
    <w:rsid w:val="00313F3D"/>
    <w:rsid w:val="00314013"/>
    <w:rsid w:val="00314945"/>
    <w:rsid w:val="00315389"/>
    <w:rsid w:val="00315746"/>
    <w:rsid w:val="003157BE"/>
    <w:rsid w:val="00315E96"/>
    <w:rsid w:val="00316E7D"/>
    <w:rsid w:val="003176A2"/>
    <w:rsid w:val="003179AD"/>
    <w:rsid w:val="00317FC8"/>
    <w:rsid w:val="003223D7"/>
    <w:rsid w:val="003226DE"/>
    <w:rsid w:val="00323D9F"/>
    <w:rsid w:val="00324FDB"/>
    <w:rsid w:val="0032560C"/>
    <w:rsid w:val="00325F48"/>
    <w:rsid w:val="003309A8"/>
    <w:rsid w:val="0033194F"/>
    <w:rsid w:val="00332304"/>
    <w:rsid w:val="003323C4"/>
    <w:rsid w:val="00332406"/>
    <w:rsid w:val="003326C6"/>
    <w:rsid w:val="00332D8D"/>
    <w:rsid w:val="003330D3"/>
    <w:rsid w:val="0033332D"/>
    <w:rsid w:val="00334D19"/>
    <w:rsid w:val="0033558F"/>
    <w:rsid w:val="00336B56"/>
    <w:rsid w:val="00336F72"/>
    <w:rsid w:val="00340604"/>
    <w:rsid w:val="00340C89"/>
    <w:rsid w:val="00341181"/>
    <w:rsid w:val="00341B25"/>
    <w:rsid w:val="00341EC0"/>
    <w:rsid w:val="0034240C"/>
    <w:rsid w:val="0034374F"/>
    <w:rsid w:val="00344496"/>
    <w:rsid w:val="00345968"/>
    <w:rsid w:val="00347667"/>
    <w:rsid w:val="003507E2"/>
    <w:rsid w:val="00350B67"/>
    <w:rsid w:val="00350CE0"/>
    <w:rsid w:val="00351A71"/>
    <w:rsid w:val="00352160"/>
    <w:rsid w:val="003522B2"/>
    <w:rsid w:val="00353298"/>
    <w:rsid w:val="0035455E"/>
    <w:rsid w:val="00354A6F"/>
    <w:rsid w:val="00354B48"/>
    <w:rsid w:val="00355789"/>
    <w:rsid w:val="00356ACE"/>
    <w:rsid w:val="00356CAE"/>
    <w:rsid w:val="003609B6"/>
    <w:rsid w:val="00361119"/>
    <w:rsid w:val="003618E4"/>
    <w:rsid w:val="00363815"/>
    <w:rsid w:val="003644FE"/>
    <w:rsid w:val="0036538D"/>
    <w:rsid w:val="003654EF"/>
    <w:rsid w:val="00365D12"/>
    <w:rsid w:val="003665F8"/>
    <w:rsid w:val="00366A11"/>
    <w:rsid w:val="00366E20"/>
    <w:rsid w:val="0037018D"/>
    <w:rsid w:val="00371CD3"/>
    <w:rsid w:val="00372299"/>
    <w:rsid w:val="00372F02"/>
    <w:rsid w:val="00373729"/>
    <w:rsid w:val="00373C91"/>
    <w:rsid w:val="0037419B"/>
    <w:rsid w:val="003748F0"/>
    <w:rsid w:val="003755C6"/>
    <w:rsid w:val="00375AEF"/>
    <w:rsid w:val="00375B55"/>
    <w:rsid w:val="0037626F"/>
    <w:rsid w:val="00376367"/>
    <w:rsid w:val="00376B02"/>
    <w:rsid w:val="00376ED9"/>
    <w:rsid w:val="0037733A"/>
    <w:rsid w:val="003776DC"/>
    <w:rsid w:val="003779C1"/>
    <w:rsid w:val="00380FEC"/>
    <w:rsid w:val="00381226"/>
    <w:rsid w:val="00381B1B"/>
    <w:rsid w:val="00381FF6"/>
    <w:rsid w:val="0038241C"/>
    <w:rsid w:val="00382FBA"/>
    <w:rsid w:val="00383477"/>
    <w:rsid w:val="00383AFE"/>
    <w:rsid w:val="00383B67"/>
    <w:rsid w:val="00383D7D"/>
    <w:rsid w:val="00384CCE"/>
    <w:rsid w:val="00386015"/>
    <w:rsid w:val="003865E5"/>
    <w:rsid w:val="003878C0"/>
    <w:rsid w:val="00390ACD"/>
    <w:rsid w:val="00392186"/>
    <w:rsid w:val="003926C1"/>
    <w:rsid w:val="00392900"/>
    <w:rsid w:val="00393357"/>
    <w:rsid w:val="00395008"/>
    <w:rsid w:val="00395E7B"/>
    <w:rsid w:val="00395F4C"/>
    <w:rsid w:val="00396FA6"/>
    <w:rsid w:val="003A00A8"/>
    <w:rsid w:val="003A2D1D"/>
    <w:rsid w:val="003A4DE1"/>
    <w:rsid w:val="003A51C5"/>
    <w:rsid w:val="003A5492"/>
    <w:rsid w:val="003A5A73"/>
    <w:rsid w:val="003A5DAC"/>
    <w:rsid w:val="003A6591"/>
    <w:rsid w:val="003A6D89"/>
    <w:rsid w:val="003A6DE9"/>
    <w:rsid w:val="003A6E9A"/>
    <w:rsid w:val="003A7FAA"/>
    <w:rsid w:val="003B08C8"/>
    <w:rsid w:val="003B2567"/>
    <w:rsid w:val="003B381A"/>
    <w:rsid w:val="003B46CC"/>
    <w:rsid w:val="003B4976"/>
    <w:rsid w:val="003B4B3F"/>
    <w:rsid w:val="003B6258"/>
    <w:rsid w:val="003B6C55"/>
    <w:rsid w:val="003B7A99"/>
    <w:rsid w:val="003C0343"/>
    <w:rsid w:val="003C14B7"/>
    <w:rsid w:val="003C1C32"/>
    <w:rsid w:val="003C329B"/>
    <w:rsid w:val="003C40DA"/>
    <w:rsid w:val="003C42BA"/>
    <w:rsid w:val="003C462F"/>
    <w:rsid w:val="003C4A02"/>
    <w:rsid w:val="003C4A44"/>
    <w:rsid w:val="003C4BC2"/>
    <w:rsid w:val="003C4BF5"/>
    <w:rsid w:val="003C4F05"/>
    <w:rsid w:val="003C6191"/>
    <w:rsid w:val="003C6E49"/>
    <w:rsid w:val="003D0864"/>
    <w:rsid w:val="003D0CBF"/>
    <w:rsid w:val="003D0DD6"/>
    <w:rsid w:val="003D371F"/>
    <w:rsid w:val="003D46DE"/>
    <w:rsid w:val="003D4B73"/>
    <w:rsid w:val="003D4BCE"/>
    <w:rsid w:val="003D503B"/>
    <w:rsid w:val="003D5EBF"/>
    <w:rsid w:val="003D605E"/>
    <w:rsid w:val="003D61D1"/>
    <w:rsid w:val="003D62C7"/>
    <w:rsid w:val="003D6780"/>
    <w:rsid w:val="003D6FCB"/>
    <w:rsid w:val="003D7135"/>
    <w:rsid w:val="003D77FF"/>
    <w:rsid w:val="003D7D17"/>
    <w:rsid w:val="003D7FA9"/>
    <w:rsid w:val="003E0F84"/>
    <w:rsid w:val="003E1FF3"/>
    <w:rsid w:val="003E3ACA"/>
    <w:rsid w:val="003E4492"/>
    <w:rsid w:val="003E4D36"/>
    <w:rsid w:val="003E50EA"/>
    <w:rsid w:val="003E6039"/>
    <w:rsid w:val="003E68C7"/>
    <w:rsid w:val="003E7313"/>
    <w:rsid w:val="003E79B0"/>
    <w:rsid w:val="003F0403"/>
    <w:rsid w:val="003F1094"/>
    <w:rsid w:val="003F2935"/>
    <w:rsid w:val="003F2E45"/>
    <w:rsid w:val="003F3B68"/>
    <w:rsid w:val="003F3EFE"/>
    <w:rsid w:val="003F40B8"/>
    <w:rsid w:val="003F5C06"/>
    <w:rsid w:val="003F6D19"/>
    <w:rsid w:val="003F7387"/>
    <w:rsid w:val="00400195"/>
    <w:rsid w:val="00401302"/>
    <w:rsid w:val="00401456"/>
    <w:rsid w:val="0040254B"/>
    <w:rsid w:val="00403086"/>
    <w:rsid w:val="0040323A"/>
    <w:rsid w:val="00403359"/>
    <w:rsid w:val="00403460"/>
    <w:rsid w:val="00403E42"/>
    <w:rsid w:val="004040FF"/>
    <w:rsid w:val="00404284"/>
    <w:rsid w:val="004042C4"/>
    <w:rsid w:val="00406E90"/>
    <w:rsid w:val="00410240"/>
    <w:rsid w:val="004120F4"/>
    <w:rsid w:val="00412253"/>
    <w:rsid w:val="00412475"/>
    <w:rsid w:val="00412E6D"/>
    <w:rsid w:val="004139E0"/>
    <w:rsid w:val="004142ED"/>
    <w:rsid w:val="0041634D"/>
    <w:rsid w:val="0041667E"/>
    <w:rsid w:val="00416ABC"/>
    <w:rsid w:val="00417EF7"/>
    <w:rsid w:val="0042141E"/>
    <w:rsid w:val="004218D2"/>
    <w:rsid w:val="00422A7D"/>
    <w:rsid w:val="00422BFC"/>
    <w:rsid w:val="00424228"/>
    <w:rsid w:val="00424642"/>
    <w:rsid w:val="00425ABB"/>
    <w:rsid w:val="00425BB6"/>
    <w:rsid w:val="004261A0"/>
    <w:rsid w:val="004265AA"/>
    <w:rsid w:val="00426BC3"/>
    <w:rsid w:val="00426CE1"/>
    <w:rsid w:val="0042739E"/>
    <w:rsid w:val="00427D52"/>
    <w:rsid w:val="00430412"/>
    <w:rsid w:val="00430497"/>
    <w:rsid w:val="004307B8"/>
    <w:rsid w:val="00431061"/>
    <w:rsid w:val="0043138A"/>
    <w:rsid w:val="0043173B"/>
    <w:rsid w:val="00431B0A"/>
    <w:rsid w:val="00431DA4"/>
    <w:rsid w:val="00432A91"/>
    <w:rsid w:val="004332A4"/>
    <w:rsid w:val="004344B8"/>
    <w:rsid w:val="0043453F"/>
    <w:rsid w:val="00434A74"/>
    <w:rsid w:val="004350F4"/>
    <w:rsid w:val="00435A64"/>
    <w:rsid w:val="00436F33"/>
    <w:rsid w:val="004375C9"/>
    <w:rsid w:val="00437929"/>
    <w:rsid w:val="00437A4A"/>
    <w:rsid w:val="00437B3D"/>
    <w:rsid w:val="00437BEB"/>
    <w:rsid w:val="00440541"/>
    <w:rsid w:val="0044100F"/>
    <w:rsid w:val="0044162D"/>
    <w:rsid w:val="0044277A"/>
    <w:rsid w:val="004434EF"/>
    <w:rsid w:val="00443822"/>
    <w:rsid w:val="004439B1"/>
    <w:rsid w:val="004456DC"/>
    <w:rsid w:val="004463D2"/>
    <w:rsid w:val="00447868"/>
    <w:rsid w:val="00447FBE"/>
    <w:rsid w:val="0045021A"/>
    <w:rsid w:val="0045035E"/>
    <w:rsid w:val="0045175A"/>
    <w:rsid w:val="00451ED9"/>
    <w:rsid w:val="00452180"/>
    <w:rsid w:val="00453072"/>
    <w:rsid w:val="004539F8"/>
    <w:rsid w:val="00453F26"/>
    <w:rsid w:val="00454F38"/>
    <w:rsid w:val="0045503F"/>
    <w:rsid w:val="00455273"/>
    <w:rsid w:val="00460905"/>
    <w:rsid w:val="00461E35"/>
    <w:rsid w:val="004621DB"/>
    <w:rsid w:val="0046233C"/>
    <w:rsid w:val="004632CA"/>
    <w:rsid w:val="004634A7"/>
    <w:rsid w:val="00463528"/>
    <w:rsid w:val="00463787"/>
    <w:rsid w:val="004641DE"/>
    <w:rsid w:val="00465675"/>
    <w:rsid w:val="00466926"/>
    <w:rsid w:val="00466FDA"/>
    <w:rsid w:val="004671D0"/>
    <w:rsid w:val="004674D1"/>
    <w:rsid w:val="00470773"/>
    <w:rsid w:val="00470BE4"/>
    <w:rsid w:val="00471FF9"/>
    <w:rsid w:val="00473E74"/>
    <w:rsid w:val="00473FEF"/>
    <w:rsid w:val="004742C4"/>
    <w:rsid w:val="00475B38"/>
    <w:rsid w:val="00475B8E"/>
    <w:rsid w:val="004761C0"/>
    <w:rsid w:val="00476893"/>
    <w:rsid w:val="004770D2"/>
    <w:rsid w:val="0048019F"/>
    <w:rsid w:val="00480363"/>
    <w:rsid w:val="0048104E"/>
    <w:rsid w:val="004814BB"/>
    <w:rsid w:val="004814CC"/>
    <w:rsid w:val="004815DA"/>
    <w:rsid w:val="004817ED"/>
    <w:rsid w:val="00482458"/>
    <w:rsid w:val="004827F2"/>
    <w:rsid w:val="00482B60"/>
    <w:rsid w:val="004837ED"/>
    <w:rsid w:val="00483942"/>
    <w:rsid w:val="00483EA2"/>
    <w:rsid w:val="00484121"/>
    <w:rsid w:val="004843CE"/>
    <w:rsid w:val="004850BE"/>
    <w:rsid w:val="00485142"/>
    <w:rsid w:val="004852A7"/>
    <w:rsid w:val="00485E63"/>
    <w:rsid w:val="00486C17"/>
    <w:rsid w:val="00486DE2"/>
    <w:rsid w:val="00487117"/>
    <w:rsid w:val="00487A32"/>
    <w:rsid w:val="00487A91"/>
    <w:rsid w:val="004901E5"/>
    <w:rsid w:val="0049027D"/>
    <w:rsid w:val="004903D4"/>
    <w:rsid w:val="0049052B"/>
    <w:rsid w:val="00492457"/>
    <w:rsid w:val="004924A8"/>
    <w:rsid w:val="00492DC2"/>
    <w:rsid w:val="004934BA"/>
    <w:rsid w:val="004934E9"/>
    <w:rsid w:val="0049456F"/>
    <w:rsid w:val="00494737"/>
    <w:rsid w:val="004949A9"/>
    <w:rsid w:val="00494D5C"/>
    <w:rsid w:val="00495A6A"/>
    <w:rsid w:val="00495D5E"/>
    <w:rsid w:val="004964F6"/>
    <w:rsid w:val="00496821"/>
    <w:rsid w:val="00497750"/>
    <w:rsid w:val="00497B44"/>
    <w:rsid w:val="004A00E5"/>
    <w:rsid w:val="004A01A7"/>
    <w:rsid w:val="004A094A"/>
    <w:rsid w:val="004A0D09"/>
    <w:rsid w:val="004A116E"/>
    <w:rsid w:val="004A20D1"/>
    <w:rsid w:val="004A2BBB"/>
    <w:rsid w:val="004A357F"/>
    <w:rsid w:val="004A3693"/>
    <w:rsid w:val="004A3DAD"/>
    <w:rsid w:val="004A3F87"/>
    <w:rsid w:val="004B0335"/>
    <w:rsid w:val="004B0F1C"/>
    <w:rsid w:val="004B111D"/>
    <w:rsid w:val="004B1A98"/>
    <w:rsid w:val="004B1E61"/>
    <w:rsid w:val="004B21AB"/>
    <w:rsid w:val="004B3CF5"/>
    <w:rsid w:val="004B59E0"/>
    <w:rsid w:val="004B5C50"/>
    <w:rsid w:val="004B6452"/>
    <w:rsid w:val="004B667B"/>
    <w:rsid w:val="004B71C7"/>
    <w:rsid w:val="004B7EF2"/>
    <w:rsid w:val="004C03AA"/>
    <w:rsid w:val="004C0B9A"/>
    <w:rsid w:val="004C12DB"/>
    <w:rsid w:val="004C14E7"/>
    <w:rsid w:val="004C1D89"/>
    <w:rsid w:val="004C28D5"/>
    <w:rsid w:val="004C2A94"/>
    <w:rsid w:val="004C2CD0"/>
    <w:rsid w:val="004C3DAB"/>
    <w:rsid w:val="004C482D"/>
    <w:rsid w:val="004C51D7"/>
    <w:rsid w:val="004C521E"/>
    <w:rsid w:val="004C5766"/>
    <w:rsid w:val="004C5F54"/>
    <w:rsid w:val="004C6E76"/>
    <w:rsid w:val="004C746A"/>
    <w:rsid w:val="004C77DD"/>
    <w:rsid w:val="004C7826"/>
    <w:rsid w:val="004C7B33"/>
    <w:rsid w:val="004D1410"/>
    <w:rsid w:val="004D1478"/>
    <w:rsid w:val="004D19EE"/>
    <w:rsid w:val="004D1CF2"/>
    <w:rsid w:val="004D2D3A"/>
    <w:rsid w:val="004D374D"/>
    <w:rsid w:val="004D3DEC"/>
    <w:rsid w:val="004D42C8"/>
    <w:rsid w:val="004D4864"/>
    <w:rsid w:val="004D4F57"/>
    <w:rsid w:val="004D50F6"/>
    <w:rsid w:val="004D5A0D"/>
    <w:rsid w:val="004D6D79"/>
    <w:rsid w:val="004D72AF"/>
    <w:rsid w:val="004D7910"/>
    <w:rsid w:val="004D7DEA"/>
    <w:rsid w:val="004E058E"/>
    <w:rsid w:val="004E0A28"/>
    <w:rsid w:val="004E1A0F"/>
    <w:rsid w:val="004E2BCA"/>
    <w:rsid w:val="004E2E89"/>
    <w:rsid w:val="004E33C2"/>
    <w:rsid w:val="004E3B9A"/>
    <w:rsid w:val="004E49B0"/>
    <w:rsid w:val="004E5D4A"/>
    <w:rsid w:val="004E5D6D"/>
    <w:rsid w:val="004E60D2"/>
    <w:rsid w:val="004E62DE"/>
    <w:rsid w:val="004E6B05"/>
    <w:rsid w:val="004E6BF9"/>
    <w:rsid w:val="004E7484"/>
    <w:rsid w:val="004E76A1"/>
    <w:rsid w:val="004F05DE"/>
    <w:rsid w:val="004F1A78"/>
    <w:rsid w:val="004F2E7F"/>
    <w:rsid w:val="004F6376"/>
    <w:rsid w:val="004F6A93"/>
    <w:rsid w:val="004F6F14"/>
    <w:rsid w:val="004F728D"/>
    <w:rsid w:val="004F76D9"/>
    <w:rsid w:val="004F79A6"/>
    <w:rsid w:val="0050187B"/>
    <w:rsid w:val="00501BF5"/>
    <w:rsid w:val="00501D8B"/>
    <w:rsid w:val="00502F7C"/>
    <w:rsid w:val="005039EC"/>
    <w:rsid w:val="00503A3E"/>
    <w:rsid w:val="00503ECA"/>
    <w:rsid w:val="00503F59"/>
    <w:rsid w:val="005045A1"/>
    <w:rsid w:val="005049A7"/>
    <w:rsid w:val="005053B2"/>
    <w:rsid w:val="00506331"/>
    <w:rsid w:val="00506A48"/>
    <w:rsid w:val="0050754A"/>
    <w:rsid w:val="00507D11"/>
    <w:rsid w:val="00510662"/>
    <w:rsid w:val="005109B7"/>
    <w:rsid w:val="00510A19"/>
    <w:rsid w:val="00511988"/>
    <w:rsid w:val="00511AAB"/>
    <w:rsid w:val="00511CAD"/>
    <w:rsid w:val="00512E2E"/>
    <w:rsid w:val="0051363E"/>
    <w:rsid w:val="00514308"/>
    <w:rsid w:val="00514D10"/>
    <w:rsid w:val="00516783"/>
    <w:rsid w:val="00516A64"/>
    <w:rsid w:val="005171FB"/>
    <w:rsid w:val="00517886"/>
    <w:rsid w:val="00517EF8"/>
    <w:rsid w:val="00520083"/>
    <w:rsid w:val="0052029E"/>
    <w:rsid w:val="0052076A"/>
    <w:rsid w:val="00520A2C"/>
    <w:rsid w:val="00520E25"/>
    <w:rsid w:val="0052183D"/>
    <w:rsid w:val="00521C12"/>
    <w:rsid w:val="00522B01"/>
    <w:rsid w:val="00522F44"/>
    <w:rsid w:val="0052360A"/>
    <w:rsid w:val="00523E09"/>
    <w:rsid w:val="005242BA"/>
    <w:rsid w:val="005243B8"/>
    <w:rsid w:val="005252DD"/>
    <w:rsid w:val="00530A8D"/>
    <w:rsid w:val="00530BD4"/>
    <w:rsid w:val="00531163"/>
    <w:rsid w:val="00531C6D"/>
    <w:rsid w:val="00532EF4"/>
    <w:rsid w:val="005347CE"/>
    <w:rsid w:val="00534C54"/>
    <w:rsid w:val="00534CC9"/>
    <w:rsid w:val="00535477"/>
    <w:rsid w:val="005355F9"/>
    <w:rsid w:val="005356E2"/>
    <w:rsid w:val="00535A92"/>
    <w:rsid w:val="00535DEA"/>
    <w:rsid w:val="00536725"/>
    <w:rsid w:val="0053723A"/>
    <w:rsid w:val="00537523"/>
    <w:rsid w:val="00537636"/>
    <w:rsid w:val="00537B1D"/>
    <w:rsid w:val="00540191"/>
    <w:rsid w:val="00540A2A"/>
    <w:rsid w:val="00541F27"/>
    <w:rsid w:val="00542297"/>
    <w:rsid w:val="005424B8"/>
    <w:rsid w:val="005424BC"/>
    <w:rsid w:val="00542A28"/>
    <w:rsid w:val="005441D4"/>
    <w:rsid w:val="00544EDD"/>
    <w:rsid w:val="0054541A"/>
    <w:rsid w:val="00545B8D"/>
    <w:rsid w:val="0054672D"/>
    <w:rsid w:val="0054731C"/>
    <w:rsid w:val="00547728"/>
    <w:rsid w:val="005501BF"/>
    <w:rsid w:val="00550C4C"/>
    <w:rsid w:val="00550F4E"/>
    <w:rsid w:val="00551682"/>
    <w:rsid w:val="00551E98"/>
    <w:rsid w:val="005532B5"/>
    <w:rsid w:val="005534E2"/>
    <w:rsid w:val="00554A05"/>
    <w:rsid w:val="00555218"/>
    <w:rsid w:val="005554DE"/>
    <w:rsid w:val="00555849"/>
    <w:rsid w:val="005559A8"/>
    <w:rsid w:val="00557048"/>
    <w:rsid w:val="00557FB5"/>
    <w:rsid w:val="00561AED"/>
    <w:rsid w:val="00563D41"/>
    <w:rsid w:val="00563FA0"/>
    <w:rsid w:val="005648A8"/>
    <w:rsid w:val="00564DE3"/>
    <w:rsid w:val="00564E44"/>
    <w:rsid w:val="00566C6A"/>
    <w:rsid w:val="00566CE5"/>
    <w:rsid w:val="00566D36"/>
    <w:rsid w:val="00570703"/>
    <w:rsid w:val="0057163A"/>
    <w:rsid w:val="0057174D"/>
    <w:rsid w:val="00571BDD"/>
    <w:rsid w:val="00573510"/>
    <w:rsid w:val="00573569"/>
    <w:rsid w:val="005736A7"/>
    <w:rsid w:val="00573871"/>
    <w:rsid w:val="0057389E"/>
    <w:rsid w:val="00574A6C"/>
    <w:rsid w:val="005765C0"/>
    <w:rsid w:val="00576EB5"/>
    <w:rsid w:val="0057702D"/>
    <w:rsid w:val="0057751B"/>
    <w:rsid w:val="005778DE"/>
    <w:rsid w:val="00580B3F"/>
    <w:rsid w:val="00581535"/>
    <w:rsid w:val="005816B8"/>
    <w:rsid w:val="005825F2"/>
    <w:rsid w:val="00583052"/>
    <w:rsid w:val="0058325A"/>
    <w:rsid w:val="0058344D"/>
    <w:rsid w:val="00583885"/>
    <w:rsid w:val="005850DC"/>
    <w:rsid w:val="00585768"/>
    <w:rsid w:val="005860AF"/>
    <w:rsid w:val="005866F5"/>
    <w:rsid w:val="00586E86"/>
    <w:rsid w:val="00587AE7"/>
    <w:rsid w:val="00587F1D"/>
    <w:rsid w:val="00590348"/>
    <w:rsid w:val="00591161"/>
    <w:rsid w:val="00592318"/>
    <w:rsid w:val="00593133"/>
    <w:rsid w:val="0059575D"/>
    <w:rsid w:val="00596825"/>
    <w:rsid w:val="00597B3A"/>
    <w:rsid w:val="005A06A0"/>
    <w:rsid w:val="005A150A"/>
    <w:rsid w:val="005A1A05"/>
    <w:rsid w:val="005A2B3E"/>
    <w:rsid w:val="005A33F7"/>
    <w:rsid w:val="005A3644"/>
    <w:rsid w:val="005A3AF2"/>
    <w:rsid w:val="005A4087"/>
    <w:rsid w:val="005A4533"/>
    <w:rsid w:val="005A4B18"/>
    <w:rsid w:val="005A50FD"/>
    <w:rsid w:val="005A537E"/>
    <w:rsid w:val="005A6F43"/>
    <w:rsid w:val="005A767D"/>
    <w:rsid w:val="005A775C"/>
    <w:rsid w:val="005A7B35"/>
    <w:rsid w:val="005B00F1"/>
    <w:rsid w:val="005B0C13"/>
    <w:rsid w:val="005B0CE7"/>
    <w:rsid w:val="005B10E2"/>
    <w:rsid w:val="005B15ED"/>
    <w:rsid w:val="005B1803"/>
    <w:rsid w:val="005B1D4A"/>
    <w:rsid w:val="005B2BCD"/>
    <w:rsid w:val="005B4079"/>
    <w:rsid w:val="005B428E"/>
    <w:rsid w:val="005B5710"/>
    <w:rsid w:val="005B5B3C"/>
    <w:rsid w:val="005B6454"/>
    <w:rsid w:val="005B64CB"/>
    <w:rsid w:val="005B65C0"/>
    <w:rsid w:val="005B6AAA"/>
    <w:rsid w:val="005B7554"/>
    <w:rsid w:val="005B7C78"/>
    <w:rsid w:val="005B7E4E"/>
    <w:rsid w:val="005C0408"/>
    <w:rsid w:val="005C06FB"/>
    <w:rsid w:val="005C09D2"/>
    <w:rsid w:val="005C0FB2"/>
    <w:rsid w:val="005C1169"/>
    <w:rsid w:val="005C16E2"/>
    <w:rsid w:val="005C24EF"/>
    <w:rsid w:val="005C2796"/>
    <w:rsid w:val="005C2CC0"/>
    <w:rsid w:val="005C3C6C"/>
    <w:rsid w:val="005C3F4C"/>
    <w:rsid w:val="005C43AA"/>
    <w:rsid w:val="005C48C8"/>
    <w:rsid w:val="005C56D3"/>
    <w:rsid w:val="005C64B1"/>
    <w:rsid w:val="005C663C"/>
    <w:rsid w:val="005D0750"/>
    <w:rsid w:val="005D1023"/>
    <w:rsid w:val="005D148F"/>
    <w:rsid w:val="005D1B5D"/>
    <w:rsid w:val="005D1DE7"/>
    <w:rsid w:val="005D2AD2"/>
    <w:rsid w:val="005D3762"/>
    <w:rsid w:val="005D4A86"/>
    <w:rsid w:val="005D4F78"/>
    <w:rsid w:val="005D57DE"/>
    <w:rsid w:val="005D5EB1"/>
    <w:rsid w:val="005D6913"/>
    <w:rsid w:val="005D6A29"/>
    <w:rsid w:val="005E0481"/>
    <w:rsid w:val="005E10BF"/>
    <w:rsid w:val="005E1834"/>
    <w:rsid w:val="005E1D2A"/>
    <w:rsid w:val="005E2CA7"/>
    <w:rsid w:val="005E3B2B"/>
    <w:rsid w:val="005E49E5"/>
    <w:rsid w:val="005E4A48"/>
    <w:rsid w:val="005E4E00"/>
    <w:rsid w:val="005E5481"/>
    <w:rsid w:val="005E55E4"/>
    <w:rsid w:val="005E6C5F"/>
    <w:rsid w:val="005E7636"/>
    <w:rsid w:val="005F028E"/>
    <w:rsid w:val="005F04B4"/>
    <w:rsid w:val="005F11A4"/>
    <w:rsid w:val="005F1279"/>
    <w:rsid w:val="005F19F8"/>
    <w:rsid w:val="005F3FB1"/>
    <w:rsid w:val="005F4C33"/>
    <w:rsid w:val="005F4D29"/>
    <w:rsid w:val="005F5ACF"/>
    <w:rsid w:val="005F60DC"/>
    <w:rsid w:val="005F7979"/>
    <w:rsid w:val="005F79B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16D4"/>
    <w:rsid w:val="0061263A"/>
    <w:rsid w:val="00612C41"/>
    <w:rsid w:val="00613629"/>
    <w:rsid w:val="006145DE"/>
    <w:rsid w:val="0061478E"/>
    <w:rsid w:val="00614F25"/>
    <w:rsid w:val="00616155"/>
    <w:rsid w:val="006167F5"/>
    <w:rsid w:val="00616A11"/>
    <w:rsid w:val="00616B9B"/>
    <w:rsid w:val="00617520"/>
    <w:rsid w:val="006178F2"/>
    <w:rsid w:val="0062022D"/>
    <w:rsid w:val="00620D7C"/>
    <w:rsid w:val="00621089"/>
    <w:rsid w:val="00621832"/>
    <w:rsid w:val="00621E1F"/>
    <w:rsid w:val="006228B2"/>
    <w:rsid w:val="006228E1"/>
    <w:rsid w:val="00622AA8"/>
    <w:rsid w:val="00622E32"/>
    <w:rsid w:val="0062356B"/>
    <w:rsid w:val="00623688"/>
    <w:rsid w:val="006247E0"/>
    <w:rsid w:val="00625ABA"/>
    <w:rsid w:val="00625F82"/>
    <w:rsid w:val="00627999"/>
    <w:rsid w:val="00630FF7"/>
    <w:rsid w:val="00631214"/>
    <w:rsid w:val="006319AF"/>
    <w:rsid w:val="00633433"/>
    <w:rsid w:val="006341B5"/>
    <w:rsid w:val="006346C9"/>
    <w:rsid w:val="00634727"/>
    <w:rsid w:val="006348CF"/>
    <w:rsid w:val="00634B64"/>
    <w:rsid w:val="00634E06"/>
    <w:rsid w:val="0063578C"/>
    <w:rsid w:val="0063642C"/>
    <w:rsid w:val="0063681E"/>
    <w:rsid w:val="00636FF9"/>
    <w:rsid w:val="00640DCD"/>
    <w:rsid w:val="00641DC3"/>
    <w:rsid w:val="00642972"/>
    <w:rsid w:val="0064325A"/>
    <w:rsid w:val="00643BED"/>
    <w:rsid w:val="00644F4D"/>
    <w:rsid w:val="00645F97"/>
    <w:rsid w:val="006469B1"/>
    <w:rsid w:val="00646C0D"/>
    <w:rsid w:val="00646C30"/>
    <w:rsid w:val="006471CD"/>
    <w:rsid w:val="006476F7"/>
    <w:rsid w:val="0064779E"/>
    <w:rsid w:val="006501FA"/>
    <w:rsid w:val="006509B0"/>
    <w:rsid w:val="00651836"/>
    <w:rsid w:val="006521F3"/>
    <w:rsid w:val="006524D5"/>
    <w:rsid w:val="00652BBD"/>
    <w:rsid w:val="00653633"/>
    <w:rsid w:val="00653F69"/>
    <w:rsid w:val="00654936"/>
    <w:rsid w:val="00655485"/>
    <w:rsid w:val="006558B3"/>
    <w:rsid w:val="00655C0C"/>
    <w:rsid w:val="006575EE"/>
    <w:rsid w:val="006602DD"/>
    <w:rsid w:val="00660BF0"/>
    <w:rsid w:val="0066189C"/>
    <w:rsid w:val="006630CF"/>
    <w:rsid w:val="00663EFF"/>
    <w:rsid w:val="00664FFB"/>
    <w:rsid w:val="006664B9"/>
    <w:rsid w:val="006668D3"/>
    <w:rsid w:val="00666F74"/>
    <w:rsid w:val="006679D6"/>
    <w:rsid w:val="00667FEA"/>
    <w:rsid w:val="006710D2"/>
    <w:rsid w:val="00671A8B"/>
    <w:rsid w:val="00671F53"/>
    <w:rsid w:val="00672230"/>
    <w:rsid w:val="006725A0"/>
    <w:rsid w:val="00672BEB"/>
    <w:rsid w:val="00673E5C"/>
    <w:rsid w:val="00674628"/>
    <w:rsid w:val="0067555E"/>
    <w:rsid w:val="00677FAD"/>
    <w:rsid w:val="006802DE"/>
    <w:rsid w:val="006802FE"/>
    <w:rsid w:val="0068032D"/>
    <w:rsid w:val="00680590"/>
    <w:rsid w:val="0068068C"/>
    <w:rsid w:val="00681115"/>
    <w:rsid w:val="006815DF"/>
    <w:rsid w:val="00683920"/>
    <w:rsid w:val="00684C28"/>
    <w:rsid w:val="006850B9"/>
    <w:rsid w:val="00685147"/>
    <w:rsid w:val="006854EB"/>
    <w:rsid w:val="00685653"/>
    <w:rsid w:val="0068590D"/>
    <w:rsid w:val="00685A89"/>
    <w:rsid w:val="006861B3"/>
    <w:rsid w:val="00686FA2"/>
    <w:rsid w:val="006870C5"/>
    <w:rsid w:val="006901CE"/>
    <w:rsid w:val="006906F9"/>
    <w:rsid w:val="00690F0E"/>
    <w:rsid w:val="006911C0"/>
    <w:rsid w:val="00691B7C"/>
    <w:rsid w:val="00692200"/>
    <w:rsid w:val="00692ADF"/>
    <w:rsid w:val="00693907"/>
    <w:rsid w:val="006947A5"/>
    <w:rsid w:val="00694B73"/>
    <w:rsid w:val="00694DF2"/>
    <w:rsid w:val="00695F80"/>
    <w:rsid w:val="006966CD"/>
    <w:rsid w:val="00696735"/>
    <w:rsid w:val="00696C06"/>
    <w:rsid w:val="00696F25"/>
    <w:rsid w:val="0069780E"/>
    <w:rsid w:val="006A08D3"/>
    <w:rsid w:val="006A11C5"/>
    <w:rsid w:val="006A23E8"/>
    <w:rsid w:val="006A2CA2"/>
    <w:rsid w:val="006A3DEE"/>
    <w:rsid w:val="006A7940"/>
    <w:rsid w:val="006B2D40"/>
    <w:rsid w:val="006B311B"/>
    <w:rsid w:val="006B34DF"/>
    <w:rsid w:val="006B39B2"/>
    <w:rsid w:val="006B3A1D"/>
    <w:rsid w:val="006B3AF9"/>
    <w:rsid w:val="006B45A0"/>
    <w:rsid w:val="006B5668"/>
    <w:rsid w:val="006B5DF1"/>
    <w:rsid w:val="006B5F71"/>
    <w:rsid w:val="006B6E44"/>
    <w:rsid w:val="006B7059"/>
    <w:rsid w:val="006B7287"/>
    <w:rsid w:val="006B7499"/>
    <w:rsid w:val="006B7F2E"/>
    <w:rsid w:val="006C0BF8"/>
    <w:rsid w:val="006C1332"/>
    <w:rsid w:val="006C138B"/>
    <w:rsid w:val="006C2253"/>
    <w:rsid w:val="006C2C11"/>
    <w:rsid w:val="006C2CCB"/>
    <w:rsid w:val="006C37F1"/>
    <w:rsid w:val="006C4334"/>
    <w:rsid w:val="006C4B0F"/>
    <w:rsid w:val="006C5B69"/>
    <w:rsid w:val="006C5E96"/>
    <w:rsid w:val="006D201F"/>
    <w:rsid w:val="006D2AAB"/>
    <w:rsid w:val="006D399F"/>
    <w:rsid w:val="006D4B3F"/>
    <w:rsid w:val="006D4F0C"/>
    <w:rsid w:val="006D5645"/>
    <w:rsid w:val="006E09C6"/>
    <w:rsid w:val="006E0C8A"/>
    <w:rsid w:val="006E0FEB"/>
    <w:rsid w:val="006E1235"/>
    <w:rsid w:val="006E2A23"/>
    <w:rsid w:val="006E35E5"/>
    <w:rsid w:val="006E3C72"/>
    <w:rsid w:val="006E4F20"/>
    <w:rsid w:val="006E5305"/>
    <w:rsid w:val="006E5817"/>
    <w:rsid w:val="006E649A"/>
    <w:rsid w:val="006F03D1"/>
    <w:rsid w:val="006F08DC"/>
    <w:rsid w:val="006F1E3C"/>
    <w:rsid w:val="006F21C1"/>
    <w:rsid w:val="006F3948"/>
    <w:rsid w:val="006F4403"/>
    <w:rsid w:val="006F442B"/>
    <w:rsid w:val="006F45EC"/>
    <w:rsid w:val="006F47B8"/>
    <w:rsid w:val="006F47D2"/>
    <w:rsid w:val="006F4B04"/>
    <w:rsid w:val="006F5456"/>
    <w:rsid w:val="006F57F2"/>
    <w:rsid w:val="006F6468"/>
    <w:rsid w:val="006F71FA"/>
    <w:rsid w:val="006F7C12"/>
    <w:rsid w:val="00700247"/>
    <w:rsid w:val="00701051"/>
    <w:rsid w:val="00701E69"/>
    <w:rsid w:val="007021C2"/>
    <w:rsid w:val="00702502"/>
    <w:rsid w:val="00702624"/>
    <w:rsid w:val="007033A8"/>
    <w:rsid w:val="0070421B"/>
    <w:rsid w:val="00704380"/>
    <w:rsid w:val="007043F0"/>
    <w:rsid w:val="00704401"/>
    <w:rsid w:val="0070482E"/>
    <w:rsid w:val="00704D25"/>
    <w:rsid w:val="00706CA9"/>
    <w:rsid w:val="0070781C"/>
    <w:rsid w:val="00710519"/>
    <w:rsid w:val="007107E0"/>
    <w:rsid w:val="00710F6E"/>
    <w:rsid w:val="00711663"/>
    <w:rsid w:val="007116B4"/>
    <w:rsid w:val="00711801"/>
    <w:rsid w:val="00711996"/>
    <w:rsid w:val="00711E4E"/>
    <w:rsid w:val="007121FB"/>
    <w:rsid w:val="0071252A"/>
    <w:rsid w:val="00712580"/>
    <w:rsid w:val="00712954"/>
    <w:rsid w:val="007133E4"/>
    <w:rsid w:val="00713788"/>
    <w:rsid w:val="00713940"/>
    <w:rsid w:val="007151A2"/>
    <w:rsid w:val="00716774"/>
    <w:rsid w:val="00716DCA"/>
    <w:rsid w:val="0071740A"/>
    <w:rsid w:val="007176A8"/>
    <w:rsid w:val="007209DD"/>
    <w:rsid w:val="00721B3C"/>
    <w:rsid w:val="00721DD9"/>
    <w:rsid w:val="00722E49"/>
    <w:rsid w:val="0072300F"/>
    <w:rsid w:val="00723A08"/>
    <w:rsid w:val="00723B5C"/>
    <w:rsid w:val="00724391"/>
    <w:rsid w:val="00724C18"/>
    <w:rsid w:val="00724D10"/>
    <w:rsid w:val="00725233"/>
    <w:rsid w:val="00725FB1"/>
    <w:rsid w:val="00726630"/>
    <w:rsid w:val="00727F73"/>
    <w:rsid w:val="00730705"/>
    <w:rsid w:val="00730944"/>
    <w:rsid w:val="00731475"/>
    <w:rsid w:val="0073248E"/>
    <w:rsid w:val="00733EE9"/>
    <w:rsid w:val="00735A20"/>
    <w:rsid w:val="00735B8E"/>
    <w:rsid w:val="00736651"/>
    <w:rsid w:val="0073673C"/>
    <w:rsid w:val="00736935"/>
    <w:rsid w:val="00736A04"/>
    <w:rsid w:val="0073702F"/>
    <w:rsid w:val="007378EC"/>
    <w:rsid w:val="00737DD9"/>
    <w:rsid w:val="00742ECD"/>
    <w:rsid w:val="00742ED1"/>
    <w:rsid w:val="00743DE7"/>
    <w:rsid w:val="00743E6B"/>
    <w:rsid w:val="007448CC"/>
    <w:rsid w:val="0074509E"/>
    <w:rsid w:val="00745B9F"/>
    <w:rsid w:val="0074726F"/>
    <w:rsid w:val="007472FE"/>
    <w:rsid w:val="00752D4F"/>
    <w:rsid w:val="00754077"/>
    <w:rsid w:val="0075409F"/>
    <w:rsid w:val="00754C59"/>
    <w:rsid w:val="0075525A"/>
    <w:rsid w:val="00755609"/>
    <w:rsid w:val="00755814"/>
    <w:rsid w:val="00755986"/>
    <w:rsid w:val="00755AA3"/>
    <w:rsid w:val="00755C86"/>
    <w:rsid w:val="00755E19"/>
    <w:rsid w:val="00756BFF"/>
    <w:rsid w:val="00756D77"/>
    <w:rsid w:val="007573E8"/>
    <w:rsid w:val="00757F85"/>
    <w:rsid w:val="00760041"/>
    <w:rsid w:val="007605C7"/>
    <w:rsid w:val="00760B08"/>
    <w:rsid w:val="00760EDA"/>
    <w:rsid w:val="00761F4E"/>
    <w:rsid w:val="00762150"/>
    <w:rsid w:val="007622EA"/>
    <w:rsid w:val="00762621"/>
    <w:rsid w:val="00763F36"/>
    <w:rsid w:val="007648A0"/>
    <w:rsid w:val="00766152"/>
    <w:rsid w:val="007665E4"/>
    <w:rsid w:val="00766647"/>
    <w:rsid w:val="00766F4D"/>
    <w:rsid w:val="00770268"/>
    <w:rsid w:val="007706B9"/>
    <w:rsid w:val="007707ED"/>
    <w:rsid w:val="00771C3B"/>
    <w:rsid w:val="007726F9"/>
    <w:rsid w:val="00773B94"/>
    <w:rsid w:val="00773C65"/>
    <w:rsid w:val="00775937"/>
    <w:rsid w:val="00776DEA"/>
    <w:rsid w:val="00777046"/>
    <w:rsid w:val="007770DA"/>
    <w:rsid w:val="0077765D"/>
    <w:rsid w:val="0077796E"/>
    <w:rsid w:val="007805B9"/>
    <w:rsid w:val="00780AAC"/>
    <w:rsid w:val="00780C3A"/>
    <w:rsid w:val="007834A1"/>
    <w:rsid w:val="00784F7F"/>
    <w:rsid w:val="0078559C"/>
    <w:rsid w:val="00791EB4"/>
    <w:rsid w:val="007928F1"/>
    <w:rsid w:val="00792973"/>
    <w:rsid w:val="0079357D"/>
    <w:rsid w:val="007937CC"/>
    <w:rsid w:val="00793A31"/>
    <w:rsid w:val="0079485D"/>
    <w:rsid w:val="00794979"/>
    <w:rsid w:val="007956B7"/>
    <w:rsid w:val="00795F1A"/>
    <w:rsid w:val="00796EDE"/>
    <w:rsid w:val="00797297"/>
    <w:rsid w:val="007974B3"/>
    <w:rsid w:val="00797875"/>
    <w:rsid w:val="007A0248"/>
    <w:rsid w:val="007A076C"/>
    <w:rsid w:val="007A2140"/>
    <w:rsid w:val="007A23E2"/>
    <w:rsid w:val="007A2D4D"/>
    <w:rsid w:val="007A31A5"/>
    <w:rsid w:val="007A3FE8"/>
    <w:rsid w:val="007A411B"/>
    <w:rsid w:val="007A45E6"/>
    <w:rsid w:val="007A4B28"/>
    <w:rsid w:val="007A4F6C"/>
    <w:rsid w:val="007A5BA1"/>
    <w:rsid w:val="007A5C2C"/>
    <w:rsid w:val="007A618B"/>
    <w:rsid w:val="007A7678"/>
    <w:rsid w:val="007B0CD8"/>
    <w:rsid w:val="007B0DE0"/>
    <w:rsid w:val="007B1084"/>
    <w:rsid w:val="007B21DE"/>
    <w:rsid w:val="007B2BB9"/>
    <w:rsid w:val="007B43E8"/>
    <w:rsid w:val="007B4740"/>
    <w:rsid w:val="007B502C"/>
    <w:rsid w:val="007B5F3B"/>
    <w:rsid w:val="007C02B0"/>
    <w:rsid w:val="007C063E"/>
    <w:rsid w:val="007C141D"/>
    <w:rsid w:val="007C1901"/>
    <w:rsid w:val="007C2305"/>
    <w:rsid w:val="007C3932"/>
    <w:rsid w:val="007C3E20"/>
    <w:rsid w:val="007C42D7"/>
    <w:rsid w:val="007C49C0"/>
    <w:rsid w:val="007C55C1"/>
    <w:rsid w:val="007C5738"/>
    <w:rsid w:val="007C5772"/>
    <w:rsid w:val="007C5962"/>
    <w:rsid w:val="007C5AC3"/>
    <w:rsid w:val="007C5BD5"/>
    <w:rsid w:val="007C5CE7"/>
    <w:rsid w:val="007C7233"/>
    <w:rsid w:val="007C7C5F"/>
    <w:rsid w:val="007D10EE"/>
    <w:rsid w:val="007D1193"/>
    <w:rsid w:val="007D1855"/>
    <w:rsid w:val="007D1A86"/>
    <w:rsid w:val="007D21D5"/>
    <w:rsid w:val="007D22A1"/>
    <w:rsid w:val="007D32C9"/>
    <w:rsid w:val="007D340B"/>
    <w:rsid w:val="007D3BEC"/>
    <w:rsid w:val="007D3E8D"/>
    <w:rsid w:val="007D5915"/>
    <w:rsid w:val="007D5B4F"/>
    <w:rsid w:val="007D5C30"/>
    <w:rsid w:val="007D60AA"/>
    <w:rsid w:val="007E01E4"/>
    <w:rsid w:val="007E0660"/>
    <w:rsid w:val="007E0A54"/>
    <w:rsid w:val="007E1411"/>
    <w:rsid w:val="007E1882"/>
    <w:rsid w:val="007E1BB4"/>
    <w:rsid w:val="007E2077"/>
    <w:rsid w:val="007E3514"/>
    <w:rsid w:val="007E4207"/>
    <w:rsid w:val="007E448E"/>
    <w:rsid w:val="007E4AAA"/>
    <w:rsid w:val="007E4BD2"/>
    <w:rsid w:val="007E4C29"/>
    <w:rsid w:val="007E5E44"/>
    <w:rsid w:val="007E653B"/>
    <w:rsid w:val="007F0228"/>
    <w:rsid w:val="007F0A17"/>
    <w:rsid w:val="007F0DDA"/>
    <w:rsid w:val="007F1939"/>
    <w:rsid w:val="007F209C"/>
    <w:rsid w:val="007F365C"/>
    <w:rsid w:val="007F44F0"/>
    <w:rsid w:val="007F4A93"/>
    <w:rsid w:val="007F4F32"/>
    <w:rsid w:val="007F5066"/>
    <w:rsid w:val="007F621C"/>
    <w:rsid w:val="007F6515"/>
    <w:rsid w:val="007F7155"/>
    <w:rsid w:val="0080094D"/>
    <w:rsid w:val="00800C28"/>
    <w:rsid w:val="0080245E"/>
    <w:rsid w:val="00802E10"/>
    <w:rsid w:val="00803480"/>
    <w:rsid w:val="0080359C"/>
    <w:rsid w:val="008037AE"/>
    <w:rsid w:val="008037F6"/>
    <w:rsid w:val="008043F4"/>
    <w:rsid w:val="00804779"/>
    <w:rsid w:val="00804BB4"/>
    <w:rsid w:val="0080597D"/>
    <w:rsid w:val="00805D1A"/>
    <w:rsid w:val="00805D48"/>
    <w:rsid w:val="00805D9F"/>
    <w:rsid w:val="00807A4D"/>
    <w:rsid w:val="00807F30"/>
    <w:rsid w:val="008103DC"/>
    <w:rsid w:val="0081119F"/>
    <w:rsid w:val="0081134D"/>
    <w:rsid w:val="00811EDA"/>
    <w:rsid w:val="00812403"/>
    <w:rsid w:val="00812FD7"/>
    <w:rsid w:val="00813D3C"/>
    <w:rsid w:val="00813E50"/>
    <w:rsid w:val="00814300"/>
    <w:rsid w:val="0081481B"/>
    <w:rsid w:val="00815FCA"/>
    <w:rsid w:val="00816BFE"/>
    <w:rsid w:val="0081701E"/>
    <w:rsid w:val="00820266"/>
    <w:rsid w:val="00820623"/>
    <w:rsid w:val="00821747"/>
    <w:rsid w:val="00822498"/>
    <w:rsid w:val="008229A3"/>
    <w:rsid w:val="00822DFB"/>
    <w:rsid w:val="00822F64"/>
    <w:rsid w:val="008246C0"/>
    <w:rsid w:val="008253A6"/>
    <w:rsid w:val="00825A6B"/>
    <w:rsid w:val="00825C50"/>
    <w:rsid w:val="00826577"/>
    <w:rsid w:val="00826895"/>
    <w:rsid w:val="00827439"/>
    <w:rsid w:val="00827C79"/>
    <w:rsid w:val="00827C9D"/>
    <w:rsid w:val="00827DAC"/>
    <w:rsid w:val="0083003F"/>
    <w:rsid w:val="00830099"/>
    <w:rsid w:val="00830677"/>
    <w:rsid w:val="00831077"/>
    <w:rsid w:val="00831A4A"/>
    <w:rsid w:val="00832134"/>
    <w:rsid w:val="0083219E"/>
    <w:rsid w:val="008324B3"/>
    <w:rsid w:val="008327FA"/>
    <w:rsid w:val="0083497C"/>
    <w:rsid w:val="008352A6"/>
    <w:rsid w:val="00835B5B"/>
    <w:rsid w:val="00835CC2"/>
    <w:rsid w:val="00836539"/>
    <w:rsid w:val="008367AE"/>
    <w:rsid w:val="00836E50"/>
    <w:rsid w:val="00837391"/>
    <w:rsid w:val="00840477"/>
    <w:rsid w:val="0084121D"/>
    <w:rsid w:val="00841456"/>
    <w:rsid w:val="008418E3"/>
    <w:rsid w:val="008419C1"/>
    <w:rsid w:val="00842838"/>
    <w:rsid w:val="00844515"/>
    <w:rsid w:val="0084465A"/>
    <w:rsid w:val="00844DFF"/>
    <w:rsid w:val="00845D87"/>
    <w:rsid w:val="00845F9C"/>
    <w:rsid w:val="00846A43"/>
    <w:rsid w:val="00846C3A"/>
    <w:rsid w:val="00846F11"/>
    <w:rsid w:val="008477BF"/>
    <w:rsid w:val="00847C65"/>
    <w:rsid w:val="008503DA"/>
    <w:rsid w:val="00850570"/>
    <w:rsid w:val="008508A5"/>
    <w:rsid w:val="00850B68"/>
    <w:rsid w:val="00850E82"/>
    <w:rsid w:val="0085122D"/>
    <w:rsid w:val="008519A5"/>
    <w:rsid w:val="008519E8"/>
    <w:rsid w:val="008525FF"/>
    <w:rsid w:val="00852B65"/>
    <w:rsid w:val="00852C03"/>
    <w:rsid w:val="0085324D"/>
    <w:rsid w:val="008538B0"/>
    <w:rsid w:val="00853994"/>
    <w:rsid w:val="0085590C"/>
    <w:rsid w:val="008575EB"/>
    <w:rsid w:val="00862223"/>
    <w:rsid w:val="00862CC7"/>
    <w:rsid w:val="00862DDD"/>
    <w:rsid w:val="0086312D"/>
    <w:rsid w:val="0086326D"/>
    <w:rsid w:val="00863A81"/>
    <w:rsid w:val="00863CC1"/>
    <w:rsid w:val="00863ECB"/>
    <w:rsid w:val="00865B01"/>
    <w:rsid w:val="00866D7A"/>
    <w:rsid w:val="00866EE3"/>
    <w:rsid w:val="008674BB"/>
    <w:rsid w:val="00867817"/>
    <w:rsid w:val="00867D7D"/>
    <w:rsid w:val="00870C11"/>
    <w:rsid w:val="00871F04"/>
    <w:rsid w:val="00872D68"/>
    <w:rsid w:val="008746C1"/>
    <w:rsid w:val="00880224"/>
    <w:rsid w:val="00881D1D"/>
    <w:rsid w:val="0088244C"/>
    <w:rsid w:val="00883367"/>
    <w:rsid w:val="00884127"/>
    <w:rsid w:val="00884191"/>
    <w:rsid w:val="00884C47"/>
    <w:rsid w:val="00885E6F"/>
    <w:rsid w:val="008861AC"/>
    <w:rsid w:val="008868E4"/>
    <w:rsid w:val="00886A60"/>
    <w:rsid w:val="0088759B"/>
    <w:rsid w:val="008909B4"/>
    <w:rsid w:val="00891515"/>
    <w:rsid w:val="008922E8"/>
    <w:rsid w:val="0089246E"/>
    <w:rsid w:val="0089312D"/>
    <w:rsid w:val="008938E8"/>
    <w:rsid w:val="00893916"/>
    <w:rsid w:val="00893FE4"/>
    <w:rsid w:val="0089442C"/>
    <w:rsid w:val="00895818"/>
    <w:rsid w:val="00895E25"/>
    <w:rsid w:val="00897184"/>
    <w:rsid w:val="008A1941"/>
    <w:rsid w:val="008A2585"/>
    <w:rsid w:val="008A2718"/>
    <w:rsid w:val="008A3306"/>
    <w:rsid w:val="008A4CF6"/>
    <w:rsid w:val="008A4E42"/>
    <w:rsid w:val="008A51AA"/>
    <w:rsid w:val="008A6A12"/>
    <w:rsid w:val="008B0DC6"/>
    <w:rsid w:val="008B2B9E"/>
    <w:rsid w:val="008B31F5"/>
    <w:rsid w:val="008B4C79"/>
    <w:rsid w:val="008B5D2D"/>
    <w:rsid w:val="008B6361"/>
    <w:rsid w:val="008B7FF2"/>
    <w:rsid w:val="008C0320"/>
    <w:rsid w:val="008C2A81"/>
    <w:rsid w:val="008C3493"/>
    <w:rsid w:val="008C3863"/>
    <w:rsid w:val="008C3B6B"/>
    <w:rsid w:val="008C4BDC"/>
    <w:rsid w:val="008C50FF"/>
    <w:rsid w:val="008C5435"/>
    <w:rsid w:val="008C5800"/>
    <w:rsid w:val="008C6BD1"/>
    <w:rsid w:val="008D2DB5"/>
    <w:rsid w:val="008D3F10"/>
    <w:rsid w:val="008D4BCD"/>
    <w:rsid w:val="008D5CBD"/>
    <w:rsid w:val="008D611D"/>
    <w:rsid w:val="008D6D0B"/>
    <w:rsid w:val="008D7089"/>
    <w:rsid w:val="008D70DA"/>
    <w:rsid w:val="008E0493"/>
    <w:rsid w:val="008E1B6A"/>
    <w:rsid w:val="008E3054"/>
    <w:rsid w:val="008E32FF"/>
    <w:rsid w:val="008E4202"/>
    <w:rsid w:val="008E4CE1"/>
    <w:rsid w:val="008E5625"/>
    <w:rsid w:val="008E5C5B"/>
    <w:rsid w:val="008E6A37"/>
    <w:rsid w:val="008E7DA5"/>
    <w:rsid w:val="008F0354"/>
    <w:rsid w:val="008F085A"/>
    <w:rsid w:val="008F09C7"/>
    <w:rsid w:val="008F10D4"/>
    <w:rsid w:val="008F1462"/>
    <w:rsid w:val="008F20F6"/>
    <w:rsid w:val="008F2413"/>
    <w:rsid w:val="008F248D"/>
    <w:rsid w:val="008F285E"/>
    <w:rsid w:val="008F3D9A"/>
    <w:rsid w:val="008F4B2C"/>
    <w:rsid w:val="008F4C08"/>
    <w:rsid w:val="008F6851"/>
    <w:rsid w:val="008F6D1F"/>
    <w:rsid w:val="008F6D5F"/>
    <w:rsid w:val="008F71EF"/>
    <w:rsid w:val="008F7BC4"/>
    <w:rsid w:val="009003B8"/>
    <w:rsid w:val="00900E7A"/>
    <w:rsid w:val="009013B5"/>
    <w:rsid w:val="00903E11"/>
    <w:rsid w:val="00903EBE"/>
    <w:rsid w:val="009041DE"/>
    <w:rsid w:val="00905D59"/>
    <w:rsid w:val="009062CA"/>
    <w:rsid w:val="00906463"/>
    <w:rsid w:val="009071D4"/>
    <w:rsid w:val="00907631"/>
    <w:rsid w:val="00907776"/>
    <w:rsid w:val="00907865"/>
    <w:rsid w:val="0091043B"/>
    <w:rsid w:val="00913401"/>
    <w:rsid w:val="00913567"/>
    <w:rsid w:val="009137B6"/>
    <w:rsid w:val="009142CB"/>
    <w:rsid w:val="00914D1F"/>
    <w:rsid w:val="00915C63"/>
    <w:rsid w:val="00915EBA"/>
    <w:rsid w:val="00917093"/>
    <w:rsid w:val="0091740D"/>
    <w:rsid w:val="0092030E"/>
    <w:rsid w:val="009206FF"/>
    <w:rsid w:val="00921423"/>
    <w:rsid w:val="0092151E"/>
    <w:rsid w:val="009217B1"/>
    <w:rsid w:val="009219F6"/>
    <w:rsid w:val="00921A42"/>
    <w:rsid w:val="00921C2B"/>
    <w:rsid w:val="009223BB"/>
    <w:rsid w:val="00922491"/>
    <w:rsid w:val="00922494"/>
    <w:rsid w:val="00923BCF"/>
    <w:rsid w:val="00924649"/>
    <w:rsid w:val="00925AEC"/>
    <w:rsid w:val="0092751A"/>
    <w:rsid w:val="0093023D"/>
    <w:rsid w:val="009305C4"/>
    <w:rsid w:val="00930833"/>
    <w:rsid w:val="00931FAF"/>
    <w:rsid w:val="00932478"/>
    <w:rsid w:val="0093292B"/>
    <w:rsid w:val="009330E6"/>
    <w:rsid w:val="009360F6"/>
    <w:rsid w:val="00936B8C"/>
    <w:rsid w:val="00936FA1"/>
    <w:rsid w:val="009371DC"/>
    <w:rsid w:val="0093759D"/>
    <w:rsid w:val="00940239"/>
    <w:rsid w:val="00942BD6"/>
    <w:rsid w:val="00942DED"/>
    <w:rsid w:val="00944404"/>
    <w:rsid w:val="009452D7"/>
    <w:rsid w:val="009452DB"/>
    <w:rsid w:val="00945D12"/>
    <w:rsid w:val="00945FD1"/>
    <w:rsid w:val="0094647F"/>
    <w:rsid w:val="00946CCC"/>
    <w:rsid w:val="009471F1"/>
    <w:rsid w:val="009503E5"/>
    <w:rsid w:val="00950C90"/>
    <w:rsid w:val="00950F71"/>
    <w:rsid w:val="00952F2C"/>
    <w:rsid w:val="00953086"/>
    <w:rsid w:val="009532E3"/>
    <w:rsid w:val="00953615"/>
    <w:rsid w:val="00953D53"/>
    <w:rsid w:val="00954AC7"/>
    <w:rsid w:val="00954BAF"/>
    <w:rsid w:val="00954FE6"/>
    <w:rsid w:val="00955F48"/>
    <w:rsid w:val="009560B3"/>
    <w:rsid w:val="00956E9F"/>
    <w:rsid w:val="0095745E"/>
    <w:rsid w:val="00957CE0"/>
    <w:rsid w:val="0096002E"/>
    <w:rsid w:val="00960166"/>
    <w:rsid w:val="0096039E"/>
    <w:rsid w:val="00961982"/>
    <w:rsid w:val="00962CEF"/>
    <w:rsid w:val="00963766"/>
    <w:rsid w:val="00963FDF"/>
    <w:rsid w:val="00964C32"/>
    <w:rsid w:val="0096528F"/>
    <w:rsid w:val="009653F2"/>
    <w:rsid w:val="00965B0D"/>
    <w:rsid w:val="009661DF"/>
    <w:rsid w:val="009667BD"/>
    <w:rsid w:val="00967C2B"/>
    <w:rsid w:val="00967CE2"/>
    <w:rsid w:val="00970F12"/>
    <w:rsid w:val="009714D1"/>
    <w:rsid w:val="00971DA3"/>
    <w:rsid w:val="00972161"/>
    <w:rsid w:val="0097261B"/>
    <w:rsid w:val="00973445"/>
    <w:rsid w:val="00974254"/>
    <w:rsid w:val="009743C3"/>
    <w:rsid w:val="00974881"/>
    <w:rsid w:val="0097606C"/>
    <w:rsid w:val="00976E38"/>
    <w:rsid w:val="009771D1"/>
    <w:rsid w:val="00977323"/>
    <w:rsid w:val="00977B08"/>
    <w:rsid w:val="0098012D"/>
    <w:rsid w:val="00980845"/>
    <w:rsid w:val="0098186A"/>
    <w:rsid w:val="00981BD9"/>
    <w:rsid w:val="0098225F"/>
    <w:rsid w:val="0098317F"/>
    <w:rsid w:val="009838B0"/>
    <w:rsid w:val="00983A3C"/>
    <w:rsid w:val="00983EFA"/>
    <w:rsid w:val="00984C15"/>
    <w:rsid w:val="00987829"/>
    <w:rsid w:val="00987F7A"/>
    <w:rsid w:val="00990F45"/>
    <w:rsid w:val="00991276"/>
    <w:rsid w:val="009923E7"/>
    <w:rsid w:val="00992697"/>
    <w:rsid w:val="00992D4E"/>
    <w:rsid w:val="009934BB"/>
    <w:rsid w:val="00993DB2"/>
    <w:rsid w:val="009941C8"/>
    <w:rsid w:val="00994621"/>
    <w:rsid w:val="009947FF"/>
    <w:rsid w:val="0099544B"/>
    <w:rsid w:val="009957B2"/>
    <w:rsid w:val="00996BCC"/>
    <w:rsid w:val="009A07A6"/>
    <w:rsid w:val="009A0D56"/>
    <w:rsid w:val="009A10DB"/>
    <w:rsid w:val="009A1733"/>
    <w:rsid w:val="009A31B9"/>
    <w:rsid w:val="009A4BCD"/>
    <w:rsid w:val="009A4D4F"/>
    <w:rsid w:val="009A53D8"/>
    <w:rsid w:val="009A597F"/>
    <w:rsid w:val="009A5BEE"/>
    <w:rsid w:val="009A7B72"/>
    <w:rsid w:val="009A7F27"/>
    <w:rsid w:val="009A7F49"/>
    <w:rsid w:val="009B03C4"/>
    <w:rsid w:val="009B0AA2"/>
    <w:rsid w:val="009B1D02"/>
    <w:rsid w:val="009B41A8"/>
    <w:rsid w:val="009B554B"/>
    <w:rsid w:val="009B6366"/>
    <w:rsid w:val="009B7133"/>
    <w:rsid w:val="009B71FA"/>
    <w:rsid w:val="009B7658"/>
    <w:rsid w:val="009B7CD1"/>
    <w:rsid w:val="009B7E22"/>
    <w:rsid w:val="009B7E78"/>
    <w:rsid w:val="009C048D"/>
    <w:rsid w:val="009C10FE"/>
    <w:rsid w:val="009C13BC"/>
    <w:rsid w:val="009C18A5"/>
    <w:rsid w:val="009C1CA4"/>
    <w:rsid w:val="009C2532"/>
    <w:rsid w:val="009C2BA4"/>
    <w:rsid w:val="009C5691"/>
    <w:rsid w:val="009C6091"/>
    <w:rsid w:val="009C634F"/>
    <w:rsid w:val="009C7B12"/>
    <w:rsid w:val="009D0047"/>
    <w:rsid w:val="009D0219"/>
    <w:rsid w:val="009D0D55"/>
    <w:rsid w:val="009D2295"/>
    <w:rsid w:val="009D22A1"/>
    <w:rsid w:val="009D2511"/>
    <w:rsid w:val="009D2D09"/>
    <w:rsid w:val="009D3D00"/>
    <w:rsid w:val="009D3E7C"/>
    <w:rsid w:val="009D450B"/>
    <w:rsid w:val="009D55CA"/>
    <w:rsid w:val="009D5661"/>
    <w:rsid w:val="009D582A"/>
    <w:rsid w:val="009D58CA"/>
    <w:rsid w:val="009D5EF0"/>
    <w:rsid w:val="009D6401"/>
    <w:rsid w:val="009D6E99"/>
    <w:rsid w:val="009E0711"/>
    <w:rsid w:val="009E085F"/>
    <w:rsid w:val="009E176E"/>
    <w:rsid w:val="009E1917"/>
    <w:rsid w:val="009E1A20"/>
    <w:rsid w:val="009E1C55"/>
    <w:rsid w:val="009E3594"/>
    <w:rsid w:val="009E3873"/>
    <w:rsid w:val="009E4E02"/>
    <w:rsid w:val="009E6B77"/>
    <w:rsid w:val="009E7724"/>
    <w:rsid w:val="009E7D1F"/>
    <w:rsid w:val="009F1D82"/>
    <w:rsid w:val="009F25C3"/>
    <w:rsid w:val="009F37AA"/>
    <w:rsid w:val="009F544C"/>
    <w:rsid w:val="009F5499"/>
    <w:rsid w:val="009F5731"/>
    <w:rsid w:val="009F58FA"/>
    <w:rsid w:val="009F6321"/>
    <w:rsid w:val="009F6378"/>
    <w:rsid w:val="009F67DF"/>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0EA"/>
    <w:rsid w:val="00A12711"/>
    <w:rsid w:val="00A127A7"/>
    <w:rsid w:val="00A129F4"/>
    <w:rsid w:val="00A136F4"/>
    <w:rsid w:val="00A137BE"/>
    <w:rsid w:val="00A13F61"/>
    <w:rsid w:val="00A13FBB"/>
    <w:rsid w:val="00A160D3"/>
    <w:rsid w:val="00A160D4"/>
    <w:rsid w:val="00A16DC9"/>
    <w:rsid w:val="00A20225"/>
    <w:rsid w:val="00A22662"/>
    <w:rsid w:val="00A22C4C"/>
    <w:rsid w:val="00A24269"/>
    <w:rsid w:val="00A243E4"/>
    <w:rsid w:val="00A25392"/>
    <w:rsid w:val="00A25ED4"/>
    <w:rsid w:val="00A263DF"/>
    <w:rsid w:val="00A26C5C"/>
    <w:rsid w:val="00A27665"/>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379"/>
    <w:rsid w:val="00A4376E"/>
    <w:rsid w:val="00A439ED"/>
    <w:rsid w:val="00A4572B"/>
    <w:rsid w:val="00A458E7"/>
    <w:rsid w:val="00A46246"/>
    <w:rsid w:val="00A46349"/>
    <w:rsid w:val="00A46D5E"/>
    <w:rsid w:val="00A472FD"/>
    <w:rsid w:val="00A50847"/>
    <w:rsid w:val="00A512C7"/>
    <w:rsid w:val="00A51388"/>
    <w:rsid w:val="00A517F5"/>
    <w:rsid w:val="00A51870"/>
    <w:rsid w:val="00A525EF"/>
    <w:rsid w:val="00A52EBB"/>
    <w:rsid w:val="00A540DA"/>
    <w:rsid w:val="00A544FD"/>
    <w:rsid w:val="00A54BFF"/>
    <w:rsid w:val="00A54C63"/>
    <w:rsid w:val="00A54FBB"/>
    <w:rsid w:val="00A555D5"/>
    <w:rsid w:val="00A55BB1"/>
    <w:rsid w:val="00A55D71"/>
    <w:rsid w:val="00A55FD6"/>
    <w:rsid w:val="00A5619C"/>
    <w:rsid w:val="00A564CD"/>
    <w:rsid w:val="00A564CE"/>
    <w:rsid w:val="00A5675F"/>
    <w:rsid w:val="00A56BCF"/>
    <w:rsid w:val="00A5743D"/>
    <w:rsid w:val="00A60D6F"/>
    <w:rsid w:val="00A61009"/>
    <w:rsid w:val="00A61762"/>
    <w:rsid w:val="00A61938"/>
    <w:rsid w:val="00A61CFD"/>
    <w:rsid w:val="00A626E4"/>
    <w:rsid w:val="00A62B86"/>
    <w:rsid w:val="00A63C96"/>
    <w:rsid w:val="00A6576F"/>
    <w:rsid w:val="00A65805"/>
    <w:rsid w:val="00A66BEE"/>
    <w:rsid w:val="00A66F8A"/>
    <w:rsid w:val="00A67114"/>
    <w:rsid w:val="00A671C9"/>
    <w:rsid w:val="00A67DFD"/>
    <w:rsid w:val="00A71AD2"/>
    <w:rsid w:val="00A74F9F"/>
    <w:rsid w:val="00A750B3"/>
    <w:rsid w:val="00A75559"/>
    <w:rsid w:val="00A75F52"/>
    <w:rsid w:val="00A76019"/>
    <w:rsid w:val="00A7623D"/>
    <w:rsid w:val="00A77E0F"/>
    <w:rsid w:val="00A80B2A"/>
    <w:rsid w:val="00A8217C"/>
    <w:rsid w:val="00A824A7"/>
    <w:rsid w:val="00A83644"/>
    <w:rsid w:val="00A8367C"/>
    <w:rsid w:val="00A83C07"/>
    <w:rsid w:val="00A83F40"/>
    <w:rsid w:val="00A84945"/>
    <w:rsid w:val="00A85543"/>
    <w:rsid w:val="00A85663"/>
    <w:rsid w:val="00A86E45"/>
    <w:rsid w:val="00A86EDD"/>
    <w:rsid w:val="00A8728B"/>
    <w:rsid w:val="00A87E84"/>
    <w:rsid w:val="00A9069D"/>
    <w:rsid w:val="00A91682"/>
    <w:rsid w:val="00A916A2"/>
    <w:rsid w:val="00A92125"/>
    <w:rsid w:val="00A92E4A"/>
    <w:rsid w:val="00A94348"/>
    <w:rsid w:val="00A958CA"/>
    <w:rsid w:val="00A95E2F"/>
    <w:rsid w:val="00A95FA7"/>
    <w:rsid w:val="00A966B6"/>
    <w:rsid w:val="00A9698D"/>
    <w:rsid w:val="00A96B46"/>
    <w:rsid w:val="00AA003B"/>
    <w:rsid w:val="00AA016B"/>
    <w:rsid w:val="00AA0FA0"/>
    <w:rsid w:val="00AA12D1"/>
    <w:rsid w:val="00AA15DD"/>
    <w:rsid w:val="00AA1C09"/>
    <w:rsid w:val="00AA2F67"/>
    <w:rsid w:val="00AA3419"/>
    <w:rsid w:val="00AA3569"/>
    <w:rsid w:val="00AA5F4C"/>
    <w:rsid w:val="00AA611F"/>
    <w:rsid w:val="00AA615C"/>
    <w:rsid w:val="00AA6276"/>
    <w:rsid w:val="00AA6711"/>
    <w:rsid w:val="00AA6E49"/>
    <w:rsid w:val="00AA7E91"/>
    <w:rsid w:val="00AB08A5"/>
    <w:rsid w:val="00AB2671"/>
    <w:rsid w:val="00AB2AEC"/>
    <w:rsid w:val="00AB2DC1"/>
    <w:rsid w:val="00AB3102"/>
    <w:rsid w:val="00AB3A9A"/>
    <w:rsid w:val="00AB3BEC"/>
    <w:rsid w:val="00AB3D8D"/>
    <w:rsid w:val="00AB3D9A"/>
    <w:rsid w:val="00AB4824"/>
    <w:rsid w:val="00AB4B1D"/>
    <w:rsid w:val="00AB50CE"/>
    <w:rsid w:val="00AB6B5E"/>
    <w:rsid w:val="00AB7406"/>
    <w:rsid w:val="00AC047F"/>
    <w:rsid w:val="00AC0B8C"/>
    <w:rsid w:val="00AC0DB2"/>
    <w:rsid w:val="00AC2E3D"/>
    <w:rsid w:val="00AC379A"/>
    <w:rsid w:val="00AC3934"/>
    <w:rsid w:val="00AC50C8"/>
    <w:rsid w:val="00AC5581"/>
    <w:rsid w:val="00AC56AD"/>
    <w:rsid w:val="00AC5F5D"/>
    <w:rsid w:val="00AC61BE"/>
    <w:rsid w:val="00AC7715"/>
    <w:rsid w:val="00AC7E2D"/>
    <w:rsid w:val="00AC7E8A"/>
    <w:rsid w:val="00AD0C8A"/>
    <w:rsid w:val="00AD0CB4"/>
    <w:rsid w:val="00AD125A"/>
    <w:rsid w:val="00AD1FF2"/>
    <w:rsid w:val="00AD2A21"/>
    <w:rsid w:val="00AD3B43"/>
    <w:rsid w:val="00AD4EE3"/>
    <w:rsid w:val="00AD4FF2"/>
    <w:rsid w:val="00AD503B"/>
    <w:rsid w:val="00AD506C"/>
    <w:rsid w:val="00AD6BE5"/>
    <w:rsid w:val="00AD6D3A"/>
    <w:rsid w:val="00AD783E"/>
    <w:rsid w:val="00AE0A8E"/>
    <w:rsid w:val="00AE1393"/>
    <w:rsid w:val="00AE2A0A"/>
    <w:rsid w:val="00AE3286"/>
    <w:rsid w:val="00AE3BC6"/>
    <w:rsid w:val="00AE3F20"/>
    <w:rsid w:val="00AE4D4F"/>
    <w:rsid w:val="00AE5A5B"/>
    <w:rsid w:val="00AE627C"/>
    <w:rsid w:val="00AE62B0"/>
    <w:rsid w:val="00AE67B3"/>
    <w:rsid w:val="00AE68A2"/>
    <w:rsid w:val="00AE71AB"/>
    <w:rsid w:val="00AF0029"/>
    <w:rsid w:val="00AF0354"/>
    <w:rsid w:val="00AF1236"/>
    <w:rsid w:val="00AF1369"/>
    <w:rsid w:val="00AF1CF6"/>
    <w:rsid w:val="00AF31D2"/>
    <w:rsid w:val="00AF3C29"/>
    <w:rsid w:val="00AF40A2"/>
    <w:rsid w:val="00AF4401"/>
    <w:rsid w:val="00AF4463"/>
    <w:rsid w:val="00AF502B"/>
    <w:rsid w:val="00AF53CB"/>
    <w:rsid w:val="00AF65C5"/>
    <w:rsid w:val="00AF6B6F"/>
    <w:rsid w:val="00B01261"/>
    <w:rsid w:val="00B02112"/>
    <w:rsid w:val="00B027E6"/>
    <w:rsid w:val="00B03087"/>
    <w:rsid w:val="00B03CE2"/>
    <w:rsid w:val="00B06544"/>
    <w:rsid w:val="00B105F2"/>
    <w:rsid w:val="00B10991"/>
    <w:rsid w:val="00B12128"/>
    <w:rsid w:val="00B12945"/>
    <w:rsid w:val="00B12C1E"/>
    <w:rsid w:val="00B1467D"/>
    <w:rsid w:val="00B155DF"/>
    <w:rsid w:val="00B156CF"/>
    <w:rsid w:val="00B1570E"/>
    <w:rsid w:val="00B15C40"/>
    <w:rsid w:val="00B176B9"/>
    <w:rsid w:val="00B17AD5"/>
    <w:rsid w:val="00B17DC8"/>
    <w:rsid w:val="00B17E1E"/>
    <w:rsid w:val="00B20631"/>
    <w:rsid w:val="00B207F1"/>
    <w:rsid w:val="00B20A42"/>
    <w:rsid w:val="00B20BDE"/>
    <w:rsid w:val="00B20C41"/>
    <w:rsid w:val="00B2138D"/>
    <w:rsid w:val="00B21768"/>
    <w:rsid w:val="00B2282B"/>
    <w:rsid w:val="00B23F86"/>
    <w:rsid w:val="00B248A0"/>
    <w:rsid w:val="00B24B42"/>
    <w:rsid w:val="00B24DC6"/>
    <w:rsid w:val="00B24E30"/>
    <w:rsid w:val="00B258F3"/>
    <w:rsid w:val="00B25E0D"/>
    <w:rsid w:val="00B2659C"/>
    <w:rsid w:val="00B26B13"/>
    <w:rsid w:val="00B26BD2"/>
    <w:rsid w:val="00B26FD7"/>
    <w:rsid w:val="00B270AB"/>
    <w:rsid w:val="00B2725B"/>
    <w:rsid w:val="00B306CD"/>
    <w:rsid w:val="00B306FC"/>
    <w:rsid w:val="00B309D2"/>
    <w:rsid w:val="00B30E4F"/>
    <w:rsid w:val="00B3124F"/>
    <w:rsid w:val="00B33294"/>
    <w:rsid w:val="00B33657"/>
    <w:rsid w:val="00B34885"/>
    <w:rsid w:val="00B34D68"/>
    <w:rsid w:val="00B35F56"/>
    <w:rsid w:val="00B36117"/>
    <w:rsid w:val="00B362E3"/>
    <w:rsid w:val="00B37C73"/>
    <w:rsid w:val="00B4009B"/>
    <w:rsid w:val="00B400A1"/>
    <w:rsid w:val="00B40A2B"/>
    <w:rsid w:val="00B40C44"/>
    <w:rsid w:val="00B40FEE"/>
    <w:rsid w:val="00B420CB"/>
    <w:rsid w:val="00B436B6"/>
    <w:rsid w:val="00B43DA9"/>
    <w:rsid w:val="00B4401C"/>
    <w:rsid w:val="00B44802"/>
    <w:rsid w:val="00B44A96"/>
    <w:rsid w:val="00B455D1"/>
    <w:rsid w:val="00B46135"/>
    <w:rsid w:val="00B472AB"/>
    <w:rsid w:val="00B47CE4"/>
    <w:rsid w:val="00B503A8"/>
    <w:rsid w:val="00B5121D"/>
    <w:rsid w:val="00B525C0"/>
    <w:rsid w:val="00B52FAB"/>
    <w:rsid w:val="00B5319A"/>
    <w:rsid w:val="00B539F9"/>
    <w:rsid w:val="00B53A4A"/>
    <w:rsid w:val="00B53E56"/>
    <w:rsid w:val="00B546C3"/>
    <w:rsid w:val="00B54BD9"/>
    <w:rsid w:val="00B5503C"/>
    <w:rsid w:val="00B55640"/>
    <w:rsid w:val="00B55C57"/>
    <w:rsid w:val="00B5645F"/>
    <w:rsid w:val="00B56BF6"/>
    <w:rsid w:val="00B57107"/>
    <w:rsid w:val="00B60033"/>
    <w:rsid w:val="00B60D27"/>
    <w:rsid w:val="00B619E4"/>
    <w:rsid w:val="00B61CD3"/>
    <w:rsid w:val="00B61D0B"/>
    <w:rsid w:val="00B62126"/>
    <w:rsid w:val="00B628E6"/>
    <w:rsid w:val="00B6351C"/>
    <w:rsid w:val="00B638A6"/>
    <w:rsid w:val="00B638F3"/>
    <w:rsid w:val="00B6439A"/>
    <w:rsid w:val="00B6443B"/>
    <w:rsid w:val="00B6517B"/>
    <w:rsid w:val="00B658A2"/>
    <w:rsid w:val="00B65E71"/>
    <w:rsid w:val="00B66BC3"/>
    <w:rsid w:val="00B66C26"/>
    <w:rsid w:val="00B675CC"/>
    <w:rsid w:val="00B67829"/>
    <w:rsid w:val="00B67E9D"/>
    <w:rsid w:val="00B71A81"/>
    <w:rsid w:val="00B71FB3"/>
    <w:rsid w:val="00B724A3"/>
    <w:rsid w:val="00B73492"/>
    <w:rsid w:val="00B744D6"/>
    <w:rsid w:val="00B7512A"/>
    <w:rsid w:val="00B76548"/>
    <w:rsid w:val="00B76BED"/>
    <w:rsid w:val="00B77DF1"/>
    <w:rsid w:val="00B806E6"/>
    <w:rsid w:val="00B80CFD"/>
    <w:rsid w:val="00B81042"/>
    <w:rsid w:val="00B81F1C"/>
    <w:rsid w:val="00B81FB3"/>
    <w:rsid w:val="00B82766"/>
    <w:rsid w:val="00B82DC1"/>
    <w:rsid w:val="00B8338E"/>
    <w:rsid w:val="00B835D5"/>
    <w:rsid w:val="00B83660"/>
    <w:rsid w:val="00B84028"/>
    <w:rsid w:val="00B84307"/>
    <w:rsid w:val="00B8430D"/>
    <w:rsid w:val="00B85661"/>
    <w:rsid w:val="00B85C8A"/>
    <w:rsid w:val="00B86FBD"/>
    <w:rsid w:val="00B908A7"/>
    <w:rsid w:val="00B90C16"/>
    <w:rsid w:val="00B91B86"/>
    <w:rsid w:val="00B927CA"/>
    <w:rsid w:val="00B928AE"/>
    <w:rsid w:val="00B93CB9"/>
    <w:rsid w:val="00B93CDA"/>
    <w:rsid w:val="00B93F39"/>
    <w:rsid w:val="00B942E9"/>
    <w:rsid w:val="00B9433A"/>
    <w:rsid w:val="00B948EE"/>
    <w:rsid w:val="00B94B56"/>
    <w:rsid w:val="00B94BF3"/>
    <w:rsid w:val="00B94F90"/>
    <w:rsid w:val="00B954D3"/>
    <w:rsid w:val="00B95DC5"/>
    <w:rsid w:val="00B96E28"/>
    <w:rsid w:val="00B97E34"/>
    <w:rsid w:val="00B97FEF"/>
    <w:rsid w:val="00BA0360"/>
    <w:rsid w:val="00BA1354"/>
    <w:rsid w:val="00BA24F8"/>
    <w:rsid w:val="00BA279F"/>
    <w:rsid w:val="00BA31AA"/>
    <w:rsid w:val="00BA45D8"/>
    <w:rsid w:val="00BA5828"/>
    <w:rsid w:val="00BA64B3"/>
    <w:rsid w:val="00BA6637"/>
    <w:rsid w:val="00BA754A"/>
    <w:rsid w:val="00BA7820"/>
    <w:rsid w:val="00BA794C"/>
    <w:rsid w:val="00BB08AA"/>
    <w:rsid w:val="00BB09FB"/>
    <w:rsid w:val="00BB1973"/>
    <w:rsid w:val="00BB20E8"/>
    <w:rsid w:val="00BB222D"/>
    <w:rsid w:val="00BB238D"/>
    <w:rsid w:val="00BB37CC"/>
    <w:rsid w:val="00BB3FA7"/>
    <w:rsid w:val="00BB48C4"/>
    <w:rsid w:val="00BB6907"/>
    <w:rsid w:val="00BB7A20"/>
    <w:rsid w:val="00BC0246"/>
    <w:rsid w:val="00BC0EAB"/>
    <w:rsid w:val="00BC15B1"/>
    <w:rsid w:val="00BC3C06"/>
    <w:rsid w:val="00BC4177"/>
    <w:rsid w:val="00BC4E8B"/>
    <w:rsid w:val="00BC4F87"/>
    <w:rsid w:val="00BC517E"/>
    <w:rsid w:val="00BC5622"/>
    <w:rsid w:val="00BC6060"/>
    <w:rsid w:val="00BC6A9F"/>
    <w:rsid w:val="00BC7897"/>
    <w:rsid w:val="00BD06D7"/>
    <w:rsid w:val="00BD0F35"/>
    <w:rsid w:val="00BD257A"/>
    <w:rsid w:val="00BD45A4"/>
    <w:rsid w:val="00BD4A5F"/>
    <w:rsid w:val="00BD59AA"/>
    <w:rsid w:val="00BD65E6"/>
    <w:rsid w:val="00BD6A0B"/>
    <w:rsid w:val="00BD6AF7"/>
    <w:rsid w:val="00BD73AA"/>
    <w:rsid w:val="00BE02A2"/>
    <w:rsid w:val="00BE0D07"/>
    <w:rsid w:val="00BE19EF"/>
    <w:rsid w:val="00BE2C23"/>
    <w:rsid w:val="00BE36FF"/>
    <w:rsid w:val="00BE3BBD"/>
    <w:rsid w:val="00BE425B"/>
    <w:rsid w:val="00BE42B4"/>
    <w:rsid w:val="00BE4A98"/>
    <w:rsid w:val="00BE51BB"/>
    <w:rsid w:val="00BE5B43"/>
    <w:rsid w:val="00BE7595"/>
    <w:rsid w:val="00BE77D3"/>
    <w:rsid w:val="00BF0138"/>
    <w:rsid w:val="00BF114B"/>
    <w:rsid w:val="00BF1620"/>
    <w:rsid w:val="00BF1A76"/>
    <w:rsid w:val="00BF1AC3"/>
    <w:rsid w:val="00BF372A"/>
    <w:rsid w:val="00BF373A"/>
    <w:rsid w:val="00BF409D"/>
    <w:rsid w:val="00BF62D2"/>
    <w:rsid w:val="00BF6D4E"/>
    <w:rsid w:val="00BF6D9E"/>
    <w:rsid w:val="00BF71BB"/>
    <w:rsid w:val="00BF71F8"/>
    <w:rsid w:val="00BF76F7"/>
    <w:rsid w:val="00BF7C9F"/>
    <w:rsid w:val="00C00012"/>
    <w:rsid w:val="00C000A5"/>
    <w:rsid w:val="00C006B4"/>
    <w:rsid w:val="00C00938"/>
    <w:rsid w:val="00C00E2A"/>
    <w:rsid w:val="00C01037"/>
    <w:rsid w:val="00C020F5"/>
    <w:rsid w:val="00C02140"/>
    <w:rsid w:val="00C025B9"/>
    <w:rsid w:val="00C03A7C"/>
    <w:rsid w:val="00C0443C"/>
    <w:rsid w:val="00C044B4"/>
    <w:rsid w:val="00C05105"/>
    <w:rsid w:val="00C05202"/>
    <w:rsid w:val="00C056B2"/>
    <w:rsid w:val="00C05A5D"/>
    <w:rsid w:val="00C0654A"/>
    <w:rsid w:val="00C06B96"/>
    <w:rsid w:val="00C06DE3"/>
    <w:rsid w:val="00C06F97"/>
    <w:rsid w:val="00C0713A"/>
    <w:rsid w:val="00C0795E"/>
    <w:rsid w:val="00C10BE6"/>
    <w:rsid w:val="00C11296"/>
    <w:rsid w:val="00C11588"/>
    <w:rsid w:val="00C11905"/>
    <w:rsid w:val="00C11C6E"/>
    <w:rsid w:val="00C11E2F"/>
    <w:rsid w:val="00C1234A"/>
    <w:rsid w:val="00C12661"/>
    <w:rsid w:val="00C126E3"/>
    <w:rsid w:val="00C1330F"/>
    <w:rsid w:val="00C13A4F"/>
    <w:rsid w:val="00C13ED7"/>
    <w:rsid w:val="00C14615"/>
    <w:rsid w:val="00C14F48"/>
    <w:rsid w:val="00C15296"/>
    <w:rsid w:val="00C16DF5"/>
    <w:rsid w:val="00C17750"/>
    <w:rsid w:val="00C2094B"/>
    <w:rsid w:val="00C20DC5"/>
    <w:rsid w:val="00C21639"/>
    <w:rsid w:val="00C228C1"/>
    <w:rsid w:val="00C2294E"/>
    <w:rsid w:val="00C22A5B"/>
    <w:rsid w:val="00C23412"/>
    <w:rsid w:val="00C234D1"/>
    <w:rsid w:val="00C264C7"/>
    <w:rsid w:val="00C2682A"/>
    <w:rsid w:val="00C271C4"/>
    <w:rsid w:val="00C274F3"/>
    <w:rsid w:val="00C2776C"/>
    <w:rsid w:val="00C30A54"/>
    <w:rsid w:val="00C316F7"/>
    <w:rsid w:val="00C31DF0"/>
    <w:rsid w:val="00C321A6"/>
    <w:rsid w:val="00C3323B"/>
    <w:rsid w:val="00C33916"/>
    <w:rsid w:val="00C33BCF"/>
    <w:rsid w:val="00C34D8F"/>
    <w:rsid w:val="00C34FE2"/>
    <w:rsid w:val="00C353A0"/>
    <w:rsid w:val="00C368D7"/>
    <w:rsid w:val="00C36FD1"/>
    <w:rsid w:val="00C371A5"/>
    <w:rsid w:val="00C400B0"/>
    <w:rsid w:val="00C401BA"/>
    <w:rsid w:val="00C413FC"/>
    <w:rsid w:val="00C418B0"/>
    <w:rsid w:val="00C41BED"/>
    <w:rsid w:val="00C42424"/>
    <w:rsid w:val="00C42629"/>
    <w:rsid w:val="00C43D33"/>
    <w:rsid w:val="00C44407"/>
    <w:rsid w:val="00C45046"/>
    <w:rsid w:val="00C456E8"/>
    <w:rsid w:val="00C45CDA"/>
    <w:rsid w:val="00C46630"/>
    <w:rsid w:val="00C47A2F"/>
    <w:rsid w:val="00C50D18"/>
    <w:rsid w:val="00C50E0C"/>
    <w:rsid w:val="00C51179"/>
    <w:rsid w:val="00C5282C"/>
    <w:rsid w:val="00C52FBE"/>
    <w:rsid w:val="00C5355E"/>
    <w:rsid w:val="00C5359E"/>
    <w:rsid w:val="00C535E2"/>
    <w:rsid w:val="00C53FC1"/>
    <w:rsid w:val="00C54034"/>
    <w:rsid w:val="00C540FC"/>
    <w:rsid w:val="00C551D2"/>
    <w:rsid w:val="00C56438"/>
    <w:rsid w:val="00C570B3"/>
    <w:rsid w:val="00C57114"/>
    <w:rsid w:val="00C57969"/>
    <w:rsid w:val="00C6009F"/>
    <w:rsid w:val="00C60417"/>
    <w:rsid w:val="00C6046F"/>
    <w:rsid w:val="00C60995"/>
    <w:rsid w:val="00C619AA"/>
    <w:rsid w:val="00C62A44"/>
    <w:rsid w:val="00C638C2"/>
    <w:rsid w:val="00C651D4"/>
    <w:rsid w:val="00C663B1"/>
    <w:rsid w:val="00C6669E"/>
    <w:rsid w:val="00C672B0"/>
    <w:rsid w:val="00C67C4D"/>
    <w:rsid w:val="00C72976"/>
    <w:rsid w:val="00C729C7"/>
    <w:rsid w:val="00C73550"/>
    <w:rsid w:val="00C73BA5"/>
    <w:rsid w:val="00C75985"/>
    <w:rsid w:val="00C75F5F"/>
    <w:rsid w:val="00C76ABF"/>
    <w:rsid w:val="00C777AD"/>
    <w:rsid w:val="00C80C53"/>
    <w:rsid w:val="00C80D82"/>
    <w:rsid w:val="00C81195"/>
    <w:rsid w:val="00C81798"/>
    <w:rsid w:val="00C83AB4"/>
    <w:rsid w:val="00C85387"/>
    <w:rsid w:val="00C853D6"/>
    <w:rsid w:val="00C85AD3"/>
    <w:rsid w:val="00C85E52"/>
    <w:rsid w:val="00C86471"/>
    <w:rsid w:val="00C8677B"/>
    <w:rsid w:val="00C86F96"/>
    <w:rsid w:val="00C87605"/>
    <w:rsid w:val="00C901C2"/>
    <w:rsid w:val="00C909C6"/>
    <w:rsid w:val="00C923B7"/>
    <w:rsid w:val="00C9244C"/>
    <w:rsid w:val="00C94D4C"/>
    <w:rsid w:val="00C9551B"/>
    <w:rsid w:val="00C9595C"/>
    <w:rsid w:val="00C96804"/>
    <w:rsid w:val="00C96C1E"/>
    <w:rsid w:val="00C96CA4"/>
    <w:rsid w:val="00C971AB"/>
    <w:rsid w:val="00C97ED0"/>
    <w:rsid w:val="00CA012C"/>
    <w:rsid w:val="00CA0AA6"/>
    <w:rsid w:val="00CA2897"/>
    <w:rsid w:val="00CA2992"/>
    <w:rsid w:val="00CA44F3"/>
    <w:rsid w:val="00CA5758"/>
    <w:rsid w:val="00CA582C"/>
    <w:rsid w:val="00CA5F97"/>
    <w:rsid w:val="00CA6077"/>
    <w:rsid w:val="00CA715B"/>
    <w:rsid w:val="00CA7988"/>
    <w:rsid w:val="00CA7BA2"/>
    <w:rsid w:val="00CA7C5D"/>
    <w:rsid w:val="00CB0B78"/>
    <w:rsid w:val="00CB12A5"/>
    <w:rsid w:val="00CB17FA"/>
    <w:rsid w:val="00CB23D8"/>
    <w:rsid w:val="00CB248E"/>
    <w:rsid w:val="00CB2ED9"/>
    <w:rsid w:val="00CB36A5"/>
    <w:rsid w:val="00CB44AB"/>
    <w:rsid w:val="00CB56B4"/>
    <w:rsid w:val="00CB7286"/>
    <w:rsid w:val="00CB748E"/>
    <w:rsid w:val="00CB7908"/>
    <w:rsid w:val="00CB7947"/>
    <w:rsid w:val="00CB7A46"/>
    <w:rsid w:val="00CC1783"/>
    <w:rsid w:val="00CC1D2B"/>
    <w:rsid w:val="00CC2B8D"/>
    <w:rsid w:val="00CC3B46"/>
    <w:rsid w:val="00CC3D8B"/>
    <w:rsid w:val="00CC4E27"/>
    <w:rsid w:val="00CC570C"/>
    <w:rsid w:val="00CC59BB"/>
    <w:rsid w:val="00CC62B6"/>
    <w:rsid w:val="00CC76AA"/>
    <w:rsid w:val="00CC7CD2"/>
    <w:rsid w:val="00CD02BA"/>
    <w:rsid w:val="00CD05CF"/>
    <w:rsid w:val="00CD0DD3"/>
    <w:rsid w:val="00CD1FAE"/>
    <w:rsid w:val="00CD232F"/>
    <w:rsid w:val="00CD2439"/>
    <w:rsid w:val="00CD279E"/>
    <w:rsid w:val="00CD2F92"/>
    <w:rsid w:val="00CD49B8"/>
    <w:rsid w:val="00CD4EB0"/>
    <w:rsid w:val="00CD512D"/>
    <w:rsid w:val="00CD5527"/>
    <w:rsid w:val="00CD5831"/>
    <w:rsid w:val="00CD6F6E"/>
    <w:rsid w:val="00CE0AEA"/>
    <w:rsid w:val="00CE10B3"/>
    <w:rsid w:val="00CE157F"/>
    <w:rsid w:val="00CE1966"/>
    <w:rsid w:val="00CE1ED4"/>
    <w:rsid w:val="00CE2216"/>
    <w:rsid w:val="00CE3014"/>
    <w:rsid w:val="00CE30E5"/>
    <w:rsid w:val="00CE32DB"/>
    <w:rsid w:val="00CE3F07"/>
    <w:rsid w:val="00CE430D"/>
    <w:rsid w:val="00CE438D"/>
    <w:rsid w:val="00CE518F"/>
    <w:rsid w:val="00CE6A17"/>
    <w:rsid w:val="00CE6FC6"/>
    <w:rsid w:val="00CE7008"/>
    <w:rsid w:val="00CF0106"/>
    <w:rsid w:val="00CF138A"/>
    <w:rsid w:val="00CF2056"/>
    <w:rsid w:val="00CF2C72"/>
    <w:rsid w:val="00CF3931"/>
    <w:rsid w:val="00CF4471"/>
    <w:rsid w:val="00CF51C0"/>
    <w:rsid w:val="00CF59F1"/>
    <w:rsid w:val="00CF5B2A"/>
    <w:rsid w:val="00CF5F57"/>
    <w:rsid w:val="00CF64A7"/>
    <w:rsid w:val="00CF6730"/>
    <w:rsid w:val="00CF70E5"/>
    <w:rsid w:val="00CF7CEC"/>
    <w:rsid w:val="00D00991"/>
    <w:rsid w:val="00D00B0F"/>
    <w:rsid w:val="00D00C71"/>
    <w:rsid w:val="00D01BF4"/>
    <w:rsid w:val="00D0272C"/>
    <w:rsid w:val="00D045CE"/>
    <w:rsid w:val="00D05082"/>
    <w:rsid w:val="00D06163"/>
    <w:rsid w:val="00D06280"/>
    <w:rsid w:val="00D06937"/>
    <w:rsid w:val="00D079E0"/>
    <w:rsid w:val="00D07AFD"/>
    <w:rsid w:val="00D10858"/>
    <w:rsid w:val="00D11749"/>
    <w:rsid w:val="00D117B4"/>
    <w:rsid w:val="00D12A7D"/>
    <w:rsid w:val="00D13AB0"/>
    <w:rsid w:val="00D14FEA"/>
    <w:rsid w:val="00D1519E"/>
    <w:rsid w:val="00D152B7"/>
    <w:rsid w:val="00D15DDE"/>
    <w:rsid w:val="00D16EDC"/>
    <w:rsid w:val="00D17FDE"/>
    <w:rsid w:val="00D201CB"/>
    <w:rsid w:val="00D20E20"/>
    <w:rsid w:val="00D21CAD"/>
    <w:rsid w:val="00D22786"/>
    <w:rsid w:val="00D228B4"/>
    <w:rsid w:val="00D247BE"/>
    <w:rsid w:val="00D25AC4"/>
    <w:rsid w:val="00D27E76"/>
    <w:rsid w:val="00D304DA"/>
    <w:rsid w:val="00D305F6"/>
    <w:rsid w:val="00D30B25"/>
    <w:rsid w:val="00D3175A"/>
    <w:rsid w:val="00D31A00"/>
    <w:rsid w:val="00D323E4"/>
    <w:rsid w:val="00D32871"/>
    <w:rsid w:val="00D329F6"/>
    <w:rsid w:val="00D33881"/>
    <w:rsid w:val="00D34282"/>
    <w:rsid w:val="00D347D4"/>
    <w:rsid w:val="00D36398"/>
    <w:rsid w:val="00D366B1"/>
    <w:rsid w:val="00D37AE0"/>
    <w:rsid w:val="00D416A8"/>
    <w:rsid w:val="00D4217D"/>
    <w:rsid w:val="00D423B5"/>
    <w:rsid w:val="00D4257C"/>
    <w:rsid w:val="00D425AC"/>
    <w:rsid w:val="00D42823"/>
    <w:rsid w:val="00D42D5E"/>
    <w:rsid w:val="00D43F14"/>
    <w:rsid w:val="00D44C18"/>
    <w:rsid w:val="00D4556D"/>
    <w:rsid w:val="00D456B7"/>
    <w:rsid w:val="00D45B08"/>
    <w:rsid w:val="00D47411"/>
    <w:rsid w:val="00D47D07"/>
    <w:rsid w:val="00D47F37"/>
    <w:rsid w:val="00D511C6"/>
    <w:rsid w:val="00D5121D"/>
    <w:rsid w:val="00D516AC"/>
    <w:rsid w:val="00D51F8D"/>
    <w:rsid w:val="00D52019"/>
    <w:rsid w:val="00D521BB"/>
    <w:rsid w:val="00D52283"/>
    <w:rsid w:val="00D52875"/>
    <w:rsid w:val="00D52C67"/>
    <w:rsid w:val="00D53941"/>
    <w:rsid w:val="00D54050"/>
    <w:rsid w:val="00D56918"/>
    <w:rsid w:val="00D56923"/>
    <w:rsid w:val="00D56AC0"/>
    <w:rsid w:val="00D6081B"/>
    <w:rsid w:val="00D60960"/>
    <w:rsid w:val="00D61223"/>
    <w:rsid w:val="00D61791"/>
    <w:rsid w:val="00D62301"/>
    <w:rsid w:val="00D6240A"/>
    <w:rsid w:val="00D63093"/>
    <w:rsid w:val="00D63599"/>
    <w:rsid w:val="00D63B4A"/>
    <w:rsid w:val="00D63EBD"/>
    <w:rsid w:val="00D66D39"/>
    <w:rsid w:val="00D66FBE"/>
    <w:rsid w:val="00D67101"/>
    <w:rsid w:val="00D71B45"/>
    <w:rsid w:val="00D71F8A"/>
    <w:rsid w:val="00D748CD"/>
    <w:rsid w:val="00D74D4E"/>
    <w:rsid w:val="00D7520D"/>
    <w:rsid w:val="00D75603"/>
    <w:rsid w:val="00D75FEE"/>
    <w:rsid w:val="00D766EE"/>
    <w:rsid w:val="00D7683E"/>
    <w:rsid w:val="00D76933"/>
    <w:rsid w:val="00D76D88"/>
    <w:rsid w:val="00D77CC9"/>
    <w:rsid w:val="00D828F2"/>
    <w:rsid w:val="00D83D4B"/>
    <w:rsid w:val="00D856A4"/>
    <w:rsid w:val="00D8586C"/>
    <w:rsid w:val="00D871C6"/>
    <w:rsid w:val="00D90692"/>
    <w:rsid w:val="00D91010"/>
    <w:rsid w:val="00D9143D"/>
    <w:rsid w:val="00D918EB"/>
    <w:rsid w:val="00D91A38"/>
    <w:rsid w:val="00D920D1"/>
    <w:rsid w:val="00D92FC1"/>
    <w:rsid w:val="00D9439D"/>
    <w:rsid w:val="00D9540B"/>
    <w:rsid w:val="00D97DED"/>
    <w:rsid w:val="00DA0FA7"/>
    <w:rsid w:val="00DA12B0"/>
    <w:rsid w:val="00DA1E58"/>
    <w:rsid w:val="00DA2BA0"/>
    <w:rsid w:val="00DA39AD"/>
    <w:rsid w:val="00DA3D1F"/>
    <w:rsid w:val="00DA5065"/>
    <w:rsid w:val="00DA51F1"/>
    <w:rsid w:val="00DA5B13"/>
    <w:rsid w:val="00DA6917"/>
    <w:rsid w:val="00DA6926"/>
    <w:rsid w:val="00DB059E"/>
    <w:rsid w:val="00DB0965"/>
    <w:rsid w:val="00DB0E47"/>
    <w:rsid w:val="00DB2BDD"/>
    <w:rsid w:val="00DB2C79"/>
    <w:rsid w:val="00DB4121"/>
    <w:rsid w:val="00DB46C3"/>
    <w:rsid w:val="00DB4E1F"/>
    <w:rsid w:val="00DB5742"/>
    <w:rsid w:val="00DB5EDF"/>
    <w:rsid w:val="00DB6168"/>
    <w:rsid w:val="00DB6C46"/>
    <w:rsid w:val="00DB72B8"/>
    <w:rsid w:val="00DC0A44"/>
    <w:rsid w:val="00DC16AF"/>
    <w:rsid w:val="00DC2A9A"/>
    <w:rsid w:val="00DC2DEF"/>
    <w:rsid w:val="00DC2E2E"/>
    <w:rsid w:val="00DC44B2"/>
    <w:rsid w:val="00DC4D68"/>
    <w:rsid w:val="00DC5405"/>
    <w:rsid w:val="00DC6463"/>
    <w:rsid w:val="00DC7822"/>
    <w:rsid w:val="00DC7AF1"/>
    <w:rsid w:val="00DD095C"/>
    <w:rsid w:val="00DD0E13"/>
    <w:rsid w:val="00DD103B"/>
    <w:rsid w:val="00DD2841"/>
    <w:rsid w:val="00DD2CDA"/>
    <w:rsid w:val="00DD2D21"/>
    <w:rsid w:val="00DD2D92"/>
    <w:rsid w:val="00DD3026"/>
    <w:rsid w:val="00DD33DC"/>
    <w:rsid w:val="00DD3BB0"/>
    <w:rsid w:val="00DD5CBC"/>
    <w:rsid w:val="00DD61F5"/>
    <w:rsid w:val="00DD7418"/>
    <w:rsid w:val="00DE032D"/>
    <w:rsid w:val="00DE456B"/>
    <w:rsid w:val="00DE6172"/>
    <w:rsid w:val="00DE64A6"/>
    <w:rsid w:val="00DE66EB"/>
    <w:rsid w:val="00DE6EC0"/>
    <w:rsid w:val="00DE7035"/>
    <w:rsid w:val="00DF12E3"/>
    <w:rsid w:val="00DF2A20"/>
    <w:rsid w:val="00DF380C"/>
    <w:rsid w:val="00DF3F1D"/>
    <w:rsid w:val="00DF4665"/>
    <w:rsid w:val="00DF595C"/>
    <w:rsid w:val="00DF645B"/>
    <w:rsid w:val="00DF6D9B"/>
    <w:rsid w:val="00DF7EA7"/>
    <w:rsid w:val="00E012EB"/>
    <w:rsid w:val="00E0186D"/>
    <w:rsid w:val="00E0200F"/>
    <w:rsid w:val="00E04548"/>
    <w:rsid w:val="00E0484E"/>
    <w:rsid w:val="00E04F78"/>
    <w:rsid w:val="00E063F8"/>
    <w:rsid w:val="00E06834"/>
    <w:rsid w:val="00E114D6"/>
    <w:rsid w:val="00E1166E"/>
    <w:rsid w:val="00E11DBD"/>
    <w:rsid w:val="00E13211"/>
    <w:rsid w:val="00E14112"/>
    <w:rsid w:val="00E16FB5"/>
    <w:rsid w:val="00E179D6"/>
    <w:rsid w:val="00E20E64"/>
    <w:rsid w:val="00E21407"/>
    <w:rsid w:val="00E22668"/>
    <w:rsid w:val="00E227D3"/>
    <w:rsid w:val="00E22BFF"/>
    <w:rsid w:val="00E22CB0"/>
    <w:rsid w:val="00E23798"/>
    <w:rsid w:val="00E2585D"/>
    <w:rsid w:val="00E25DBD"/>
    <w:rsid w:val="00E25FA2"/>
    <w:rsid w:val="00E26413"/>
    <w:rsid w:val="00E265D0"/>
    <w:rsid w:val="00E2723D"/>
    <w:rsid w:val="00E27C77"/>
    <w:rsid w:val="00E3179E"/>
    <w:rsid w:val="00E32AC9"/>
    <w:rsid w:val="00E34428"/>
    <w:rsid w:val="00E354DA"/>
    <w:rsid w:val="00E354F5"/>
    <w:rsid w:val="00E35B37"/>
    <w:rsid w:val="00E3687E"/>
    <w:rsid w:val="00E40974"/>
    <w:rsid w:val="00E40AAB"/>
    <w:rsid w:val="00E41205"/>
    <w:rsid w:val="00E41F32"/>
    <w:rsid w:val="00E42608"/>
    <w:rsid w:val="00E427DC"/>
    <w:rsid w:val="00E42C8C"/>
    <w:rsid w:val="00E42D1D"/>
    <w:rsid w:val="00E432BB"/>
    <w:rsid w:val="00E43318"/>
    <w:rsid w:val="00E43387"/>
    <w:rsid w:val="00E43536"/>
    <w:rsid w:val="00E43DA3"/>
    <w:rsid w:val="00E44B80"/>
    <w:rsid w:val="00E451B2"/>
    <w:rsid w:val="00E45938"/>
    <w:rsid w:val="00E46B72"/>
    <w:rsid w:val="00E47430"/>
    <w:rsid w:val="00E474BD"/>
    <w:rsid w:val="00E5041D"/>
    <w:rsid w:val="00E50FB7"/>
    <w:rsid w:val="00E5199F"/>
    <w:rsid w:val="00E526DF"/>
    <w:rsid w:val="00E53C15"/>
    <w:rsid w:val="00E53F7B"/>
    <w:rsid w:val="00E54622"/>
    <w:rsid w:val="00E54EE6"/>
    <w:rsid w:val="00E56188"/>
    <w:rsid w:val="00E56715"/>
    <w:rsid w:val="00E56C2C"/>
    <w:rsid w:val="00E570ED"/>
    <w:rsid w:val="00E57F8E"/>
    <w:rsid w:val="00E60650"/>
    <w:rsid w:val="00E611C8"/>
    <w:rsid w:val="00E61776"/>
    <w:rsid w:val="00E619AB"/>
    <w:rsid w:val="00E61C07"/>
    <w:rsid w:val="00E6344A"/>
    <w:rsid w:val="00E63E08"/>
    <w:rsid w:val="00E63FCA"/>
    <w:rsid w:val="00E64E69"/>
    <w:rsid w:val="00E64FB7"/>
    <w:rsid w:val="00E665F4"/>
    <w:rsid w:val="00E669A1"/>
    <w:rsid w:val="00E66A18"/>
    <w:rsid w:val="00E679BA"/>
    <w:rsid w:val="00E70243"/>
    <w:rsid w:val="00E70287"/>
    <w:rsid w:val="00E70E2E"/>
    <w:rsid w:val="00E70F59"/>
    <w:rsid w:val="00E726C5"/>
    <w:rsid w:val="00E72CC6"/>
    <w:rsid w:val="00E73C6C"/>
    <w:rsid w:val="00E73D44"/>
    <w:rsid w:val="00E7494A"/>
    <w:rsid w:val="00E74BE2"/>
    <w:rsid w:val="00E74C66"/>
    <w:rsid w:val="00E75933"/>
    <w:rsid w:val="00E77951"/>
    <w:rsid w:val="00E77A1B"/>
    <w:rsid w:val="00E80198"/>
    <w:rsid w:val="00E808BE"/>
    <w:rsid w:val="00E81E36"/>
    <w:rsid w:val="00E81E40"/>
    <w:rsid w:val="00E8212E"/>
    <w:rsid w:val="00E82ECE"/>
    <w:rsid w:val="00E84225"/>
    <w:rsid w:val="00E84E67"/>
    <w:rsid w:val="00E860B5"/>
    <w:rsid w:val="00E8713B"/>
    <w:rsid w:val="00E90774"/>
    <w:rsid w:val="00E90C61"/>
    <w:rsid w:val="00E920E2"/>
    <w:rsid w:val="00E92A82"/>
    <w:rsid w:val="00E92AA8"/>
    <w:rsid w:val="00E9344E"/>
    <w:rsid w:val="00E93790"/>
    <w:rsid w:val="00E93E39"/>
    <w:rsid w:val="00E94391"/>
    <w:rsid w:val="00E9479C"/>
    <w:rsid w:val="00E94A90"/>
    <w:rsid w:val="00E96930"/>
    <w:rsid w:val="00E97AE0"/>
    <w:rsid w:val="00E97E2B"/>
    <w:rsid w:val="00EA08CA"/>
    <w:rsid w:val="00EA0C0C"/>
    <w:rsid w:val="00EA1DD0"/>
    <w:rsid w:val="00EA1F32"/>
    <w:rsid w:val="00EA2AEA"/>
    <w:rsid w:val="00EA32B4"/>
    <w:rsid w:val="00EA332B"/>
    <w:rsid w:val="00EA3884"/>
    <w:rsid w:val="00EA3D36"/>
    <w:rsid w:val="00EA40AA"/>
    <w:rsid w:val="00EA57E2"/>
    <w:rsid w:val="00EA7010"/>
    <w:rsid w:val="00EA7186"/>
    <w:rsid w:val="00EB018B"/>
    <w:rsid w:val="00EB1003"/>
    <w:rsid w:val="00EB11BB"/>
    <w:rsid w:val="00EB167E"/>
    <w:rsid w:val="00EB24ED"/>
    <w:rsid w:val="00EB2665"/>
    <w:rsid w:val="00EB2A00"/>
    <w:rsid w:val="00EB309B"/>
    <w:rsid w:val="00EB3AA2"/>
    <w:rsid w:val="00EB4138"/>
    <w:rsid w:val="00EB4763"/>
    <w:rsid w:val="00EB6204"/>
    <w:rsid w:val="00EB6CB7"/>
    <w:rsid w:val="00EB712C"/>
    <w:rsid w:val="00EC078B"/>
    <w:rsid w:val="00EC07A0"/>
    <w:rsid w:val="00EC08E4"/>
    <w:rsid w:val="00EC24FD"/>
    <w:rsid w:val="00EC3086"/>
    <w:rsid w:val="00EC3CB4"/>
    <w:rsid w:val="00EC4293"/>
    <w:rsid w:val="00EC443E"/>
    <w:rsid w:val="00EC4D83"/>
    <w:rsid w:val="00EC4EEE"/>
    <w:rsid w:val="00EC634F"/>
    <w:rsid w:val="00EC6848"/>
    <w:rsid w:val="00EC6C6E"/>
    <w:rsid w:val="00EC7B97"/>
    <w:rsid w:val="00ED049C"/>
    <w:rsid w:val="00ED07B7"/>
    <w:rsid w:val="00ED0A00"/>
    <w:rsid w:val="00ED19D7"/>
    <w:rsid w:val="00ED2167"/>
    <w:rsid w:val="00ED351E"/>
    <w:rsid w:val="00ED4B27"/>
    <w:rsid w:val="00ED543C"/>
    <w:rsid w:val="00ED5950"/>
    <w:rsid w:val="00ED6020"/>
    <w:rsid w:val="00ED6852"/>
    <w:rsid w:val="00ED6BA4"/>
    <w:rsid w:val="00ED7DA7"/>
    <w:rsid w:val="00EE00BF"/>
    <w:rsid w:val="00EE0598"/>
    <w:rsid w:val="00EE1D58"/>
    <w:rsid w:val="00EE246B"/>
    <w:rsid w:val="00EE263F"/>
    <w:rsid w:val="00EE2DE3"/>
    <w:rsid w:val="00EE2F4B"/>
    <w:rsid w:val="00EE311C"/>
    <w:rsid w:val="00EE31A9"/>
    <w:rsid w:val="00EE49A5"/>
    <w:rsid w:val="00EE553F"/>
    <w:rsid w:val="00EE56FF"/>
    <w:rsid w:val="00EE5886"/>
    <w:rsid w:val="00EE5A86"/>
    <w:rsid w:val="00EE5F4B"/>
    <w:rsid w:val="00EE5FBF"/>
    <w:rsid w:val="00EE6472"/>
    <w:rsid w:val="00EE6946"/>
    <w:rsid w:val="00EE6B1A"/>
    <w:rsid w:val="00EE76F2"/>
    <w:rsid w:val="00EF001E"/>
    <w:rsid w:val="00EF05FD"/>
    <w:rsid w:val="00EF0769"/>
    <w:rsid w:val="00EF0CB8"/>
    <w:rsid w:val="00EF0D7C"/>
    <w:rsid w:val="00EF1B2F"/>
    <w:rsid w:val="00EF1E2C"/>
    <w:rsid w:val="00EF314C"/>
    <w:rsid w:val="00EF383B"/>
    <w:rsid w:val="00EF3A20"/>
    <w:rsid w:val="00EF40E2"/>
    <w:rsid w:val="00EF61C1"/>
    <w:rsid w:val="00EF6E68"/>
    <w:rsid w:val="00EF76DB"/>
    <w:rsid w:val="00F005FD"/>
    <w:rsid w:val="00F01175"/>
    <w:rsid w:val="00F016BE"/>
    <w:rsid w:val="00F02C04"/>
    <w:rsid w:val="00F03AF1"/>
    <w:rsid w:val="00F04BCD"/>
    <w:rsid w:val="00F05A8C"/>
    <w:rsid w:val="00F05F29"/>
    <w:rsid w:val="00F06211"/>
    <w:rsid w:val="00F06F06"/>
    <w:rsid w:val="00F06FB0"/>
    <w:rsid w:val="00F107EF"/>
    <w:rsid w:val="00F10A54"/>
    <w:rsid w:val="00F11394"/>
    <w:rsid w:val="00F123D0"/>
    <w:rsid w:val="00F126BE"/>
    <w:rsid w:val="00F1277F"/>
    <w:rsid w:val="00F12B6F"/>
    <w:rsid w:val="00F13200"/>
    <w:rsid w:val="00F13411"/>
    <w:rsid w:val="00F1377E"/>
    <w:rsid w:val="00F143BA"/>
    <w:rsid w:val="00F14D13"/>
    <w:rsid w:val="00F14D98"/>
    <w:rsid w:val="00F177C4"/>
    <w:rsid w:val="00F2081B"/>
    <w:rsid w:val="00F20A43"/>
    <w:rsid w:val="00F20C51"/>
    <w:rsid w:val="00F21049"/>
    <w:rsid w:val="00F218AE"/>
    <w:rsid w:val="00F21A4A"/>
    <w:rsid w:val="00F21B95"/>
    <w:rsid w:val="00F2215E"/>
    <w:rsid w:val="00F22232"/>
    <w:rsid w:val="00F2228E"/>
    <w:rsid w:val="00F22D3C"/>
    <w:rsid w:val="00F23321"/>
    <w:rsid w:val="00F2388E"/>
    <w:rsid w:val="00F23AE4"/>
    <w:rsid w:val="00F23D66"/>
    <w:rsid w:val="00F24434"/>
    <w:rsid w:val="00F24E6F"/>
    <w:rsid w:val="00F25092"/>
    <w:rsid w:val="00F25437"/>
    <w:rsid w:val="00F26069"/>
    <w:rsid w:val="00F26314"/>
    <w:rsid w:val="00F26717"/>
    <w:rsid w:val="00F26B7E"/>
    <w:rsid w:val="00F27D7D"/>
    <w:rsid w:val="00F3002B"/>
    <w:rsid w:val="00F30BC9"/>
    <w:rsid w:val="00F319E8"/>
    <w:rsid w:val="00F31C89"/>
    <w:rsid w:val="00F3206F"/>
    <w:rsid w:val="00F32462"/>
    <w:rsid w:val="00F32FF7"/>
    <w:rsid w:val="00F33EDE"/>
    <w:rsid w:val="00F3568B"/>
    <w:rsid w:val="00F35C77"/>
    <w:rsid w:val="00F35D73"/>
    <w:rsid w:val="00F36050"/>
    <w:rsid w:val="00F377CD"/>
    <w:rsid w:val="00F37B6C"/>
    <w:rsid w:val="00F40651"/>
    <w:rsid w:val="00F409CA"/>
    <w:rsid w:val="00F40C3B"/>
    <w:rsid w:val="00F40CE0"/>
    <w:rsid w:val="00F42DBC"/>
    <w:rsid w:val="00F4308D"/>
    <w:rsid w:val="00F43668"/>
    <w:rsid w:val="00F43D7B"/>
    <w:rsid w:val="00F44012"/>
    <w:rsid w:val="00F44947"/>
    <w:rsid w:val="00F458EF"/>
    <w:rsid w:val="00F469F8"/>
    <w:rsid w:val="00F46AB2"/>
    <w:rsid w:val="00F47121"/>
    <w:rsid w:val="00F47493"/>
    <w:rsid w:val="00F4775D"/>
    <w:rsid w:val="00F479E5"/>
    <w:rsid w:val="00F47C91"/>
    <w:rsid w:val="00F504DD"/>
    <w:rsid w:val="00F50874"/>
    <w:rsid w:val="00F516C6"/>
    <w:rsid w:val="00F52221"/>
    <w:rsid w:val="00F52B28"/>
    <w:rsid w:val="00F536BB"/>
    <w:rsid w:val="00F53755"/>
    <w:rsid w:val="00F53B4C"/>
    <w:rsid w:val="00F53E59"/>
    <w:rsid w:val="00F5475B"/>
    <w:rsid w:val="00F55E46"/>
    <w:rsid w:val="00F56C06"/>
    <w:rsid w:val="00F574D0"/>
    <w:rsid w:val="00F600F7"/>
    <w:rsid w:val="00F6031F"/>
    <w:rsid w:val="00F6067D"/>
    <w:rsid w:val="00F61664"/>
    <w:rsid w:val="00F61B99"/>
    <w:rsid w:val="00F63917"/>
    <w:rsid w:val="00F64C45"/>
    <w:rsid w:val="00F6502B"/>
    <w:rsid w:val="00F6612A"/>
    <w:rsid w:val="00F66724"/>
    <w:rsid w:val="00F66989"/>
    <w:rsid w:val="00F67F04"/>
    <w:rsid w:val="00F70207"/>
    <w:rsid w:val="00F702CB"/>
    <w:rsid w:val="00F70DA8"/>
    <w:rsid w:val="00F716D4"/>
    <w:rsid w:val="00F71757"/>
    <w:rsid w:val="00F71AC2"/>
    <w:rsid w:val="00F736F0"/>
    <w:rsid w:val="00F739D4"/>
    <w:rsid w:val="00F74C84"/>
    <w:rsid w:val="00F75E66"/>
    <w:rsid w:val="00F75F89"/>
    <w:rsid w:val="00F77D43"/>
    <w:rsid w:val="00F80953"/>
    <w:rsid w:val="00F80B5C"/>
    <w:rsid w:val="00F81312"/>
    <w:rsid w:val="00F81B90"/>
    <w:rsid w:val="00F81E6F"/>
    <w:rsid w:val="00F82FF3"/>
    <w:rsid w:val="00F83468"/>
    <w:rsid w:val="00F8453C"/>
    <w:rsid w:val="00F84B20"/>
    <w:rsid w:val="00F84D4C"/>
    <w:rsid w:val="00F855B6"/>
    <w:rsid w:val="00F8657D"/>
    <w:rsid w:val="00F8730F"/>
    <w:rsid w:val="00F87468"/>
    <w:rsid w:val="00F87897"/>
    <w:rsid w:val="00F87DA3"/>
    <w:rsid w:val="00F90004"/>
    <w:rsid w:val="00F9001F"/>
    <w:rsid w:val="00F90EF4"/>
    <w:rsid w:val="00F917BF"/>
    <w:rsid w:val="00F918E2"/>
    <w:rsid w:val="00F920B4"/>
    <w:rsid w:val="00F92373"/>
    <w:rsid w:val="00F92499"/>
    <w:rsid w:val="00F9260D"/>
    <w:rsid w:val="00F92727"/>
    <w:rsid w:val="00F93646"/>
    <w:rsid w:val="00F93CCF"/>
    <w:rsid w:val="00F94307"/>
    <w:rsid w:val="00F94D38"/>
    <w:rsid w:val="00F94EA2"/>
    <w:rsid w:val="00F95145"/>
    <w:rsid w:val="00F9580B"/>
    <w:rsid w:val="00F95A83"/>
    <w:rsid w:val="00F95F15"/>
    <w:rsid w:val="00F96762"/>
    <w:rsid w:val="00F968BB"/>
    <w:rsid w:val="00F96F6F"/>
    <w:rsid w:val="00F975CA"/>
    <w:rsid w:val="00F97D6A"/>
    <w:rsid w:val="00FA0191"/>
    <w:rsid w:val="00FA0B60"/>
    <w:rsid w:val="00FA0D5F"/>
    <w:rsid w:val="00FA1B81"/>
    <w:rsid w:val="00FA2528"/>
    <w:rsid w:val="00FA4100"/>
    <w:rsid w:val="00FA4F35"/>
    <w:rsid w:val="00FA5524"/>
    <w:rsid w:val="00FA5535"/>
    <w:rsid w:val="00FA60FD"/>
    <w:rsid w:val="00FA7206"/>
    <w:rsid w:val="00FA7EFB"/>
    <w:rsid w:val="00FA7F4B"/>
    <w:rsid w:val="00FB0816"/>
    <w:rsid w:val="00FB08C2"/>
    <w:rsid w:val="00FB2C58"/>
    <w:rsid w:val="00FB36A3"/>
    <w:rsid w:val="00FB3DD1"/>
    <w:rsid w:val="00FB51FD"/>
    <w:rsid w:val="00FB5667"/>
    <w:rsid w:val="00FB68E5"/>
    <w:rsid w:val="00FB7A97"/>
    <w:rsid w:val="00FC1601"/>
    <w:rsid w:val="00FC1B9B"/>
    <w:rsid w:val="00FC3119"/>
    <w:rsid w:val="00FC318D"/>
    <w:rsid w:val="00FC36CF"/>
    <w:rsid w:val="00FC40BC"/>
    <w:rsid w:val="00FC41FC"/>
    <w:rsid w:val="00FC4F6E"/>
    <w:rsid w:val="00FC506C"/>
    <w:rsid w:val="00FC55FC"/>
    <w:rsid w:val="00FC578C"/>
    <w:rsid w:val="00FC5A37"/>
    <w:rsid w:val="00FC5F77"/>
    <w:rsid w:val="00FC765C"/>
    <w:rsid w:val="00FC7836"/>
    <w:rsid w:val="00FC7BD5"/>
    <w:rsid w:val="00FD099C"/>
    <w:rsid w:val="00FD13EA"/>
    <w:rsid w:val="00FD2041"/>
    <w:rsid w:val="00FD2E4C"/>
    <w:rsid w:val="00FD5D15"/>
    <w:rsid w:val="00FD5D87"/>
    <w:rsid w:val="00FD5EC4"/>
    <w:rsid w:val="00FD607B"/>
    <w:rsid w:val="00FD7858"/>
    <w:rsid w:val="00FD7A8D"/>
    <w:rsid w:val="00FE11A0"/>
    <w:rsid w:val="00FE1330"/>
    <w:rsid w:val="00FE1CE5"/>
    <w:rsid w:val="00FE2832"/>
    <w:rsid w:val="00FE2D38"/>
    <w:rsid w:val="00FE3929"/>
    <w:rsid w:val="00FE3E32"/>
    <w:rsid w:val="00FE45D0"/>
    <w:rsid w:val="00FE4B47"/>
    <w:rsid w:val="00FE4B9B"/>
    <w:rsid w:val="00FF097B"/>
    <w:rsid w:val="00FF0B6E"/>
    <w:rsid w:val="00FF1C1B"/>
    <w:rsid w:val="00FF2067"/>
    <w:rsid w:val="00FF3BC4"/>
    <w:rsid w:val="00FF4B66"/>
    <w:rsid w:val="00FF5939"/>
    <w:rsid w:val="00FF688E"/>
    <w:rsid w:val="00FF71EF"/>
    <w:rsid w:val="014B14AE"/>
    <w:rsid w:val="01B4D727"/>
    <w:rsid w:val="02060F5D"/>
    <w:rsid w:val="02EC7434"/>
    <w:rsid w:val="02EF6A3A"/>
    <w:rsid w:val="034E8F34"/>
    <w:rsid w:val="0448B6C0"/>
    <w:rsid w:val="0645D3B8"/>
    <w:rsid w:val="06E7F0B1"/>
    <w:rsid w:val="070927EF"/>
    <w:rsid w:val="07C57D56"/>
    <w:rsid w:val="08421B40"/>
    <w:rsid w:val="088F9B23"/>
    <w:rsid w:val="093B4168"/>
    <w:rsid w:val="09D03D77"/>
    <w:rsid w:val="0A6677D8"/>
    <w:rsid w:val="0D92372A"/>
    <w:rsid w:val="0DA8FECD"/>
    <w:rsid w:val="0DCAF041"/>
    <w:rsid w:val="0E14C21D"/>
    <w:rsid w:val="0EC3BCB3"/>
    <w:rsid w:val="0EEC5527"/>
    <w:rsid w:val="0F8C75C5"/>
    <w:rsid w:val="10EBD6F9"/>
    <w:rsid w:val="1141CC74"/>
    <w:rsid w:val="12134D1E"/>
    <w:rsid w:val="129367F3"/>
    <w:rsid w:val="12F7C3D9"/>
    <w:rsid w:val="13541D33"/>
    <w:rsid w:val="1571DF63"/>
    <w:rsid w:val="158DE543"/>
    <w:rsid w:val="162FF71B"/>
    <w:rsid w:val="169505A2"/>
    <w:rsid w:val="177A8D43"/>
    <w:rsid w:val="17A8FD5E"/>
    <w:rsid w:val="18ECFC72"/>
    <w:rsid w:val="18F74C22"/>
    <w:rsid w:val="1938D30B"/>
    <w:rsid w:val="193AC142"/>
    <w:rsid w:val="1C316AF9"/>
    <w:rsid w:val="1C7FF817"/>
    <w:rsid w:val="1C9DC8E1"/>
    <w:rsid w:val="1D919C05"/>
    <w:rsid w:val="1E1E75F1"/>
    <w:rsid w:val="2000F8F5"/>
    <w:rsid w:val="2036C34C"/>
    <w:rsid w:val="20B9129A"/>
    <w:rsid w:val="211160E9"/>
    <w:rsid w:val="215D7AC1"/>
    <w:rsid w:val="216B7841"/>
    <w:rsid w:val="2194742C"/>
    <w:rsid w:val="22167395"/>
    <w:rsid w:val="236A54AE"/>
    <w:rsid w:val="238BEBF8"/>
    <w:rsid w:val="243BF35A"/>
    <w:rsid w:val="24D258F9"/>
    <w:rsid w:val="251F0797"/>
    <w:rsid w:val="2539C200"/>
    <w:rsid w:val="25A9450D"/>
    <w:rsid w:val="25AF2E72"/>
    <w:rsid w:val="25CB6C0C"/>
    <w:rsid w:val="2689B4EE"/>
    <w:rsid w:val="2741E73D"/>
    <w:rsid w:val="27E84AB4"/>
    <w:rsid w:val="296079D6"/>
    <w:rsid w:val="29707E28"/>
    <w:rsid w:val="2B582566"/>
    <w:rsid w:val="2BF6394C"/>
    <w:rsid w:val="2BFE18F5"/>
    <w:rsid w:val="2C06A586"/>
    <w:rsid w:val="2C0B7ADA"/>
    <w:rsid w:val="2C3DF399"/>
    <w:rsid w:val="2C5B7BF4"/>
    <w:rsid w:val="2C77BB5A"/>
    <w:rsid w:val="2CC38E56"/>
    <w:rsid w:val="2D2E0A4F"/>
    <w:rsid w:val="2DFB5693"/>
    <w:rsid w:val="2E22A3BF"/>
    <w:rsid w:val="2E725568"/>
    <w:rsid w:val="2FBFBA90"/>
    <w:rsid w:val="310076B3"/>
    <w:rsid w:val="3107B1A7"/>
    <w:rsid w:val="31B9FD0C"/>
    <w:rsid w:val="32ABC1DD"/>
    <w:rsid w:val="32D245A7"/>
    <w:rsid w:val="32F24E74"/>
    <w:rsid w:val="331A71D9"/>
    <w:rsid w:val="335B085D"/>
    <w:rsid w:val="33727F09"/>
    <w:rsid w:val="3424A08C"/>
    <w:rsid w:val="3441357A"/>
    <w:rsid w:val="3478A833"/>
    <w:rsid w:val="34941048"/>
    <w:rsid w:val="34DD7606"/>
    <w:rsid w:val="35959CDA"/>
    <w:rsid w:val="374C75CF"/>
    <w:rsid w:val="3775DDE7"/>
    <w:rsid w:val="379CFB12"/>
    <w:rsid w:val="38269721"/>
    <w:rsid w:val="38AECD73"/>
    <w:rsid w:val="3904658B"/>
    <w:rsid w:val="3A86B186"/>
    <w:rsid w:val="3BFE7EC4"/>
    <w:rsid w:val="3FB2B50F"/>
    <w:rsid w:val="3FB505B2"/>
    <w:rsid w:val="40A9DF83"/>
    <w:rsid w:val="40B039FF"/>
    <w:rsid w:val="4113D1B9"/>
    <w:rsid w:val="417F12D8"/>
    <w:rsid w:val="41E1252A"/>
    <w:rsid w:val="42967CB2"/>
    <w:rsid w:val="43CAB3A3"/>
    <w:rsid w:val="43F10088"/>
    <w:rsid w:val="464820AF"/>
    <w:rsid w:val="48B97272"/>
    <w:rsid w:val="48E19FE4"/>
    <w:rsid w:val="48FF5E87"/>
    <w:rsid w:val="49199638"/>
    <w:rsid w:val="49610F14"/>
    <w:rsid w:val="49BB242C"/>
    <w:rsid w:val="4A1AD0BB"/>
    <w:rsid w:val="4AD64EDA"/>
    <w:rsid w:val="4B29E073"/>
    <w:rsid w:val="4B942D42"/>
    <w:rsid w:val="4C51EDAA"/>
    <w:rsid w:val="4DC6AFB8"/>
    <w:rsid w:val="4E2648F2"/>
    <w:rsid w:val="4F1B9ABE"/>
    <w:rsid w:val="4F2EC8EC"/>
    <w:rsid w:val="4F616D67"/>
    <w:rsid w:val="4FDB6CF2"/>
    <w:rsid w:val="511084A5"/>
    <w:rsid w:val="5114FC05"/>
    <w:rsid w:val="51376F3A"/>
    <w:rsid w:val="51F96004"/>
    <w:rsid w:val="52C1B2E3"/>
    <w:rsid w:val="54865B4D"/>
    <w:rsid w:val="557722A9"/>
    <w:rsid w:val="5622B825"/>
    <w:rsid w:val="5699DF33"/>
    <w:rsid w:val="5735B89A"/>
    <w:rsid w:val="575E2D5F"/>
    <w:rsid w:val="5878832C"/>
    <w:rsid w:val="587FAD95"/>
    <w:rsid w:val="59BFCC5E"/>
    <w:rsid w:val="5A5A1FF6"/>
    <w:rsid w:val="5A5DFB73"/>
    <w:rsid w:val="5A868262"/>
    <w:rsid w:val="5ADA6836"/>
    <w:rsid w:val="5B5089EC"/>
    <w:rsid w:val="5BC4DEF0"/>
    <w:rsid w:val="5C477AA5"/>
    <w:rsid w:val="5C610A5A"/>
    <w:rsid w:val="5C80E092"/>
    <w:rsid w:val="5CD3567C"/>
    <w:rsid w:val="5D605D36"/>
    <w:rsid w:val="5E603DB4"/>
    <w:rsid w:val="5F3A68F5"/>
    <w:rsid w:val="5F822D9A"/>
    <w:rsid w:val="620FF0A4"/>
    <w:rsid w:val="6248832A"/>
    <w:rsid w:val="62959E11"/>
    <w:rsid w:val="6305C663"/>
    <w:rsid w:val="6401D37E"/>
    <w:rsid w:val="64B82B98"/>
    <w:rsid w:val="6548345A"/>
    <w:rsid w:val="668D2758"/>
    <w:rsid w:val="67A36860"/>
    <w:rsid w:val="67F8DD60"/>
    <w:rsid w:val="6831AD77"/>
    <w:rsid w:val="698BDFC4"/>
    <w:rsid w:val="69A8BAB5"/>
    <w:rsid w:val="69C54063"/>
    <w:rsid w:val="6A14C0CA"/>
    <w:rsid w:val="6A6A6861"/>
    <w:rsid w:val="6B8CEEF3"/>
    <w:rsid w:val="6C85F662"/>
    <w:rsid w:val="6C8E3961"/>
    <w:rsid w:val="6C9835DE"/>
    <w:rsid w:val="6CBAACA8"/>
    <w:rsid w:val="6CE996CA"/>
    <w:rsid w:val="6D0550DD"/>
    <w:rsid w:val="6D87EF22"/>
    <w:rsid w:val="6D9FAC91"/>
    <w:rsid w:val="6E6CA6CA"/>
    <w:rsid w:val="70EFF31E"/>
    <w:rsid w:val="716483C3"/>
    <w:rsid w:val="721C2EC4"/>
    <w:rsid w:val="741678B3"/>
    <w:rsid w:val="748989FF"/>
    <w:rsid w:val="75489E16"/>
    <w:rsid w:val="75958CB7"/>
    <w:rsid w:val="762F2A6A"/>
    <w:rsid w:val="7930DEE0"/>
    <w:rsid w:val="79B6D10B"/>
    <w:rsid w:val="79FEA6BC"/>
    <w:rsid w:val="7A0A229C"/>
    <w:rsid w:val="7A476E67"/>
    <w:rsid w:val="7AFC213C"/>
    <w:rsid w:val="7BBF1485"/>
    <w:rsid w:val="7CBA7052"/>
    <w:rsid w:val="7CC277AC"/>
    <w:rsid w:val="7D0B3A26"/>
    <w:rsid w:val="7D60B643"/>
    <w:rsid w:val="7DCE6237"/>
    <w:rsid w:val="7E1EC917"/>
    <w:rsid w:val="7E5A43E6"/>
    <w:rsid w:val="7EE9D22A"/>
    <w:rsid w:val="7F57D60D"/>
    <w:rsid w:val="7F920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B7DC4085-B21F-442E-B101-FE025DFF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 w:type="character" w:styleId="Mention">
    <w:name w:val="Mention"/>
    <w:basedOn w:val="DefaultParagraphFont"/>
    <w:uiPriority w:val="99"/>
    <w:unhideWhenUsed/>
    <w:rsid w:val="00BE42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f49af-62c5-4fdb-8bab-63ad10ed2f31" xsi:nil="true"/>
    <SharedWithUsers xmlns="4baf49af-62c5-4fdb-8bab-63ad10ed2f31">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7b7605d-d6e7-46a4-8276-8af9bd4217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F7EF58DAA8FD4FBCAC76D2681E3A26" ma:contentTypeVersion="22" ma:contentTypeDescription="Create a new document." ma:contentTypeScope="" ma:versionID="c465fed3eaf66191be3a86f4124e1fcf">
  <xsd:schema xmlns:xsd="http://www.w3.org/2001/XMLSchema" xmlns:xs="http://www.w3.org/2001/XMLSchema" xmlns:p="http://schemas.microsoft.com/office/2006/metadata/properties" xmlns:ns1="http://schemas.microsoft.com/sharepoint/v3" xmlns:ns2="4baf49af-62c5-4fdb-8bab-63ad10ed2f31" xmlns:ns3="67b7605d-d6e7-46a4-8276-8af9bd421758" targetNamespace="http://schemas.microsoft.com/office/2006/metadata/properties" ma:root="true" ma:fieldsID="c67ea3b3e993533357024b08762cd4eb" ns1:_="" ns2:_="" ns3:_="">
    <xsd:import namespace="http://schemas.microsoft.com/sharepoint/v3"/>
    <xsd:import namespace="4baf49af-62c5-4fdb-8bab-63ad10ed2f31"/>
    <xsd:import namespace="67b7605d-d6e7-46a4-8276-8af9bd421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f49af-62c5-4fdb-8bab-63ad10ed2f3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d2121b-9521-4c7f-8e60-9070d76a3122}" ma:internalName="TaxCatchAll" ma:showField="CatchAllData" ma:web="4baf49af-62c5-4fdb-8bab-63ad10ed2f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b7605d-d6e7-46a4-8276-8af9bd421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purl.org/dc/dcmitype/"/>
    <ds:schemaRef ds:uri="http://schemas.microsoft.com/sharepoint/v3"/>
    <ds:schemaRef ds:uri="4baf49af-62c5-4fdb-8bab-63ad10ed2f31"/>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67b7605d-d6e7-46a4-8276-8af9bd421758"/>
    <ds:schemaRef ds:uri="http://www.w3.org/XML/1998/namespace"/>
    <ds:schemaRef ds:uri="http://purl.org/dc/elements/1.1/"/>
  </ds:schemaRefs>
</ds:datastoreItem>
</file>

<file path=customXml/itemProps2.xml><?xml version="1.0" encoding="utf-8"?>
<ds:datastoreItem xmlns:ds="http://schemas.openxmlformats.org/officeDocument/2006/customXml" ds:itemID="{20DEFE36-F6A2-4E81-B6BF-1D26882CF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af49af-62c5-4fdb-8bab-63ad10ed2f31"/>
    <ds:schemaRef ds:uri="67b7605d-d6e7-46a4-8276-8af9bd421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7101</Words>
  <Characters>40476</Characters>
  <Application>Microsoft Office Word</Application>
  <DocSecurity>0</DocSecurity>
  <Lines>337</Lines>
  <Paragraphs>94</Paragraphs>
  <ScaleCrop>false</ScaleCrop>
  <Company>ESMA</Company>
  <LinksUpToDate>false</LinksUpToDate>
  <CharactersWithSpaces>47483</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Deutsche Börse Group</cp:lastModifiedBy>
  <cp:revision>2</cp:revision>
  <cp:lastPrinted>2015-02-19T05:01:00Z</cp:lastPrinted>
  <dcterms:created xsi:type="dcterms:W3CDTF">2026-04-30T14:37:00Z</dcterms:created>
  <dcterms:modified xsi:type="dcterms:W3CDTF">2026-04-30T14:37:00Z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0x01010082F7EF58DAA8FD4FBCAC76D2681E3A26</vt:lpwstr>
  </property>
  <property fmtid="{D5CDD505-2E9C-101B-9397-08002B2CF9AE}" pid="3" name="_dlc_DocIdItemGuid">
    <vt:lpwstr>f1f531c7-559a-4e19-b4ae-15d6e2a84815</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645;#RTS 153|a51dd9b2-9e17-4703-9a7c-7aa18e1d70b8</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docLang">
    <vt:lpwstr>en</vt:lpwstr>
  </property>
  <property fmtid="{D5CDD505-2E9C-101B-9397-08002B2CF9AE}" pid="28" name="ClassificationContentMarkingFooterShapeIds">
    <vt:lpwstr>34eef97b,2f8014d1,12f4609c,723c3d5,8611860,49f682fe</vt:lpwstr>
  </property>
  <property fmtid="{D5CDD505-2E9C-101B-9397-08002B2CF9AE}" pid="29" name="ClassificationContentMarkingFooterFontProps">
    <vt:lpwstr>#000000,10,Aptos</vt:lpwstr>
  </property>
  <property fmtid="{D5CDD505-2E9C-101B-9397-08002B2CF9AE}" pid="30" name="ClassificationContentMarkingFooterText">
    <vt:lpwstr>Public</vt:lpwstr>
  </property>
  <property fmtid="{D5CDD505-2E9C-101B-9397-08002B2CF9AE}" pid="31" name="MSIP_Label_6c8fa877-572b-40d1-b8c7-a85f99de6863_Enabled">
    <vt:lpwstr>true</vt:lpwstr>
  </property>
  <property fmtid="{D5CDD505-2E9C-101B-9397-08002B2CF9AE}" pid="32" name="MSIP_Label_6c8fa877-572b-40d1-b8c7-a85f99de6863_SetDate">
    <vt:lpwstr>2026-02-26T13:01:09Z</vt:lpwstr>
  </property>
  <property fmtid="{D5CDD505-2E9C-101B-9397-08002B2CF9AE}" pid="33" name="MSIP_Label_6c8fa877-572b-40d1-b8c7-a85f99de6863_Method">
    <vt:lpwstr>Privileged</vt:lpwstr>
  </property>
  <property fmtid="{D5CDD505-2E9C-101B-9397-08002B2CF9AE}" pid="34" name="MSIP_Label_6c8fa877-572b-40d1-b8c7-a85f99de6863_Name">
    <vt:lpwstr>Public - Marking</vt:lpwstr>
  </property>
  <property fmtid="{D5CDD505-2E9C-101B-9397-08002B2CF9AE}" pid="35" name="MSIP_Label_6c8fa877-572b-40d1-b8c7-a85f99de6863_SiteId">
    <vt:lpwstr>e00ddcdf-1e0f-4be5-a37a-894a4731986a</vt:lpwstr>
  </property>
  <property fmtid="{D5CDD505-2E9C-101B-9397-08002B2CF9AE}" pid="36" name="MSIP_Label_6c8fa877-572b-40d1-b8c7-a85f99de6863_ActionId">
    <vt:lpwstr>0ff71db2-fde7-411e-96f5-5575b822a74a</vt:lpwstr>
  </property>
  <property fmtid="{D5CDD505-2E9C-101B-9397-08002B2CF9AE}" pid="37" name="MSIP_Label_6c8fa877-572b-40d1-b8c7-a85f99de6863_ContentBits">
    <vt:lpwstr>2</vt:lpwstr>
  </property>
  <property fmtid="{D5CDD505-2E9C-101B-9397-08002B2CF9AE}" pid="38" name="MSIP_Label_6c8fa877-572b-40d1-b8c7-a85f99de6863_Tag">
    <vt:lpwstr>10, 0, 1, 1</vt:lpwstr>
  </property>
</Properties>
</file>