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9E29EE3" w:rsidR="004E60D2" w:rsidRPr="00252134" w:rsidRDefault="007C5962" w:rsidP="004E60D2">
      <w:pPr>
        <w:pStyle w:val="Subtitle"/>
        <w:spacing w:after="0"/>
        <w:rPr>
          <w:b w:val="0"/>
          <w:bCs w:val="0"/>
        </w:rPr>
        <w:sectPr w:rsidR="004E60D2" w:rsidRPr="00252134"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t>Consultation Paper on d</w:t>
      </w:r>
      <w:r w:rsidRPr="007C5962">
        <w:t xml:space="preserve">raft RTS </w:t>
      </w:r>
      <w:r w:rsidR="00F71757" w:rsidRPr="00F71757">
        <w:t>amending Commission Delegated Regulation (RTS) 153/2013 in relation to public guarantees, public bank guarantees and commercial bank guarantees as collateral and in relation to certain aspects of investment policy and highly secure arrangements for the deposit of financial instruments</w:t>
      </w:r>
      <w:r w:rsidRPr="007C5962">
        <w:t xml:space="preserve">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1CEE37B1">
                <wp:simplePos x="0" y="0"/>
                <wp:positionH relativeFrom="page">
                  <wp:align>right</wp:align>
                </wp:positionH>
                <wp:positionV relativeFrom="paragraph">
                  <wp:posOffset>1171575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Freeform: Shape 1" style="position:absolute;margin-left:544.9pt;margin-top:92.25pt;width:596.1pt;height:769.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569200,9779055" o:spid="_x0000_s1026" o:allowoverlap="f" stroked="f" strokeweight="2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lUnIBOAAAAAKAQAADwAAAGRycy9kb3ducmV2Lnht&#10;bEyPQU/DMAyF70j8h8hI3Fi6aMDWNZ0Q0xAHLhQ0iVvamLbQOKXJuu7f453gZvs9PX8v20yuEyMO&#10;ofWkYT5LQCBV3rZUa3h/290sQYRoyJrOE2o4YYBNfnmRmdT6I73iWMRacAiF1GhoYuxTKUPVoDNh&#10;5nsk1j794EzkdailHcyRw10nVZLcSWda4g+N6fGxweq7ODgNWzW4l13x9PGMp6+ffbndT2OrtL6+&#10;mh7WICJO8c8MZ3xGh5yZSn8gG0SngYtEvi4XtyDO8nylFIiSp3u1UCDzTP6vkP8C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JVJyATgAAAACgEA&#10;AA8AAAAAAAAAAAAAAAAAIoABAGRycy9kb3ducmV2LnhtbFBLAQItABQABgAIAAAAIQA3ncEYugAA&#10;ACEBAAAZAAAAAAAAAAAAAAAAAC+BAQBkcnMvX3JlbHMvZTJvRG9jLnhtbC5yZWxzUEsFBgAAAAAG&#10;AAYAfAEAACCCAQAAAA==&#10;" w14:anchorId="0CB13B62">
                <v:fill type="frame" o:title="" recolor="t" rotate="t" r:id="rId20"/>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3868228" w:rsidR="00E70E2E" w:rsidRDefault="00E70E2E" w:rsidP="00E70E2E">
      <w:pPr>
        <w:rPr>
          <w:b/>
        </w:rPr>
      </w:pPr>
      <w:r w:rsidRPr="00517886">
        <w:t xml:space="preserve">ESMA will consider all comments received by </w:t>
      </w:r>
      <w:r w:rsidR="00366A11">
        <w:rPr>
          <w:b/>
        </w:rPr>
        <w:t>30 April</w:t>
      </w:r>
      <w:r w:rsidR="009013B5">
        <w:rPr>
          <w:b/>
        </w:rPr>
        <w:t xml:space="preserve">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3E37C3D0"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74C84">
        <w:t>COLL</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661D9C2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F74C84">
        <w:t>COLL</w:t>
      </w:r>
      <w:r w:rsidRPr="00863BFD">
        <w:t>_nameofrespondent</w:t>
      </w:r>
      <w:proofErr w:type="spellEnd"/>
      <w:r w:rsidRPr="00863BFD">
        <w:t xml:space="preserve">. </w:t>
      </w:r>
    </w:p>
    <w:p w14:paraId="115A7ABF" w14:textId="3BB0FDD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350CE0">
        <w:t>COLL</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default" r:id="rId25"/>
          <w:footerReference w:type="default" r:id="rId26"/>
          <w:headerReference w:type="first" r:id="rId27"/>
          <w:footerReference w:type="first" r:id="rId28"/>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296CD1E6" w:rsidR="00C2682A" w:rsidRPr="00104E00" w:rsidRDefault="000B5B11" w:rsidP="00104E00">
                <w:pPr>
                  <w:jc w:val="left"/>
                  <w:rPr>
                    <w:rStyle w:val="PlaceholderText"/>
                  </w:rPr>
                </w:pPr>
                <w:r>
                  <w:rPr>
                    <w:rStyle w:val="PlaceholderText"/>
                  </w:rPr>
                  <w:t xml:space="preserve"> EDF TRADING</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4EBD3421"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36489A">
                  <w:t>Non-financial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69894C92" w:rsidR="00C2682A" w:rsidRPr="00104E00" w:rsidRDefault="00B16001"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4B85AC15" w:rsidR="00C2682A" w:rsidRPr="00104E00" w:rsidRDefault="000B5B11" w:rsidP="00104E00">
                <w:pPr>
                  <w:jc w:val="left"/>
                </w:pPr>
                <w:r>
                  <w:t>UK</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7FEBD42E" w:rsidR="00693907" w:rsidRPr="00B15006" w:rsidRDefault="0042141E" w:rsidP="00693907">
      <w:pPr>
        <w:pStyle w:val="Questionstyle"/>
      </w:pPr>
      <w:r w:rsidRPr="0042141E">
        <w:t>Do</w:t>
      </w:r>
      <w:r w:rsidR="001C3526">
        <w:t xml:space="preserve"> </w:t>
      </w:r>
      <w:r w:rsidR="001C3526" w:rsidRPr="001C3526">
        <w:t>you agree that the existing provision on concentration limits should apply to guarantees and as such Article 42 should be amended to provide legal clarity on this?</w:t>
      </w:r>
      <w:r w:rsidR="00693907" w:rsidRPr="00B15006">
        <w:t xml:space="preserve"> </w:t>
      </w:r>
    </w:p>
    <w:p w14:paraId="1E634CEC" w14:textId="509E79DC" w:rsidR="00693907" w:rsidRDefault="00693907" w:rsidP="00693907">
      <w:r>
        <w:t>&lt;ESMA_QUESTION_</w:t>
      </w:r>
      <w:r w:rsidR="00B744D6">
        <w:t>COLL</w:t>
      </w:r>
      <w:r>
        <w:t>_1&gt;</w:t>
      </w:r>
    </w:p>
    <w:p w14:paraId="5C9480C3" w14:textId="6F5E0349" w:rsidR="00B518DF" w:rsidRPr="00EB143A" w:rsidRDefault="00F1566D" w:rsidP="00B518DF">
      <w:pPr>
        <w:rPr>
          <w:color w:val="000000" w:themeColor="text1"/>
        </w:rPr>
      </w:pPr>
      <w:permStart w:id="910108688" w:edGrp="everyone"/>
      <w:r w:rsidRPr="00EB143A">
        <w:rPr>
          <w:color w:val="000000" w:themeColor="text1"/>
        </w:rPr>
        <w:t xml:space="preserve"> </w:t>
      </w:r>
      <w:r w:rsidRPr="00EB143A">
        <w:rPr>
          <w:b/>
          <w:bCs/>
          <w:color w:val="000000" w:themeColor="text1"/>
        </w:rPr>
        <w:t>Introduction:</w:t>
      </w:r>
      <w:r w:rsidRPr="00EB143A">
        <w:rPr>
          <w:color w:val="000000" w:themeColor="text1"/>
        </w:rPr>
        <w:t xml:space="preserve"> </w:t>
      </w:r>
      <w:proofErr w:type="gramStart"/>
      <w:r w:rsidR="00F33CE2" w:rsidRPr="00EB143A">
        <w:rPr>
          <w:color w:val="000000" w:themeColor="text1"/>
        </w:rPr>
        <w:t>Provided</w:t>
      </w:r>
      <w:r w:rsidR="005C230C" w:rsidRPr="00EB143A">
        <w:rPr>
          <w:color w:val="000000" w:themeColor="text1"/>
        </w:rPr>
        <w:t xml:space="preserve"> </w:t>
      </w:r>
      <w:r w:rsidR="00F33CE2" w:rsidRPr="00EB143A">
        <w:rPr>
          <w:color w:val="000000" w:themeColor="text1"/>
        </w:rPr>
        <w:t xml:space="preserve"> the</w:t>
      </w:r>
      <w:proofErr w:type="gramEnd"/>
      <w:r w:rsidR="00F33CE2" w:rsidRPr="00EB143A">
        <w:rPr>
          <w:color w:val="000000" w:themeColor="text1"/>
        </w:rPr>
        <w:t xml:space="preserve"> relevant conditions set out </w:t>
      </w:r>
      <w:r w:rsidR="0036489A">
        <w:rPr>
          <w:color w:val="000000" w:themeColor="text1"/>
        </w:rPr>
        <w:t xml:space="preserve">in the final RTS </w:t>
      </w:r>
      <w:r w:rsidR="00F33CE2" w:rsidRPr="00EB143A">
        <w:rPr>
          <w:color w:val="000000" w:themeColor="text1"/>
        </w:rPr>
        <w:t xml:space="preserve"> are not too restrictive to be useful in practice,</w:t>
      </w:r>
      <w:r w:rsidRPr="00EB143A">
        <w:rPr>
          <w:color w:val="000000" w:themeColor="text1"/>
        </w:rPr>
        <w:t xml:space="preserve"> </w:t>
      </w:r>
      <w:r w:rsidR="0036489A">
        <w:rPr>
          <w:color w:val="000000" w:themeColor="text1"/>
        </w:rPr>
        <w:t xml:space="preserve">it </w:t>
      </w:r>
      <w:r w:rsidRPr="00EB143A">
        <w:rPr>
          <w:color w:val="000000" w:themeColor="text1"/>
        </w:rPr>
        <w:t xml:space="preserve">will broaden the range of eligible collateral available to </w:t>
      </w:r>
      <w:r w:rsidR="008F5A17" w:rsidRPr="00EB143A">
        <w:rPr>
          <w:color w:val="000000" w:themeColor="text1"/>
        </w:rPr>
        <w:t>Non-Financial Counterparties</w:t>
      </w:r>
      <w:r w:rsidR="00DC6BA1" w:rsidRPr="00EB143A">
        <w:rPr>
          <w:color w:val="000000" w:themeColor="text1"/>
        </w:rPr>
        <w:t xml:space="preserve"> (NF</w:t>
      </w:r>
      <w:r w:rsidR="002A776E">
        <w:rPr>
          <w:color w:val="000000" w:themeColor="text1"/>
        </w:rPr>
        <w:t>C</w:t>
      </w:r>
      <w:r w:rsidR="00DC6BA1" w:rsidRPr="00EB143A">
        <w:rPr>
          <w:color w:val="000000" w:themeColor="text1"/>
        </w:rPr>
        <w:t>)</w:t>
      </w:r>
      <w:r w:rsidRPr="00EB143A">
        <w:rPr>
          <w:color w:val="000000" w:themeColor="text1"/>
        </w:rPr>
        <w:t>, enabling them to diversify their collateral choices</w:t>
      </w:r>
      <w:r w:rsidR="0036489A">
        <w:rPr>
          <w:color w:val="000000" w:themeColor="text1"/>
        </w:rPr>
        <w:t xml:space="preserve"> and</w:t>
      </w:r>
      <w:r w:rsidRPr="00EB143A">
        <w:rPr>
          <w:color w:val="000000" w:themeColor="text1"/>
        </w:rPr>
        <w:t xml:space="preserve"> </w:t>
      </w:r>
      <w:r w:rsidR="00E65189" w:rsidRPr="00EB143A">
        <w:rPr>
          <w:color w:val="000000" w:themeColor="text1"/>
        </w:rPr>
        <w:t>manage</w:t>
      </w:r>
      <w:r w:rsidR="0036489A">
        <w:rPr>
          <w:color w:val="000000" w:themeColor="text1"/>
        </w:rPr>
        <w:t xml:space="preserve"> </w:t>
      </w:r>
      <w:r w:rsidR="00E65189" w:rsidRPr="00EB143A">
        <w:rPr>
          <w:color w:val="000000" w:themeColor="text1"/>
        </w:rPr>
        <w:t>their liquidit</w:t>
      </w:r>
      <w:r w:rsidR="0036489A">
        <w:rPr>
          <w:color w:val="000000" w:themeColor="text1"/>
        </w:rPr>
        <w:t>y risk</w:t>
      </w:r>
      <w:r w:rsidR="00E65189" w:rsidRPr="00EB143A">
        <w:rPr>
          <w:color w:val="000000" w:themeColor="text1"/>
        </w:rPr>
        <w:t xml:space="preserve"> more effectively</w:t>
      </w:r>
      <w:r w:rsidR="0036489A">
        <w:rPr>
          <w:color w:val="000000" w:themeColor="text1"/>
        </w:rPr>
        <w:t xml:space="preserve"> and efficiently</w:t>
      </w:r>
      <w:r w:rsidR="00E65189" w:rsidRPr="00EB143A">
        <w:rPr>
          <w:color w:val="000000" w:themeColor="text1"/>
        </w:rPr>
        <w:t xml:space="preserve"> </w:t>
      </w:r>
      <w:r w:rsidR="00264024" w:rsidRPr="00EB143A">
        <w:rPr>
          <w:color w:val="000000" w:themeColor="text1"/>
        </w:rPr>
        <w:t>,</w:t>
      </w:r>
      <w:r w:rsidR="00B518DF" w:rsidRPr="00EB143A">
        <w:rPr>
          <w:color w:val="000000" w:themeColor="text1"/>
        </w:rPr>
        <w:t>.</w:t>
      </w:r>
      <w:r w:rsidR="00312FC0" w:rsidRPr="00EB143A">
        <w:rPr>
          <w:color w:val="000000" w:themeColor="text1"/>
        </w:rPr>
        <w:t xml:space="preserve"> This</w:t>
      </w:r>
      <w:r w:rsidR="0036489A">
        <w:rPr>
          <w:color w:val="000000" w:themeColor="text1"/>
        </w:rPr>
        <w:t xml:space="preserve"> will </w:t>
      </w:r>
      <w:r w:rsidR="00312FC0" w:rsidRPr="00EB143A">
        <w:rPr>
          <w:color w:val="000000" w:themeColor="text1"/>
        </w:rPr>
        <w:t>help firms better navigate stressed markets scenarios, which can be particularly cash-intensive due to volatile margin call requirements.</w:t>
      </w:r>
    </w:p>
    <w:p w14:paraId="6ED6CD25" w14:textId="45BF33C4" w:rsidR="00B518DF" w:rsidRPr="00EB143A" w:rsidRDefault="631D6170" w:rsidP="00B518DF">
      <w:pPr>
        <w:rPr>
          <w:color w:val="000000" w:themeColor="text1"/>
        </w:rPr>
      </w:pPr>
      <w:r w:rsidRPr="631D6170">
        <w:rPr>
          <w:color w:val="000000" w:themeColor="text1"/>
        </w:rPr>
        <w:t>It is also important to note that for commercial NFCs, Initial Margin (IM) and Variation Margin (VM) requirements can increase simultaneously, and these shifts can be significant during periods of market stress</w:t>
      </w:r>
      <w:proofErr w:type="gramStart"/>
      <w:r w:rsidRPr="631D6170">
        <w:rPr>
          <w:color w:val="000000" w:themeColor="text1"/>
        </w:rPr>
        <w:t>. .</w:t>
      </w:r>
      <w:proofErr w:type="gramEnd"/>
      <w:r w:rsidRPr="631D6170">
        <w:rPr>
          <w:color w:val="000000" w:themeColor="text1"/>
        </w:rPr>
        <w:t xml:space="preserve"> This can create a specific challenge for NFCs engaged in physical commodity markets who </w:t>
      </w:r>
      <w:r w:rsidR="002A776E">
        <w:rPr>
          <w:color w:val="000000" w:themeColor="text1"/>
        </w:rPr>
        <w:t xml:space="preserve">often </w:t>
      </w:r>
      <w:r w:rsidRPr="631D6170">
        <w:rPr>
          <w:color w:val="000000" w:themeColor="text1"/>
        </w:rPr>
        <w:t xml:space="preserve">hedge their exposures on exchange. In such cases, during periods of rising commodity prices, a firm may have </w:t>
      </w:r>
      <w:proofErr w:type="gramStart"/>
      <w:r w:rsidRPr="631D6170">
        <w:rPr>
          <w:color w:val="000000" w:themeColor="text1"/>
        </w:rPr>
        <w:t>entered into</w:t>
      </w:r>
      <w:proofErr w:type="gramEnd"/>
      <w:r w:rsidRPr="631D6170">
        <w:rPr>
          <w:color w:val="000000" w:themeColor="text1"/>
        </w:rPr>
        <w:t xml:space="preserve"> a forward physical sale for which it will only receive payment at a later stage </w:t>
      </w:r>
      <w:r w:rsidR="002A776E">
        <w:rPr>
          <w:color w:val="000000" w:themeColor="text1"/>
        </w:rPr>
        <w:t xml:space="preserve">(e.g. </w:t>
      </w:r>
      <w:r w:rsidRPr="631D6170">
        <w:rPr>
          <w:color w:val="000000" w:themeColor="text1"/>
        </w:rPr>
        <w:t>upon delivery</w:t>
      </w:r>
      <w:r w:rsidR="002A776E">
        <w:rPr>
          <w:color w:val="000000" w:themeColor="text1"/>
        </w:rPr>
        <w:t>)</w:t>
      </w:r>
      <w:r w:rsidRPr="631D6170">
        <w:rPr>
          <w:color w:val="000000" w:themeColor="text1"/>
        </w:rPr>
        <w:t>. While th</w:t>
      </w:r>
      <w:r w:rsidR="002A776E">
        <w:rPr>
          <w:color w:val="000000" w:themeColor="text1"/>
        </w:rPr>
        <w:t>e</w:t>
      </w:r>
      <w:r w:rsidRPr="631D6170">
        <w:rPr>
          <w:color w:val="000000" w:themeColor="text1"/>
        </w:rPr>
        <w:t xml:space="preserve"> </w:t>
      </w:r>
      <w:r w:rsidR="002A776E">
        <w:rPr>
          <w:color w:val="000000" w:themeColor="text1"/>
        </w:rPr>
        <w:t xml:space="preserve">physical </w:t>
      </w:r>
      <w:r w:rsidRPr="631D6170">
        <w:rPr>
          <w:color w:val="000000" w:themeColor="text1"/>
        </w:rPr>
        <w:t>position may be economically in-the-money, the corresponding hedge position on exchange can be out-of-the-money, requiring the posting of cash variation margin</w:t>
      </w:r>
      <w:r w:rsidR="002A776E">
        <w:rPr>
          <w:color w:val="000000" w:themeColor="text1"/>
        </w:rPr>
        <w:t xml:space="preserve"> </w:t>
      </w:r>
      <w:r w:rsidR="002A776E" w:rsidRPr="002A776E">
        <w:rPr>
          <w:color w:val="000000" w:themeColor="text1"/>
        </w:rPr>
        <w:t xml:space="preserve">in addition to initial </w:t>
      </w:r>
      <w:proofErr w:type="gramStart"/>
      <w:r w:rsidR="002A776E" w:rsidRPr="002A776E">
        <w:rPr>
          <w:color w:val="000000" w:themeColor="text1"/>
        </w:rPr>
        <w:t>margin</w:t>
      </w:r>
      <w:r w:rsidR="002A776E">
        <w:rPr>
          <w:color w:val="000000" w:themeColor="text1"/>
        </w:rPr>
        <w:t xml:space="preserve"> </w:t>
      </w:r>
      <w:r w:rsidRPr="631D6170">
        <w:rPr>
          <w:color w:val="000000" w:themeColor="text1"/>
        </w:rPr>
        <w:t>.</w:t>
      </w:r>
      <w:proofErr w:type="gramEnd"/>
      <w:r w:rsidRPr="631D6170">
        <w:rPr>
          <w:color w:val="000000" w:themeColor="text1"/>
        </w:rPr>
        <w:t xml:space="preserve"> As a result, the firm is required to post cash collateral on the hedge</w:t>
      </w:r>
      <w:r w:rsidR="002A776E">
        <w:rPr>
          <w:color w:val="000000" w:themeColor="text1"/>
        </w:rPr>
        <w:t xml:space="preserve"> position</w:t>
      </w:r>
      <w:r w:rsidRPr="631D6170">
        <w:rPr>
          <w:color w:val="000000" w:themeColor="text1"/>
        </w:rPr>
        <w:t xml:space="preserve"> while not yet receiving cash from the underlying physical transaction. This creates a liquidity timing mismatch, even though the NFC’s market risk exposure is effectively hedged over time.  </w:t>
      </w:r>
    </w:p>
    <w:p w14:paraId="599C06DE" w14:textId="5552C0BC" w:rsidR="00F1566D" w:rsidRPr="00EB143A" w:rsidRDefault="0036489A" w:rsidP="00F1566D">
      <w:pPr>
        <w:rPr>
          <w:color w:val="000000" w:themeColor="text1"/>
        </w:rPr>
      </w:pPr>
      <w:r>
        <w:rPr>
          <w:color w:val="000000" w:themeColor="text1"/>
        </w:rPr>
        <w:t>The RTS could be enhanced, and deliver a more efficient and effective outcome, with</w:t>
      </w:r>
      <w:r w:rsidR="00F1566D" w:rsidRPr="00EB143A">
        <w:rPr>
          <w:color w:val="000000" w:themeColor="text1"/>
        </w:rPr>
        <w:t xml:space="preserve"> a few targeted </w:t>
      </w:r>
      <w:r>
        <w:rPr>
          <w:color w:val="000000" w:themeColor="text1"/>
        </w:rPr>
        <w:t xml:space="preserve">amendments: </w:t>
      </w:r>
    </w:p>
    <w:p w14:paraId="751A1F85" w14:textId="659BED5C" w:rsidR="00F1566D" w:rsidRPr="00EB143A" w:rsidRDefault="0EC78CB4" w:rsidP="00F1566D">
      <w:pPr>
        <w:pStyle w:val="ListParagraph"/>
        <w:numPr>
          <w:ilvl w:val="0"/>
          <w:numId w:val="37"/>
        </w:numPr>
        <w:rPr>
          <w:color w:val="000000" w:themeColor="text1"/>
        </w:rPr>
      </w:pPr>
      <w:r w:rsidRPr="00EB143A">
        <w:rPr>
          <w:b/>
          <w:bCs/>
          <w:color w:val="000000" w:themeColor="text1"/>
        </w:rPr>
        <w:t>Definition of eligible instruments:</w:t>
      </w:r>
      <w:r w:rsidRPr="00EB143A">
        <w:rPr>
          <w:color w:val="000000" w:themeColor="text1"/>
        </w:rPr>
        <w:t xml:space="preserve"> “Uncollateralised bank guarantees” should be under-stood as instruments that ensure a full and timely enforceability </w:t>
      </w:r>
      <w:r w:rsidR="00DE4CD7" w:rsidRPr="00EB143A">
        <w:rPr>
          <w:color w:val="000000" w:themeColor="text1"/>
        </w:rPr>
        <w:t>by</w:t>
      </w:r>
      <w:r w:rsidRPr="00EB143A">
        <w:rPr>
          <w:color w:val="000000" w:themeColor="text1"/>
        </w:rPr>
        <w:t xml:space="preserve"> </w:t>
      </w:r>
      <w:r w:rsidR="008D3640" w:rsidRPr="00EB143A">
        <w:rPr>
          <w:color w:val="000000" w:themeColor="text1"/>
        </w:rPr>
        <w:t>Central Counterparties</w:t>
      </w:r>
      <w:r w:rsidR="00DC6BA1" w:rsidRPr="00EB143A">
        <w:rPr>
          <w:color w:val="000000" w:themeColor="text1"/>
        </w:rPr>
        <w:t xml:space="preserve"> </w:t>
      </w:r>
      <w:r w:rsidR="008D3640" w:rsidRPr="00EB143A">
        <w:rPr>
          <w:color w:val="000000" w:themeColor="text1"/>
        </w:rPr>
        <w:lastRenderedPageBreak/>
        <w:t>(C</w:t>
      </w:r>
      <w:r w:rsidRPr="00EB143A">
        <w:rPr>
          <w:color w:val="000000" w:themeColor="text1"/>
        </w:rPr>
        <w:t>CP</w:t>
      </w:r>
      <w:r w:rsidR="008D3640" w:rsidRPr="00EB143A">
        <w:rPr>
          <w:color w:val="000000" w:themeColor="text1"/>
        </w:rPr>
        <w:t>s)</w:t>
      </w:r>
      <w:r w:rsidRPr="00EB143A">
        <w:rPr>
          <w:color w:val="000000" w:themeColor="text1"/>
        </w:rPr>
        <w:t xml:space="preserve"> by fulfilling the fundamental criteria of being unconditional, irrevocable and payable on first demand. Existing international instruments such as the Standby Letters of Credit (SBLCs) already satisfy these standards and may serve as relevant examples. </w:t>
      </w:r>
    </w:p>
    <w:p w14:paraId="7ED51839" w14:textId="1355E396" w:rsidR="00F1566D" w:rsidRPr="00EB143A" w:rsidRDefault="0EC78CB4" w:rsidP="00F1566D">
      <w:pPr>
        <w:pStyle w:val="ListParagraph"/>
        <w:numPr>
          <w:ilvl w:val="0"/>
          <w:numId w:val="37"/>
        </w:numPr>
        <w:rPr>
          <w:color w:val="000000" w:themeColor="text1"/>
        </w:rPr>
      </w:pPr>
      <w:r w:rsidRPr="00EB143A">
        <w:rPr>
          <w:b/>
          <w:bCs/>
          <w:color w:val="000000" w:themeColor="text1"/>
        </w:rPr>
        <w:t>Beneficiary structure and enforcement mechanisms:</w:t>
      </w:r>
      <w:r w:rsidRPr="00EB143A">
        <w:rPr>
          <w:color w:val="000000" w:themeColor="text1"/>
        </w:rPr>
        <w:t xml:space="preserve"> The proposal that a CCP may only call a guarantee upon the default of a clearing member appears difficult to implement in practice and risks disincentivising clearing members from accepting such instruments as collateral. In this regard, we suggest adopting a clear and operational dual-beneficiary structure to address various default scenarios. Such a structure should enable a mechanism whereby a CCP can exercise its right over the guarantee to cover losses arising from a C</w:t>
      </w:r>
      <w:r w:rsidR="008D3640" w:rsidRPr="00EB143A">
        <w:rPr>
          <w:color w:val="000000" w:themeColor="text1"/>
        </w:rPr>
        <w:t xml:space="preserve">learing </w:t>
      </w:r>
      <w:r w:rsidRPr="00EB143A">
        <w:rPr>
          <w:color w:val="000000" w:themeColor="text1"/>
        </w:rPr>
        <w:t>M</w:t>
      </w:r>
      <w:r w:rsidR="008D3640" w:rsidRPr="00EB143A">
        <w:rPr>
          <w:color w:val="000000" w:themeColor="text1"/>
        </w:rPr>
        <w:t>ember (CM)</w:t>
      </w:r>
      <w:r w:rsidRPr="00EB143A">
        <w:rPr>
          <w:color w:val="000000" w:themeColor="text1"/>
        </w:rPr>
        <w:t xml:space="preserve"> default, while also allowing the same guarantee to be used by at CM level to recover losses from a client default when not affecting the CCP. </w:t>
      </w:r>
      <w:r w:rsidR="002B6A88" w:rsidRPr="00EB143A">
        <w:rPr>
          <w:color w:val="000000" w:themeColor="text1"/>
        </w:rPr>
        <w:t xml:space="preserve">We </w:t>
      </w:r>
      <w:r w:rsidR="007A2233" w:rsidRPr="00EB143A">
        <w:rPr>
          <w:color w:val="000000" w:themeColor="text1"/>
        </w:rPr>
        <w:t xml:space="preserve">better </w:t>
      </w:r>
      <w:r w:rsidR="002B6A88" w:rsidRPr="00EB143A">
        <w:rPr>
          <w:color w:val="000000" w:themeColor="text1"/>
        </w:rPr>
        <w:t xml:space="preserve">explain the details of </w:t>
      </w:r>
      <w:r w:rsidR="00B948BC" w:rsidRPr="00EB143A">
        <w:rPr>
          <w:color w:val="000000" w:themeColor="text1"/>
        </w:rPr>
        <w:t>the structure below</w:t>
      </w:r>
      <w:r w:rsidR="007A2233" w:rsidRPr="00EB143A">
        <w:rPr>
          <w:color w:val="000000" w:themeColor="text1"/>
        </w:rPr>
        <w:t xml:space="preserve">. </w:t>
      </w:r>
    </w:p>
    <w:p w14:paraId="36D1B02C" w14:textId="46BA3BB0" w:rsidR="00F1566D" w:rsidRPr="00EB143A" w:rsidRDefault="0EC78CB4" w:rsidP="00F1566D">
      <w:pPr>
        <w:pStyle w:val="ListParagraph"/>
        <w:numPr>
          <w:ilvl w:val="0"/>
          <w:numId w:val="37"/>
        </w:numPr>
        <w:rPr>
          <w:color w:val="000000" w:themeColor="text1"/>
        </w:rPr>
      </w:pPr>
      <w:r w:rsidRPr="00EB143A">
        <w:rPr>
          <w:b/>
          <w:bCs/>
          <w:color w:val="000000" w:themeColor="text1"/>
        </w:rPr>
        <w:t>Segregation requirements:</w:t>
      </w:r>
      <w:r w:rsidRPr="00EB143A">
        <w:rPr>
          <w:color w:val="000000" w:themeColor="text1"/>
        </w:rPr>
        <w:t xml:space="preserve"> Mandatory allocation to an </w:t>
      </w:r>
      <w:r w:rsidR="008D3640" w:rsidRPr="00EB143A">
        <w:rPr>
          <w:color w:val="000000" w:themeColor="text1"/>
        </w:rPr>
        <w:t>I</w:t>
      </w:r>
      <w:r w:rsidRPr="00EB143A">
        <w:rPr>
          <w:color w:val="000000" w:themeColor="text1"/>
        </w:rPr>
        <w:t xml:space="preserve">ndividual </w:t>
      </w:r>
      <w:r w:rsidR="008D3640" w:rsidRPr="00EB143A">
        <w:rPr>
          <w:color w:val="000000" w:themeColor="text1"/>
        </w:rPr>
        <w:t>S</w:t>
      </w:r>
      <w:r w:rsidRPr="00EB143A">
        <w:rPr>
          <w:color w:val="000000" w:themeColor="text1"/>
        </w:rPr>
        <w:t xml:space="preserve">egregated </w:t>
      </w:r>
      <w:r w:rsidR="008D3640" w:rsidRPr="00EB143A">
        <w:rPr>
          <w:color w:val="000000" w:themeColor="text1"/>
        </w:rPr>
        <w:t>A</w:t>
      </w:r>
      <w:r w:rsidRPr="00EB143A">
        <w:rPr>
          <w:color w:val="000000" w:themeColor="text1"/>
        </w:rPr>
        <w:t>ccount</w:t>
      </w:r>
      <w:r w:rsidR="008D3640" w:rsidRPr="00EB143A">
        <w:rPr>
          <w:color w:val="000000" w:themeColor="text1"/>
        </w:rPr>
        <w:t xml:space="preserve"> (ISA)</w:t>
      </w:r>
      <w:r w:rsidRPr="00EB143A">
        <w:rPr>
          <w:color w:val="000000" w:themeColor="text1"/>
        </w:rPr>
        <w:t xml:space="preserve"> is overly prescriptive and would significantly complicate implementation. From an operational perspective, guarantees can be posted on a</w:t>
      </w:r>
      <w:r w:rsidR="001A1BBC" w:rsidRPr="00EB143A">
        <w:rPr>
          <w:color w:val="000000" w:themeColor="text1"/>
        </w:rPr>
        <w:t xml:space="preserve"> gross</w:t>
      </w:r>
      <w:r w:rsidRPr="00EB143A">
        <w:rPr>
          <w:color w:val="000000" w:themeColor="text1"/>
        </w:rPr>
        <w:t xml:space="preserve"> omnibus account, ensuring that they remain fully accessible to the CCP in the event of a CM default, while also reducing client identification requirements. </w:t>
      </w:r>
    </w:p>
    <w:p w14:paraId="1DA8330A" w14:textId="2D1DEF82" w:rsidR="00F1566D" w:rsidRPr="00EB143A" w:rsidRDefault="00F1566D" w:rsidP="00F1566D">
      <w:pPr>
        <w:pStyle w:val="ListParagraph"/>
        <w:numPr>
          <w:ilvl w:val="0"/>
          <w:numId w:val="37"/>
        </w:numPr>
        <w:rPr>
          <w:color w:val="000000" w:themeColor="text1"/>
        </w:rPr>
      </w:pPr>
      <w:r w:rsidRPr="00EB143A">
        <w:rPr>
          <w:b/>
          <w:bCs/>
          <w:color w:val="000000" w:themeColor="text1"/>
        </w:rPr>
        <w:t>Prudential regulation of bank guarantee as collateral:</w:t>
      </w:r>
      <w:r w:rsidRPr="00EB143A">
        <w:rPr>
          <w:color w:val="000000" w:themeColor="text1"/>
        </w:rPr>
        <w:t xml:space="preserve"> While we do not consider the prudential constraints applicable to banks acting as clearing members, in particular the capital treatment of bank guarantees under the </w:t>
      </w:r>
      <w:r w:rsidR="00D129E9" w:rsidRPr="00EB143A">
        <w:rPr>
          <w:color w:val="000000" w:themeColor="text1"/>
        </w:rPr>
        <w:t>Capital Requirements Regulation (CRR)</w:t>
      </w:r>
      <w:r w:rsidRPr="00EB143A">
        <w:rPr>
          <w:color w:val="000000" w:themeColor="text1"/>
        </w:rPr>
        <w:t xml:space="preserve"> and </w:t>
      </w:r>
      <w:r w:rsidR="00343E1B" w:rsidRPr="00EB143A">
        <w:rPr>
          <w:color w:val="000000" w:themeColor="text1"/>
        </w:rPr>
        <w:t xml:space="preserve">the European Banking Authority’s </w:t>
      </w:r>
      <w:r w:rsidRPr="00EB143A">
        <w:rPr>
          <w:color w:val="000000" w:themeColor="text1"/>
        </w:rPr>
        <w:t xml:space="preserve">guidance (credit conversion factor framework), to constitute a </w:t>
      </w:r>
      <w:r w:rsidR="00C9370E" w:rsidRPr="00EB143A">
        <w:rPr>
          <w:color w:val="000000" w:themeColor="text1"/>
        </w:rPr>
        <w:t xml:space="preserve">tangible constraint </w:t>
      </w:r>
      <w:r w:rsidRPr="00EB143A">
        <w:rPr>
          <w:color w:val="000000" w:themeColor="text1"/>
        </w:rPr>
        <w:t xml:space="preserve">to the eligibility of guarantees as collateral, we consider that these constraints may nevertheless limit their practical use in the EU clearing ecosystem. In this context, there may be merit in ESMA engaging with the relevant prudential authorities, including the EBA, to further assess whether the current prudential treatment appropriately reflects the risk-mitigating characteristics of such instruments. </w:t>
      </w:r>
    </w:p>
    <w:p w14:paraId="10F539A7" w14:textId="649BE9A3" w:rsidR="00F1566D" w:rsidRPr="00EB143A" w:rsidRDefault="00F1566D" w:rsidP="00F1566D">
      <w:pPr>
        <w:rPr>
          <w:color w:val="000000" w:themeColor="text1"/>
        </w:rPr>
      </w:pPr>
      <w:r w:rsidRPr="00EB143A">
        <w:rPr>
          <w:b/>
          <w:bCs/>
          <w:color w:val="000000" w:themeColor="text1"/>
        </w:rPr>
        <w:t>Energy Traders Europe response to Q1:</w:t>
      </w:r>
      <w:r w:rsidRPr="00EB143A">
        <w:rPr>
          <w:color w:val="000000" w:themeColor="text1"/>
        </w:rPr>
        <w:t xml:space="preserve"> </w:t>
      </w:r>
      <w:r w:rsidR="0036489A">
        <w:rPr>
          <w:color w:val="000000" w:themeColor="text1"/>
        </w:rPr>
        <w:t xml:space="preserve">We agree </w:t>
      </w:r>
      <w:r w:rsidRPr="00EB143A">
        <w:rPr>
          <w:color w:val="000000" w:themeColor="text1"/>
        </w:rPr>
        <w:t>the existing framework on concentration limits under Article 42 of RTS 153/2013 should also apply to guarantees and supports the proposed amendment to provide legal clarity in this respect.</w:t>
      </w:r>
    </w:p>
    <w:p w14:paraId="2AB18506" w14:textId="68A8CF7D" w:rsidR="00F1566D" w:rsidRPr="00EB143A" w:rsidRDefault="00F1566D" w:rsidP="00F1566D">
      <w:pPr>
        <w:rPr>
          <w:color w:val="000000" w:themeColor="text1"/>
        </w:rPr>
      </w:pPr>
      <w:r w:rsidRPr="00EB143A">
        <w:rPr>
          <w:color w:val="000000" w:themeColor="text1"/>
        </w:rPr>
        <w:t>We welcome ESMA’s preferred principles-based approach, which allows CCPs to set risk-sensitive concentration limits rather than relying on prescriptive quantitative thresholds. A framework based on fixed concentration limits would lack the flexibility needed to accommodate evolving market conditions and may inadvertently restrict access to clearing for non-financial counterparties relying on guarantees, particularly in commodity markets.</w:t>
      </w:r>
    </w:p>
    <w:p w14:paraId="77490A59" w14:textId="16A87E55" w:rsidR="00F1566D" w:rsidRDefault="00F1566D" w:rsidP="00F1566D">
      <w:pPr>
        <w:rPr>
          <w:color w:val="000000" w:themeColor="text1"/>
        </w:rPr>
      </w:pPr>
      <w:r w:rsidRPr="00EB143A">
        <w:rPr>
          <w:color w:val="000000" w:themeColor="text1"/>
        </w:rPr>
        <w:t>Where concentration is effectively managed at clearing member account level, the relevant metric should be the aggregate exposure within the account. Accordingly, CCPs should retain flexibility to allow higher use of guarantees at individual client level, provided that overall concentration at account and issuer level remains within limits.</w:t>
      </w:r>
    </w:p>
    <w:p w14:paraId="1C998710" w14:textId="7B2D9549" w:rsidR="0036489A" w:rsidRPr="00EB143A" w:rsidRDefault="0036489A" w:rsidP="00F1566D">
      <w:pPr>
        <w:rPr>
          <w:color w:val="000000" w:themeColor="text1"/>
        </w:rPr>
      </w:pPr>
      <w:r>
        <w:rPr>
          <w:color w:val="000000" w:themeColor="text1"/>
        </w:rPr>
        <w:lastRenderedPageBreak/>
        <w:t>There also needs to be clarity on rules around maximum issuance per bank and transparency around the utilisation of those limits.</w:t>
      </w:r>
    </w:p>
    <w:p w14:paraId="628AAE1C" w14:textId="481EEA00" w:rsidR="00693907" w:rsidRPr="00EB143A" w:rsidRDefault="00F1566D" w:rsidP="00F1566D">
      <w:pPr>
        <w:rPr>
          <w:color w:val="000000" w:themeColor="text1"/>
        </w:rPr>
      </w:pPr>
      <w:r w:rsidRPr="00EB143A">
        <w:rPr>
          <w:color w:val="000000" w:themeColor="text1"/>
        </w:rPr>
        <w:t>At the same time, the effectiveness of a flexible framework depends on its consistency and pre-</w:t>
      </w:r>
      <w:proofErr w:type="spellStart"/>
      <w:r w:rsidRPr="00EB143A">
        <w:rPr>
          <w:color w:val="000000" w:themeColor="text1"/>
        </w:rPr>
        <w:t>dictable</w:t>
      </w:r>
      <w:proofErr w:type="spellEnd"/>
      <w:r w:rsidRPr="00EB143A">
        <w:rPr>
          <w:color w:val="000000" w:themeColor="text1"/>
        </w:rPr>
        <w:t xml:space="preserve"> implementation. It is therefore important that CCP rules on concentration limits remain sufficiently transparent and are applied in a harmonised and consistent manner across CCPs, </w:t>
      </w:r>
      <w:proofErr w:type="gramStart"/>
      <w:r w:rsidRPr="00EB143A">
        <w:rPr>
          <w:color w:val="000000" w:themeColor="text1"/>
        </w:rPr>
        <w:t>in order to</w:t>
      </w:r>
      <w:proofErr w:type="gramEnd"/>
      <w:r w:rsidRPr="00EB143A">
        <w:rPr>
          <w:color w:val="000000" w:themeColor="text1"/>
        </w:rPr>
        <w:t xml:space="preserve"> avoid fragmentation or overly conservative interpretations that could undermine the in-tended benefits of the expanded collateral framework under EMIR 3.</w:t>
      </w:r>
    </w:p>
    <w:permEnd w:id="910108688"/>
    <w:p w14:paraId="7D4640BC" w14:textId="4AD0283A" w:rsidR="00693907" w:rsidRPr="00EB143A" w:rsidRDefault="00693907" w:rsidP="00693907">
      <w:pPr>
        <w:rPr>
          <w:color w:val="000000" w:themeColor="text1"/>
        </w:rPr>
      </w:pPr>
      <w:r w:rsidRPr="00EB143A">
        <w:rPr>
          <w:color w:val="000000" w:themeColor="text1"/>
        </w:rPr>
        <w:t>&lt;ESMA_QUESTION_</w:t>
      </w:r>
      <w:r w:rsidR="00B744D6" w:rsidRPr="00EB143A">
        <w:rPr>
          <w:color w:val="000000" w:themeColor="text1"/>
        </w:rPr>
        <w:t>COLL</w:t>
      </w:r>
      <w:r w:rsidRPr="00EB143A">
        <w:rPr>
          <w:color w:val="000000" w:themeColor="text1"/>
        </w:rPr>
        <w:t>_1&gt;</w:t>
      </w:r>
    </w:p>
    <w:p w14:paraId="67594B5D" w14:textId="77777777" w:rsidR="005B7C57" w:rsidRDefault="005B7C57" w:rsidP="00693907">
      <w:pPr>
        <w:rPr>
          <w:color w:val="000000" w:themeColor="text1"/>
        </w:rPr>
      </w:pPr>
    </w:p>
    <w:p w14:paraId="6316785C" w14:textId="77777777" w:rsidR="005B7C57" w:rsidRPr="00EB143A" w:rsidRDefault="005B7C57" w:rsidP="00693907">
      <w:pPr>
        <w:rPr>
          <w:color w:val="000000" w:themeColor="text1"/>
        </w:rPr>
      </w:pPr>
    </w:p>
    <w:p w14:paraId="0D4A902B" w14:textId="67C691EF" w:rsidR="00693907" w:rsidRPr="00EB143A" w:rsidRDefault="007C5CE7" w:rsidP="00693907">
      <w:pPr>
        <w:pStyle w:val="Questionstyle"/>
        <w:rPr>
          <w:color w:val="000000" w:themeColor="text1"/>
        </w:rPr>
      </w:pPr>
      <w:r w:rsidRPr="00EB143A">
        <w:rPr>
          <w:color w:val="000000" w:themeColor="text1"/>
        </w:rPr>
        <w:t>Do</w:t>
      </w:r>
      <w:r w:rsidR="002C497F" w:rsidRPr="00EB143A">
        <w:rPr>
          <w:color w:val="000000" w:themeColor="text1"/>
        </w:rPr>
        <w:t xml:space="preserve"> you agree with the inclusion of the level of collateralisation of the guarantee as a criterion for the CCP to consider when establishing concentration limits? </w:t>
      </w:r>
      <w:r w:rsidR="00693907" w:rsidRPr="00EB143A">
        <w:rPr>
          <w:color w:val="000000" w:themeColor="text1"/>
        </w:rPr>
        <w:t xml:space="preserve">   </w:t>
      </w:r>
    </w:p>
    <w:p w14:paraId="00896A16" w14:textId="79A6D7D2" w:rsidR="00693907" w:rsidRPr="00EB143A" w:rsidRDefault="00693907" w:rsidP="00693907">
      <w:pPr>
        <w:rPr>
          <w:color w:val="000000" w:themeColor="text1"/>
        </w:rPr>
      </w:pPr>
      <w:r w:rsidRPr="00EB143A">
        <w:rPr>
          <w:color w:val="000000" w:themeColor="text1"/>
        </w:rPr>
        <w:t>&lt;ESMA_QUESTION_</w:t>
      </w:r>
      <w:r w:rsidR="008D6D0B" w:rsidRPr="00EB143A">
        <w:rPr>
          <w:color w:val="000000" w:themeColor="text1"/>
        </w:rPr>
        <w:t>COLL</w:t>
      </w:r>
      <w:r w:rsidRPr="00EB143A">
        <w:rPr>
          <w:color w:val="000000" w:themeColor="text1"/>
        </w:rPr>
        <w:t>_2&gt;</w:t>
      </w:r>
    </w:p>
    <w:p w14:paraId="67427A17" w14:textId="7C407206" w:rsidR="003F69EB" w:rsidRPr="00EB143A" w:rsidRDefault="0036489A" w:rsidP="003F69EB">
      <w:pPr>
        <w:rPr>
          <w:color w:val="000000" w:themeColor="text1"/>
        </w:rPr>
      </w:pPr>
      <w:permStart w:id="834943991" w:edGrp="everyone"/>
      <w:r>
        <w:rPr>
          <w:color w:val="000000" w:themeColor="text1"/>
          <w:lang w:val="en-US"/>
        </w:rPr>
        <w:t xml:space="preserve">There is </w:t>
      </w:r>
      <w:r w:rsidR="00F1566D" w:rsidRPr="00EB143A">
        <w:rPr>
          <w:color w:val="000000" w:themeColor="text1"/>
          <w:lang w:val="en-US"/>
        </w:rPr>
        <w:t>need for CCPs to assess the risk profile of guarantees. However, the reference to the “</w:t>
      </w:r>
      <w:r w:rsidR="00F1566D" w:rsidRPr="00EB143A">
        <w:rPr>
          <w:i/>
          <w:iCs/>
          <w:color w:val="000000" w:themeColor="text1"/>
          <w:lang w:val="en-US"/>
        </w:rPr>
        <w:t xml:space="preserve">level of </w:t>
      </w:r>
      <w:proofErr w:type="spellStart"/>
      <w:r w:rsidR="00F1566D" w:rsidRPr="00EB143A">
        <w:rPr>
          <w:i/>
          <w:iCs/>
          <w:color w:val="000000" w:themeColor="text1"/>
          <w:lang w:val="en-US"/>
        </w:rPr>
        <w:t>collateralisation</w:t>
      </w:r>
      <w:proofErr w:type="spellEnd"/>
      <w:r w:rsidR="00F1566D" w:rsidRPr="00EB143A">
        <w:rPr>
          <w:color w:val="000000" w:themeColor="text1"/>
          <w:lang w:val="en-US"/>
        </w:rPr>
        <w:t xml:space="preserve">” may create ambiguity. </w:t>
      </w:r>
      <w:proofErr w:type="gramStart"/>
      <w:r w:rsidR="00F1566D" w:rsidRPr="00EB143A">
        <w:rPr>
          <w:color w:val="000000" w:themeColor="text1"/>
          <w:lang w:val="en-US"/>
        </w:rPr>
        <w:t>In particular, it</w:t>
      </w:r>
      <w:proofErr w:type="gramEnd"/>
      <w:r w:rsidR="00F1566D" w:rsidRPr="00EB143A">
        <w:rPr>
          <w:color w:val="000000" w:themeColor="text1"/>
          <w:lang w:val="en-US"/>
        </w:rPr>
        <w:t xml:space="preserve"> could be interpreted as favoring </w:t>
      </w:r>
      <w:proofErr w:type="spellStart"/>
      <w:r w:rsidR="00F1566D" w:rsidRPr="00EB143A">
        <w:rPr>
          <w:color w:val="000000" w:themeColor="text1"/>
          <w:lang w:val="en-US"/>
        </w:rPr>
        <w:t>collateralised</w:t>
      </w:r>
      <w:proofErr w:type="spellEnd"/>
      <w:r w:rsidR="00F1566D" w:rsidRPr="00EB143A">
        <w:rPr>
          <w:color w:val="000000" w:themeColor="text1"/>
          <w:lang w:val="en-US"/>
        </w:rPr>
        <w:t xml:space="preserve"> guarantees, thereby </w:t>
      </w:r>
      <w:r w:rsidR="00F1566D" w:rsidRPr="00EB143A">
        <w:rPr>
          <w:color w:val="000000" w:themeColor="text1"/>
        </w:rPr>
        <w:t>resulting in a systematic disincentive for the use of uncollateralised bank guarantees</w:t>
      </w:r>
      <w:r>
        <w:rPr>
          <w:color w:val="000000" w:themeColor="text1"/>
        </w:rPr>
        <w:t xml:space="preserve">. </w:t>
      </w:r>
      <w:r w:rsidR="00F1566D" w:rsidRPr="00EB143A">
        <w:rPr>
          <w:color w:val="000000" w:themeColor="text1"/>
        </w:rPr>
        <w:t xml:space="preserve"> </w:t>
      </w:r>
    </w:p>
    <w:p w14:paraId="1BEE404D" w14:textId="38409797" w:rsidR="0036489A" w:rsidRDefault="3E4EB157" w:rsidP="003F69EB">
      <w:pPr>
        <w:rPr>
          <w:color w:val="000000" w:themeColor="text1"/>
        </w:rPr>
      </w:pPr>
      <w:r w:rsidRPr="00EB143A">
        <w:rPr>
          <w:color w:val="000000" w:themeColor="text1"/>
          <w:lang w:val="en-US"/>
        </w:rPr>
        <w:t xml:space="preserve">Therefore, we do not agree that point (d) should be added to the third paragraph of Article 42. </w:t>
      </w:r>
      <w:r w:rsidRPr="00EB143A">
        <w:rPr>
          <w:color w:val="000000" w:themeColor="text1"/>
        </w:rPr>
        <w:t xml:space="preserve">It would be preferable to clarify that CCPs should assess the overall credit quality and enforceability of the guarantee, rather than its collateralisation, </w:t>
      </w:r>
      <w:proofErr w:type="gramStart"/>
      <w:r w:rsidRPr="00EB143A">
        <w:rPr>
          <w:color w:val="000000" w:themeColor="text1"/>
        </w:rPr>
        <w:t>in order to</w:t>
      </w:r>
      <w:proofErr w:type="gramEnd"/>
      <w:r w:rsidRPr="00EB143A">
        <w:rPr>
          <w:color w:val="000000" w:themeColor="text1"/>
        </w:rPr>
        <w:t xml:space="preserve"> avoid unintended restrictions on otherwise robust and widely used instruments. Where NFCs have sufficient eligible collateral available, they would typically post it directly, thereby avoiding the additional costs associated with committed credit lines or guarantees (e.g., utilisation fees). Our recommendation therefore better reflects the core objective of this RTS, which is to enable the use of uncollateralised bank guarantees or letters of credit by NFCs.</w:t>
      </w:r>
    </w:p>
    <w:p w14:paraId="03069AA2" w14:textId="7527A0C3" w:rsidR="0036489A" w:rsidRPr="00EB143A" w:rsidRDefault="0036489A" w:rsidP="003F69EB">
      <w:pPr>
        <w:rPr>
          <w:color w:val="000000" w:themeColor="text1"/>
        </w:rPr>
      </w:pPr>
      <w:r w:rsidRPr="00FE4439">
        <w:rPr>
          <w:color w:val="000000" w:themeColor="text1"/>
        </w:rPr>
        <w:t>We also feel guarantees from well rated banks should be able to be used for a large majority of the IM requirements (+80%) assuming complying with the CCP bank concentration limits.</w:t>
      </w:r>
    </w:p>
    <w:permEnd w:id="834943991"/>
    <w:p w14:paraId="456D2494" w14:textId="7C8052C1" w:rsidR="00693907" w:rsidRPr="00EB143A" w:rsidRDefault="00693907" w:rsidP="00693907">
      <w:pPr>
        <w:rPr>
          <w:color w:val="000000" w:themeColor="text1"/>
        </w:rPr>
      </w:pPr>
      <w:r w:rsidRPr="00EB143A">
        <w:rPr>
          <w:color w:val="000000" w:themeColor="text1"/>
        </w:rPr>
        <w:t>&lt;ESMA_QUESTION_</w:t>
      </w:r>
      <w:r w:rsidR="008D6D0B" w:rsidRPr="00EB143A">
        <w:rPr>
          <w:color w:val="000000" w:themeColor="text1"/>
        </w:rPr>
        <w:t>COLL</w:t>
      </w:r>
      <w:r w:rsidRPr="00EB143A">
        <w:rPr>
          <w:color w:val="000000" w:themeColor="text1"/>
        </w:rPr>
        <w:t>_2&gt;</w:t>
      </w:r>
    </w:p>
    <w:p w14:paraId="07210AC9" w14:textId="4EC98563" w:rsidR="00693907" w:rsidRPr="0036489A" w:rsidRDefault="00510A60" w:rsidP="00693907">
      <w:pPr>
        <w:rPr>
          <w:b/>
          <w:bCs/>
          <w:color w:val="FF0000"/>
        </w:rPr>
      </w:pPr>
      <w:r w:rsidRPr="0036489A">
        <w:rPr>
          <w:b/>
          <w:bCs/>
          <w:color w:val="FF0000"/>
        </w:rPr>
        <w:t xml:space="preserve">. </w:t>
      </w:r>
    </w:p>
    <w:p w14:paraId="04ADF6ED" w14:textId="77777777" w:rsidR="00510A60" w:rsidRDefault="00510A60" w:rsidP="00693907">
      <w:pPr>
        <w:rPr>
          <w:color w:val="000000" w:themeColor="text1"/>
        </w:rPr>
      </w:pPr>
    </w:p>
    <w:p w14:paraId="063E4710" w14:textId="77777777" w:rsidR="00510A60" w:rsidRPr="00EB143A" w:rsidRDefault="00510A60" w:rsidP="00693907">
      <w:pPr>
        <w:rPr>
          <w:color w:val="000000" w:themeColor="text1"/>
        </w:rPr>
      </w:pPr>
    </w:p>
    <w:p w14:paraId="19A7880E" w14:textId="7053F866" w:rsidR="00693907" w:rsidRPr="00EB143A" w:rsidRDefault="006901CE" w:rsidP="00693907">
      <w:pPr>
        <w:pStyle w:val="Questionstyle"/>
        <w:rPr>
          <w:color w:val="000000" w:themeColor="text1"/>
        </w:rPr>
      </w:pPr>
      <w:r w:rsidRPr="00EB143A">
        <w:rPr>
          <w:color w:val="000000" w:themeColor="text1"/>
        </w:rPr>
        <w:lastRenderedPageBreak/>
        <w:t>Do</w:t>
      </w:r>
      <w:r w:rsidR="005039EC" w:rsidRPr="00EB143A">
        <w:rPr>
          <w:color w:val="000000" w:themeColor="text1"/>
        </w:rPr>
        <w:t xml:space="preserve"> you agree with the inclusion of the new criteria (e) in paragraph 3 of Article 42, so that the CCP can consider the activity of the non-financial client when setting concentration limits?</w:t>
      </w:r>
      <w:r w:rsidR="00693907" w:rsidRPr="00EB143A">
        <w:rPr>
          <w:color w:val="000000" w:themeColor="text1"/>
        </w:rPr>
        <w:t xml:space="preserve">    </w:t>
      </w:r>
    </w:p>
    <w:p w14:paraId="4B1B3C0E" w14:textId="4203ECA6" w:rsidR="00693907" w:rsidRPr="00EB143A" w:rsidRDefault="00693907" w:rsidP="00693907">
      <w:pPr>
        <w:rPr>
          <w:color w:val="000000" w:themeColor="text1"/>
        </w:rPr>
      </w:pPr>
      <w:r w:rsidRPr="00EB143A">
        <w:rPr>
          <w:color w:val="000000" w:themeColor="text1"/>
        </w:rPr>
        <w:t>&lt;ESMA_QUESTION_</w:t>
      </w:r>
      <w:r w:rsidR="008D6D0B" w:rsidRPr="00EB143A">
        <w:rPr>
          <w:color w:val="000000" w:themeColor="text1"/>
        </w:rPr>
        <w:t>COLL</w:t>
      </w:r>
      <w:r w:rsidRPr="00EB143A">
        <w:rPr>
          <w:color w:val="000000" w:themeColor="text1"/>
        </w:rPr>
        <w:t>_3&gt;</w:t>
      </w:r>
    </w:p>
    <w:p w14:paraId="6953C113" w14:textId="15998426" w:rsidR="00F1566D" w:rsidRPr="00EB143A" w:rsidRDefault="001C72DB" w:rsidP="00F1566D">
      <w:pPr>
        <w:rPr>
          <w:color w:val="000000" w:themeColor="text1"/>
        </w:rPr>
      </w:pPr>
      <w:permStart w:id="1178823114" w:edGrp="everyone"/>
      <w:r>
        <w:rPr>
          <w:color w:val="000000" w:themeColor="text1"/>
        </w:rPr>
        <w:t xml:space="preserve">We support </w:t>
      </w:r>
      <w:r w:rsidR="00F1566D" w:rsidRPr="00EB143A">
        <w:rPr>
          <w:color w:val="000000" w:themeColor="text1"/>
        </w:rPr>
        <w:t>the inclusion of criteria (e), allowing CCPs to take the under-lying activity of non-financial clients into account when setting concentration limits</w:t>
      </w:r>
      <w:r>
        <w:rPr>
          <w:color w:val="000000" w:themeColor="text1"/>
        </w:rPr>
        <w:t xml:space="preserve">. </w:t>
      </w:r>
    </w:p>
    <w:p w14:paraId="76E487F3" w14:textId="065FB13F" w:rsidR="000868B5" w:rsidRPr="00EB143A" w:rsidRDefault="3E4EB157" w:rsidP="00F1566D">
      <w:pPr>
        <w:rPr>
          <w:color w:val="000000" w:themeColor="text1"/>
        </w:rPr>
      </w:pPr>
      <w:r w:rsidRPr="00EB143A">
        <w:rPr>
          <w:color w:val="000000" w:themeColor="text1"/>
        </w:rPr>
        <w:t xml:space="preserve">At the same time, concentration risk should be assessed </w:t>
      </w:r>
      <w:proofErr w:type="gramStart"/>
      <w:r w:rsidRPr="00EB143A">
        <w:rPr>
          <w:color w:val="000000" w:themeColor="text1"/>
        </w:rPr>
        <w:t>in light of</w:t>
      </w:r>
      <w:proofErr w:type="gramEnd"/>
      <w:r w:rsidRPr="00EB143A">
        <w:rPr>
          <w:color w:val="000000" w:themeColor="text1"/>
        </w:rPr>
        <w:t xml:space="preserve"> sectoral exposures and the degree of diversification at the level of clearing members and issuing banks, rather than solely at the level of individual NFCs. CCPs should have sufficient visibility, including at client level, to monitor aggregate exposures and reflect such considerations when setting appropriate limits.</w:t>
      </w:r>
    </w:p>
    <w:p w14:paraId="6EDBBD0D" w14:textId="6ACE83DA" w:rsidR="00693907" w:rsidRPr="00EB143A" w:rsidRDefault="00F1566D" w:rsidP="00F1566D">
      <w:pPr>
        <w:rPr>
          <w:color w:val="000000" w:themeColor="text1"/>
        </w:rPr>
      </w:pPr>
      <w:r w:rsidRPr="00EB143A">
        <w:rPr>
          <w:color w:val="000000" w:themeColor="text1"/>
        </w:rPr>
        <w:t>We note that the effectiveness of criterion (e) depends on clear communication along the clearing chain, from non-financial clients, through clearing members, to CCPs.</w:t>
      </w:r>
    </w:p>
    <w:permEnd w:id="1178823114"/>
    <w:p w14:paraId="7EF07F00" w14:textId="43ADDCB7" w:rsidR="00693907" w:rsidRPr="00EB143A" w:rsidRDefault="00693907" w:rsidP="00693907">
      <w:pPr>
        <w:rPr>
          <w:color w:val="000000" w:themeColor="text1"/>
        </w:rPr>
      </w:pPr>
      <w:r w:rsidRPr="00EB143A">
        <w:rPr>
          <w:color w:val="000000" w:themeColor="text1"/>
        </w:rPr>
        <w:t>&lt;ESMA_QUESTION_</w:t>
      </w:r>
      <w:r w:rsidR="00135967" w:rsidRPr="00EB143A">
        <w:rPr>
          <w:color w:val="000000" w:themeColor="text1"/>
        </w:rPr>
        <w:t>COLL</w:t>
      </w:r>
      <w:r w:rsidRPr="00EB143A">
        <w:rPr>
          <w:color w:val="000000" w:themeColor="text1"/>
        </w:rPr>
        <w:t>_3&gt;</w:t>
      </w:r>
    </w:p>
    <w:p w14:paraId="6319A982" w14:textId="77777777" w:rsidR="00CA6C5B" w:rsidRDefault="00CA6C5B" w:rsidP="00693907">
      <w:pPr>
        <w:rPr>
          <w:color w:val="000000" w:themeColor="text1"/>
        </w:rPr>
      </w:pPr>
    </w:p>
    <w:p w14:paraId="3B240BC9" w14:textId="77777777" w:rsidR="00CA6C5B" w:rsidRPr="00EB143A" w:rsidRDefault="00CA6C5B" w:rsidP="00693907">
      <w:pPr>
        <w:rPr>
          <w:color w:val="000000" w:themeColor="text1"/>
        </w:rPr>
      </w:pPr>
    </w:p>
    <w:p w14:paraId="5487291B" w14:textId="0684972D" w:rsidR="00693907" w:rsidRPr="00EB143A" w:rsidRDefault="00191142" w:rsidP="00693907">
      <w:pPr>
        <w:pStyle w:val="Questionstyle"/>
        <w:rPr>
          <w:color w:val="000000" w:themeColor="text1"/>
        </w:rPr>
      </w:pPr>
      <w:r w:rsidRPr="00EB143A">
        <w:rPr>
          <w:color w:val="000000" w:themeColor="text1"/>
        </w:rPr>
        <w:t>Shall there be specific concentration limits established for guarantees provided by non-clearing members, given these exposures are not considered in the Stress Test?</w:t>
      </w:r>
      <w:r w:rsidR="00693907" w:rsidRPr="00EB143A">
        <w:rPr>
          <w:color w:val="000000" w:themeColor="text1"/>
        </w:rPr>
        <w:t xml:space="preserve">   </w:t>
      </w:r>
    </w:p>
    <w:p w14:paraId="6040CACC" w14:textId="2C012C7C" w:rsidR="00693907" w:rsidRPr="00EB143A" w:rsidRDefault="00693907" w:rsidP="00693907">
      <w:pPr>
        <w:rPr>
          <w:color w:val="000000" w:themeColor="text1"/>
        </w:rPr>
      </w:pPr>
      <w:r w:rsidRPr="00EB143A">
        <w:rPr>
          <w:color w:val="000000" w:themeColor="text1"/>
        </w:rPr>
        <w:t>&lt;ESMA_QUESTION_</w:t>
      </w:r>
      <w:r w:rsidR="00E665F4" w:rsidRPr="00EB143A">
        <w:rPr>
          <w:color w:val="000000" w:themeColor="text1"/>
        </w:rPr>
        <w:t>COLL</w:t>
      </w:r>
      <w:r w:rsidRPr="00EB143A">
        <w:rPr>
          <w:color w:val="000000" w:themeColor="text1"/>
        </w:rPr>
        <w:t>_4&gt;</w:t>
      </w:r>
    </w:p>
    <w:p w14:paraId="1D5C70D4" w14:textId="6A8085E7" w:rsidR="00F23CE2" w:rsidRPr="00EB143A" w:rsidRDefault="00502456" w:rsidP="00F23CE2">
      <w:pPr>
        <w:rPr>
          <w:color w:val="000000" w:themeColor="text1"/>
          <w:lang w:val="en-US"/>
        </w:rPr>
      </w:pPr>
      <w:permStart w:id="2012300575" w:edGrp="everyone"/>
      <w:r>
        <w:rPr>
          <w:color w:val="000000" w:themeColor="text1"/>
          <w:lang w:val="en-US"/>
        </w:rPr>
        <w:t>P</w:t>
      </w:r>
      <w:r w:rsidR="00F23CE2" w:rsidRPr="00EB143A">
        <w:rPr>
          <w:color w:val="000000" w:themeColor="text1"/>
          <w:lang w:val="en-US"/>
        </w:rPr>
        <w:t>rescriptive concentration limits for guarantees provided by non-clearing members are unnecessary. While these exposures are not currently captured in the standard stress tests, they should be assessed and managed within the CCP’s risk management framework.</w:t>
      </w:r>
    </w:p>
    <w:p w14:paraId="30B0D3B8" w14:textId="2FA76799" w:rsidR="00693907" w:rsidRPr="00EB143A" w:rsidRDefault="00F23CE2" w:rsidP="00F23CE2">
      <w:pPr>
        <w:rPr>
          <w:color w:val="000000" w:themeColor="text1"/>
        </w:rPr>
      </w:pPr>
      <w:r w:rsidRPr="00EB143A">
        <w:rPr>
          <w:color w:val="000000" w:themeColor="text1"/>
          <w:lang w:val="en-US"/>
        </w:rPr>
        <w:t>Guarantees from non-clearing members can provide additional liquidity and flexibility for non-financial clients, and they are generally not associated with a double default risk – considering that they are not linked to any clearing member. Accordingly, risk-sensitive internal limits and assessments are sufficient to ensure that these guarantees do not pose undue risk to CCPs or the wider market.</w:t>
      </w:r>
    </w:p>
    <w:permEnd w:id="2012300575"/>
    <w:p w14:paraId="0AB70AFF" w14:textId="301B0FA2" w:rsidR="00693907" w:rsidRPr="00EB143A" w:rsidRDefault="00693907" w:rsidP="00693907">
      <w:pPr>
        <w:rPr>
          <w:color w:val="000000" w:themeColor="text1"/>
        </w:rPr>
      </w:pPr>
      <w:r w:rsidRPr="00EB143A">
        <w:rPr>
          <w:color w:val="000000" w:themeColor="text1"/>
        </w:rPr>
        <w:t>&lt;ESMA_QUESTION_</w:t>
      </w:r>
      <w:r w:rsidR="00E665F4" w:rsidRPr="00EB143A">
        <w:rPr>
          <w:color w:val="000000" w:themeColor="text1"/>
        </w:rPr>
        <w:t>COLL</w:t>
      </w:r>
      <w:r w:rsidRPr="00EB143A">
        <w:rPr>
          <w:color w:val="000000" w:themeColor="text1"/>
        </w:rPr>
        <w:t>_4&gt;</w:t>
      </w:r>
    </w:p>
    <w:p w14:paraId="785B74C8" w14:textId="77777777" w:rsidR="007B6C6A" w:rsidRPr="00EB143A" w:rsidRDefault="007B6C6A" w:rsidP="00693907">
      <w:pPr>
        <w:rPr>
          <w:color w:val="000000" w:themeColor="text1"/>
        </w:rPr>
      </w:pPr>
    </w:p>
    <w:p w14:paraId="0BC438F6" w14:textId="3D7F0085" w:rsidR="00693907" w:rsidRPr="00EB143A" w:rsidRDefault="00625ABA" w:rsidP="00693907">
      <w:pPr>
        <w:pStyle w:val="Questionstyle"/>
        <w:rPr>
          <w:color w:val="000000" w:themeColor="text1"/>
        </w:rPr>
      </w:pPr>
      <w:r w:rsidRPr="00EB143A">
        <w:rPr>
          <w:color w:val="000000" w:themeColor="text1"/>
        </w:rPr>
        <w:t xml:space="preserve">Is ESMA’s </w:t>
      </w:r>
      <w:proofErr w:type="gramStart"/>
      <w:r w:rsidRPr="00EB143A">
        <w:rPr>
          <w:color w:val="000000" w:themeColor="text1"/>
        </w:rPr>
        <w:t>understanding</w:t>
      </w:r>
      <w:proofErr w:type="gramEnd"/>
      <w:r w:rsidRPr="00EB143A">
        <w:rPr>
          <w:color w:val="000000" w:themeColor="text1"/>
        </w:rPr>
        <w:t xml:space="preserve"> correct? Are there other essential features of the guarantees that should be highlighted?</w:t>
      </w:r>
      <w:r w:rsidR="00693907" w:rsidRPr="00EB143A">
        <w:rPr>
          <w:color w:val="000000" w:themeColor="text1"/>
        </w:rPr>
        <w:t xml:space="preserve">   </w:t>
      </w:r>
    </w:p>
    <w:p w14:paraId="4A7CDE38" w14:textId="77777777" w:rsidR="00FE4439" w:rsidRDefault="00693907" w:rsidP="00F23CE2">
      <w:pPr>
        <w:rPr>
          <w:color w:val="000000" w:themeColor="text1"/>
        </w:rPr>
      </w:pPr>
      <w:r w:rsidRPr="00EB143A">
        <w:rPr>
          <w:color w:val="000000" w:themeColor="text1"/>
        </w:rPr>
        <w:lastRenderedPageBreak/>
        <w:t>&lt;ESMA_QUESTION_</w:t>
      </w:r>
      <w:r w:rsidR="00863ECB" w:rsidRPr="00EB143A">
        <w:rPr>
          <w:color w:val="000000" w:themeColor="text1"/>
        </w:rPr>
        <w:t>COLL</w:t>
      </w:r>
      <w:r w:rsidRPr="00EB143A">
        <w:rPr>
          <w:color w:val="000000" w:themeColor="text1"/>
        </w:rPr>
        <w:t>_5&gt;</w:t>
      </w:r>
      <w:permStart w:id="1536499182" w:edGrp="everyone"/>
    </w:p>
    <w:p w14:paraId="64304A5A" w14:textId="77777777" w:rsidR="00FE4439" w:rsidRDefault="00FE4439" w:rsidP="00F23CE2">
      <w:pPr>
        <w:rPr>
          <w:color w:val="000000" w:themeColor="text1"/>
        </w:rPr>
      </w:pPr>
    </w:p>
    <w:p w14:paraId="2875B8A4" w14:textId="7B18FEC7" w:rsidR="00F23CE2" w:rsidRPr="00EB143A" w:rsidRDefault="00F23CE2" w:rsidP="00F23CE2">
      <w:pPr>
        <w:rPr>
          <w:color w:val="000000" w:themeColor="text1"/>
        </w:rPr>
      </w:pPr>
      <w:r w:rsidRPr="00EB143A">
        <w:rPr>
          <w:color w:val="000000" w:themeColor="text1"/>
        </w:rPr>
        <w:t xml:space="preserve">ESMA’s understanding, as set out in paragraph 20, </w:t>
      </w:r>
      <w:r w:rsidR="00502456">
        <w:rPr>
          <w:color w:val="000000" w:themeColor="text1"/>
        </w:rPr>
        <w:t xml:space="preserve">is not </w:t>
      </w:r>
      <w:r w:rsidRPr="00EB143A">
        <w:rPr>
          <w:color w:val="000000" w:themeColor="text1"/>
        </w:rPr>
        <w:t xml:space="preserve">fully accurate. </w:t>
      </w:r>
    </w:p>
    <w:p w14:paraId="4739311D" w14:textId="72D6E774" w:rsidR="00F23CE2" w:rsidRPr="00EB143A" w:rsidRDefault="00F23CE2" w:rsidP="00F23CE2">
      <w:pPr>
        <w:rPr>
          <w:color w:val="000000" w:themeColor="text1"/>
        </w:rPr>
      </w:pPr>
      <w:proofErr w:type="gramStart"/>
      <w:r w:rsidRPr="00EB143A">
        <w:rPr>
          <w:color w:val="000000" w:themeColor="text1"/>
        </w:rPr>
        <w:t>In particular, limiting</w:t>
      </w:r>
      <w:proofErr w:type="gramEnd"/>
      <w:r w:rsidRPr="00EB143A">
        <w:rPr>
          <w:color w:val="000000" w:themeColor="text1"/>
        </w:rPr>
        <w:t xml:space="preserve"> the use of guarantees to situations where the clearing member defaults would make such instruments ineffective in practice. If guarantees cannot be relied upon in the event of a client default, they do not reduce the clearing member’s exposure and will therefore not be accepted as collateral.</w:t>
      </w:r>
    </w:p>
    <w:p w14:paraId="781DEE96" w14:textId="08F301F2" w:rsidR="00F23CE2" w:rsidRDefault="00F23CE2" w:rsidP="00F23CE2">
      <w:pPr>
        <w:rPr>
          <w:color w:val="000000" w:themeColor="text1"/>
        </w:rPr>
      </w:pPr>
      <w:r w:rsidRPr="00EB143A">
        <w:rPr>
          <w:color w:val="000000" w:themeColor="text1"/>
        </w:rPr>
        <w:t xml:space="preserve">For guarantees to be a viable collateral instrument, they must contribute to reducing </w:t>
      </w:r>
      <w:r w:rsidR="00C9370E" w:rsidRPr="00EB143A">
        <w:rPr>
          <w:color w:val="000000" w:themeColor="text1"/>
        </w:rPr>
        <w:t xml:space="preserve">default risk </w:t>
      </w:r>
      <w:r w:rsidRPr="00EB143A">
        <w:rPr>
          <w:color w:val="000000" w:themeColor="text1"/>
        </w:rPr>
        <w:t xml:space="preserve">exposure </w:t>
      </w:r>
      <w:r w:rsidR="00C9370E" w:rsidRPr="00EB143A">
        <w:rPr>
          <w:color w:val="000000" w:themeColor="text1"/>
        </w:rPr>
        <w:t xml:space="preserve">as protection of the </w:t>
      </w:r>
      <w:r w:rsidRPr="00EB143A">
        <w:rPr>
          <w:color w:val="000000" w:themeColor="text1"/>
        </w:rPr>
        <w:t xml:space="preserve">CCP </w:t>
      </w:r>
      <w:r w:rsidR="00C9370E" w:rsidRPr="00EB143A">
        <w:rPr>
          <w:color w:val="000000" w:themeColor="text1"/>
        </w:rPr>
        <w:t xml:space="preserve">but also of the Clearing Member (in the case of a </w:t>
      </w:r>
      <w:proofErr w:type="gramStart"/>
      <w:r w:rsidR="00C9370E" w:rsidRPr="00EB143A">
        <w:rPr>
          <w:color w:val="000000" w:themeColor="text1"/>
        </w:rPr>
        <w:t>Client’s</w:t>
      </w:r>
      <w:proofErr w:type="gramEnd"/>
      <w:r w:rsidR="00C9370E" w:rsidRPr="00EB143A">
        <w:rPr>
          <w:color w:val="000000" w:themeColor="text1"/>
        </w:rPr>
        <w:t xml:space="preserve"> default)</w:t>
      </w:r>
      <w:r w:rsidRPr="00EB143A">
        <w:rPr>
          <w:color w:val="000000" w:themeColor="text1"/>
        </w:rPr>
        <w:t>. This requires that guarantees can be used</w:t>
      </w:r>
      <w:r w:rsidR="00C9370E" w:rsidRPr="00EB143A">
        <w:rPr>
          <w:color w:val="000000" w:themeColor="text1"/>
        </w:rPr>
        <w:t xml:space="preserve"> </w:t>
      </w:r>
      <w:r w:rsidRPr="00EB143A">
        <w:rPr>
          <w:color w:val="000000" w:themeColor="text1"/>
        </w:rPr>
        <w:t xml:space="preserve">in the context of a </w:t>
      </w:r>
      <w:r w:rsidR="00C9370E" w:rsidRPr="00EB143A">
        <w:rPr>
          <w:color w:val="000000" w:themeColor="text1"/>
        </w:rPr>
        <w:t xml:space="preserve">recovery of </w:t>
      </w:r>
      <w:r w:rsidRPr="00EB143A">
        <w:rPr>
          <w:color w:val="000000" w:themeColor="text1"/>
        </w:rPr>
        <w:t>default</w:t>
      </w:r>
      <w:r w:rsidR="00C9370E" w:rsidRPr="00EB143A">
        <w:rPr>
          <w:color w:val="000000" w:themeColor="text1"/>
        </w:rPr>
        <w:t xml:space="preserve"> of CM or Client</w:t>
      </w:r>
      <w:r w:rsidRPr="00EB143A">
        <w:rPr>
          <w:color w:val="000000" w:themeColor="text1"/>
        </w:rPr>
        <w:t>.</w:t>
      </w:r>
    </w:p>
    <w:p w14:paraId="46909F2D" w14:textId="77777777" w:rsidR="00502456" w:rsidRPr="00FE4439" w:rsidRDefault="00502456" w:rsidP="00502456">
      <w:pPr>
        <w:rPr>
          <w:color w:val="000000" w:themeColor="text1"/>
        </w:rPr>
      </w:pPr>
      <w:r w:rsidRPr="00FE4439">
        <w:rPr>
          <w:color w:val="000000" w:themeColor="text1"/>
        </w:rPr>
        <w:t xml:space="preserve">Full transparency and objectively agreed legal wording for these guarantees is required. If the participant is posting a guarantee to cover their IM requirements ultimately from the CCP (potentially via the clearing member), the mechanism should be appropriate for the clearing member not to have to be posting/financing any margin cash requirements on behalf of the participant. This means once the guarantee is issued, the CCP should be comfortable that their exposure is mitigated and there should be no additional margin cash requirements of subsequent financing costs. </w:t>
      </w:r>
    </w:p>
    <w:permEnd w:id="1536499182"/>
    <w:p w14:paraId="3CE960DF" w14:textId="78A656CA" w:rsidR="00693907" w:rsidRPr="00EB143A" w:rsidRDefault="00693907" w:rsidP="00693907">
      <w:pPr>
        <w:rPr>
          <w:color w:val="000000" w:themeColor="text1"/>
        </w:rPr>
      </w:pPr>
      <w:r w:rsidRPr="00EB143A">
        <w:rPr>
          <w:color w:val="000000" w:themeColor="text1"/>
        </w:rPr>
        <w:t>&lt;ESMA_QUESTION_</w:t>
      </w:r>
      <w:r w:rsidR="00863ECB" w:rsidRPr="00EB143A">
        <w:rPr>
          <w:color w:val="000000" w:themeColor="text1"/>
        </w:rPr>
        <w:t>COLL</w:t>
      </w:r>
      <w:r w:rsidRPr="00EB143A">
        <w:rPr>
          <w:color w:val="000000" w:themeColor="text1"/>
        </w:rPr>
        <w:t>_5&gt;</w:t>
      </w:r>
    </w:p>
    <w:p w14:paraId="02D02EEE" w14:textId="77777777" w:rsidR="00FF56CC" w:rsidRPr="00EB143A" w:rsidRDefault="00FF56CC" w:rsidP="00693907">
      <w:pPr>
        <w:rPr>
          <w:color w:val="000000" w:themeColor="text1"/>
        </w:rPr>
      </w:pPr>
    </w:p>
    <w:p w14:paraId="18DFE8FB" w14:textId="3C691446" w:rsidR="00693907" w:rsidRPr="00EB143A" w:rsidRDefault="00EC4293" w:rsidP="00693907">
      <w:pPr>
        <w:pStyle w:val="Questionstyle"/>
        <w:rPr>
          <w:color w:val="000000" w:themeColor="text1"/>
        </w:rPr>
      </w:pPr>
      <w:r w:rsidRPr="00EB143A">
        <w:rPr>
          <w:color w:val="000000" w:themeColor="text1"/>
        </w:rPr>
        <w:t>Do</w:t>
      </w:r>
      <w:r w:rsidR="00AC379A" w:rsidRPr="00EB143A">
        <w:rPr>
          <w:color w:val="000000" w:themeColor="text1"/>
        </w:rPr>
        <w:t xml:space="preserve"> you agree with the conditions proposed by ESMA? Please provide your views specifically for each condition (a), (b), (c) and (d).</w:t>
      </w:r>
    </w:p>
    <w:p w14:paraId="60F9A95E" w14:textId="24CFF6A7" w:rsidR="00693907" w:rsidRPr="00EB143A" w:rsidRDefault="00693907" w:rsidP="00693907">
      <w:pPr>
        <w:rPr>
          <w:color w:val="000000" w:themeColor="text1"/>
        </w:rPr>
      </w:pPr>
      <w:r w:rsidRPr="00EB143A">
        <w:rPr>
          <w:color w:val="000000" w:themeColor="text1"/>
        </w:rPr>
        <w:t>&lt;ESMA_QUESTION_</w:t>
      </w:r>
      <w:r w:rsidR="00863ECB" w:rsidRPr="00EB143A">
        <w:rPr>
          <w:color w:val="000000" w:themeColor="text1"/>
        </w:rPr>
        <w:t>COLL</w:t>
      </w:r>
      <w:r w:rsidRPr="00EB143A">
        <w:rPr>
          <w:color w:val="000000" w:themeColor="text1"/>
        </w:rPr>
        <w:t>_6&gt;</w:t>
      </w:r>
    </w:p>
    <w:p w14:paraId="08BBF42C" w14:textId="1C451D11" w:rsidR="00F23CE2" w:rsidRPr="00EB143A" w:rsidRDefault="00502456" w:rsidP="00F23CE2">
      <w:pPr>
        <w:rPr>
          <w:color w:val="000000" w:themeColor="text1"/>
          <w:lang w:val="en-US"/>
        </w:rPr>
      </w:pPr>
      <w:permStart w:id="1016208263" w:edGrp="everyone"/>
      <w:proofErr w:type="gramStart"/>
      <w:r>
        <w:rPr>
          <w:color w:val="000000" w:themeColor="text1"/>
          <w:lang w:val="en-US"/>
        </w:rPr>
        <w:t xml:space="preserve">We </w:t>
      </w:r>
      <w:r w:rsidR="00F23CE2" w:rsidRPr="00EB143A">
        <w:rPr>
          <w:color w:val="000000" w:themeColor="text1"/>
          <w:lang w:val="en-US"/>
        </w:rPr>
        <w:t xml:space="preserve"> broadly</w:t>
      </w:r>
      <w:proofErr w:type="gramEnd"/>
      <w:r w:rsidR="00F23CE2" w:rsidRPr="00EB143A">
        <w:rPr>
          <w:color w:val="000000" w:themeColor="text1"/>
          <w:lang w:val="en-US"/>
        </w:rPr>
        <w:t xml:space="preserve"> support ESMA’s proposed conditions</w:t>
      </w:r>
      <w:r>
        <w:rPr>
          <w:color w:val="000000" w:themeColor="text1"/>
          <w:lang w:val="en-US"/>
        </w:rPr>
        <w:t xml:space="preserve"> – but offer the following important additional points: </w:t>
      </w:r>
    </w:p>
    <w:p w14:paraId="774D06CE" w14:textId="24CFD77E" w:rsidR="00F23CE2" w:rsidRPr="00EB143A" w:rsidRDefault="00F23CE2" w:rsidP="00F23CE2">
      <w:pPr>
        <w:pStyle w:val="ListParagraph"/>
        <w:numPr>
          <w:ilvl w:val="0"/>
          <w:numId w:val="39"/>
        </w:numPr>
        <w:rPr>
          <w:color w:val="000000" w:themeColor="text1"/>
          <w:lang w:val="en-US"/>
        </w:rPr>
      </w:pPr>
      <w:r w:rsidRPr="00EB143A">
        <w:rPr>
          <w:b/>
          <w:bCs/>
          <w:i/>
          <w:iCs/>
          <w:color w:val="000000" w:themeColor="text1"/>
          <w:lang w:val="en-US"/>
        </w:rPr>
        <w:t>The beneficiary of the guarantee should be the CCP:</w:t>
      </w:r>
      <w:r w:rsidRPr="00EB143A">
        <w:rPr>
          <w:color w:val="000000" w:themeColor="text1"/>
          <w:lang w:val="en-US"/>
        </w:rPr>
        <w:t xml:space="preserve"> </w:t>
      </w:r>
      <w:r w:rsidR="00F86805">
        <w:rPr>
          <w:color w:val="000000" w:themeColor="text1"/>
          <w:lang w:val="en-US"/>
        </w:rPr>
        <w:t>W</w:t>
      </w:r>
      <w:r w:rsidRPr="00EB143A">
        <w:rPr>
          <w:color w:val="000000" w:themeColor="text1"/>
          <w:lang w:val="en-US"/>
        </w:rPr>
        <w:t>e recommend structuring bank guarantees issue</w:t>
      </w:r>
      <w:r w:rsidR="0063097E" w:rsidRPr="00EB143A">
        <w:rPr>
          <w:color w:val="000000" w:themeColor="text1"/>
          <w:lang w:val="en-US"/>
        </w:rPr>
        <w:t>d</w:t>
      </w:r>
      <w:r w:rsidRPr="00EB143A">
        <w:rPr>
          <w:color w:val="000000" w:themeColor="text1"/>
          <w:lang w:val="en-US"/>
        </w:rPr>
        <w:t xml:space="preserve"> by non-financial </w:t>
      </w:r>
      <w:proofErr w:type="gramStart"/>
      <w:r w:rsidRPr="00EB143A">
        <w:rPr>
          <w:color w:val="000000" w:themeColor="text1"/>
          <w:lang w:val="en-US"/>
        </w:rPr>
        <w:t>client</w:t>
      </w:r>
      <w:proofErr w:type="gramEnd"/>
      <w:r w:rsidRPr="00EB143A">
        <w:rPr>
          <w:color w:val="000000" w:themeColor="text1"/>
          <w:lang w:val="en-US"/>
        </w:rPr>
        <w:t xml:space="preserve"> that are not direct clearing members with two beneficiaries, the CCP as the primary and ultimate beneficiary and the Clearing Member as the secondary beneficiary. </w:t>
      </w:r>
    </w:p>
    <w:p w14:paraId="464D64C7" w14:textId="548ACB13" w:rsidR="00F23CE2" w:rsidRPr="00EB143A" w:rsidRDefault="0EC78CB4" w:rsidP="00F23CE2">
      <w:pPr>
        <w:pStyle w:val="ListParagraph"/>
        <w:numPr>
          <w:ilvl w:val="0"/>
          <w:numId w:val="39"/>
        </w:numPr>
        <w:rPr>
          <w:color w:val="000000" w:themeColor="text1"/>
          <w:lang w:val="en-US"/>
        </w:rPr>
      </w:pPr>
      <w:r w:rsidRPr="00EB143A">
        <w:rPr>
          <w:b/>
          <w:bCs/>
          <w:i/>
          <w:iCs/>
          <w:color w:val="000000" w:themeColor="text1"/>
          <w:lang w:val="en-US"/>
        </w:rPr>
        <w:t>The guarantee must be posted to an individually segregated account at the name of the non-financial client who is the principal in the guarantee</w:t>
      </w:r>
      <w:r w:rsidRPr="00EB143A">
        <w:rPr>
          <w:color w:val="000000" w:themeColor="text1"/>
          <w:lang w:val="en-US"/>
        </w:rPr>
        <w:t>: As non-financial counterparties (NFCs) and clients of clearing members, we welcome ESMA’s objective of enhancing the segregation of client collateral. However, we do not consider the allocation of collateral to individ</w:t>
      </w:r>
      <w:r w:rsidRPr="00EB143A">
        <w:rPr>
          <w:color w:val="000000" w:themeColor="text1"/>
          <w:lang w:val="en-US"/>
        </w:rPr>
        <w:lastRenderedPageBreak/>
        <w:t xml:space="preserve">ual segregated accounts (ISAs) to be necessary, and we consider the proposal overly </w:t>
      </w:r>
      <w:r w:rsidR="00EC7E10" w:rsidRPr="00EB143A">
        <w:rPr>
          <w:color w:val="000000" w:themeColor="text1"/>
          <w:lang w:val="en-US"/>
        </w:rPr>
        <w:t xml:space="preserve">restrictive </w:t>
      </w:r>
      <w:r w:rsidR="00EC7E10" w:rsidRPr="00EB143A">
        <w:rPr>
          <w:color w:val="000000" w:themeColor="text1"/>
        </w:rPr>
        <w:t>and, in practice, is likely to undermine the practical effect of this proposal by making it unusable by the very NFC entities that it is intended to benefit.</w:t>
      </w:r>
      <w:r w:rsidRPr="00EB143A">
        <w:rPr>
          <w:color w:val="000000" w:themeColor="text1"/>
          <w:lang w:val="en-US"/>
        </w:rPr>
        <w:t xml:space="preserve"> </w:t>
      </w:r>
    </w:p>
    <w:permEnd w:id="1016208263"/>
    <w:p w14:paraId="01EF6C30" w14:textId="7CB1BA35" w:rsidR="00693907" w:rsidRPr="00EB143A" w:rsidRDefault="00693907" w:rsidP="00693907">
      <w:pPr>
        <w:rPr>
          <w:color w:val="000000" w:themeColor="text1"/>
        </w:rPr>
      </w:pPr>
      <w:r w:rsidRPr="00EB143A">
        <w:rPr>
          <w:color w:val="000000" w:themeColor="text1"/>
        </w:rPr>
        <w:t>&lt;ESMA_QUESTION_</w:t>
      </w:r>
      <w:r w:rsidR="00863ECB" w:rsidRPr="00EB143A">
        <w:rPr>
          <w:color w:val="000000" w:themeColor="text1"/>
        </w:rPr>
        <w:t>COLL</w:t>
      </w:r>
      <w:r w:rsidRPr="00EB143A">
        <w:rPr>
          <w:color w:val="000000" w:themeColor="text1"/>
        </w:rPr>
        <w:t>_6&gt;</w:t>
      </w:r>
    </w:p>
    <w:p w14:paraId="050B0058" w14:textId="77777777" w:rsidR="00757361" w:rsidRPr="00EB143A" w:rsidRDefault="00757361" w:rsidP="00693907">
      <w:pPr>
        <w:rPr>
          <w:color w:val="000000" w:themeColor="text1"/>
        </w:rPr>
      </w:pPr>
    </w:p>
    <w:p w14:paraId="40418AF6" w14:textId="7D335F7B" w:rsidR="00693907" w:rsidRPr="00EB143A" w:rsidRDefault="00930833" w:rsidP="00693907">
      <w:pPr>
        <w:pStyle w:val="Questionstyle"/>
        <w:rPr>
          <w:color w:val="000000" w:themeColor="text1"/>
        </w:rPr>
      </w:pPr>
      <w:r w:rsidRPr="00EB143A">
        <w:rPr>
          <w:color w:val="000000" w:themeColor="text1"/>
        </w:rPr>
        <w:t>In relation to condition (c), do you agree with ESMA proposal? If not, is it in your opinion legally and practically feasible that guarantees are posted to an omnibus account?</w:t>
      </w:r>
      <w:r w:rsidR="00693907" w:rsidRPr="00EB143A">
        <w:rPr>
          <w:color w:val="000000" w:themeColor="text1"/>
        </w:rPr>
        <w:t xml:space="preserve"> </w:t>
      </w:r>
    </w:p>
    <w:p w14:paraId="2D7CC49A" w14:textId="5D077D19" w:rsidR="00693907" w:rsidRPr="00EB143A" w:rsidRDefault="00693907" w:rsidP="00693907">
      <w:pPr>
        <w:rPr>
          <w:color w:val="000000" w:themeColor="text1"/>
        </w:rPr>
      </w:pPr>
      <w:r w:rsidRPr="00EB143A">
        <w:rPr>
          <w:color w:val="000000" w:themeColor="text1"/>
        </w:rPr>
        <w:t>&lt;ESMA_QUESTION_</w:t>
      </w:r>
      <w:r w:rsidR="00EE246B" w:rsidRPr="00EB143A">
        <w:rPr>
          <w:color w:val="000000" w:themeColor="text1"/>
        </w:rPr>
        <w:t>COLL</w:t>
      </w:r>
      <w:r w:rsidRPr="00EB143A">
        <w:rPr>
          <w:color w:val="000000" w:themeColor="text1"/>
        </w:rPr>
        <w:t>_7&gt;</w:t>
      </w:r>
    </w:p>
    <w:p w14:paraId="268F1B7E" w14:textId="5B9122AD" w:rsidR="00693907" w:rsidRPr="00EB143A" w:rsidRDefault="00F86805" w:rsidP="00FE4439">
      <w:pPr>
        <w:rPr>
          <w:color w:val="000000" w:themeColor="text1"/>
          <w:lang w:val="en-US"/>
        </w:rPr>
      </w:pPr>
      <w:permStart w:id="90601763" w:edGrp="everyone"/>
      <w:r>
        <w:rPr>
          <w:color w:val="000000" w:themeColor="text1"/>
          <w:lang w:val="en-US"/>
        </w:rPr>
        <w:t>W</w:t>
      </w:r>
      <w:r w:rsidR="00F23CE2" w:rsidRPr="00EB143A">
        <w:rPr>
          <w:color w:val="000000" w:themeColor="text1"/>
          <w:lang w:val="en-US"/>
        </w:rPr>
        <w:t xml:space="preserve">e support the use of omnibus accounts for guarantees. While we understand ESMA’s rationale that individually segregated accounts (Policy Option 1) could potentially ensure legal clarity, we would like to note that this option imposes significant IT, operational, and reconciliation costs. Clearing through a gross omnibus account is a more economical option for clients and allowing it would increase </w:t>
      </w:r>
      <w:r w:rsidR="006010DC">
        <w:rPr>
          <w:color w:val="000000" w:themeColor="text1"/>
          <w:lang w:val="en-US"/>
        </w:rPr>
        <w:t xml:space="preserve">the attractiveness of </w:t>
      </w:r>
      <w:r w:rsidR="00F23CE2" w:rsidRPr="00EB143A">
        <w:rPr>
          <w:color w:val="000000" w:themeColor="text1"/>
          <w:lang w:val="en-US"/>
        </w:rPr>
        <w:t xml:space="preserve">voluntary clearing. </w:t>
      </w:r>
    </w:p>
    <w:permEnd w:id="90601763"/>
    <w:p w14:paraId="5B1E788E" w14:textId="02745B68" w:rsidR="00693907" w:rsidRPr="00EB143A" w:rsidRDefault="00693907" w:rsidP="00693907">
      <w:pPr>
        <w:rPr>
          <w:color w:val="000000" w:themeColor="text1"/>
        </w:rPr>
      </w:pPr>
      <w:r w:rsidRPr="00EB143A">
        <w:rPr>
          <w:color w:val="000000" w:themeColor="text1"/>
        </w:rPr>
        <w:t>&lt;ESMA_QUESTION_</w:t>
      </w:r>
      <w:r w:rsidR="00EE246B" w:rsidRPr="00EB143A">
        <w:rPr>
          <w:color w:val="000000" w:themeColor="text1"/>
        </w:rPr>
        <w:t>COLL</w:t>
      </w:r>
      <w:r w:rsidRPr="00EB143A">
        <w:rPr>
          <w:color w:val="000000" w:themeColor="text1"/>
        </w:rPr>
        <w:t>_7&gt;</w:t>
      </w:r>
    </w:p>
    <w:p w14:paraId="34F9BBEB" w14:textId="77777777" w:rsidR="00757361" w:rsidRPr="00EB143A" w:rsidRDefault="00757361" w:rsidP="00693907">
      <w:pPr>
        <w:rPr>
          <w:color w:val="000000" w:themeColor="text1"/>
        </w:rPr>
      </w:pPr>
    </w:p>
    <w:p w14:paraId="18FE9B7F" w14:textId="11DAFFAC" w:rsidR="00693907" w:rsidRPr="00EB143A" w:rsidRDefault="0038241C" w:rsidP="00693907">
      <w:pPr>
        <w:pStyle w:val="Questionstyle"/>
        <w:rPr>
          <w:color w:val="000000" w:themeColor="text1"/>
        </w:rPr>
      </w:pPr>
      <w:r w:rsidRPr="00EB143A">
        <w:rPr>
          <w:color w:val="000000" w:themeColor="text1"/>
        </w:rPr>
        <w:t>Is there any other condition you consider would be necessary in relation to the extension of the use of guarantees to guarantee non-financial clients? E.g. should it be mandated that CCPs have in place a mechanism to identify the default of a non-financial client?</w:t>
      </w:r>
      <w:r w:rsidR="00693907" w:rsidRPr="00EB143A">
        <w:rPr>
          <w:color w:val="000000" w:themeColor="text1"/>
        </w:rPr>
        <w:t xml:space="preserve"> </w:t>
      </w:r>
    </w:p>
    <w:p w14:paraId="6F1AA692" w14:textId="77777777" w:rsidR="00E968D8" w:rsidRDefault="00693907" w:rsidP="00693907">
      <w:pPr>
        <w:rPr>
          <w:color w:val="000000" w:themeColor="text1"/>
        </w:rPr>
      </w:pPr>
      <w:r w:rsidRPr="00EB143A">
        <w:rPr>
          <w:color w:val="000000" w:themeColor="text1"/>
        </w:rPr>
        <w:t>&lt;ESMA_QUESTION_</w:t>
      </w:r>
      <w:r w:rsidR="004C12DB" w:rsidRPr="00EB143A">
        <w:rPr>
          <w:color w:val="000000" w:themeColor="text1"/>
        </w:rPr>
        <w:t>COLL</w:t>
      </w:r>
      <w:r w:rsidRPr="00EB143A">
        <w:rPr>
          <w:color w:val="000000" w:themeColor="text1"/>
        </w:rPr>
        <w:t>_8&gt;</w:t>
      </w:r>
      <w:permStart w:id="689849779" w:edGrp="everyone"/>
    </w:p>
    <w:p w14:paraId="6ABDE3F2" w14:textId="5527B369" w:rsidR="00693907" w:rsidRPr="00EB143A" w:rsidRDefault="00FE4439" w:rsidP="00693907">
      <w:pPr>
        <w:rPr>
          <w:color w:val="000000" w:themeColor="text1"/>
        </w:rPr>
      </w:pPr>
      <w:r>
        <w:rPr>
          <w:color w:val="000000" w:themeColor="text1"/>
          <w:lang w:val="en-US"/>
        </w:rPr>
        <w:t>F</w:t>
      </w:r>
      <w:r w:rsidR="00F23CE2" w:rsidRPr="00EB143A">
        <w:rPr>
          <w:color w:val="000000" w:themeColor="text1"/>
          <w:lang w:val="en-US"/>
        </w:rPr>
        <w:t xml:space="preserve">urther arrangements should be targeted at the process of execution of a bank guarantee. This would e.g. mean that when a client of a CM fails and it is closing the positions, the CCP is informed. </w:t>
      </w:r>
    </w:p>
    <w:permEnd w:id="689849779"/>
    <w:p w14:paraId="11DE980E" w14:textId="6F37CCA9" w:rsidR="00693907" w:rsidRPr="00EB143A" w:rsidRDefault="00693907" w:rsidP="00693907">
      <w:pPr>
        <w:rPr>
          <w:color w:val="000000" w:themeColor="text1"/>
        </w:rPr>
      </w:pPr>
      <w:r w:rsidRPr="00EB143A">
        <w:rPr>
          <w:color w:val="000000" w:themeColor="text1"/>
        </w:rPr>
        <w:t>&lt;ESMA_QUESTION_</w:t>
      </w:r>
      <w:r w:rsidR="004C12DB" w:rsidRPr="00EB143A">
        <w:rPr>
          <w:color w:val="000000" w:themeColor="text1"/>
        </w:rPr>
        <w:t>COLL</w:t>
      </w:r>
      <w:r w:rsidRPr="00EB143A">
        <w:rPr>
          <w:color w:val="000000" w:themeColor="text1"/>
        </w:rPr>
        <w:t>_8&gt;</w:t>
      </w:r>
    </w:p>
    <w:p w14:paraId="73AF06AE" w14:textId="77777777" w:rsidR="00970F12" w:rsidRDefault="00970F12" w:rsidP="00693907">
      <w:pPr>
        <w:rPr>
          <w:color w:val="000000" w:themeColor="text1"/>
        </w:rPr>
      </w:pPr>
    </w:p>
    <w:p w14:paraId="1256C839" w14:textId="77777777" w:rsidR="002A2E34" w:rsidRPr="00EB143A" w:rsidRDefault="002A2E34" w:rsidP="00693907">
      <w:pPr>
        <w:rPr>
          <w:color w:val="000000" w:themeColor="text1"/>
        </w:rPr>
      </w:pPr>
    </w:p>
    <w:p w14:paraId="5D69E955" w14:textId="104F9CA1" w:rsidR="00970F12" w:rsidRPr="00EB143A" w:rsidRDefault="00970F12" w:rsidP="00970F12">
      <w:pPr>
        <w:pStyle w:val="Questionstyle"/>
        <w:rPr>
          <w:color w:val="000000" w:themeColor="text1"/>
        </w:rPr>
      </w:pPr>
      <w:r w:rsidRPr="00EB143A">
        <w:rPr>
          <w:color w:val="000000" w:themeColor="text1"/>
        </w:rPr>
        <w:t xml:space="preserve">Do </w:t>
      </w:r>
      <w:r w:rsidR="00EA1DD0" w:rsidRPr="00EB143A">
        <w:rPr>
          <w:color w:val="000000" w:themeColor="text1"/>
        </w:rPr>
        <w:t>you agree with ESMA’s proposal to require that there are a credit rating and reliable financial data on the guarantor available for the CCP to use in its internal assessment?</w:t>
      </w:r>
    </w:p>
    <w:p w14:paraId="432959FD" w14:textId="5BAAE542" w:rsidR="00970F12" w:rsidRPr="00EB143A" w:rsidRDefault="00970F12" w:rsidP="00970F12">
      <w:pPr>
        <w:rPr>
          <w:color w:val="000000" w:themeColor="text1"/>
        </w:rPr>
      </w:pPr>
      <w:r w:rsidRPr="00EB143A">
        <w:rPr>
          <w:color w:val="000000" w:themeColor="text1"/>
        </w:rPr>
        <w:t>&lt;ESMA_QUESTION_</w:t>
      </w:r>
      <w:r w:rsidR="008E4202" w:rsidRPr="00EB143A">
        <w:rPr>
          <w:color w:val="000000" w:themeColor="text1"/>
        </w:rPr>
        <w:t>COLL</w:t>
      </w:r>
      <w:r w:rsidRPr="00EB143A">
        <w:rPr>
          <w:color w:val="000000" w:themeColor="text1"/>
        </w:rPr>
        <w:t>_</w:t>
      </w:r>
      <w:r w:rsidR="008E4202" w:rsidRPr="00EB143A">
        <w:rPr>
          <w:color w:val="000000" w:themeColor="text1"/>
        </w:rPr>
        <w:t>9</w:t>
      </w:r>
      <w:r w:rsidRPr="00EB143A">
        <w:rPr>
          <w:color w:val="000000" w:themeColor="text1"/>
        </w:rPr>
        <w:t>&gt;</w:t>
      </w:r>
    </w:p>
    <w:p w14:paraId="23B8A97D" w14:textId="4BBE3DB6" w:rsidR="00F23CE2" w:rsidRPr="00EB143A" w:rsidRDefault="00FE4439" w:rsidP="00F23CE2">
      <w:pPr>
        <w:rPr>
          <w:color w:val="000000" w:themeColor="text1"/>
        </w:rPr>
      </w:pPr>
      <w:permStart w:id="1211653911" w:edGrp="everyone"/>
      <w:r>
        <w:rPr>
          <w:color w:val="000000" w:themeColor="text1"/>
        </w:rPr>
        <w:lastRenderedPageBreak/>
        <w:t>W</w:t>
      </w:r>
      <w:r w:rsidR="00F23CE2" w:rsidRPr="00EB143A">
        <w:rPr>
          <w:color w:val="000000" w:themeColor="text1"/>
        </w:rPr>
        <w:t>e do not believe that a strict requirement for a formal credit rating and full financial data should be mandatory for all public guarantors.</w:t>
      </w:r>
    </w:p>
    <w:p w14:paraId="246E1F45" w14:textId="76484D98" w:rsidR="00970F12" w:rsidRPr="00EB143A" w:rsidRDefault="00F23CE2" w:rsidP="00FE4439">
      <w:pPr>
        <w:rPr>
          <w:color w:val="000000" w:themeColor="text1"/>
        </w:rPr>
      </w:pPr>
      <w:r w:rsidRPr="00EB143A">
        <w:rPr>
          <w:color w:val="000000" w:themeColor="text1"/>
        </w:rPr>
        <w:t>Public guarantees are typically issued by entities whose creditworthiness is generally recognised derived from the public body owning it</w:t>
      </w:r>
      <w:r w:rsidR="003A69A1" w:rsidRPr="00EB143A">
        <w:rPr>
          <w:color w:val="000000" w:themeColor="text1"/>
        </w:rPr>
        <w:t>,</w:t>
      </w:r>
      <w:r w:rsidRPr="00EB143A">
        <w:rPr>
          <w:color w:val="000000" w:themeColor="text1"/>
        </w:rPr>
        <w:t xml:space="preserve"> even in cases where a formal rating is not available.</w:t>
      </w:r>
    </w:p>
    <w:permEnd w:id="1211653911"/>
    <w:p w14:paraId="2FB2642C" w14:textId="5A842994" w:rsidR="00970F12" w:rsidRPr="00EB143A" w:rsidRDefault="00970F12" w:rsidP="00970F12">
      <w:pPr>
        <w:rPr>
          <w:color w:val="000000" w:themeColor="text1"/>
        </w:rPr>
      </w:pPr>
      <w:r w:rsidRPr="00EB143A">
        <w:rPr>
          <w:color w:val="000000" w:themeColor="text1"/>
        </w:rPr>
        <w:t>&lt;ESMA_QUESTION_</w:t>
      </w:r>
      <w:r w:rsidR="008E4202" w:rsidRPr="00EB143A">
        <w:rPr>
          <w:color w:val="000000" w:themeColor="text1"/>
        </w:rPr>
        <w:t>COLL</w:t>
      </w:r>
      <w:r w:rsidRPr="00EB143A">
        <w:rPr>
          <w:color w:val="000000" w:themeColor="text1"/>
        </w:rPr>
        <w:t>_</w:t>
      </w:r>
      <w:r w:rsidR="008E4202" w:rsidRPr="00EB143A">
        <w:rPr>
          <w:color w:val="000000" w:themeColor="text1"/>
        </w:rPr>
        <w:t>9</w:t>
      </w:r>
      <w:r w:rsidRPr="00EB143A">
        <w:rPr>
          <w:color w:val="000000" w:themeColor="text1"/>
        </w:rPr>
        <w:t>&gt;</w:t>
      </w:r>
    </w:p>
    <w:p w14:paraId="5F9CAB77" w14:textId="77777777" w:rsidR="002A2E34" w:rsidRPr="00EB143A" w:rsidRDefault="002A2E34" w:rsidP="00693907">
      <w:pPr>
        <w:rPr>
          <w:color w:val="000000" w:themeColor="text1"/>
        </w:rPr>
      </w:pPr>
    </w:p>
    <w:p w14:paraId="2964373E" w14:textId="6323EC60" w:rsidR="005E4A48" w:rsidRPr="00EB143A" w:rsidRDefault="005E4A48" w:rsidP="005E4A48">
      <w:pPr>
        <w:pStyle w:val="Questionstyle"/>
        <w:rPr>
          <w:color w:val="000000" w:themeColor="text1"/>
        </w:rPr>
      </w:pPr>
      <w:r w:rsidRPr="00EB143A">
        <w:rPr>
          <w:color w:val="000000" w:themeColor="text1"/>
        </w:rPr>
        <w:t>Do</w:t>
      </w:r>
      <w:r w:rsidR="00E77951" w:rsidRPr="00EB143A">
        <w:rPr>
          <w:color w:val="000000" w:themeColor="text1"/>
        </w:rPr>
        <w:t xml:space="preserve"> </w:t>
      </w:r>
      <w:r w:rsidR="003A00A8" w:rsidRPr="00EB143A">
        <w:rPr>
          <w:color w:val="000000" w:themeColor="text1"/>
        </w:rPr>
        <w:t>you consider that the direct access of a public guarantor to real-time gross settlement systems such as T2 should be a requirement for public guarantors? Please provide evidence or reasoning to support your response.</w:t>
      </w:r>
    </w:p>
    <w:p w14:paraId="04A80332" w14:textId="40679483" w:rsidR="005E4A48" w:rsidRPr="00EB143A" w:rsidRDefault="005E4A48" w:rsidP="005E4A48">
      <w:pPr>
        <w:rPr>
          <w:color w:val="000000" w:themeColor="text1"/>
        </w:rPr>
      </w:pPr>
      <w:r w:rsidRPr="00EB143A">
        <w:rPr>
          <w:color w:val="000000" w:themeColor="text1"/>
        </w:rPr>
        <w:t>&lt;ESMA_QUESTION_</w:t>
      </w:r>
      <w:r w:rsidR="0037419B" w:rsidRPr="00EB143A">
        <w:rPr>
          <w:color w:val="000000" w:themeColor="text1"/>
        </w:rPr>
        <w:t>COLL</w:t>
      </w:r>
      <w:r w:rsidRPr="00EB143A">
        <w:rPr>
          <w:color w:val="000000" w:themeColor="text1"/>
        </w:rPr>
        <w:t>_</w:t>
      </w:r>
      <w:r w:rsidR="0037419B" w:rsidRPr="00EB143A">
        <w:rPr>
          <w:color w:val="000000" w:themeColor="text1"/>
        </w:rPr>
        <w:t>10</w:t>
      </w:r>
      <w:r w:rsidRPr="00EB143A">
        <w:rPr>
          <w:color w:val="000000" w:themeColor="text1"/>
        </w:rPr>
        <w:t>&gt;</w:t>
      </w:r>
    </w:p>
    <w:p w14:paraId="14D514B0" w14:textId="77777777" w:rsidR="002A2E34" w:rsidRPr="0036489A" w:rsidRDefault="002A2E34" w:rsidP="00693907">
      <w:pPr>
        <w:rPr>
          <w:b/>
          <w:bCs/>
          <w:color w:val="FF0000"/>
        </w:rPr>
      </w:pPr>
    </w:p>
    <w:p w14:paraId="71E277F2" w14:textId="4AE639BC" w:rsidR="005E4A48" w:rsidRPr="00EB143A" w:rsidRDefault="005E4A48" w:rsidP="005E4A48">
      <w:pPr>
        <w:pStyle w:val="Questionstyle"/>
        <w:rPr>
          <w:color w:val="000000" w:themeColor="text1"/>
        </w:rPr>
      </w:pPr>
      <w:r w:rsidRPr="00EB143A">
        <w:rPr>
          <w:color w:val="000000" w:themeColor="text1"/>
        </w:rPr>
        <w:t xml:space="preserve">Do </w:t>
      </w:r>
      <w:r w:rsidR="00502F7C" w:rsidRPr="00EB143A">
        <w:rPr>
          <w:color w:val="000000" w:themeColor="text1"/>
        </w:rPr>
        <w:t>you agree that public guarantees should be accompanied by a legal opinion confirming the effective representation of the guarantor, the validity of the guarantee and its enforceability?</w:t>
      </w:r>
    </w:p>
    <w:p w14:paraId="182071EF" w14:textId="6E70C2AB" w:rsidR="005E4A48" w:rsidRPr="00EB143A" w:rsidRDefault="005E4A48" w:rsidP="005E4A48">
      <w:pPr>
        <w:rPr>
          <w:color w:val="000000" w:themeColor="text1"/>
        </w:rPr>
      </w:pPr>
      <w:r w:rsidRPr="00EB143A">
        <w:rPr>
          <w:color w:val="000000" w:themeColor="text1"/>
        </w:rPr>
        <w:t>&lt;ESMA_QUESTION_</w:t>
      </w:r>
      <w:r w:rsidR="004641DE" w:rsidRPr="00EB143A">
        <w:rPr>
          <w:color w:val="000000" w:themeColor="text1"/>
        </w:rPr>
        <w:t>COLL</w:t>
      </w:r>
      <w:r w:rsidRPr="00EB143A">
        <w:rPr>
          <w:color w:val="000000" w:themeColor="text1"/>
        </w:rPr>
        <w:t>_</w:t>
      </w:r>
      <w:r w:rsidR="004641DE" w:rsidRPr="00EB143A">
        <w:rPr>
          <w:color w:val="000000" w:themeColor="text1"/>
        </w:rPr>
        <w:t>11</w:t>
      </w:r>
      <w:r w:rsidRPr="00EB143A">
        <w:rPr>
          <w:color w:val="000000" w:themeColor="text1"/>
        </w:rPr>
        <w:t>&gt;</w:t>
      </w:r>
    </w:p>
    <w:p w14:paraId="622D948A" w14:textId="50AF4799" w:rsidR="005E4A48" w:rsidRPr="00EB143A" w:rsidRDefault="005E4A48" w:rsidP="005E4A48">
      <w:pPr>
        <w:rPr>
          <w:color w:val="000000" w:themeColor="text1"/>
        </w:rPr>
      </w:pPr>
      <w:r w:rsidRPr="00EB143A">
        <w:rPr>
          <w:color w:val="000000" w:themeColor="text1"/>
        </w:rPr>
        <w:t>&lt;ESMA_QUESTION_</w:t>
      </w:r>
      <w:r w:rsidR="004641DE" w:rsidRPr="00EB143A">
        <w:rPr>
          <w:color w:val="000000" w:themeColor="text1"/>
        </w:rPr>
        <w:t>COLL</w:t>
      </w:r>
      <w:r w:rsidRPr="00EB143A">
        <w:rPr>
          <w:color w:val="000000" w:themeColor="text1"/>
        </w:rPr>
        <w:t>_</w:t>
      </w:r>
      <w:r w:rsidR="004641DE" w:rsidRPr="00EB143A">
        <w:rPr>
          <w:color w:val="000000" w:themeColor="text1"/>
        </w:rPr>
        <w:t>11</w:t>
      </w:r>
      <w:r w:rsidRPr="00EB143A">
        <w:rPr>
          <w:color w:val="000000" w:themeColor="text1"/>
        </w:rPr>
        <w:t>&gt;</w:t>
      </w:r>
    </w:p>
    <w:p w14:paraId="281801E2" w14:textId="77777777" w:rsidR="005E4A48" w:rsidRDefault="005E4A48" w:rsidP="00693907">
      <w:pPr>
        <w:rPr>
          <w:color w:val="000000" w:themeColor="text1"/>
        </w:rPr>
      </w:pPr>
    </w:p>
    <w:p w14:paraId="11BE2407" w14:textId="77777777" w:rsidR="002A2E34" w:rsidRPr="00EB143A" w:rsidRDefault="002A2E34" w:rsidP="00693907">
      <w:pPr>
        <w:rPr>
          <w:color w:val="000000" w:themeColor="text1"/>
        </w:rPr>
      </w:pPr>
    </w:p>
    <w:p w14:paraId="1922BA8F" w14:textId="0E442475" w:rsidR="005E4A48" w:rsidRPr="00EB143A" w:rsidRDefault="005E4A48" w:rsidP="005E4A48">
      <w:pPr>
        <w:pStyle w:val="Questionstyle"/>
        <w:rPr>
          <w:color w:val="000000" w:themeColor="text1"/>
        </w:rPr>
      </w:pPr>
      <w:r w:rsidRPr="00EB143A">
        <w:rPr>
          <w:color w:val="000000" w:themeColor="text1"/>
        </w:rPr>
        <w:t xml:space="preserve">Do </w:t>
      </w:r>
      <w:r w:rsidR="004B3CF5" w:rsidRPr="00EB143A">
        <w:rPr>
          <w:color w:val="000000" w:themeColor="text1"/>
        </w:rPr>
        <w:t>you agree that the conditions for commercial bank guarantees should explicitly foresee that the guarantor is a credit institution as defined in CRR?</w:t>
      </w:r>
    </w:p>
    <w:p w14:paraId="645BB6CB" w14:textId="03D6F764" w:rsidR="005E4A48" w:rsidRPr="00EB143A" w:rsidRDefault="005E4A48" w:rsidP="005E4A48">
      <w:pPr>
        <w:rPr>
          <w:color w:val="000000" w:themeColor="text1"/>
        </w:rPr>
      </w:pPr>
      <w:r w:rsidRPr="00EB143A">
        <w:rPr>
          <w:color w:val="000000" w:themeColor="text1"/>
        </w:rPr>
        <w:t>&lt;ESMA_QUESTION_</w:t>
      </w:r>
      <w:r w:rsidR="0070781C" w:rsidRPr="00EB143A">
        <w:rPr>
          <w:color w:val="000000" w:themeColor="text1"/>
        </w:rPr>
        <w:t>COLL</w:t>
      </w:r>
      <w:r w:rsidRPr="00EB143A">
        <w:rPr>
          <w:color w:val="000000" w:themeColor="text1"/>
        </w:rPr>
        <w:t>_</w:t>
      </w:r>
      <w:r w:rsidR="0070781C" w:rsidRPr="00EB143A">
        <w:rPr>
          <w:color w:val="000000" w:themeColor="text1"/>
        </w:rPr>
        <w:t>12</w:t>
      </w:r>
      <w:r w:rsidRPr="00EB143A">
        <w:rPr>
          <w:color w:val="000000" w:themeColor="text1"/>
        </w:rPr>
        <w:t>&gt;</w:t>
      </w:r>
    </w:p>
    <w:p w14:paraId="36FF8389" w14:textId="245D9198" w:rsidR="005E4A48" w:rsidRPr="00EB143A" w:rsidRDefault="005E4A48" w:rsidP="005E4A48">
      <w:pPr>
        <w:rPr>
          <w:color w:val="000000" w:themeColor="text1"/>
        </w:rPr>
      </w:pPr>
      <w:r w:rsidRPr="00EB143A">
        <w:rPr>
          <w:color w:val="000000" w:themeColor="text1"/>
        </w:rPr>
        <w:t>&lt;ESMA_QUESTION_</w:t>
      </w:r>
      <w:r w:rsidR="0070781C" w:rsidRPr="00EB143A">
        <w:rPr>
          <w:color w:val="000000" w:themeColor="text1"/>
        </w:rPr>
        <w:t>COLL</w:t>
      </w:r>
      <w:r w:rsidRPr="00EB143A">
        <w:rPr>
          <w:color w:val="000000" w:themeColor="text1"/>
        </w:rPr>
        <w:t>_</w:t>
      </w:r>
      <w:r w:rsidR="0070781C" w:rsidRPr="00EB143A">
        <w:rPr>
          <w:color w:val="000000" w:themeColor="text1"/>
        </w:rPr>
        <w:t>12</w:t>
      </w:r>
      <w:r w:rsidRPr="00EB143A">
        <w:rPr>
          <w:color w:val="000000" w:themeColor="text1"/>
        </w:rPr>
        <w:t>&gt;</w:t>
      </w:r>
    </w:p>
    <w:p w14:paraId="1D796774" w14:textId="77777777" w:rsidR="005E4A48" w:rsidRPr="00EB143A" w:rsidRDefault="005E4A48" w:rsidP="00693907">
      <w:pPr>
        <w:rPr>
          <w:color w:val="000000" w:themeColor="text1"/>
        </w:rPr>
      </w:pPr>
    </w:p>
    <w:p w14:paraId="3F18CDD5" w14:textId="07197B4B" w:rsidR="005E4A48" w:rsidRPr="00EB143A" w:rsidRDefault="005E4A48" w:rsidP="005E4A48">
      <w:pPr>
        <w:pStyle w:val="Questionstyle"/>
        <w:rPr>
          <w:color w:val="000000" w:themeColor="text1"/>
        </w:rPr>
      </w:pPr>
      <w:r w:rsidRPr="00EB143A">
        <w:rPr>
          <w:color w:val="000000" w:themeColor="text1"/>
        </w:rPr>
        <w:t xml:space="preserve">Do </w:t>
      </w:r>
      <w:r w:rsidR="00AC7E2D" w:rsidRPr="00EB143A">
        <w:rPr>
          <w:color w:val="000000" w:themeColor="text1"/>
        </w:rPr>
        <w:t>you agree that the possibility for CCP to accept uncollateralised bank guarantees should be specified in Section two of Annex I of RTS 153/2013?</w:t>
      </w:r>
    </w:p>
    <w:p w14:paraId="359D42A4" w14:textId="5A277687" w:rsidR="005E4A48" w:rsidRPr="00EB143A" w:rsidRDefault="005E4A48" w:rsidP="005E4A48">
      <w:pPr>
        <w:rPr>
          <w:color w:val="000000" w:themeColor="text1"/>
        </w:rPr>
      </w:pPr>
      <w:r w:rsidRPr="00EB143A">
        <w:rPr>
          <w:color w:val="000000" w:themeColor="text1"/>
        </w:rPr>
        <w:t>&lt;ESMA_QUESTION_</w:t>
      </w:r>
      <w:r w:rsidR="003618E4" w:rsidRPr="00EB143A">
        <w:rPr>
          <w:color w:val="000000" w:themeColor="text1"/>
        </w:rPr>
        <w:t>COLL</w:t>
      </w:r>
      <w:r w:rsidRPr="00EB143A">
        <w:rPr>
          <w:color w:val="000000" w:themeColor="text1"/>
        </w:rPr>
        <w:t>_</w:t>
      </w:r>
      <w:r w:rsidR="003618E4" w:rsidRPr="00EB143A">
        <w:rPr>
          <w:color w:val="000000" w:themeColor="text1"/>
        </w:rPr>
        <w:t>13</w:t>
      </w:r>
      <w:r w:rsidRPr="00EB143A">
        <w:rPr>
          <w:color w:val="000000" w:themeColor="text1"/>
        </w:rPr>
        <w:t>&gt;</w:t>
      </w:r>
    </w:p>
    <w:p w14:paraId="6D125462" w14:textId="1D8D44F3" w:rsidR="005E4A48" w:rsidRPr="00EB143A" w:rsidRDefault="00F23CE2" w:rsidP="005E4A48">
      <w:pPr>
        <w:rPr>
          <w:color w:val="000000" w:themeColor="text1"/>
        </w:rPr>
      </w:pPr>
      <w:permStart w:id="819362067" w:edGrp="everyone"/>
      <w:r w:rsidRPr="00EB143A">
        <w:rPr>
          <w:color w:val="000000" w:themeColor="text1"/>
          <w:lang w:val="en-US"/>
        </w:rPr>
        <w:lastRenderedPageBreak/>
        <w:t xml:space="preserve">Section 2 of Annex I to RTS 153/2013 should explicitly state that a CCP may accept </w:t>
      </w:r>
      <w:proofErr w:type="spellStart"/>
      <w:r w:rsidRPr="00EB143A">
        <w:rPr>
          <w:color w:val="000000" w:themeColor="text1"/>
          <w:lang w:val="en-US"/>
        </w:rPr>
        <w:t>uncollateralised</w:t>
      </w:r>
      <w:proofErr w:type="spellEnd"/>
      <w:r w:rsidRPr="00EB143A">
        <w:rPr>
          <w:color w:val="000000" w:themeColor="text1"/>
          <w:lang w:val="en-US"/>
        </w:rPr>
        <w:t xml:space="preserve"> bank guarantees</w:t>
      </w:r>
      <w:r w:rsidR="008B63EF" w:rsidRPr="00EB143A">
        <w:rPr>
          <w:color w:val="000000" w:themeColor="text1"/>
          <w:lang w:val="en-US"/>
        </w:rPr>
        <w:t>, including – as mentioned above – LCs</w:t>
      </w:r>
      <w:r w:rsidRPr="00EB143A">
        <w:rPr>
          <w:color w:val="000000" w:themeColor="text1"/>
          <w:lang w:val="en-US"/>
        </w:rPr>
        <w:t xml:space="preserve">. This provides legal certainty and </w:t>
      </w:r>
      <w:proofErr w:type="spellStart"/>
      <w:r w:rsidRPr="00EB143A">
        <w:rPr>
          <w:color w:val="000000" w:themeColor="text1"/>
          <w:lang w:val="en-US"/>
        </w:rPr>
        <w:t>harmonisation</w:t>
      </w:r>
      <w:proofErr w:type="spellEnd"/>
      <w:r w:rsidRPr="00EB143A">
        <w:rPr>
          <w:color w:val="000000" w:themeColor="text1"/>
          <w:lang w:val="en-US"/>
        </w:rPr>
        <w:t xml:space="preserve"> across CCPs and aligns Level2 text with the amended Article 46 EMIR.</w:t>
      </w:r>
    </w:p>
    <w:permEnd w:id="819362067"/>
    <w:p w14:paraId="733C2664" w14:textId="49DF325F" w:rsidR="005E4A48" w:rsidRPr="00EB143A" w:rsidRDefault="005E4A48" w:rsidP="005E4A48">
      <w:pPr>
        <w:rPr>
          <w:color w:val="000000" w:themeColor="text1"/>
        </w:rPr>
      </w:pPr>
      <w:r w:rsidRPr="00EB143A">
        <w:rPr>
          <w:color w:val="000000" w:themeColor="text1"/>
        </w:rPr>
        <w:t>&lt;ESMA_QUESTION_</w:t>
      </w:r>
      <w:r w:rsidR="0070781C" w:rsidRPr="00EB143A">
        <w:rPr>
          <w:color w:val="000000" w:themeColor="text1"/>
        </w:rPr>
        <w:t>COLL</w:t>
      </w:r>
      <w:r w:rsidRPr="00EB143A">
        <w:rPr>
          <w:color w:val="000000" w:themeColor="text1"/>
        </w:rPr>
        <w:t>_</w:t>
      </w:r>
      <w:r w:rsidR="0070781C" w:rsidRPr="00EB143A">
        <w:rPr>
          <w:color w:val="000000" w:themeColor="text1"/>
        </w:rPr>
        <w:t>13</w:t>
      </w:r>
      <w:r w:rsidRPr="00EB143A">
        <w:rPr>
          <w:color w:val="000000" w:themeColor="text1"/>
        </w:rPr>
        <w:t>&gt;</w:t>
      </w:r>
    </w:p>
    <w:p w14:paraId="7AC8814A" w14:textId="77777777" w:rsidR="005E4A48" w:rsidRPr="00EB143A" w:rsidRDefault="005E4A48" w:rsidP="00693907">
      <w:pPr>
        <w:rPr>
          <w:color w:val="000000" w:themeColor="text1"/>
        </w:rPr>
      </w:pPr>
    </w:p>
    <w:p w14:paraId="29F2BAAB" w14:textId="173468ED" w:rsidR="005E4A48" w:rsidRPr="00EB143A" w:rsidRDefault="005E4A48" w:rsidP="005E4A48">
      <w:pPr>
        <w:pStyle w:val="Questionstyle"/>
        <w:rPr>
          <w:color w:val="000000" w:themeColor="text1"/>
        </w:rPr>
      </w:pPr>
      <w:r w:rsidRPr="00EB143A">
        <w:rPr>
          <w:color w:val="000000" w:themeColor="text1"/>
        </w:rPr>
        <w:t xml:space="preserve">Do </w:t>
      </w:r>
      <w:r w:rsidR="002A08CC" w:rsidRPr="00EB143A">
        <w:rPr>
          <w:color w:val="000000" w:themeColor="text1"/>
        </w:rPr>
        <w:t>you agree with ESMA that the conditions applicable to commercial bank guarantees should also be applicable to public bank guarantees? Please specify in your answer whether any addition condition should be considered.</w:t>
      </w:r>
    </w:p>
    <w:p w14:paraId="5FEFF315" w14:textId="077F0047" w:rsidR="005E4A48" w:rsidRPr="00EB143A" w:rsidRDefault="005E4A48" w:rsidP="005E4A48">
      <w:pPr>
        <w:rPr>
          <w:color w:val="000000" w:themeColor="text1"/>
        </w:rPr>
      </w:pPr>
      <w:r w:rsidRPr="00EB143A">
        <w:rPr>
          <w:color w:val="000000" w:themeColor="text1"/>
        </w:rPr>
        <w:t>&lt;ESMA_QUESTION_</w:t>
      </w:r>
      <w:r w:rsidR="00313B2A" w:rsidRPr="00EB143A">
        <w:rPr>
          <w:color w:val="000000" w:themeColor="text1"/>
        </w:rPr>
        <w:t>COLL</w:t>
      </w:r>
      <w:r w:rsidRPr="00EB143A">
        <w:rPr>
          <w:color w:val="000000" w:themeColor="text1"/>
        </w:rPr>
        <w:t>_</w:t>
      </w:r>
      <w:r w:rsidR="00313B2A" w:rsidRPr="00EB143A">
        <w:rPr>
          <w:color w:val="000000" w:themeColor="text1"/>
        </w:rPr>
        <w:t>14</w:t>
      </w:r>
      <w:r w:rsidRPr="00EB143A">
        <w:rPr>
          <w:color w:val="000000" w:themeColor="text1"/>
        </w:rPr>
        <w:t>&gt;</w:t>
      </w:r>
    </w:p>
    <w:p w14:paraId="134D58FA" w14:textId="4B1DFF3F" w:rsidR="005E4A48" w:rsidRPr="00EB143A" w:rsidRDefault="00FE4439" w:rsidP="00FE4439">
      <w:pPr>
        <w:rPr>
          <w:color w:val="000000" w:themeColor="text1"/>
        </w:rPr>
      </w:pPr>
      <w:permStart w:id="1776364355" w:edGrp="everyone"/>
      <w:r>
        <w:rPr>
          <w:color w:val="000000" w:themeColor="text1"/>
        </w:rPr>
        <w:t>Yes.</w:t>
      </w:r>
      <w:r w:rsidR="00F23CE2" w:rsidRPr="00EB143A">
        <w:rPr>
          <w:color w:val="000000" w:themeColor="text1"/>
        </w:rPr>
        <w:t xml:space="preserve"> Public bank guarantees, while issued by publicly owned banks, should adhere to the same risk principles to ensure CCPs can realise collateral without legal or operational impediments.</w:t>
      </w:r>
    </w:p>
    <w:permEnd w:id="1776364355"/>
    <w:p w14:paraId="195B3B53" w14:textId="35E0DC42" w:rsidR="005E4A48" w:rsidRPr="00EB143A" w:rsidRDefault="005E4A48" w:rsidP="005E4A48">
      <w:pPr>
        <w:rPr>
          <w:color w:val="000000" w:themeColor="text1"/>
        </w:rPr>
      </w:pPr>
      <w:r w:rsidRPr="00EB143A">
        <w:rPr>
          <w:color w:val="000000" w:themeColor="text1"/>
        </w:rPr>
        <w:t>&lt;ESMA_QUESTION_</w:t>
      </w:r>
      <w:r w:rsidR="00313B2A" w:rsidRPr="00EB143A">
        <w:rPr>
          <w:color w:val="000000" w:themeColor="text1"/>
        </w:rPr>
        <w:t>COLL</w:t>
      </w:r>
      <w:r w:rsidRPr="00EB143A">
        <w:rPr>
          <w:color w:val="000000" w:themeColor="text1"/>
        </w:rPr>
        <w:t>_</w:t>
      </w:r>
      <w:r w:rsidR="00313B2A" w:rsidRPr="00EB143A">
        <w:rPr>
          <w:color w:val="000000" w:themeColor="text1"/>
        </w:rPr>
        <w:t>14</w:t>
      </w:r>
      <w:r w:rsidRPr="00EB143A">
        <w:rPr>
          <w:color w:val="000000" w:themeColor="text1"/>
        </w:rPr>
        <w:t>&gt;</w:t>
      </w:r>
    </w:p>
    <w:p w14:paraId="53CE4543" w14:textId="77777777" w:rsidR="005E4A48" w:rsidRPr="00EB143A" w:rsidRDefault="005E4A48" w:rsidP="00693907">
      <w:pPr>
        <w:rPr>
          <w:color w:val="000000" w:themeColor="text1"/>
        </w:rPr>
      </w:pPr>
    </w:p>
    <w:p w14:paraId="55038FDB" w14:textId="7ECBE4B4" w:rsidR="005E4A48" w:rsidRPr="00EB143A" w:rsidRDefault="005E4A48" w:rsidP="005E4A48">
      <w:pPr>
        <w:pStyle w:val="Questionstyle"/>
        <w:rPr>
          <w:color w:val="000000" w:themeColor="text1"/>
        </w:rPr>
      </w:pPr>
      <w:r w:rsidRPr="00EB143A">
        <w:rPr>
          <w:color w:val="000000" w:themeColor="text1"/>
        </w:rPr>
        <w:t>Do</w:t>
      </w:r>
      <w:r w:rsidR="001F57E9" w:rsidRPr="00EB143A">
        <w:rPr>
          <w:color w:val="000000" w:themeColor="text1"/>
        </w:rPr>
        <w:t xml:space="preserve"> you agree with the proposed way to address the lack of definition of “public bank”? </w:t>
      </w:r>
      <w:r w:rsidRPr="00EB143A">
        <w:rPr>
          <w:color w:val="000000" w:themeColor="text1"/>
        </w:rPr>
        <w:t xml:space="preserve"> </w:t>
      </w:r>
    </w:p>
    <w:p w14:paraId="04B2A90B" w14:textId="18F9E43B" w:rsidR="005E4A48" w:rsidRPr="00EB143A" w:rsidRDefault="005E4A48" w:rsidP="005E4A48">
      <w:pPr>
        <w:rPr>
          <w:color w:val="000000" w:themeColor="text1"/>
        </w:rPr>
      </w:pPr>
      <w:r w:rsidRPr="00EB143A">
        <w:rPr>
          <w:color w:val="000000" w:themeColor="text1"/>
        </w:rPr>
        <w:t>&lt;ESMA_QUESTION_</w:t>
      </w:r>
      <w:r w:rsidR="00830677" w:rsidRPr="00EB143A">
        <w:rPr>
          <w:color w:val="000000" w:themeColor="text1"/>
        </w:rPr>
        <w:t>COLL</w:t>
      </w:r>
      <w:r w:rsidRPr="00EB143A">
        <w:rPr>
          <w:color w:val="000000" w:themeColor="text1"/>
        </w:rPr>
        <w:t>_</w:t>
      </w:r>
      <w:r w:rsidR="00830677" w:rsidRPr="00EB143A">
        <w:rPr>
          <w:color w:val="000000" w:themeColor="text1"/>
        </w:rPr>
        <w:t>15</w:t>
      </w:r>
      <w:r w:rsidRPr="00EB143A">
        <w:rPr>
          <w:color w:val="000000" w:themeColor="text1"/>
        </w:rPr>
        <w:t>&gt;</w:t>
      </w:r>
    </w:p>
    <w:p w14:paraId="3C2CF56F" w14:textId="05A819D9" w:rsidR="005E4A48" w:rsidRPr="00EB143A" w:rsidRDefault="005E4A48" w:rsidP="005E4A48">
      <w:pPr>
        <w:rPr>
          <w:color w:val="000000" w:themeColor="text1"/>
        </w:rPr>
      </w:pPr>
      <w:r w:rsidRPr="00EB143A">
        <w:rPr>
          <w:color w:val="000000" w:themeColor="text1"/>
        </w:rPr>
        <w:t>&lt;ESMA_QUESTION_</w:t>
      </w:r>
      <w:r w:rsidR="00830677" w:rsidRPr="00EB143A">
        <w:rPr>
          <w:color w:val="000000" w:themeColor="text1"/>
        </w:rPr>
        <w:t>COLL</w:t>
      </w:r>
      <w:r w:rsidRPr="00EB143A">
        <w:rPr>
          <w:color w:val="000000" w:themeColor="text1"/>
        </w:rPr>
        <w:t>_</w:t>
      </w:r>
      <w:r w:rsidR="00830677" w:rsidRPr="00EB143A">
        <w:rPr>
          <w:color w:val="000000" w:themeColor="text1"/>
        </w:rPr>
        <w:t>15</w:t>
      </w:r>
      <w:r w:rsidRPr="00EB143A">
        <w:rPr>
          <w:color w:val="000000" w:themeColor="text1"/>
        </w:rPr>
        <w:t>&gt;</w:t>
      </w:r>
    </w:p>
    <w:p w14:paraId="7946BE06" w14:textId="77777777" w:rsidR="005E4A48" w:rsidRPr="00EB143A" w:rsidRDefault="005E4A48" w:rsidP="00693907">
      <w:pPr>
        <w:rPr>
          <w:color w:val="000000" w:themeColor="text1"/>
        </w:rPr>
      </w:pPr>
    </w:p>
    <w:p w14:paraId="072A90DC" w14:textId="0B8479CF" w:rsidR="005E4A48" w:rsidRPr="00EB143A" w:rsidRDefault="005E4A48" w:rsidP="005E4A48">
      <w:pPr>
        <w:pStyle w:val="Questionstyle"/>
        <w:rPr>
          <w:color w:val="000000" w:themeColor="text1"/>
        </w:rPr>
      </w:pPr>
      <w:r w:rsidRPr="00EB143A">
        <w:rPr>
          <w:color w:val="000000" w:themeColor="text1"/>
        </w:rPr>
        <w:t xml:space="preserve">Do </w:t>
      </w:r>
      <w:r w:rsidR="00827DAC" w:rsidRPr="00EB143A">
        <w:rPr>
          <w:color w:val="000000" w:themeColor="text1"/>
        </w:rPr>
        <w:t>you agree with the proposed change concerning the conditions under which debt instruments can be considered highly liquid, bearing minimal credit and market risk (and hence considered as eligible financial instruments for the purpose of CCP investment policy)?</w:t>
      </w:r>
    </w:p>
    <w:p w14:paraId="5ECE0F8C" w14:textId="64D63225" w:rsidR="00CD45FC" w:rsidRPr="00EB143A" w:rsidRDefault="005E4A48" w:rsidP="005E4A48">
      <w:pPr>
        <w:rPr>
          <w:color w:val="000000" w:themeColor="text1"/>
        </w:rPr>
      </w:pPr>
      <w:r w:rsidRPr="00EB143A">
        <w:rPr>
          <w:color w:val="000000" w:themeColor="text1"/>
        </w:rPr>
        <w:t>&lt;ESMA_QUESTION_</w:t>
      </w:r>
      <w:r w:rsidR="00830677" w:rsidRPr="00EB143A">
        <w:rPr>
          <w:color w:val="000000" w:themeColor="text1"/>
        </w:rPr>
        <w:t>COLL</w:t>
      </w:r>
      <w:r w:rsidRPr="00EB143A">
        <w:rPr>
          <w:color w:val="000000" w:themeColor="text1"/>
        </w:rPr>
        <w:t>_</w:t>
      </w:r>
      <w:r w:rsidR="00830677" w:rsidRPr="00EB143A">
        <w:rPr>
          <w:color w:val="000000" w:themeColor="text1"/>
        </w:rPr>
        <w:t>16</w:t>
      </w:r>
      <w:r w:rsidRPr="00EB143A">
        <w:rPr>
          <w:color w:val="000000" w:themeColor="text1"/>
        </w:rPr>
        <w:t>&gt;</w:t>
      </w:r>
    </w:p>
    <w:p w14:paraId="148436C5" w14:textId="4EBE401D" w:rsidR="005E4A48" w:rsidRPr="00EB143A" w:rsidRDefault="005E4A48" w:rsidP="005E4A48">
      <w:pPr>
        <w:pStyle w:val="Questionstyle"/>
        <w:rPr>
          <w:color w:val="000000" w:themeColor="text1"/>
        </w:rPr>
      </w:pPr>
      <w:r w:rsidRPr="00EB143A">
        <w:rPr>
          <w:color w:val="000000" w:themeColor="text1"/>
        </w:rPr>
        <w:t xml:space="preserve">Do </w:t>
      </w:r>
      <w:r w:rsidR="009D0047" w:rsidRPr="00EB143A">
        <w:rPr>
          <w:color w:val="000000" w:themeColor="text1"/>
        </w:rPr>
        <w:t>you agree with the proposed change concerning the highly secure arrangements for the deposit of financial instruments posted as margins or as default fund contributions?</w:t>
      </w:r>
    </w:p>
    <w:p w14:paraId="200A584F" w14:textId="2013B2E3" w:rsidR="00CD45FC" w:rsidRDefault="005E4A48" w:rsidP="005E4A48">
      <w:pPr>
        <w:rPr>
          <w:color w:val="000000" w:themeColor="text1"/>
        </w:rPr>
      </w:pPr>
      <w:r w:rsidRPr="00EB143A">
        <w:rPr>
          <w:color w:val="000000" w:themeColor="text1"/>
        </w:rPr>
        <w:t>&lt;ESMA_QUESTION_</w:t>
      </w:r>
      <w:r w:rsidR="0072300F" w:rsidRPr="00EB143A">
        <w:rPr>
          <w:color w:val="000000" w:themeColor="text1"/>
        </w:rPr>
        <w:t>COLL</w:t>
      </w:r>
      <w:r w:rsidRPr="00EB143A">
        <w:rPr>
          <w:color w:val="000000" w:themeColor="text1"/>
        </w:rPr>
        <w:t>_</w:t>
      </w:r>
      <w:r w:rsidR="0072300F" w:rsidRPr="00EB143A">
        <w:rPr>
          <w:color w:val="000000" w:themeColor="text1"/>
        </w:rPr>
        <w:t>17</w:t>
      </w:r>
      <w:r w:rsidRPr="00EB143A">
        <w:rPr>
          <w:color w:val="000000" w:themeColor="text1"/>
        </w:rPr>
        <w:t>&gt;</w:t>
      </w:r>
    </w:p>
    <w:p w14:paraId="031B76C3" w14:textId="77777777" w:rsidR="00CD45FC" w:rsidRPr="00EB143A" w:rsidRDefault="00CD45FC" w:rsidP="005E4A48">
      <w:pPr>
        <w:rPr>
          <w:color w:val="000000" w:themeColor="text1"/>
        </w:rPr>
      </w:pPr>
    </w:p>
    <w:p w14:paraId="1575BAA1" w14:textId="77777777" w:rsidR="005E4A48" w:rsidRPr="00EB143A" w:rsidRDefault="005E4A48" w:rsidP="00693907">
      <w:pPr>
        <w:rPr>
          <w:color w:val="000000" w:themeColor="text1"/>
        </w:rPr>
      </w:pPr>
    </w:p>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9"/>
      <w:footerReference w:type="default" r:id="rId3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9C47" w14:textId="77777777" w:rsidR="00477D94" w:rsidRDefault="00477D94" w:rsidP="00F716D4">
      <w:r>
        <w:separator/>
      </w:r>
    </w:p>
    <w:p w14:paraId="7A331BD8" w14:textId="77777777" w:rsidR="00477D94" w:rsidRDefault="00477D94" w:rsidP="00F716D4"/>
  </w:endnote>
  <w:endnote w:type="continuationSeparator" w:id="0">
    <w:p w14:paraId="04FEBB57" w14:textId="77777777" w:rsidR="00477D94" w:rsidRDefault="00477D94" w:rsidP="00F716D4">
      <w:r>
        <w:continuationSeparator/>
      </w:r>
    </w:p>
    <w:p w14:paraId="3B65B632" w14:textId="77777777" w:rsidR="00477D94" w:rsidRDefault="00477D94" w:rsidP="00F716D4"/>
  </w:endnote>
  <w:endnote w:type="continuationNotice" w:id="1">
    <w:p w14:paraId="7C810199" w14:textId="77777777" w:rsidR="00477D94" w:rsidRDefault="00477D94"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40E" w14:textId="63694323" w:rsidR="00D9742B" w:rsidRDefault="00D9742B">
    <w:pPr>
      <w:pStyle w:val="Footer"/>
    </w:pPr>
    <w:r>
      <w:rPr>
        <w:noProof/>
      </w:rPr>
      <mc:AlternateContent>
        <mc:Choice Requires="wps">
          <w:drawing>
            <wp:anchor distT="0" distB="0" distL="0" distR="0" simplePos="0" relativeHeight="251667457" behindDoc="0" locked="0" layoutInCell="1" allowOverlap="1" wp14:anchorId="584191A5" wp14:editId="1205C82E">
              <wp:simplePos x="635" y="635"/>
              <wp:positionH relativeFrom="page">
                <wp:align>center</wp:align>
              </wp:positionH>
              <wp:positionV relativeFrom="page">
                <wp:align>bottom</wp:align>
              </wp:positionV>
              <wp:extent cx="622300" cy="368935"/>
              <wp:effectExtent l="0" t="0" r="6350" b="0"/>
              <wp:wrapNone/>
              <wp:docPr id="320639935" name="Text Box 9"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2547E5A2" w14:textId="52414C98"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191A5" id="_x0000_t202" coordsize="21600,21600" o:spt="202" path="m,l,21600r21600,l21600,xe">
              <v:stroke joinstyle="miter"/>
              <v:path gradientshapeok="t" o:connecttype="rect"/>
            </v:shapetype>
            <v:shape id="Text Box 9" o:spid="_x0000_s1028" type="#_x0000_t202" alt="RESTRICTED" style="position:absolute;left:0;text-align:left;margin-left:0;margin-top:0;width:49pt;height:29.05pt;z-index:251667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9aDQIAABwEAAAOAAAAZHJzL2Uyb0RvYy54bWysU8Fu2zAMvQ/YPwi6L3YSNGiNOEXWIsOA&#10;oC2QDj3LshQbkERBUmJnXz9KjpOu22nYRaZJ6pF8fFre91qRo3C+BVPS6SSnRBgOdWv2Jf3xuvly&#10;S4kPzNRMgRElPQlP71efPy07W4gZNKBq4QiCGF90tqRNCLbIMs8boZmfgBUGgxKcZgF/3T6rHesQ&#10;XatslueLrANXWwdceI/exyFIVwlfSsHDs5ReBKJKir2FdLp0VvHMVktW7B2zTcvPbbB/6EKz1mDR&#10;C9QjC4wcXPsHlG65Aw8yTDjoDKRsuUgz4DTT/MM0u4ZZkWZBcry90OT/Hyx/Ou7siyOh/wo9LjAS&#10;0llfeHTGeXrpdPxipwTjSOHpQpvoA+HoXMxm8xwjHEPzxe3d/CaiZNfL1vnwTYAm0Sipw60ksthx&#10;68OQOqbEWgY2rVJpM8r85kDM6MmuHUYr9FVP2rqks7H7CuoTDuVg2Le3fNNi6S3z4YU5XDB2i6IN&#10;z3hIBV1J4WxR0oD7+Td/zEfeMUpJh4IpqUFFU6K+G9xH1NZouNGokjG9y28iPeagHwBlOMUXYXky&#10;0euCGk3pQL+hnNexEIaY4ViupNVoPoRBufgcuFivUxLKyLKwNTvLI3SkK3L52r8xZ8+EB9zUE4xq&#10;YsUH3ofceNPb9SEg+2kpkdqByDPjKMG01vNziRp//5+yro969QsAAP//AwBQSwMEFAAGAAgAAAAh&#10;AN61CB7ZAAAAAwEAAA8AAABkcnMvZG93bnJldi54bWxMj8FKw0AQhu+C77CM4M1u2qLEmE2RgqeK&#10;0NaLt+3uNIlmZ0N20qZv7+hFLwM///DNN+VqCp064ZDaSAbmswwUkou+pdrA+/7lLgeV2JK3XSQ0&#10;cMEEq+r6qrSFj2fa4mnHtRIIpcIaaJj7QuvkGgw2zWKPJN0xDsGyxKHWfrBngYdOL7LsQQfbklxo&#10;bI/rBt3XbgwG7rf8Or7RfvkxLS6fm37tlseNM+b2Znp+AsU48d8y/OiLOlTidIgj+aQ6A/II/07p&#10;HnNJB+Hmc9BVqf+7V98AAAD//wMAUEsBAi0AFAAGAAgAAAAhALaDOJL+AAAA4QEAABMAAAAAAAAA&#10;AAAAAAAAAAAAAFtDb250ZW50X1R5cGVzXS54bWxQSwECLQAUAAYACAAAACEAOP0h/9YAAACUAQAA&#10;CwAAAAAAAAAAAAAAAAAvAQAAX3JlbHMvLnJlbHNQSwECLQAUAAYACAAAACEAGqy/Wg0CAAAcBAAA&#10;DgAAAAAAAAAAAAAAAAAuAgAAZHJzL2Uyb0RvYy54bWxQSwECLQAUAAYACAAAACEA3rUIHtkAAAAD&#10;AQAADwAAAAAAAAAAAAAAAABnBAAAZHJzL2Rvd25yZXYueG1sUEsFBgAAAAAEAAQA8wAAAG0FAAAA&#10;AA==&#10;" filled="f" stroked="f">
              <v:textbox style="mso-fit-shape-to-text:t" inset="0,0,0,15pt">
                <w:txbxContent>
                  <w:p w14:paraId="2547E5A2" w14:textId="52414C98"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7F754644" w:rsidR="296079D6" w:rsidRDefault="00D9742B" w:rsidP="296079D6">
          <w:pPr>
            <w:pStyle w:val="Header"/>
            <w:ind w:left="-115"/>
            <w:jc w:val="left"/>
          </w:pPr>
          <w:r>
            <w:rPr>
              <w:noProof/>
            </w:rPr>
            <mc:AlternateContent>
              <mc:Choice Requires="wps">
                <w:drawing>
                  <wp:anchor distT="0" distB="0" distL="0" distR="0" simplePos="0" relativeHeight="251668481" behindDoc="0" locked="0" layoutInCell="1" allowOverlap="1" wp14:anchorId="5115A02E" wp14:editId="03A8BC2B">
                    <wp:simplePos x="635" y="635"/>
                    <wp:positionH relativeFrom="page">
                      <wp:align>center</wp:align>
                    </wp:positionH>
                    <wp:positionV relativeFrom="page">
                      <wp:align>bottom</wp:align>
                    </wp:positionV>
                    <wp:extent cx="622300" cy="368935"/>
                    <wp:effectExtent l="0" t="0" r="6350" b="0"/>
                    <wp:wrapNone/>
                    <wp:docPr id="598379152" name="Text Box 10"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0DBF4FE8" w14:textId="7F692DD3"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15A02E" id="_x0000_t202" coordsize="21600,21600" o:spt="202" path="m,l,21600r21600,l21600,xe">
                    <v:stroke joinstyle="miter"/>
                    <v:path gradientshapeok="t" o:connecttype="rect"/>
                  </v:shapetype>
                  <v:shape id="Text Box 10" o:spid="_x0000_s1029" type="#_x0000_t202" alt="RESTRICTED" style="position:absolute;left:0;text-align:left;margin-left:0;margin-top:0;width:49pt;height:29.05pt;z-index:2516684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w1nDQIAABwEAAAOAAAAZHJzL2Uyb0RvYy54bWysU8Fu2zAMvQ/YPwi6L3YSNGiNOEXWIsOA&#10;oC2QDj3LshQbkERBUmJnXz9KjpOu22nYRaZJ6pF8fFre91qRo3C+BVPS6SSnRBgOdWv2Jf3xuvly&#10;S4kPzNRMgRElPQlP71efPy07W4gZNKBq4QiCGF90tqRNCLbIMs8boZmfgBUGgxKcZgF/3T6rHesQ&#10;XatslueLrANXWwdceI/exyFIVwlfSsHDs5ReBKJKir2FdLp0VvHMVktW7B2zTcvPbbB/6EKz1mDR&#10;C9QjC4wcXPsHlG65Aw8yTDjoDKRsuUgz4DTT/MM0u4ZZkWZBcry90OT/Hyx/Ou7siyOh/wo9LjAS&#10;0llfeHTGeXrpdPxipwTjSOHpQpvoA+HoXMxm8xwjHEPzxe3d/CaiZNfL1vnwTYAm0Sipw60ksthx&#10;68OQOqbEWgY2rVJpM8r85kDM6MmuHUYr9FVP2hqLj91XUJ9wKAfDvr3lmxZLb5kPL8zhgrFbFG14&#10;xkMq6EoKZ4uSBtzPv/ljPvKOUUo6FExJDSqaEvXd4D6itkbDjUaVjOldfhPpMQf9ACjDKb4Iy5OJ&#10;XhfUaEoH+g3lvI6FMMQMx3IlrUbzIQzKxefAxXqdklBGloWt2VkeoSNdkcvX/o05eyY84KaeYFQT&#10;Kz7wPuTGm96uDwHZT0uJ1A5EnhlHCaa1np9L1Pj7/5R1fdSrXwAAAP//AwBQSwMEFAAGAAgAAAAh&#10;AN61CB7ZAAAAAwEAAA8AAABkcnMvZG93bnJldi54bWxMj8FKw0AQhu+C77CM4M1u2qLEmE2RgqeK&#10;0NaLt+3uNIlmZ0N20qZv7+hFLwM///DNN+VqCp064ZDaSAbmswwUkou+pdrA+/7lLgeV2JK3XSQ0&#10;cMEEq+r6qrSFj2fa4mnHtRIIpcIaaJj7QuvkGgw2zWKPJN0xDsGyxKHWfrBngYdOL7LsQQfbklxo&#10;bI/rBt3XbgwG7rf8Or7RfvkxLS6fm37tlseNM+b2Znp+AsU48d8y/OiLOlTidIgj+aQ6A/II/07p&#10;HnNJB+Hmc9BVqf+7V98AAAD//wMAUEsBAi0AFAAGAAgAAAAhALaDOJL+AAAA4QEAABMAAAAAAAAA&#10;AAAAAAAAAAAAAFtDb250ZW50X1R5cGVzXS54bWxQSwECLQAUAAYACAAAACEAOP0h/9YAAACUAQAA&#10;CwAAAAAAAAAAAAAAAAAvAQAAX3JlbHMvLnJlbHNQSwECLQAUAAYACAAAACEAdxMNZw0CAAAcBAAA&#10;DgAAAAAAAAAAAAAAAAAuAgAAZHJzL2Uyb0RvYy54bWxQSwECLQAUAAYACAAAACEA3rUIHtkAAAAD&#10;AQAADwAAAAAAAAAAAAAAAABnBAAAZHJzL2Rvd25yZXYueG1sUEsFBgAAAAAEAAQA8wAAAG0FAAAA&#10;AA==&#10;" filled="f" stroked="f">
                    <v:textbox style="mso-fit-shape-to-text:t" inset="0,0,0,15pt">
                      <w:txbxContent>
                        <w:p w14:paraId="0DBF4FE8" w14:textId="7F692DD3"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780EA282" w:rsidR="296079D6" w:rsidRDefault="00D9742B" w:rsidP="296079D6">
          <w:pPr>
            <w:pStyle w:val="Header"/>
            <w:ind w:left="-115"/>
            <w:jc w:val="left"/>
          </w:pPr>
          <w:r>
            <w:rPr>
              <w:noProof/>
            </w:rPr>
            <mc:AlternateContent>
              <mc:Choice Requires="wps">
                <w:drawing>
                  <wp:anchor distT="0" distB="0" distL="0" distR="0" simplePos="0" relativeHeight="251666433" behindDoc="0" locked="0" layoutInCell="1" allowOverlap="1" wp14:anchorId="647D5E6B" wp14:editId="72011B88">
                    <wp:simplePos x="971550" y="9461500"/>
                    <wp:positionH relativeFrom="page">
                      <wp:align>center</wp:align>
                    </wp:positionH>
                    <wp:positionV relativeFrom="page">
                      <wp:align>bottom</wp:align>
                    </wp:positionV>
                    <wp:extent cx="622300" cy="368935"/>
                    <wp:effectExtent l="0" t="0" r="6350" b="0"/>
                    <wp:wrapNone/>
                    <wp:docPr id="509248814" name="Text Box 8"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4313D8F9" w14:textId="6B7793FC"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D5E6B" id="_x0000_t202" coordsize="21600,21600" o:spt="202" path="m,l,21600r21600,l21600,xe">
                    <v:stroke joinstyle="miter"/>
                    <v:path gradientshapeok="t" o:connecttype="rect"/>
                  </v:shapetype>
                  <v:shape id="Text Box 8" o:spid="_x0000_s1031" type="#_x0000_t202" alt="RESTRICTED" style="position:absolute;left:0;text-align:left;margin-left:0;margin-top:0;width:49pt;height:29.05pt;z-index:251666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LqDAIAABwEAAAOAAAAZHJzL2Uyb0RvYy54bWysU8Fu2zAMvQ/YPwi6L3YSNGiNOEXWIsOA&#10;oC2QDj0rshQbkEWBUmJnXz9KiZOu22nYRaZJ6pF8fJrf961hB4W+AVvy8SjnTFkJVWN3Jf/xuvpy&#10;y5kPwlbCgFUlPyrP7xefP807V6gJ1GAqhYxArC86V/I6BFdkmZe1aoUfgVOWghqwFYF+cZdVKDpC&#10;b002yfNZ1gFWDkEq78n7eAryRcLXWsnwrLVXgZmSU28hnZjObTyzxVwUOxSubuS5DfEPXbSisVT0&#10;AvUogmB7bP6AahuJ4EGHkYQ2A60bqdIMNM04/zDNphZOpVmIHO8uNPn/ByufDhv3giz0X6GnBUZC&#10;OucLT844T6+xjV/qlFGcKDxeaFN9YJKcs8lkmlNEUmg6u72b3kSU7HrZoQ/fFLQsGiVH2koiSxzW&#10;PpxSh5RYy8KqMSZtxtjfHIQZPdm1w2iFftuzpip5qhs9W6iONBTCad/eyVVDpdfChxeBtGDqlkQb&#10;nunQBrqSw9nirAb8+Td/zCfeKcpZR4IpuSVFc2a+W9pH1NZg4GBskzG+y28iPXbfPgDJcEwvwslk&#10;kheDGUyN0L6RnJexEIWElVSu5NvBfAgn5dJzkGq5TEkkIyfC2m6cjNCRrsjla/8m0J0JD7SpJxjU&#10;JIoPvJ9y403vlvtA7KelXIk8M04STGs9P5eo8ff/Kev6qBe/AAAA//8DAFBLAwQUAAYACAAAACEA&#10;3rUIHtkAAAADAQAADwAAAGRycy9kb3ducmV2LnhtbEyPwUrDQBCG74LvsIzgzW7aosSYTZGCp4rQ&#10;1ou37e40iWZnQ3bSpm/v6EUvAz//8M035WoKnTrhkNpIBuazDBSSi76l2sD7/uUuB5XYkrddJDRw&#10;wQSr6vqqtIWPZ9riace1EgilwhpomPtC6+QaDDbNYo8k3TEOwbLEodZ+sGeBh04vsuxBB9uSXGhs&#10;j+sG3dduDAbut/w6vtF++TEtLp+bfu2Wx40z5vZmen4CxTjx3zL86Is6VOJ0iCP5pDoD8gj/Tuke&#10;c0kH4eZz0FWp/7tX3wAAAP//AwBQSwECLQAUAAYACAAAACEAtoM4kv4AAADhAQAAEwAAAAAAAAAA&#10;AAAAAAAAAAAAW0NvbnRlbnRfVHlwZXNdLnhtbFBLAQItABQABgAIAAAAIQA4/SH/1gAAAJQBAAAL&#10;AAAAAAAAAAAAAAAAAC8BAABfcmVscy8ucmVsc1BLAQItABQABgAIAAAAIQAZkKLqDAIAABwEAAAO&#10;AAAAAAAAAAAAAAAAAC4CAABkcnMvZTJvRG9jLnhtbFBLAQItABQABgAIAAAAIQDetQge2QAAAAMB&#10;AAAPAAAAAAAAAAAAAAAAAGYEAABkcnMvZG93bnJldi54bWxQSwUGAAAAAAQABADzAAAAbAUAAAAA&#10;" filled="f" stroked="f">
                    <v:textbox style="mso-fit-shape-to-text:t" inset="0,0,0,15pt">
                      <w:txbxContent>
                        <w:p w14:paraId="4313D8F9" w14:textId="6B7793FC"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7211DCF5" w:rsidR="296079D6" w:rsidRDefault="00D9742B" w:rsidP="296079D6">
          <w:pPr>
            <w:pStyle w:val="Header"/>
            <w:ind w:left="-115"/>
            <w:jc w:val="left"/>
          </w:pPr>
          <w:r>
            <w:rPr>
              <w:noProof/>
            </w:rPr>
            <mc:AlternateContent>
              <mc:Choice Requires="wps">
                <w:drawing>
                  <wp:anchor distT="0" distB="0" distL="0" distR="0" simplePos="0" relativeHeight="251670529" behindDoc="0" locked="0" layoutInCell="1" allowOverlap="1" wp14:anchorId="32568DC7" wp14:editId="5D258764">
                    <wp:simplePos x="635" y="635"/>
                    <wp:positionH relativeFrom="page">
                      <wp:align>center</wp:align>
                    </wp:positionH>
                    <wp:positionV relativeFrom="page">
                      <wp:align>bottom</wp:align>
                    </wp:positionV>
                    <wp:extent cx="622300" cy="368935"/>
                    <wp:effectExtent l="0" t="0" r="6350" b="0"/>
                    <wp:wrapNone/>
                    <wp:docPr id="2020568265" name="Text Box 1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4113A389" w14:textId="297594B7"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68DC7" id="_x0000_t202" coordsize="21600,21600" o:spt="202" path="m,l,21600r21600,l21600,xe">
                    <v:stroke joinstyle="miter"/>
                    <v:path gradientshapeok="t" o:connecttype="rect"/>
                  </v:shapetype>
                  <v:shape id="Text Box 12" o:spid="_x0000_s1034" type="#_x0000_t202" alt="RESTRICTED" style="position:absolute;left:0;text-align:left;margin-left:0;margin-top:0;width:49pt;height:29.05pt;z-index:251670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4XDgIAABwEAAAOAAAAZHJzL2Uyb0RvYy54bWysU8Fu2zAMvQ/YPwi6L3YSNEiNOEXWIsOA&#10;oC2QDj0rshQbkERBUmJnXz9KjpOu7WnYRaZJ6pF8fFrcdVqRo3C+AVPS8SinRBgOVWP2Jf31sv42&#10;p8QHZiqmwIiSnoSnd8uvXxatLcQEalCVcARBjC9aW9I6BFtkmee10MyPwAqDQQlOs4C/bp9VjrWI&#10;rlU2yfNZ1oKrrAMuvEfvQx+ky4QvpeDhSUovAlElxd5COl06d/HMlgtW7B2zdcPPbbB/6EKzxmDR&#10;C9QDC4wcXPMBSjfcgQcZRhx0BlI2XKQZcJpx/m6abc2sSLMgOd5eaPL/D5Y/Hrf22ZHQfYcOFxgJ&#10;aa0vPDrjPJ10On6xU4JxpPB0oU10gXB0ziaTaY4RjqHpbH47vYko2fWydT78EKBJNErqcCuJLHbc&#10;+NCnDimxloF1o1TajDJ/ORAzerJrh9EK3a4jTVXS+dD9DqoTDuWg37e3fN1g6Q3z4Zk5XDB2i6IN&#10;T3hIBW1J4WxRUoP7/Zk/5iPvGKWkRcGU1KCiKVE/De4jamsw3GDskjG+zW8iPeag7wFlOMYXYXky&#10;0euCGkzpQL+inFexEIaY4ViupLvBvA+9cvE5cLFapSSUkWVhY7aWR+hIV+TypXtlzp4JD7ipRxjU&#10;xIp3vPe58aa3q0NA9tNSIrU9kWfGUYJprefnEjX+9j9lXR/18g8AAAD//wMAUEsDBBQABgAIAAAA&#10;IQDetQge2QAAAAMBAAAPAAAAZHJzL2Rvd25yZXYueG1sTI/BSsNAEIbvgu+wjODNbtqixJhNkYKn&#10;itDWi7ft7jSJZmdDdtKmb+/oRS8DP//wzTflagqdOuGQ2kgG5rMMFJKLvqXawPv+5S4HldiSt10k&#10;NHDBBKvq+qq0hY9n2uJpx7USCKXCGmiY+0Lr5BoMNs1ijyTdMQ7BssSh1n6wZ4GHTi+y7EEH25Jc&#10;aGyP6wbd124MBu63/Dq+0X75MS0un5t+7ZbHjTPm9mZ6fgLFOPHfMvzoizpU4nSII/mkOgPyCP9O&#10;6R5zSQfh5nPQVan/u1ffAAAA//8DAFBLAQItABQABgAIAAAAIQC2gziS/gAAAOEBAAATAAAAAAAA&#10;AAAAAAAAAAAAAABbQ29udGVudF9UeXBlc10ueG1sUEsBAi0AFAAGAAgAAAAhADj9If/WAAAAlAEA&#10;AAsAAAAAAAAAAAAAAAAALwEAAF9yZWxzLy5yZWxzUEsBAi0AFAAGAAgAAAAhAOkvPhcOAgAAHAQA&#10;AA4AAAAAAAAAAAAAAAAALgIAAGRycy9lMm9Eb2MueG1sUEsBAi0AFAAGAAgAAAAhAN61CB7ZAAAA&#10;AwEAAA8AAAAAAAAAAAAAAAAAaAQAAGRycy9kb3ducmV2LnhtbFBLBQYAAAAABAAEAPMAAABuBQAA&#10;AAA=&#10;" filled="f" stroked="f">
                    <v:textbox style="mso-fit-shape-to-text:t" inset="0,0,0,15pt">
                      <w:txbxContent>
                        <w:p w14:paraId="4113A389" w14:textId="297594B7"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7ECA9DC0" w:rsidR="00C54034" w:rsidRPr="00104E00" w:rsidRDefault="00D9742B" w:rsidP="00104E00">
    <w:pPr>
      <w:pStyle w:val="Footer"/>
      <w:jc w:val="left"/>
      <w:rPr>
        <w:color w:val="001B4F"/>
        <w:sz w:val="15"/>
        <w:szCs w:val="15"/>
        <w:lang w:val="fr-FR"/>
      </w:rPr>
    </w:pPr>
    <w:r>
      <w:rPr>
        <w:noProof/>
        <w:color w:val="001B4F"/>
        <w:sz w:val="15"/>
        <w:szCs w:val="15"/>
        <w:lang w:val="fr-FR"/>
      </w:rPr>
      <mc:AlternateContent>
        <mc:Choice Requires="wps">
          <w:drawing>
            <wp:anchor distT="0" distB="0" distL="0" distR="0" simplePos="0" relativeHeight="251669505" behindDoc="0" locked="0" layoutInCell="1" allowOverlap="1" wp14:anchorId="3E12CEA7" wp14:editId="07B63170">
              <wp:simplePos x="792480" y="9958070"/>
              <wp:positionH relativeFrom="page">
                <wp:align>center</wp:align>
              </wp:positionH>
              <wp:positionV relativeFrom="page">
                <wp:align>bottom</wp:align>
              </wp:positionV>
              <wp:extent cx="622300" cy="368935"/>
              <wp:effectExtent l="0" t="0" r="6350" b="0"/>
              <wp:wrapNone/>
              <wp:docPr id="451841853" name="Text Box 1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226B0F99" w14:textId="00422260"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2CEA7" id="_x0000_t202" coordsize="21600,21600" o:spt="202" path="m,l,21600r21600,l21600,xe">
              <v:stroke joinstyle="miter"/>
              <v:path gradientshapeok="t" o:connecttype="rect"/>
            </v:shapetype>
            <v:shape id="Text Box 11" o:spid="_x0000_s1036" type="#_x0000_t202" alt="RESTRICTED" style="position:absolute;margin-left:0;margin-top:0;width:49pt;height:29.0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3DAIAAB0EAAAOAAAAZHJzL2Uyb0RvYy54bWysU99v2jAQfp+0/8Hy+0gAFbURoWKtmCah&#10;thKd+mwcm0RyfNbZkLC/fmdDoOv2NO3Fudyd78f3fZ7f961hB4W+AVvy8SjnTFkJVWN3Jf/xuvpy&#10;y5kPwlbCgFUlPyrP7xefP807V6gJ1GAqhYyKWF90ruR1CK7IMi9r1Qo/AqcsBTVgKwL94i6rUHRU&#10;vTXZJM9nWQdYOQSpvCfv4ynIF6m+1kqGZ629CsyUnGYL6cR0buOZLeai2KFwdSPPY4h/mKIVjaWm&#10;l1KPIgi2x+aPUm0jETzoMJLQZqB1I1XagbYZ5x+22dTCqbQLgePdBSb//8rKp8PGvSAL/VfoicAI&#10;SOd84ckZ9+k1tvFLkzKKE4THC2yqD0ySczaZTHOKSApNZ7d305tYJbtedujDNwUti0bJkVhJYInD&#10;2odT6pASe1lYNcYkZoz9zUE1oye7Thit0G971lQ0feIzurZQHWkrhBPh3slVQ73XwocXgcQwjUuq&#10;Dc90aANdyeFscVYD/vybP+YT8BTlrCPFlNySpDkz3y0REsU1GDgY22SM7/KbiI/dtw9AOhzTk3Ay&#10;meTFYAZTI7RvpOdlbEQhYSW1K/l2MB/CSbr0HqRaLlMS6ciJsLYbJ2PpiFcE87V/E+jOiAei6gkG&#10;OYniA/Cn3HjTu+U+EPyJlSuQZ8hJg4nX83uJIn//n7Kur3rxCwAA//8DAFBLAwQUAAYACAAAACEA&#10;3rUIHtkAAAADAQAADwAAAGRycy9kb3ducmV2LnhtbEyPwUrDQBCG74LvsIzgzW7aosSYTZGCp4rQ&#10;1ou37e40iWZnQ3bSpm/v6EUvAz//8M035WoKnTrhkNpIBuazDBSSi76l2sD7/uUuB5XYkrddJDRw&#10;wQSr6vqqtIWPZ9riace1EgilwhpomPtC6+QaDDbNYo8k3TEOwbLEodZ+sGeBh04vsuxBB9uSXGhs&#10;j+sG3dduDAbut/w6vtF++TEtLp+bfu2Wx40z5vZmen4CxTjx3zL86Is6VOJ0iCP5pDoD8gj/Tuke&#10;c0kH4eZz0FWp/7tX3wAAAP//AwBQSwECLQAUAAYACAAAACEAtoM4kv4AAADhAQAAEwAAAAAAAAAA&#10;AAAAAAAAAAAAW0NvbnRlbnRfVHlwZXNdLnhtbFBLAQItABQABgAIAAAAIQA4/SH/1gAAAJQBAAAL&#10;AAAAAAAAAAAAAAAAAC8BAABfcmVscy8ucmVsc1BLAQItABQABgAIAAAAIQAL0+s3DAIAAB0EAAAO&#10;AAAAAAAAAAAAAAAAAC4CAABkcnMvZTJvRG9jLnhtbFBLAQItABQABgAIAAAAIQDetQge2QAAAAMB&#10;AAAPAAAAAAAAAAAAAAAAAGYEAABkcnMvZG93bnJldi54bWxQSwUGAAAAAAQABADzAAAAbAUAAAAA&#10;" filled="f" stroked="f">
              <v:textbox style="mso-fit-shape-to-text:t" inset="0,0,0,15pt">
                <w:txbxContent>
                  <w:p w14:paraId="226B0F99" w14:textId="00422260"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r w:rsidR="00104E00" w:rsidRPr="00104E00">
      <w:rPr>
        <w:color w:val="001B4F"/>
        <w:sz w:val="15"/>
        <w:szCs w:val="15"/>
        <w:lang w:val="fr-FR"/>
      </w:rPr>
      <w:t xml:space="preserve">ESMA - 201-203 rue de Bercy - CS 80910 - 75589 Paris Cedex 12 - France - Tel. </w:t>
    </w:r>
    <w:r w:rsidR="00104E00" w:rsidRPr="00104E00">
      <w:rPr>
        <w:color w:val="001B4F"/>
        <w:sz w:val="15"/>
        <w:szCs w:val="15"/>
        <w:lang w:val="fr-BE"/>
      </w:rPr>
      <w:t xml:space="preserve">+33 (0) 1 58 36 43 21 - </w:t>
    </w:r>
    <w:hyperlink r:id="rId1" w:history="1">
      <w:r w:rsidR="00104E00" w:rsidRPr="00A8626B">
        <w:rPr>
          <w:rStyle w:val="Hyperlink"/>
          <w:sz w:val="15"/>
          <w:szCs w:val="15"/>
          <w:lang w:val="fr-FR"/>
        </w:rPr>
        <w:t>www.esma.</w:t>
      </w:r>
      <w:proofErr w:type="spellStart"/>
      <w:r w:rsidR="00104E00" w:rsidRPr="00A8626B">
        <w:rPr>
          <w:rStyle w:val="Hyperlink"/>
          <w:sz w:val="15"/>
          <w:szCs w:val="15"/>
          <w:lang w:val="fr-BE"/>
        </w:rPr>
        <w:t>europa</w:t>
      </w:r>
      <w:proofErr w:type="spellEnd"/>
      <w:r w:rsidR="00104E00"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sidR="00104E00">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2AB36B24" w:rsidR="296079D6" w:rsidRDefault="00D9742B" w:rsidP="296079D6">
          <w:pPr>
            <w:pStyle w:val="Header"/>
            <w:ind w:left="-115"/>
            <w:jc w:val="left"/>
          </w:pPr>
          <w:r>
            <w:rPr>
              <w:noProof/>
            </w:rPr>
            <mc:AlternateContent>
              <mc:Choice Requires="wps">
                <w:drawing>
                  <wp:anchor distT="0" distB="0" distL="0" distR="0" simplePos="0" relativeHeight="251671553" behindDoc="0" locked="0" layoutInCell="1" allowOverlap="1" wp14:anchorId="402217B3" wp14:editId="2E0EDF4D">
                    <wp:simplePos x="635" y="635"/>
                    <wp:positionH relativeFrom="page">
                      <wp:align>center</wp:align>
                    </wp:positionH>
                    <wp:positionV relativeFrom="page">
                      <wp:align>bottom</wp:align>
                    </wp:positionV>
                    <wp:extent cx="622300" cy="368935"/>
                    <wp:effectExtent l="0" t="0" r="6350" b="0"/>
                    <wp:wrapNone/>
                    <wp:docPr id="1638260215" name="Text Box 1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592A6882" w14:textId="4AF834AB"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217B3" id="_x0000_t202" coordsize="21600,21600" o:spt="202" path="m,l,21600r21600,l21600,xe">
                    <v:stroke joinstyle="miter"/>
                    <v:path gradientshapeok="t" o:connecttype="rect"/>
                  </v:shapetype>
                  <v:shape id="Text Box 13" o:spid="_x0000_s1038" type="#_x0000_t202" alt="RESTRICTED" style="position:absolute;left:0;text-align:left;margin-left:0;margin-top:0;width:49pt;height:29.05pt;z-index:2516715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5MDgIAAB0EAAAOAAAAZHJzL2Uyb0RvYy54bWysU8Fu2zAMvQ/YPwi6L3YSNGiNOEXWIsOA&#10;oC2QDj3LshQbkERBUmJnXz9KjpOu22nYRaZJ6pF8fFre91qRo3C+BVPS6SSnRBgOdWv2Jf3xuvly&#10;S4kPzNRMgRElPQlP71efPy07W4gZNKBq4QiCGF90tqRNCLbIMs8boZmfgBUGgxKcZgF/3T6rHesQ&#10;XatslueLrANXWwdceI/exyFIVwlfSsHDs5ReBKJKir2FdLp0VvHMVktW7B2zTcvPbbB/6EKz1mDR&#10;C9QjC4wcXPsHlG65Aw8yTDjoDKRsuUgz4DTT/MM0u4ZZkWZBcry90OT/Hyx/Ou7siyOh/wo9LjAS&#10;0llfeHTGeXrpdPxipwTjSOHpQpvoA+HoXMxm8xwjHEPzxe3d/CaiZNfL1vnwTYAm0Sipw60ksthx&#10;68OQOqbEWgY2rVJpM8r85kDM6MmuHUYr9FVP2hq7n43tV1CfcCoHw8K95ZsWa2+ZDy/M4YaxXVRt&#10;eMZDKuhKCmeLkgbcz7/5Yz4Sj1FKOlRMSQ1KmhL13eBCorhGw41GlYzpXX4T+TEH/QCowyk+CcuT&#10;iV4X1GhKB/oN9byOhTDEDMdyJa1G8yEM0sX3wMV6nZJQR5aFrdlZHqEjX5HM1/6NOXtmPOCqnmCU&#10;Eys+ED/kxpverg8B6U9bidwORJ4pRw2mvZ7fSxT5+/+UdX3Vq18AAAD//wMAUEsDBBQABgAIAAAA&#10;IQDetQge2QAAAAMBAAAPAAAAZHJzL2Rvd25yZXYueG1sTI/BSsNAEIbvgu+wjODNbtqixJhNkYKn&#10;itDWi7ft7jSJZmdDdtKmb+/oRS8DP//wzTflagqdOuGQ2kgG5rMMFJKLvqXawPv+5S4HldiSt10k&#10;NHDBBKvq+qq0hY9n2uJpx7USCKXCGmiY+0Lr5BoMNs1ijyTdMQ7BssSh1n6wZ4GHTi+y7EEH25Jc&#10;aGyP6wbd124MBu63/Dq+0X75MS0un5t+7ZbHjTPm9mZ6fgLFOPHfMvzoizpU4nSII/mkOgPyCP9O&#10;6R5zSQfh5nPQVan/u1ffAAAA//8DAFBLAQItABQABgAIAAAAIQC2gziS/gAAAOEBAAATAAAAAAAA&#10;AAAAAAAAAAAAAABbQ29udGVudF9UeXBlc10ueG1sUEsBAi0AFAAGAAgAAAAhADj9If/WAAAAlAEA&#10;AAsAAAAAAAAAAAAAAAAALwEAAF9yZWxzLy5yZWxzUEsBAi0AFAAGAAgAAAAhANGtjkwOAgAAHQQA&#10;AA4AAAAAAAAAAAAAAAAALgIAAGRycy9lMm9Eb2MueG1sUEsBAi0AFAAGAAgAAAAhAN61CB7ZAAAA&#10;AwEAAA8AAAAAAAAAAAAAAAAAaAQAAGRycy9kb3ducmV2LnhtbFBLBQYAAAAABAAEAPMAAABuBQAA&#10;AAA=&#10;" filled="f" stroked="f">
                    <v:textbox style="mso-fit-shape-to-text:t" inset="0,0,0,15pt">
                      <w:txbxContent>
                        <w:p w14:paraId="592A6882" w14:textId="4AF834AB"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AA26" w14:textId="77777777" w:rsidR="00477D94" w:rsidRDefault="00477D94" w:rsidP="00F716D4">
      <w:r>
        <w:separator/>
      </w:r>
    </w:p>
    <w:p w14:paraId="68F4573B" w14:textId="77777777" w:rsidR="00477D94" w:rsidRDefault="00477D94" w:rsidP="00F716D4"/>
  </w:footnote>
  <w:footnote w:type="continuationSeparator" w:id="0">
    <w:p w14:paraId="654B264C" w14:textId="77777777" w:rsidR="00477D94" w:rsidRDefault="00477D94" w:rsidP="00F716D4">
      <w:r>
        <w:continuationSeparator/>
      </w:r>
    </w:p>
    <w:p w14:paraId="0F092BAC" w14:textId="77777777" w:rsidR="00477D94" w:rsidRDefault="00477D94" w:rsidP="00F716D4"/>
  </w:footnote>
  <w:footnote w:type="continuationNotice" w:id="1">
    <w:p w14:paraId="572D1A5D" w14:textId="77777777" w:rsidR="00477D94" w:rsidRDefault="00477D94"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84C9" w14:textId="25B88358" w:rsidR="00D9742B" w:rsidRDefault="00D9742B">
    <w:pPr>
      <w:pStyle w:val="Header"/>
    </w:pPr>
    <w:r>
      <w:rPr>
        <w:noProof/>
      </w:rPr>
      <mc:AlternateContent>
        <mc:Choice Requires="wps">
          <w:drawing>
            <wp:anchor distT="0" distB="0" distL="0" distR="0" simplePos="0" relativeHeight="251660289" behindDoc="0" locked="0" layoutInCell="1" allowOverlap="1" wp14:anchorId="32939558" wp14:editId="421F7A81">
              <wp:simplePos x="635" y="635"/>
              <wp:positionH relativeFrom="page">
                <wp:align>center</wp:align>
              </wp:positionH>
              <wp:positionV relativeFrom="page">
                <wp:align>top</wp:align>
              </wp:positionV>
              <wp:extent cx="622300" cy="368935"/>
              <wp:effectExtent l="0" t="0" r="6350" b="12065"/>
              <wp:wrapNone/>
              <wp:docPr id="8560283"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6EB2289E" w14:textId="43CD293D"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939558" id="_x0000_t202" coordsize="21600,21600" o:spt="202" path="m,l,21600r21600,l21600,xe">
              <v:stroke joinstyle="miter"/>
              <v:path gradientshapeok="t" o:connecttype="rect"/>
            </v:shapetype>
            <v:shape id="Text Box 2" o:spid="_x0000_s1026" type="#_x0000_t202" alt="RESTRICTED" style="position:absolute;left:0;text-align:left;margin-left:0;margin-top:0;width:49pt;height:29.0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kDCQIAABUEAAAOAAAAZHJzL2Uyb0RvYy54bWysU8Fu2zAMvQ/YPwi6L3YSNGiNOEXWIsOA&#10;oC2QDj0rshQbkERBUmJnXz9KtpOu22nYRaZJ6pF8fFred1qRk3C+AVPS6SSnRBgOVWMOJf3xuvly&#10;S4kPzFRMgRElPQtP71efPy1bW4gZ1KAq4QiCGF+0tqR1CLbIMs9roZmfgBUGgxKcZgF/3SGrHGsR&#10;XatslueLrAVXWQdceI/exz5IVwlfSsHDs5ReBKJKir2FdLp07uOZrZasODhm64YPbbB/6EKzxmDR&#10;C9QjC4wcXfMHlG64Aw8yTDjoDKRsuEgz4DTT/MM0u5pZkWZBcry90OT/Hyx/Ou3siyOh+wodLjAS&#10;0lpfeHTGeTrpdPxipwTjSOH5QpvoAuHoXMxm8xwjHEPzxe3d/CaiZNfL1vnwTYAm0Sipw60ksthp&#10;60OfOqbEWgY2jVJpM8r85kDM6MmuHUYrdPtuaHsP1RmncdAv2lu+abDmlvnwwhxuFttEtYZnPKSC&#10;tqQwWJTU4H7+zR/zkXCMUtKiUkpqUMqUqO8GFxFFlYzpXX4TWXCjez8a5qgfAPU3xadgeTJjXlCj&#10;KR3oN9TxOhbCEDMcy5U0jOZD6CWL74CL9ToloX4sC1uzszxCR54iia/dG3N2YDrgip5glBErPhDe&#10;58ab3q6PAWlP24ic9kQOVKP20j6HdxLF/f4/ZV1f8+oXAAAA//8DAFBLAwQUAAYACAAAACEAPUbU&#10;odgAAAADAQAADwAAAGRycy9kb3ducmV2LnhtbEyPzU7DMBCE70i8g7VI3KhjpKAQ4lQVUg+9lfJz&#10;duMlCcS7Uey2oU/PwgUuI41mNfNttZzDoI44xZ7JgllkoJAa9j21Fl6e1zcFqJgceTcwoYUvjLCs&#10;Ly8qV3o+0RMed6lVUkKxdBa6lMZS69h0GFxc8Igk2TtPwSWxU6v95E5SHgZ9m2V3OrieZKFzIz52&#10;2HzuDsFCn684GXzdrD/egmFz3m7y89ba66t59QAq4Zz+juEHX9ChFqY9H8hHNViQR9KvSnZfiNtb&#10;yAsDuq70f/b6GwAA//8DAFBLAQItABQABgAIAAAAIQC2gziS/gAAAOEBAAATAAAAAAAAAAAAAAAA&#10;AAAAAABbQ29udGVudF9UeXBlc10ueG1sUEsBAi0AFAAGAAgAAAAhADj9If/WAAAAlAEAAAsAAAAA&#10;AAAAAAAAAAAALwEAAF9yZWxzLy5yZWxzUEsBAi0AFAAGAAgAAAAhALlW6QMJAgAAFQQAAA4AAAAA&#10;AAAAAAAAAAAALgIAAGRycy9lMm9Eb2MueG1sUEsBAi0AFAAGAAgAAAAhAD1G1KHYAAAAAwEAAA8A&#10;AAAAAAAAAAAAAAAAYwQAAGRycy9kb3ducmV2LnhtbFBLBQYAAAAABAAEAPMAAABoBQAAAAA=&#10;" filled="f" stroked="f">
              <v:textbox style="mso-fit-shape-to-text:t" inset="0,15pt,0,0">
                <w:txbxContent>
                  <w:p w14:paraId="6EB2289E" w14:textId="43CD293D"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68BD7ED9" w:rsidR="296079D6" w:rsidRDefault="00D9742B" w:rsidP="296079D6">
          <w:pPr>
            <w:pStyle w:val="Header"/>
            <w:ind w:left="-115"/>
            <w:jc w:val="left"/>
          </w:pPr>
          <w:r>
            <w:rPr>
              <w:noProof/>
            </w:rPr>
            <mc:AlternateContent>
              <mc:Choice Requires="wps">
                <w:drawing>
                  <wp:anchor distT="0" distB="0" distL="0" distR="0" simplePos="0" relativeHeight="251661313" behindDoc="0" locked="0" layoutInCell="1" allowOverlap="1" wp14:anchorId="48B834EE" wp14:editId="6FA00BB7">
                    <wp:simplePos x="635" y="635"/>
                    <wp:positionH relativeFrom="page">
                      <wp:align>center</wp:align>
                    </wp:positionH>
                    <wp:positionV relativeFrom="page">
                      <wp:align>top</wp:align>
                    </wp:positionV>
                    <wp:extent cx="622300" cy="368935"/>
                    <wp:effectExtent l="0" t="0" r="6350" b="12065"/>
                    <wp:wrapNone/>
                    <wp:docPr id="918821361"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33E04EF6" w14:textId="3F420231"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B834EE" id="_x0000_t202" coordsize="21600,21600" o:spt="202" path="m,l,21600r21600,l21600,xe">
                    <v:stroke joinstyle="miter"/>
                    <v:path gradientshapeok="t" o:connecttype="rect"/>
                  </v:shapetype>
                  <v:shape id="Text Box 3" o:spid="_x0000_s1027" type="#_x0000_t202" alt="RESTRICTED" style="position:absolute;left:0;text-align:left;margin-left:0;margin-top:0;width:49pt;height:29.0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moCwIAABwEAAAOAAAAZHJzL2Uyb0RvYy54bWysU8Fu2zAMvQ/YPwi6L3YSNGiNOEXWIsOA&#10;oC2QDj0rshQbkERBUmJnXz9KtpOu22nYRaZJ6pF8fFred1qRk3C+AVPS6SSnRBgOVWMOJf3xuvly&#10;S4kPzFRMgRElPQtP71efPy1bW4gZ1KAq4QiCGF+0tqR1CLbIMs9roZmfgBUGgxKcZgF/3SGrHGsR&#10;XatslueLrAVXWQdceI/exz5IVwlfSsHDs5ReBKJKir2FdLp07uOZrZasODhm64YPbbB/6EKzxmDR&#10;C9QjC4wcXfMHlG64Aw8yTDjoDKRsuEgz4DTT/MM0u5pZkWZBcry90OT/Hyx/Ou3siyOh+wodLjAS&#10;0lpfeHTGeTrpdPxipwTjSOH5QpvoAuHoXMxm8xwjHEPzxe3d/CaiZNfL1vnwTYAm0Sipw60ksthp&#10;60OfOqbEWgY2jVJpM8r85kDM6MmuHUYrdPuONNW77vdQnXEoB/2+veWbBktvmQ8vzOGCsVsUbXjG&#10;QypoSwqDRUkN7uff/DEfeccoJS0KpqQGFU2J+m5wH1FbyZje5TeRDDe696NhjvoBUIZTfBGWJzPm&#10;BTWa0oF+QzmvYyEMMcOxXEnDaD6EXrn4HLhYr1MSysiysDU7yyN0pCty+dq9MWcHwgNu6glGNbHi&#10;A+99brzp7foYkP20lEhtT+TAOEowrXV4LlHj7/9T1vVRr34BAAD//wMAUEsDBBQABgAIAAAAIQA9&#10;RtSh2AAAAAMBAAAPAAAAZHJzL2Rvd25yZXYueG1sTI/NTsMwEITvSLyDtUjcqGOkoBDiVBVSD72V&#10;8nN24yUJxLtR7LahT8/CBS4jjWY18221nMOgjjjFnsmCWWSgkBr2PbUWXp7XNwWomBx5NzChhS+M&#10;sKwvLypXej7REx53qVVSQrF0FrqUxlLr2HQYXFzwiCTZO0/BJbFTq/3kTlIeBn2bZXc6uJ5koXMj&#10;PnbYfO4OwUKfrzgZfN2sP96CYXPebvLz1trrq3n1ACrhnP6O4Qdf0KEWpj0fyEc1WJBH0q9Kdl+I&#10;21vICwO6rvR/9vobAAD//wMAUEsBAi0AFAAGAAgAAAAhALaDOJL+AAAA4QEAABMAAAAAAAAAAAAA&#10;AAAAAAAAAFtDb250ZW50X1R5cGVzXS54bWxQSwECLQAUAAYACAAAACEAOP0h/9YAAACUAQAACwAA&#10;AAAAAAAAAAAAAAAvAQAAX3JlbHMvLnJlbHNQSwECLQAUAAYACAAAACEAM6o5qAsCAAAcBAAADgAA&#10;AAAAAAAAAAAAAAAuAgAAZHJzL2Uyb0RvYy54bWxQSwECLQAUAAYACAAAACEAPUbUodgAAAADAQAA&#10;DwAAAAAAAAAAAAAAAABlBAAAZHJzL2Rvd25yZXYueG1sUEsFBgAAAAAEAAQA8wAAAGoFAAAAAA==&#10;" filled="f" stroked="f">
                    <v:textbox style="mso-fit-shape-to-text:t" inset="0,15pt,0,0">
                      <w:txbxContent>
                        <w:p w14:paraId="33E04EF6" w14:textId="3F420231"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45CD149F" w:rsidR="004E60D2" w:rsidRPr="004E058E" w:rsidRDefault="00D9742B" w:rsidP="004E60D2">
    <w:pPr>
      <w:spacing w:after="0"/>
      <w:jc w:val="right"/>
      <w:rPr>
        <w:rStyle w:val="normaltextrun"/>
        <w:color w:val="001B4F"/>
        <w:sz w:val="16"/>
        <w:szCs w:val="16"/>
        <w:shd w:val="clear" w:color="auto" w:fill="FFFFFF"/>
      </w:rPr>
    </w:pPr>
    <w:r>
      <w:rPr>
        <w:bCs/>
        <w:caps/>
        <w:noProof/>
        <w:color w:val="001B4F"/>
        <w:sz w:val="16"/>
        <w:szCs w:val="16"/>
      </w:rPr>
      <mc:AlternateContent>
        <mc:Choice Requires="wps">
          <w:drawing>
            <wp:anchor distT="0" distB="0" distL="0" distR="0" simplePos="0" relativeHeight="251659265" behindDoc="0" locked="0" layoutInCell="1" allowOverlap="1" wp14:anchorId="679D04B5" wp14:editId="6AED39A4">
              <wp:simplePos x="901700" y="546100"/>
              <wp:positionH relativeFrom="page">
                <wp:align>center</wp:align>
              </wp:positionH>
              <wp:positionV relativeFrom="page">
                <wp:align>top</wp:align>
              </wp:positionV>
              <wp:extent cx="622300" cy="368935"/>
              <wp:effectExtent l="0" t="0" r="6350" b="12065"/>
              <wp:wrapNone/>
              <wp:docPr id="2023650013"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1BF02751" w14:textId="67210A84"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D04B5" id="_x0000_t202" coordsize="21600,21600" o:spt="202" path="m,l,21600r21600,l21600,xe">
              <v:stroke joinstyle="miter"/>
              <v:path gradientshapeok="t" o:connecttype="rect"/>
            </v:shapetype>
            <v:shape id="Text Box 1" o:spid="_x0000_s1030" type="#_x0000_t202" alt="RESTRICTED" style="position:absolute;left:0;text-align:left;margin-left:0;margin-top:0;width:49pt;height:29.0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FjDQIAABwEAAAOAAAAZHJzL2Uyb0RvYy54bWysU8Fu2zAMvQ/YPwi6L3aSNWi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8xwjHEPzxe3d/CaiZNfL1vnwVYAm0Sipw60ksthp&#10;60OfOqbEWgY2jVJpM8r85kDM6MmuHUYrdPuONFVJP4/d76E641AO+n17yzcNlt4yH16YwwVjtyja&#10;8IyHVNCWFAaLkhrcj7/5Yz7yjlFKWhRMSQ0qmhL1zeA+oraSMb3LbyIZbnTvR8Mc9QOgDKf4IixP&#10;ZswLajSlA/2Gcl7HQhhihmO5kobRfAi9cvE5cLFepySUkWVha3aWR+hIV+TytXtjzg6EB9zUE4xq&#10;YsU73vvceNPb9TEg+2kpkdqeyIFxlGBa6/BcosZ//U9Z10e9+gkAAP//AwBQSwMEFAAGAAgAAAAh&#10;AD1G1KHYAAAAAwEAAA8AAABkcnMvZG93bnJldi54bWxMj81OwzAQhO9IvIO1SNyoY6SgEOJUFVIP&#10;vZXyc3bjJQnEu1HstqFPz8IFLiONZjXzbbWcw6COOMWeyYJZZKCQGvY9tRZentc3BaiYHHk3MKGF&#10;L4ywrC8vKld6PtETHnepVVJCsXQWupTGUuvYdBhcXPCIJNk7T8ElsVOr/eROUh4GfZtldzq4nmSh&#10;cyM+dth87g7BQp+vOBl83aw/3oJhc95u8vPW2uurefUAKuGc/o7hB1/QoRamPR/IRzVYkEfSr0p2&#10;X4jbW8gLA7qu9H/2+hsAAP//AwBQSwECLQAUAAYACAAAACEAtoM4kv4AAADhAQAAEwAAAAAAAAAA&#10;AAAAAAAAAAAAW0NvbnRlbnRfVHlwZXNdLnhtbFBLAQItABQABgAIAAAAIQA4/SH/1gAAAJQBAAAL&#10;AAAAAAAAAAAAAAAAAC8BAABfcmVscy8ucmVsc1BLAQItABQABgAIAAAAIQDq6EFjDQIAABwEAAAO&#10;AAAAAAAAAAAAAAAAAC4CAABkcnMvZTJvRG9jLnhtbFBLAQItABQABgAIAAAAIQA9RtSh2AAAAAMB&#10;AAAPAAAAAAAAAAAAAAAAAGcEAABkcnMvZG93bnJldi54bWxQSwUGAAAAAAQABADzAAAAbAUAAAAA&#10;" filled="f" stroked="f">
              <v:textbox style="mso-fit-shape-to-text:t" inset="0,15pt,0,0">
                <w:txbxContent>
                  <w:p w14:paraId="1BF02751" w14:textId="67210A84"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r w:rsidR="004E60D2"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21832">
      <w:rPr>
        <w:rStyle w:val="normaltextrun"/>
        <w:color w:val="001B4F"/>
        <w:sz w:val="16"/>
        <w:szCs w:val="16"/>
        <w:shd w:val="clear" w:color="auto" w:fill="FFFFFF"/>
      </w:rPr>
      <w:t>23 February 2026</w:t>
    </w:r>
  </w:p>
  <w:p w14:paraId="4AF05B1F" w14:textId="12B51104" w:rsidR="004E60D2" w:rsidRDefault="004E60D2" w:rsidP="00621832">
    <w:pPr>
      <w:jc w:val="right"/>
    </w:pPr>
    <w:r w:rsidRPr="00A13F61">
      <w:rPr>
        <w:rStyle w:val="normaltextrun"/>
        <w:color w:val="001B4F"/>
        <w:sz w:val="16"/>
        <w:szCs w:val="16"/>
        <w:shd w:val="clear" w:color="auto" w:fill="FFFFFF"/>
      </w:rPr>
      <w:t>ESMA</w:t>
    </w:r>
    <w:r w:rsidR="00A13F61" w:rsidRPr="00A13F61">
      <w:rPr>
        <w:rStyle w:val="normaltextrun"/>
        <w:color w:val="001B4F"/>
        <w:sz w:val="16"/>
        <w:szCs w:val="16"/>
        <w:shd w:val="clear" w:color="auto" w:fill="FFFFFF"/>
      </w:rPr>
      <w:t>91-1505572268-4723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0B3262C6" w:rsidR="00F107EF" w:rsidRDefault="00D9742B" w:rsidP="00F716D4">
    <w:r>
      <w:rPr>
        <w:noProof/>
      </w:rPr>
      <mc:AlternateContent>
        <mc:Choice Requires="wps">
          <w:drawing>
            <wp:anchor distT="0" distB="0" distL="0" distR="0" simplePos="0" relativeHeight="251663361" behindDoc="0" locked="0" layoutInCell="1" allowOverlap="1" wp14:anchorId="2703F656" wp14:editId="37CF7722">
              <wp:simplePos x="635" y="635"/>
              <wp:positionH relativeFrom="page">
                <wp:align>center</wp:align>
              </wp:positionH>
              <wp:positionV relativeFrom="page">
                <wp:align>top</wp:align>
              </wp:positionV>
              <wp:extent cx="622300" cy="368935"/>
              <wp:effectExtent l="0" t="0" r="6350" b="12065"/>
              <wp:wrapNone/>
              <wp:docPr id="360054008" name="Text Box 5"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1D998252" w14:textId="2529467A"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3F656" id="_x0000_t202" coordsize="21600,21600" o:spt="202" path="m,l,21600r21600,l21600,xe">
              <v:stroke joinstyle="miter"/>
              <v:path gradientshapeok="t" o:connecttype="rect"/>
            </v:shapetype>
            <v:shape id="Text Box 5" o:spid="_x0000_s1032" type="#_x0000_t202" alt="RESTRICTED" style="position:absolute;left:0;text-align:left;margin-left:0;margin-top:0;width:49pt;height:29.0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QYDAIAABwEAAAOAAAAZHJzL2Uyb0RvYy54bWysU8Fu2zAMvQ/YPwi6L3YSNGiNOEXWIsOA&#10;oC2QDj0rshQbkERBUmJnXz9KtpOu22nYRaZJ6pF8fFred1qRk3C+AVPS6SSnRBgOVWMOJf3xuvly&#10;S4kPzFRMgRElPQtP71efPy1bW4gZ1KAq4QiCGF+0tqR1CLbIMs9roZmfgBUGgxKcZgF/3SGrHGsR&#10;XatslueLrAVXWQdceI/exz5IVwlfSsHDs5ReBKJKir2FdLp07uOZrZasODhm64YPbbB/6EKzxmDR&#10;C9QjC4wcXfMHlG64Aw8yTDjoDKRsuEgz4DTT/MM0u5pZkWZBcry90OT/Hyx/Ou3siyOh+wodLjAS&#10;0lpfeHTGeTrpdPxipwTjSOH5QpvoAuHoXMxm8xwjHEPzxe3d/CaiZNfL1vnwTYAm0Sipw60ksthp&#10;60OfOqbEWgY2jVJpM8r85kDM6MmuHUYrdPuONBU2Mna/h+qMQzno9+0t3zRYest8eGEOF4zdomjD&#10;Mx5SQVtSGCxKanA//+aP+cg7RilpUTAlNahoStR3g/uI2krG9C6/iWS40b0fDXPUD4AynOKLsDyZ&#10;MS+o0ZQO9BvKeR0LYYgZjuVKGkbzIfTKxefAxXqdklBGloWt2VkeoSNdkcvX7o05OxAecFNPMKqJ&#10;FR9473PjTW/Xx4Dsp6VEansiB8ZRgmmtw3OJGn//n7Kuj3r1CwAA//8DAFBLAwQUAAYACAAAACEA&#10;PUbUodgAAAADAQAADwAAAGRycy9kb3ducmV2LnhtbEyPzU7DMBCE70i8g7VI3KhjpKAQ4lQVUg+9&#10;lfJzduMlCcS7Uey2oU/PwgUuI41mNfNttZzDoI44xZ7JgllkoJAa9j21Fl6e1zcFqJgceTcwoYUv&#10;jLCsLy8qV3o+0RMed6lVUkKxdBa6lMZS69h0GFxc8Igk2TtPwSWxU6v95E5SHgZ9m2V3OrieZKFz&#10;Iz522HzuDsFCn684GXzdrD/egmFz3m7y89ba66t59QAq4Zz+juEHX9ChFqY9H8hHNViQR9KvSnZf&#10;iNtbyAsDuq70f/b6GwAA//8DAFBLAQItABQABgAIAAAAIQC2gziS/gAAAOEBAAATAAAAAAAAAAAA&#10;AAAAAAAAAABbQ29udGVudF9UeXBlc10ueG1sUEsBAi0AFAAGAAgAAAAhADj9If/WAAAAlAEAAAsA&#10;AAAAAAAAAAAAAAAALwEAAF9yZWxzLy5yZWxzUEsBAi0AFAAGAAgAAAAhADCWJBgMAgAAHAQAAA4A&#10;AAAAAAAAAAAAAAAALgIAAGRycy9lMm9Eb2MueG1sUEsBAi0AFAAGAAgAAAAhAD1G1KHYAAAAAwEA&#10;AA8AAAAAAAAAAAAAAAAAZgQAAGRycy9kb3ducmV2LnhtbFBLBQYAAAAABAAEAPMAAABrBQAAAAA=&#10;" filled="f" stroked="f">
              <v:textbox style="mso-fit-shape-to-text:t" inset="0,15pt,0,0">
                <w:txbxContent>
                  <w:p w14:paraId="1D998252" w14:textId="2529467A"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5E86F684" w:rsidR="296079D6" w:rsidRDefault="00D9742B" w:rsidP="296079D6">
          <w:pPr>
            <w:pStyle w:val="Header"/>
            <w:ind w:left="-115"/>
            <w:jc w:val="left"/>
          </w:pPr>
          <w:r>
            <w:rPr>
              <w:noProof/>
            </w:rPr>
            <mc:AlternateContent>
              <mc:Choice Requires="wps">
                <w:drawing>
                  <wp:anchor distT="0" distB="0" distL="0" distR="0" simplePos="0" relativeHeight="251664385" behindDoc="0" locked="0" layoutInCell="1" allowOverlap="1" wp14:anchorId="7AAC184A" wp14:editId="19787CE8">
                    <wp:simplePos x="635" y="635"/>
                    <wp:positionH relativeFrom="page">
                      <wp:align>center</wp:align>
                    </wp:positionH>
                    <wp:positionV relativeFrom="page">
                      <wp:align>top</wp:align>
                    </wp:positionV>
                    <wp:extent cx="622300" cy="368935"/>
                    <wp:effectExtent l="0" t="0" r="6350" b="12065"/>
                    <wp:wrapNone/>
                    <wp:docPr id="938038718" name="Text Box 6"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2A2E24BE" w14:textId="474453FB"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AC184A" id="_x0000_t202" coordsize="21600,21600" o:spt="202" path="m,l,21600r21600,l21600,xe">
                    <v:stroke joinstyle="miter"/>
                    <v:path gradientshapeok="t" o:connecttype="rect"/>
                  </v:shapetype>
                  <v:shape id="Text Box 6" o:spid="_x0000_s1033" type="#_x0000_t202" alt="RESTRICTED" style="position:absolute;left:0;text-align:left;margin-left:0;margin-top:0;width:49pt;height:29.05pt;z-index:2516643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YlDQIAABwEAAAOAAAAZHJzL2Uyb0RvYy54bWysU8Fu2zAMvQ/YPwi6L3YSN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8xwjHEPzxe3d/CaiZNfL1vnwVYAm0Sipw60ksthp&#10;60OfOqbEWgY2jVJpM8r85kDM6MmuHUYrdPuONFVJP4/d76E641AO+n17yzcNlt4yH16YwwVjtyja&#10;8IyHVNCWFAaLkhrcj7/5Yz7yjlFKWhRMSQ0qmhL1zeA+oraSMb3LbyIZbnTvR8Mc9QOgDKf4IixP&#10;ZswLajSlA/2Gcl7HQhhihmO5kobRfAi9cvE5cLFepySUkWVha3aWR+hIV+TytXtjzg6EB9zUE4xq&#10;YsU73vvceNPb9TEg+2kpkdqeyIFxlGBa6/BcosZ//U9Z10e9+gkAAP//AwBQSwMEFAAGAAgAAAAh&#10;AD1G1KHYAAAAAwEAAA8AAABkcnMvZG93bnJldi54bWxMj81OwzAQhO9IvIO1SNyoY6SgEOJUFVIP&#10;vZXyc3bjJQnEu1HstqFPz8IFLiONZjXzbbWcw6COOMWeyYJZZKCQGvY9tRZentc3BaiYHHk3MKGF&#10;L4ywrC8vKld6PtETHnepVVJCsXQWupTGUuvYdBhcXPCIJNk7T8ElsVOr/eROUh4GfZtldzq4nmSh&#10;cyM+dth87g7BQp+vOBl83aw/3oJhc95u8vPW2uurefUAKuGc/o7hB1/QoRamPR/IRzVYkEfSr0p2&#10;X4jbW8gLA7qu9H/2+hsAAP//AwBQSwECLQAUAAYACAAAACEAtoM4kv4AAADhAQAAEwAAAAAAAAAA&#10;AAAAAAAAAAAAW0NvbnRlbnRfVHlwZXNdLnhtbFBLAQItABQABgAIAAAAIQA4/SH/1gAAAJQBAAAL&#10;AAAAAAAAAAAAAAAAAC8BAABfcmVscy8ucmVsc1BLAQItABQABgAIAAAAIQBdKZYlDQIAABwEAAAO&#10;AAAAAAAAAAAAAAAAAC4CAABkcnMvZTJvRG9jLnhtbFBLAQItABQABgAIAAAAIQA9RtSh2AAAAAMB&#10;AAAPAAAAAAAAAAAAAAAAAGcEAABkcnMvZG93bnJldi54bWxQSwUGAAAAAAQABADzAAAAbAUAAAAA&#10;" filled="f" stroked="f">
                    <v:textbox style="mso-fit-shape-to-text:t" inset="0,15pt,0,0">
                      <w:txbxContent>
                        <w:p w14:paraId="2A2E24BE" w14:textId="474453FB"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76CED68C" w:rsidR="00F87468" w:rsidRPr="00F87468" w:rsidRDefault="00D9742B" w:rsidP="005C56D3">
    <w:pPr>
      <w:pStyle w:val="HeaderFoot"/>
    </w:pPr>
    <w:r>
      <w:rPr>
        <w:noProof/>
      </w:rPr>
      <mc:AlternateContent>
        <mc:Choice Requires="wps">
          <w:drawing>
            <wp:anchor distT="0" distB="0" distL="0" distR="0" simplePos="0" relativeHeight="251662337" behindDoc="0" locked="0" layoutInCell="1" allowOverlap="1" wp14:anchorId="7809B589" wp14:editId="532033E4">
              <wp:simplePos x="792480" y="450850"/>
              <wp:positionH relativeFrom="page">
                <wp:align>center</wp:align>
              </wp:positionH>
              <wp:positionV relativeFrom="page">
                <wp:align>top</wp:align>
              </wp:positionV>
              <wp:extent cx="622300" cy="368935"/>
              <wp:effectExtent l="0" t="0" r="6350" b="12065"/>
              <wp:wrapNone/>
              <wp:docPr id="122810800" name="Text Box 4"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74227F40" w14:textId="6A78B44E"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9B589" id="_x0000_t202" coordsize="21600,21600" o:spt="202" path="m,l,21600r21600,l21600,xe">
              <v:stroke joinstyle="miter"/>
              <v:path gradientshapeok="t" o:connecttype="rect"/>
            </v:shapetype>
            <v:shape id="Text Box 4" o:spid="_x0000_s1035" type="#_x0000_t202" alt="RESTRICTED" style="position:absolute;left:0;text-align:left;margin-left:0;margin-top:0;width:49pt;height:29.05pt;z-index:251662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2eDQIAABwEAAAOAAAAZHJzL2Uyb0RvYy54bWysU8Fu2zAMvQ/YPwi6L3YSNGiMOEXWIsOA&#10;oC2QDj0rshQbkERBUmJnXz9KjpOu7WnYRaZJ6pF8fFrcdVqRo3C+AVPS8SinRBgOVWP2Jf31sv52&#10;S4kPzFRMgRElPQlP75ZfvyxaW4gJ1KAq4QiCGF+0tqR1CLbIMs9roZkfgRUGgxKcZgF/3T6rHGsR&#10;XatskuezrAVXWQdceI/ehz5IlwlfSsHDk5ReBKJKir2FdLp07uKZLRes2Dtm64af22D/0IVmjcGi&#10;F6gHFhg5uOYDlG64Aw8yjDjoDKRsuEgz4DTj/N0025pZkWZBcry90OT/Hyx/PG7tsyOh+w4dLjAS&#10;0lpfeHTGeTrpdPxipwTjSOHpQpvoAuHonE0m0xwjHEPT2e18ehNRsutl63z4IUCTaJTU4VYSWey4&#10;8aFPHVJiLQPrRqm0GWX+ciBm9GTXDqMVul1Hmqqk86H7HVQnHMpBv29v+brB0hvmwzNzuGDsFkUb&#10;nvCQCtqSwtmipAb3+zN/zEfeMUpJi4IpqUFFU6J+GtxH1FYyxvP8JpLhBvduMMxB3wPKcIwvwvJk&#10;xrygBlM60K8o51UshCFmOJYraRjM+9ArF58DF6tVSkIZWRY2Zmt5hI50RS5fulfm7JnwgJt6hEFN&#10;rHjHe58bb3q7OgRkPy0lUtsTeWYcJZjWen4uUeNv/1PW9VEv/wAAAP//AwBQSwMEFAAGAAgAAAAh&#10;AD1G1KHYAAAAAwEAAA8AAABkcnMvZG93bnJldi54bWxMj81OwzAQhO9IvIO1SNyoY6SgEOJUFVIP&#10;vZXyc3bjJQnEu1HstqFPz8IFLiONZjXzbbWcw6COOMWeyYJZZKCQGvY9tRZentc3BaiYHHk3MKGF&#10;L4ywrC8vKld6PtETHnepVVJCsXQWupTGUuvYdBhcXPCIJNk7T8ElsVOr/eROUh4GfZtldzq4nmSh&#10;cyM+dth87g7BQp+vOBl83aw/3oJhc95u8vPW2uurefUAKuGc/o7hB1/QoRamPR/IRzVYkEfSr0p2&#10;X4jbW8gLA7qu9H/2+hsAAP//AwBQSwECLQAUAAYACAAAACEAtoM4kv4AAADhAQAAEwAAAAAAAAAA&#10;AAAAAAAAAAAAW0NvbnRlbnRfVHlwZXNdLnhtbFBLAQItABQABgAIAAAAIQA4/SH/1gAAAJQBAAAL&#10;AAAAAAAAAAAAAAAAAC8BAABfcmVscy8ucmVsc1BLAQItABQABgAIAAAAIQAaV92eDQIAABwEAAAO&#10;AAAAAAAAAAAAAAAAAC4CAABkcnMvZTJvRG9jLnhtbFBLAQItABQABgAIAAAAIQA9RtSh2AAAAAMB&#10;AAAPAAAAAAAAAAAAAAAAAGcEAABkcnMvZG93bnJldi54bWxQSwUGAAAAAAQABADzAAAAbAUAAAAA&#10;" filled="f" stroked="f">
              <v:textbox style="mso-fit-shape-to-text:t" inset="0,15pt,0,0">
                <w:txbxContent>
                  <w:p w14:paraId="74227F40" w14:textId="6A78B44E"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013CB85D" w:rsidR="296079D6" w:rsidRDefault="00D9742B" w:rsidP="296079D6">
          <w:pPr>
            <w:pStyle w:val="Header"/>
            <w:ind w:left="-115"/>
            <w:jc w:val="left"/>
          </w:pPr>
          <w:r>
            <w:rPr>
              <w:noProof/>
            </w:rPr>
            <mc:AlternateContent>
              <mc:Choice Requires="wps">
                <w:drawing>
                  <wp:anchor distT="0" distB="0" distL="0" distR="0" simplePos="0" relativeHeight="251665409" behindDoc="0" locked="0" layoutInCell="1" allowOverlap="1" wp14:anchorId="11797EC9" wp14:editId="3755C737">
                    <wp:simplePos x="635" y="635"/>
                    <wp:positionH relativeFrom="page">
                      <wp:align>center</wp:align>
                    </wp:positionH>
                    <wp:positionV relativeFrom="page">
                      <wp:align>top</wp:align>
                    </wp:positionV>
                    <wp:extent cx="622300" cy="368935"/>
                    <wp:effectExtent l="0" t="0" r="6350" b="12065"/>
                    <wp:wrapNone/>
                    <wp:docPr id="1715414483" name="Text Box 7"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68935"/>
                            </a:xfrm>
                            <a:prstGeom prst="rect">
                              <a:avLst/>
                            </a:prstGeom>
                            <a:noFill/>
                            <a:ln>
                              <a:noFill/>
                            </a:ln>
                          </wps:spPr>
                          <wps:txbx>
                            <w:txbxContent>
                              <w:p w14:paraId="6ECDF19F" w14:textId="6DBB5DE4"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797EC9" id="_x0000_t202" coordsize="21600,21600" o:spt="202" path="m,l,21600r21600,l21600,xe">
                    <v:stroke joinstyle="miter"/>
                    <v:path gradientshapeok="t" o:connecttype="rect"/>
                  </v:shapetype>
                  <v:shape id="Text Box 7" o:spid="_x0000_s1037" type="#_x0000_t202" alt="RESTRICTED" style="position:absolute;left:0;text-align:left;margin-left:0;margin-top:0;width:49pt;height:29.05pt;z-index:2516654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i+DQIAAB0EAAAOAAAAZHJzL2Uyb0RvYy54bWysU8Fu2zAMvQ/YPwi6L3YSNGiNOEXWIsOA&#10;oC2QDj0rshQbkERBUmJnXz9KtpOu22nYRaZJ6pF8fFred1qRk3C+AVPS6SSnRBgOVWMOJf3xuvly&#10;S4kPzFRMgRElPQtP71efPy1bW4gZ1KAq4QiCGF+0tqR1CLbIMs9roZmfgBUGgxKcZgF/3SGrHGsR&#10;XatslueLrAVXWQdceI/exz5IVwlfSsHDs5ReBKJKir2FdLp07uOZrZasODhm64YPbbB/6EKzxmDR&#10;C9QjC4wcXfMHlG64Aw8yTDjoDKRsuEgz4DTT/MM0u5pZkWZBcry90OT/Hyx/Ou3siyOh+wodLjAS&#10;0lpfeHTGeTrpdPxipwTjSOH5QpvoAuHoXMxm8xwjHEPzxe3d/CaiZNfL1vnwTYAm0Sipw60ksthp&#10;60OfOqbEWgY2jVJpM8r85kDM6MmuHUYrdPuONBV2f2l/D9UZp3LQL9xbvmmw9pb58MIcbhjbRdWG&#10;ZzykgrakMFiU1OB+/s0f85F4jFLSomJKalDSlKjvBhcSxZWM6V1+E9lwo3s/GuaoHwB1OMUnYXky&#10;Y15Qoykd6DfU8zoWwhAzHMuVNIzmQ+ili++Bi/U6JaGOLAtbs7M8Qke+Ipmv3RtzdmA84KqeYJQT&#10;Kz4Q3+fGm96ujwHpT1uJ3PZEDpSjBtNeh/cSRf7+P2VdX/XqFwAAAP//AwBQSwMEFAAGAAgAAAAh&#10;AD1G1KHYAAAAAwEAAA8AAABkcnMvZG93bnJldi54bWxMj81OwzAQhO9IvIO1SNyoY6SgEOJUFVIP&#10;vZXyc3bjJQnEu1HstqFPz8IFLiONZjXzbbWcw6COOMWeyYJZZKCQGvY9tRZentc3BaiYHHk3MKGF&#10;L4ywrC8vKld6PtETHnepVVJCsXQWupTGUuvYdBhcXPCIJNk7T8ElsVOr/eROUh4GfZtldzq4nmSh&#10;cyM+dth87g7BQp+vOBl83aw/3oJhc95u8vPW2uurefUAKuGc/o7hB1/QoRamPR/IRzVYkEfSr0p2&#10;X4jbW8gLA7qu9H/2+hsAAP//AwBQSwECLQAUAAYACAAAACEAtoM4kv4AAADhAQAAEwAAAAAAAAAA&#10;AAAAAAAAAAAAW0NvbnRlbnRfVHlwZXNdLnhtbFBLAQItABQABgAIAAAAIQA4/SH/1gAAAJQBAAAL&#10;AAAAAAAAAAAAAAAAAC8BAABfcmVscy8ucmVsc1BLAQItABQABgAIAAAAIQD4qwi+DQIAAB0EAAAO&#10;AAAAAAAAAAAAAAAAAC4CAABkcnMvZTJvRG9jLnhtbFBLAQItABQABgAIAAAAIQA9RtSh2AAAAAMB&#10;AAAPAAAAAAAAAAAAAAAAAGcEAABkcnMvZG93bnJldi54bWxQSwUGAAAAAAQABADzAAAAbAUAAAAA&#10;" filled="f" stroked="f">
                    <v:textbox style="mso-fit-shape-to-text:t" inset="0,15pt,0,0">
                      <w:txbxContent>
                        <w:p w14:paraId="6ECDF19F" w14:textId="6DBB5DE4" w:rsidR="00D9742B" w:rsidRPr="00D9742B" w:rsidRDefault="00D9742B" w:rsidP="00D9742B">
                          <w:pPr>
                            <w:spacing w:after="0"/>
                            <w:rPr>
                              <w:rFonts w:ascii="Calibri" w:eastAsia="Calibri" w:hAnsi="Calibri" w:cs="Calibri"/>
                              <w:noProof/>
                              <w:color w:val="FF0000"/>
                              <w:sz w:val="20"/>
                            </w:rPr>
                          </w:pPr>
                          <w:r w:rsidRPr="00D9742B">
                            <w:rPr>
                              <w:rFonts w:ascii="Calibri" w:eastAsia="Calibri" w:hAnsi="Calibri" w:cs="Calibri"/>
                              <w:noProof/>
                              <w:color w:val="FF0000"/>
                              <w:sz w:val="20"/>
                            </w:rPr>
                            <w:t>RESTRICTED</w:t>
                          </w:r>
                        </w:p>
                      </w:txbxContent>
                    </v:textbox>
                    <w10:wrap anchorx="page" anchory="page"/>
                  </v:shape>
                </w:pict>
              </mc:Fallback>
            </mc:AlternateContent>
          </w: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A222CE"/>
    <w:multiLevelType w:val="hybridMultilevel"/>
    <w:tmpl w:val="F3D840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4B5128"/>
    <w:multiLevelType w:val="hybridMultilevel"/>
    <w:tmpl w:val="6B343F80"/>
    <w:lvl w:ilvl="0" w:tplc="B69C234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DC10B6"/>
    <w:multiLevelType w:val="hybridMultilevel"/>
    <w:tmpl w:val="88603B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DE87A33"/>
    <w:multiLevelType w:val="hybridMultilevel"/>
    <w:tmpl w:val="AAAAE9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0"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7"/>
  </w:num>
  <w:num w:numId="2" w16cid:durableId="1769932826">
    <w:abstractNumId w:val="20"/>
  </w:num>
  <w:num w:numId="3" w16cid:durableId="550074866">
    <w:abstractNumId w:val="12"/>
  </w:num>
  <w:num w:numId="4" w16cid:durableId="1881627233">
    <w:abstractNumId w:val="26"/>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3"/>
  </w:num>
  <w:num w:numId="9" w16cid:durableId="1008846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9"/>
  </w:num>
  <w:num w:numId="12" w16cid:durableId="1500659627">
    <w:abstractNumId w:val="32"/>
  </w:num>
  <w:num w:numId="13" w16cid:durableId="1879658227">
    <w:abstractNumId w:val="24"/>
  </w:num>
  <w:num w:numId="14" w16cid:durableId="1495758855">
    <w:abstractNumId w:val="10"/>
  </w:num>
  <w:num w:numId="15" w16cid:durableId="1186556611">
    <w:abstractNumId w:val="1"/>
  </w:num>
  <w:num w:numId="16" w16cid:durableId="679087124">
    <w:abstractNumId w:val="15"/>
  </w:num>
  <w:num w:numId="17" w16cid:durableId="1695498691">
    <w:abstractNumId w:val="16"/>
  </w:num>
  <w:num w:numId="18" w16cid:durableId="1042363640">
    <w:abstractNumId w:val="18"/>
  </w:num>
  <w:num w:numId="19" w16cid:durableId="820345968">
    <w:abstractNumId w:val="28"/>
  </w:num>
  <w:num w:numId="20" w16cid:durableId="1805388212">
    <w:abstractNumId w:val="37"/>
  </w:num>
  <w:num w:numId="21" w16cid:durableId="538709007">
    <w:abstractNumId w:val="27"/>
  </w:num>
  <w:num w:numId="22" w16cid:durableId="104540172">
    <w:abstractNumId w:val="9"/>
  </w:num>
  <w:num w:numId="23" w16cid:durableId="1824349076">
    <w:abstractNumId w:val="31"/>
  </w:num>
  <w:num w:numId="24" w16cid:durableId="672032853">
    <w:abstractNumId w:val="30"/>
  </w:num>
  <w:num w:numId="25" w16cid:durableId="48917541">
    <w:abstractNumId w:val="21"/>
  </w:num>
  <w:num w:numId="26" w16cid:durableId="978925443">
    <w:abstractNumId w:val="34"/>
  </w:num>
  <w:num w:numId="27" w16cid:durableId="1036613928">
    <w:abstractNumId w:val="39"/>
  </w:num>
  <w:num w:numId="28" w16cid:durableId="872039349">
    <w:abstractNumId w:val="6"/>
  </w:num>
  <w:num w:numId="29" w16cid:durableId="924530660">
    <w:abstractNumId w:val="3"/>
  </w:num>
  <w:num w:numId="30" w16cid:durableId="419180233">
    <w:abstractNumId w:val="23"/>
  </w:num>
  <w:num w:numId="31" w16cid:durableId="276761337">
    <w:abstractNumId w:val="22"/>
  </w:num>
  <w:num w:numId="32" w16cid:durableId="1166238383">
    <w:abstractNumId w:val="36"/>
  </w:num>
  <w:num w:numId="33" w16cid:durableId="2076850202">
    <w:abstractNumId w:val="35"/>
  </w:num>
  <w:num w:numId="34" w16cid:durableId="469176496">
    <w:abstractNumId w:val="13"/>
  </w:num>
  <w:num w:numId="35" w16cid:durableId="674843309">
    <w:abstractNumId w:val="19"/>
  </w:num>
  <w:num w:numId="36" w16cid:durableId="1954971501">
    <w:abstractNumId w:val="40"/>
  </w:num>
  <w:num w:numId="37" w16cid:durableId="667445362">
    <w:abstractNumId w:val="11"/>
  </w:num>
  <w:num w:numId="38" w16cid:durableId="729499080">
    <w:abstractNumId w:val="25"/>
  </w:num>
  <w:num w:numId="39" w16cid:durableId="2088652570">
    <w:abstractNumId w:val="8"/>
  </w:num>
  <w:num w:numId="40" w16cid:durableId="471750975">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DBA"/>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4D96"/>
    <w:rsid w:val="00045CA6"/>
    <w:rsid w:val="000463A6"/>
    <w:rsid w:val="00046CC9"/>
    <w:rsid w:val="00046E91"/>
    <w:rsid w:val="000502FE"/>
    <w:rsid w:val="0005037C"/>
    <w:rsid w:val="0005126D"/>
    <w:rsid w:val="00051992"/>
    <w:rsid w:val="00051E9A"/>
    <w:rsid w:val="000521A7"/>
    <w:rsid w:val="00052F47"/>
    <w:rsid w:val="0005345B"/>
    <w:rsid w:val="000537BB"/>
    <w:rsid w:val="0005399B"/>
    <w:rsid w:val="00054DE6"/>
    <w:rsid w:val="000569D7"/>
    <w:rsid w:val="000570E8"/>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2EDD"/>
    <w:rsid w:val="0007463D"/>
    <w:rsid w:val="00074979"/>
    <w:rsid w:val="000749F0"/>
    <w:rsid w:val="0007609D"/>
    <w:rsid w:val="00077C67"/>
    <w:rsid w:val="00080976"/>
    <w:rsid w:val="00081CEB"/>
    <w:rsid w:val="00081E60"/>
    <w:rsid w:val="00082D8E"/>
    <w:rsid w:val="00082E31"/>
    <w:rsid w:val="00083AA3"/>
    <w:rsid w:val="00085947"/>
    <w:rsid w:val="000868B5"/>
    <w:rsid w:val="000868FE"/>
    <w:rsid w:val="000878D1"/>
    <w:rsid w:val="00090DA2"/>
    <w:rsid w:val="00090F4B"/>
    <w:rsid w:val="000921AE"/>
    <w:rsid w:val="000921D7"/>
    <w:rsid w:val="000925FF"/>
    <w:rsid w:val="000932E0"/>
    <w:rsid w:val="00094853"/>
    <w:rsid w:val="00094C4C"/>
    <w:rsid w:val="00095C51"/>
    <w:rsid w:val="00096762"/>
    <w:rsid w:val="000969C8"/>
    <w:rsid w:val="0009752D"/>
    <w:rsid w:val="00097AEE"/>
    <w:rsid w:val="000A014A"/>
    <w:rsid w:val="000A0396"/>
    <w:rsid w:val="000A04B6"/>
    <w:rsid w:val="000A0CF9"/>
    <w:rsid w:val="000A0E36"/>
    <w:rsid w:val="000A1BD2"/>
    <w:rsid w:val="000A2127"/>
    <w:rsid w:val="000A358F"/>
    <w:rsid w:val="000A3FED"/>
    <w:rsid w:val="000A43CC"/>
    <w:rsid w:val="000A7314"/>
    <w:rsid w:val="000A7B53"/>
    <w:rsid w:val="000A7B64"/>
    <w:rsid w:val="000B08EA"/>
    <w:rsid w:val="000B275C"/>
    <w:rsid w:val="000B2C3D"/>
    <w:rsid w:val="000B4D50"/>
    <w:rsid w:val="000B55C0"/>
    <w:rsid w:val="000B5848"/>
    <w:rsid w:val="000B5B11"/>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129"/>
    <w:rsid w:val="000E4926"/>
    <w:rsid w:val="000E49B7"/>
    <w:rsid w:val="000E533B"/>
    <w:rsid w:val="000E5F7F"/>
    <w:rsid w:val="000E7086"/>
    <w:rsid w:val="000E7C65"/>
    <w:rsid w:val="000F04D2"/>
    <w:rsid w:val="000F55B7"/>
    <w:rsid w:val="000F604F"/>
    <w:rsid w:val="000F7399"/>
    <w:rsid w:val="001008A2"/>
    <w:rsid w:val="00101BF1"/>
    <w:rsid w:val="001027F1"/>
    <w:rsid w:val="00104E00"/>
    <w:rsid w:val="00104F2E"/>
    <w:rsid w:val="001072DD"/>
    <w:rsid w:val="001101E8"/>
    <w:rsid w:val="00110D7A"/>
    <w:rsid w:val="00111464"/>
    <w:rsid w:val="0011167D"/>
    <w:rsid w:val="00112892"/>
    <w:rsid w:val="00112E48"/>
    <w:rsid w:val="001130EA"/>
    <w:rsid w:val="00113422"/>
    <w:rsid w:val="001138E8"/>
    <w:rsid w:val="00114259"/>
    <w:rsid w:val="001144D5"/>
    <w:rsid w:val="001166FF"/>
    <w:rsid w:val="001168B2"/>
    <w:rsid w:val="0011691C"/>
    <w:rsid w:val="001172BD"/>
    <w:rsid w:val="00117C20"/>
    <w:rsid w:val="00120DDF"/>
    <w:rsid w:val="00120F0E"/>
    <w:rsid w:val="00121A5D"/>
    <w:rsid w:val="00121BED"/>
    <w:rsid w:val="00123D39"/>
    <w:rsid w:val="001244CD"/>
    <w:rsid w:val="0012566F"/>
    <w:rsid w:val="001262B1"/>
    <w:rsid w:val="00130774"/>
    <w:rsid w:val="00130F41"/>
    <w:rsid w:val="00130FAF"/>
    <w:rsid w:val="00135967"/>
    <w:rsid w:val="00135F2B"/>
    <w:rsid w:val="001372DD"/>
    <w:rsid w:val="001405BA"/>
    <w:rsid w:val="00141497"/>
    <w:rsid w:val="00141B0A"/>
    <w:rsid w:val="0014253A"/>
    <w:rsid w:val="001425C8"/>
    <w:rsid w:val="001431AE"/>
    <w:rsid w:val="00143B87"/>
    <w:rsid w:val="001459E3"/>
    <w:rsid w:val="00146A0B"/>
    <w:rsid w:val="0014761E"/>
    <w:rsid w:val="001500C8"/>
    <w:rsid w:val="0015061C"/>
    <w:rsid w:val="00151907"/>
    <w:rsid w:val="00153662"/>
    <w:rsid w:val="001544C8"/>
    <w:rsid w:val="001547CE"/>
    <w:rsid w:val="00155659"/>
    <w:rsid w:val="00155FAB"/>
    <w:rsid w:val="001567A1"/>
    <w:rsid w:val="00156857"/>
    <w:rsid w:val="00157BC9"/>
    <w:rsid w:val="00157E79"/>
    <w:rsid w:val="00157EED"/>
    <w:rsid w:val="0016087A"/>
    <w:rsid w:val="00160A5C"/>
    <w:rsid w:val="00160C7F"/>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5DC"/>
    <w:rsid w:val="00176982"/>
    <w:rsid w:val="001769E7"/>
    <w:rsid w:val="0017701C"/>
    <w:rsid w:val="00181264"/>
    <w:rsid w:val="00181BD1"/>
    <w:rsid w:val="00181EB6"/>
    <w:rsid w:val="0018204A"/>
    <w:rsid w:val="00182F7C"/>
    <w:rsid w:val="001843B5"/>
    <w:rsid w:val="00186829"/>
    <w:rsid w:val="001868CA"/>
    <w:rsid w:val="00187304"/>
    <w:rsid w:val="001875BE"/>
    <w:rsid w:val="0019017A"/>
    <w:rsid w:val="00190B8C"/>
    <w:rsid w:val="00190FF8"/>
    <w:rsid w:val="00191142"/>
    <w:rsid w:val="0019311A"/>
    <w:rsid w:val="0019508A"/>
    <w:rsid w:val="001960D8"/>
    <w:rsid w:val="001974C8"/>
    <w:rsid w:val="001A1642"/>
    <w:rsid w:val="001A1BBC"/>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DAC"/>
    <w:rsid w:val="001C0F2A"/>
    <w:rsid w:val="001C1A59"/>
    <w:rsid w:val="001C220C"/>
    <w:rsid w:val="001C270F"/>
    <w:rsid w:val="001C3526"/>
    <w:rsid w:val="001C4679"/>
    <w:rsid w:val="001C5770"/>
    <w:rsid w:val="001C6195"/>
    <w:rsid w:val="001C72DB"/>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B2"/>
    <w:rsid w:val="001E68C5"/>
    <w:rsid w:val="001E6BFC"/>
    <w:rsid w:val="001F0F63"/>
    <w:rsid w:val="001F3996"/>
    <w:rsid w:val="001F44A4"/>
    <w:rsid w:val="001F579D"/>
    <w:rsid w:val="001F57E9"/>
    <w:rsid w:val="001F65EF"/>
    <w:rsid w:val="001F697B"/>
    <w:rsid w:val="001F6BC7"/>
    <w:rsid w:val="002005A6"/>
    <w:rsid w:val="00204CBC"/>
    <w:rsid w:val="002051F1"/>
    <w:rsid w:val="002067BA"/>
    <w:rsid w:val="00207B00"/>
    <w:rsid w:val="0021058D"/>
    <w:rsid w:val="00211E2F"/>
    <w:rsid w:val="00211E9E"/>
    <w:rsid w:val="00212250"/>
    <w:rsid w:val="00214FB4"/>
    <w:rsid w:val="00215940"/>
    <w:rsid w:val="0021634D"/>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29D"/>
    <w:rsid w:val="00240532"/>
    <w:rsid w:val="00240651"/>
    <w:rsid w:val="00240803"/>
    <w:rsid w:val="00240B1A"/>
    <w:rsid w:val="00241BE7"/>
    <w:rsid w:val="0024380D"/>
    <w:rsid w:val="0024426D"/>
    <w:rsid w:val="00244F1D"/>
    <w:rsid w:val="00245004"/>
    <w:rsid w:val="00245FB4"/>
    <w:rsid w:val="00250898"/>
    <w:rsid w:val="00251EA9"/>
    <w:rsid w:val="00252843"/>
    <w:rsid w:val="00252FAC"/>
    <w:rsid w:val="002543F8"/>
    <w:rsid w:val="002551A4"/>
    <w:rsid w:val="002559F3"/>
    <w:rsid w:val="002562AE"/>
    <w:rsid w:val="00256DFE"/>
    <w:rsid w:val="00261D56"/>
    <w:rsid w:val="00261F3C"/>
    <w:rsid w:val="00261FD3"/>
    <w:rsid w:val="00263505"/>
    <w:rsid w:val="00264024"/>
    <w:rsid w:val="00264077"/>
    <w:rsid w:val="00266B9A"/>
    <w:rsid w:val="00270E54"/>
    <w:rsid w:val="00273633"/>
    <w:rsid w:val="00273681"/>
    <w:rsid w:val="0027475F"/>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6F4E"/>
    <w:rsid w:val="00287BBB"/>
    <w:rsid w:val="00287E3B"/>
    <w:rsid w:val="00290638"/>
    <w:rsid w:val="00291763"/>
    <w:rsid w:val="00291D80"/>
    <w:rsid w:val="00292E82"/>
    <w:rsid w:val="00293156"/>
    <w:rsid w:val="00293BE7"/>
    <w:rsid w:val="00293D78"/>
    <w:rsid w:val="002946DC"/>
    <w:rsid w:val="0029493B"/>
    <w:rsid w:val="0029725F"/>
    <w:rsid w:val="002A08CC"/>
    <w:rsid w:val="002A0C82"/>
    <w:rsid w:val="002A0CD8"/>
    <w:rsid w:val="002A13EB"/>
    <w:rsid w:val="002A2E34"/>
    <w:rsid w:val="002A35EF"/>
    <w:rsid w:val="002A3DE0"/>
    <w:rsid w:val="002A40EA"/>
    <w:rsid w:val="002A41CA"/>
    <w:rsid w:val="002A46E8"/>
    <w:rsid w:val="002A491C"/>
    <w:rsid w:val="002A4C8E"/>
    <w:rsid w:val="002A776E"/>
    <w:rsid w:val="002B1FEF"/>
    <w:rsid w:val="002B2DF8"/>
    <w:rsid w:val="002B3473"/>
    <w:rsid w:val="002B354F"/>
    <w:rsid w:val="002B3614"/>
    <w:rsid w:val="002B3894"/>
    <w:rsid w:val="002B4502"/>
    <w:rsid w:val="002B45D1"/>
    <w:rsid w:val="002B4B6F"/>
    <w:rsid w:val="002B4ED8"/>
    <w:rsid w:val="002B4FAA"/>
    <w:rsid w:val="002B52C2"/>
    <w:rsid w:val="002B6A88"/>
    <w:rsid w:val="002B7656"/>
    <w:rsid w:val="002C0642"/>
    <w:rsid w:val="002C1492"/>
    <w:rsid w:val="002C1E8B"/>
    <w:rsid w:val="002C2EFE"/>
    <w:rsid w:val="002C497F"/>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1D02"/>
    <w:rsid w:val="002E2DC6"/>
    <w:rsid w:val="002E387F"/>
    <w:rsid w:val="002E562F"/>
    <w:rsid w:val="002E76FC"/>
    <w:rsid w:val="002E7F4B"/>
    <w:rsid w:val="002F0C91"/>
    <w:rsid w:val="002F0E3E"/>
    <w:rsid w:val="002F1683"/>
    <w:rsid w:val="002F1B19"/>
    <w:rsid w:val="002F1FBF"/>
    <w:rsid w:val="002F4139"/>
    <w:rsid w:val="00300624"/>
    <w:rsid w:val="00300F56"/>
    <w:rsid w:val="00301006"/>
    <w:rsid w:val="00301C2B"/>
    <w:rsid w:val="003029FB"/>
    <w:rsid w:val="00304A71"/>
    <w:rsid w:val="00306150"/>
    <w:rsid w:val="003066C8"/>
    <w:rsid w:val="00306E97"/>
    <w:rsid w:val="0030739D"/>
    <w:rsid w:val="003077B5"/>
    <w:rsid w:val="003078E5"/>
    <w:rsid w:val="00307AFB"/>
    <w:rsid w:val="00311184"/>
    <w:rsid w:val="00311E05"/>
    <w:rsid w:val="00312675"/>
    <w:rsid w:val="00312FC0"/>
    <w:rsid w:val="00313B2A"/>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3E1B"/>
    <w:rsid w:val="00344496"/>
    <w:rsid w:val="00345968"/>
    <w:rsid w:val="00347667"/>
    <w:rsid w:val="003507E2"/>
    <w:rsid w:val="00350CE0"/>
    <w:rsid w:val="003522B2"/>
    <w:rsid w:val="0035455E"/>
    <w:rsid w:val="00354A6F"/>
    <w:rsid w:val="00354B48"/>
    <w:rsid w:val="00355789"/>
    <w:rsid w:val="003609B6"/>
    <w:rsid w:val="00361119"/>
    <w:rsid w:val="003618E4"/>
    <w:rsid w:val="00361DBA"/>
    <w:rsid w:val="0036489A"/>
    <w:rsid w:val="0036538D"/>
    <w:rsid w:val="00365D12"/>
    <w:rsid w:val="00366A11"/>
    <w:rsid w:val="00366E20"/>
    <w:rsid w:val="0037018D"/>
    <w:rsid w:val="00372299"/>
    <w:rsid w:val="00372F02"/>
    <w:rsid w:val="00373729"/>
    <w:rsid w:val="00373C91"/>
    <w:rsid w:val="0037419B"/>
    <w:rsid w:val="003748F0"/>
    <w:rsid w:val="003755C6"/>
    <w:rsid w:val="00375AEF"/>
    <w:rsid w:val="00376367"/>
    <w:rsid w:val="00376B02"/>
    <w:rsid w:val="00376CEE"/>
    <w:rsid w:val="0037733A"/>
    <w:rsid w:val="003776DC"/>
    <w:rsid w:val="003779C1"/>
    <w:rsid w:val="00380FEC"/>
    <w:rsid w:val="00381226"/>
    <w:rsid w:val="00381B1B"/>
    <w:rsid w:val="00381FF6"/>
    <w:rsid w:val="0038241C"/>
    <w:rsid w:val="00383D7D"/>
    <w:rsid w:val="00384CCE"/>
    <w:rsid w:val="003865E5"/>
    <w:rsid w:val="003914CA"/>
    <w:rsid w:val="003926C1"/>
    <w:rsid w:val="00392900"/>
    <w:rsid w:val="00393357"/>
    <w:rsid w:val="00395008"/>
    <w:rsid w:val="00395E7B"/>
    <w:rsid w:val="00395F4C"/>
    <w:rsid w:val="00397606"/>
    <w:rsid w:val="003A006C"/>
    <w:rsid w:val="003A00A8"/>
    <w:rsid w:val="003A51C5"/>
    <w:rsid w:val="003A5A73"/>
    <w:rsid w:val="003A5DAC"/>
    <w:rsid w:val="003A6591"/>
    <w:rsid w:val="003A69A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54A"/>
    <w:rsid w:val="003E0F84"/>
    <w:rsid w:val="003E18D9"/>
    <w:rsid w:val="003E1FF3"/>
    <w:rsid w:val="003E3ACA"/>
    <w:rsid w:val="003E50EA"/>
    <w:rsid w:val="003E68C7"/>
    <w:rsid w:val="003E7313"/>
    <w:rsid w:val="003E79B0"/>
    <w:rsid w:val="003F0403"/>
    <w:rsid w:val="003F1094"/>
    <w:rsid w:val="003F2E45"/>
    <w:rsid w:val="003F3EFE"/>
    <w:rsid w:val="003F40B8"/>
    <w:rsid w:val="003F5C06"/>
    <w:rsid w:val="003F69EB"/>
    <w:rsid w:val="00400195"/>
    <w:rsid w:val="0040254B"/>
    <w:rsid w:val="00403086"/>
    <w:rsid w:val="00403460"/>
    <w:rsid w:val="004040FF"/>
    <w:rsid w:val="00404284"/>
    <w:rsid w:val="004042C4"/>
    <w:rsid w:val="00406E90"/>
    <w:rsid w:val="004077F9"/>
    <w:rsid w:val="00410240"/>
    <w:rsid w:val="00412253"/>
    <w:rsid w:val="004128D1"/>
    <w:rsid w:val="00413395"/>
    <w:rsid w:val="004142ED"/>
    <w:rsid w:val="00414B21"/>
    <w:rsid w:val="0041634D"/>
    <w:rsid w:val="00416ABC"/>
    <w:rsid w:val="00417EF7"/>
    <w:rsid w:val="0042141E"/>
    <w:rsid w:val="00422A7D"/>
    <w:rsid w:val="00422BFC"/>
    <w:rsid w:val="00424642"/>
    <w:rsid w:val="00425ABB"/>
    <w:rsid w:val="00425BB6"/>
    <w:rsid w:val="004261A0"/>
    <w:rsid w:val="004265AA"/>
    <w:rsid w:val="004268FA"/>
    <w:rsid w:val="00426BC3"/>
    <w:rsid w:val="00426CE1"/>
    <w:rsid w:val="0042739E"/>
    <w:rsid w:val="00427D52"/>
    <w:rsid w:val="00430412"/>
    <w:rsid w:val="00430497"/>
    <w:rsid w:val="004307B8"/>
    <w:rsid w:val="0043138A"/>
    <w:rsid w:val="0043173B"/>
    <w:rsid w:val="00431B0A"/>
    <w:rsid w:val="00431BF5"/>
    <w:rsid w:val="00431DA4"/>
    <w:rsid w:val="00432A91"/>
    <w:rsid w:val="004332A4"/>
    <w:rsid w:val="004344B8"/>
    <w:rsid w:val="0043453F"/>
    <w:rsid w:val="00434A74"/>
    <w:rsid w:val="004350F4"/>
    <w:rsid w:val="00437929"/>
    <w:rsid w:val="00437A4A"/>
    <w:rsid w:val="00440389"/>
    <w:rsid w:val="00440541"/>
    <w:rsid w:val="0044162D"/>
    <w:rsid w:val="0044277A"/>
    <w:rsid w:val="004434EF"/>
    <w:rsid w:val="00443AA8"/>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1DE"/>
    <w:rsid w:val="0046575F"/>
    <w:rsid w:val="00466926"/>
    <w:rsid w:val="00466FDA"/>
    <w:rsid w:val="004671D0"/>
    <w:rsid w:val="004674D1"/>
    <w:rsid w:val="00470773"/>
    <w:rsid w:val="00471FF9"/>
    <w:rsid w:val="00473773"/>
    <w:rsid w:val="00473E74"/>
    <w:rsid w:val="00473FEF"/>
    <w:rsid w:val="00475B8E"/>
    <w:rsid w:val="00477D94"/>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1501"/>
    <w:rsid w:val="004A357F"/>
    <w:rsid w:val="004A3DAD"/>
    <w:rsid w:val="004A5D79"/>
    <w:rsid w:val="004B0335"/>
    <w:rsid w:val="004B0F1C"/>
    <w:rsid w:val="004B1E61"/>
    <w:rsid w:val="004B21AB"/>
    <w:rsid w:val="004B3737"/>
    <w:rsid w:val="004B3CF5"/>
    <w:rsid w:val="004B59E0"/>
    <w:rsid w:val="004B667B"/>
    <w:rsid w:val="004B71C7"/>
    <w:rsid w:val="004C03AA"/>
    <w:rsid w:val="004C0B9A"/>
    <w:rsid w:val="004C12DB"/>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400"/>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A68"/>
    <w:rsid w:val="00501BF5"/>
    <w:rsid w:val="00501D8B"/>
    <w:rsid w:val="00502456"/>
    <w:rsid w:val="00502F7C"/>
    <w:rsid w:val="005039EC"/>
    <w:rsid w:val="00503A3E"/>
    <w:rsid w:val="00503A6E"/>
    <w:rsid w:val="00503F59"/>
    <w:rsid w:val="00503FCA"/>
    <w:rsid w:val="005049A7"/>
    <w:rsid w:val="005053B2"/>
    <w:rsid w:val="00506331"/>
    <w:rsid w:val="00507D11"/>
    <w:rsid w:val="005102DB"/>
    <w:rsid w:val="00510662"/>
    <w:rsid w:val="005109B7"/>
    <w:rsid w:val="00510A19"/>
    <w:rsid w:val="00510A60"/>
    <w:rsid w:val="00511AAB"/>
    <w:rsid w:val="00511CAD"/>
    <w:rsid w:val="0051228E"/>
    <w:rsid w:val="0051278D"/>
    <w:rsid w:val="00513D9E"/>
    <w:rsid w:val="00514D10"/>
    <w:rsid w:val="00516783"/>
    <w:rsid w:val="005170EB"/>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61EB"/>
    <w:rsid w:val="0053723A"/>
    <w:rsid w:val="00537636"/>
    <w:rsid w:val="00537B1D"/>
    <w:rsid w:val="00540191"/>
    <w:rsid w:val="00540A2A"/>
    <w:rsid w:val="00541F27"/>
    <w:rsid w:val="00542297"/>
    <w:rsid w:val="005424B8"/>
    <w:rsid w:val="005424BC"/>
    <w:rsid w:val="00542A28"/>
    <w:rsid w:val="00543072"/>
    <w:rsid w:val="005434A0"/>
    <w:rsid w:val="005441D4"/>
    <w:rsid w:val="00545B8D"/>
    <w:rsid w:val="0054635D"/>
    <w:rsid w:val="0054672D"/>
    <w:rsid w:val="00547728"/>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0AF2"/>
    <w:rsid w:val="0057163A"/>
    <w:rsid w:val="0057174D"/>
    <w:rsid w:val="00573569"/>
    <w:rsid w:val="00573871"/>
    <w:rsid w:val="0057389E"/>
    <w:rsid w:val="00574A6C"/>
    <w:rsid w:val="005765C0"/>
    <w:rsid w:val="005778DE"/>
    <w:rsid w:val="00580B3F"/>
    <w:rsid w:val="00581535"/>
    <w:rsid w:val="005815AE"/>
    <w:rsid w:val="005825F2"/>
    <w:rsid w:val="0058344D"/>
    <w:rsid w:val="00583885"/>
    <w:rsid w:val="00585C36"/>
    <w:rsid w:val="005860AF"/>
    <w:rsid w:val="00587F1D"/>
    <w:rsid w:val="00590348"/>
    <w:rsid w:val="00591161"/>
    <w:rsid w:val="00592318"/>
    <w:rsid w:val="00593133"/>
    <w:rsid w:val="0059575D"/>
    <w:rsid w:val="00596825"/>
    <w:rsid w:val="005A06A0"/>
    <w:rsid w:val="005A150A"/>
    <w:rsid w:val="005A2B3E"/>
    <w:rsid w:val="005A31EF"/>
    <w:rsid w:val="005A3211"/>
    <w:rsid w:val="005A3644"/>
    <w:rsid w:val="005A4087"/>
    <w:rsid w:val="005A4533"/>
    <w:rsid w:val="005A4968"/>
    <w:rsid w:val="005A4B18"/>
    <w:rsid w:val="005A537E"/>
    <w:rsid w:val="005A6F43"/>
    <w:rsid w:val="005A767D"/>
    <w:rsid w:val="005A775C"/>
    <w:rsid w:val="005B00F1"/>
    <w:rsid w:val="005B0C13"/>
    <w:rsid w:val="005B0CE7"/>
    <w:rsid w:val="005B10E2"/>
    <w:rsid w:val="005B1803"/>
    <w:rsid w:val="005B4079"/>
    <w:rsid w:val="005B428E"/>
    <w:rsid w:val="005B4673"/>
    <w:rsid w:val="005B5B3C"/>
    <w:rsid w:val="005B64CB"/>
    <w:rsid w:val="005B65C0"/>
    <w:rsid w:val="005B6AAA"/>
    <w:rsid w:val="005B7554"/>
    <w:rsid w:val="005B7C57"/>
    <w:rsid w:val="005B7C78"/>
    <w:rsid w:val="005C0FB2"/>
    <w:rsid w:val="005C1169"/>
    <w:rsid w:val="005C16E2"/>
    <w:rsid w:val="005C230C"/>
    <w:rsid w:val="005C24EF"/>
    <w:rsid w:val="005C2796"/>
    <w:rsid w:val="005C2CC0"/>
    <w:rsid w:val="005C3C6C"/>
    <w:rsid w:val="005C3F4C"/>
    <w:rsid w:val="005C43AA"/>
    <w:rsid w:val="005C48C8"/>
    <w:rsid w:val="005C56D3"/>
    <w:rsid w:val="005C663C"/>
    <w:rsid w:val="005C6C31"/>
    <w:rsid w:val="005D0750"/>
    <w:rsid w:val="005D1023"/>
    <w:rsid w:val="005D148F"/>
    <w:rsid w:val="005D2AD2"/>
    <w:rsid w:val="005D3762"/>
    <w:rsid w:val="005D4A86"/>
    <w:rsid w:val="005D4F78"/>
    <w:rsid w:val="005D5EB1"/>
    <w:rsid w:val="005D6A29"/>
    <w:rsid w:val="005E0481"/>
    <w:rsid w:val="005E10BF"/>
    <w:rsid w:val="005E1834"/>
    <w:rsid w:val="005E49E5"/>
    <w:rsid w:val="005E4A48"/>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0DC"/>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832"/>
    <w:rsid w:val="00621E1F"/>
    <w:rsid w:val="006228B2"/>
    <w:rsid w:val="006228E1"/>
    <w:rsid w:val="00622E32"/>
    <w:rsid w:val="00623688"/>
    <w:rsid w:val="006247E0"/>
    <w:rsid w:val="00625ABA"/>
    <w:rsid w:val="00625F82"/>
    <w:rsid w:val="00627999"/>
    <w:rsid w:val="0063097E"/>
    <w:rsid w:val="00630FF7"/>
    <w:rsid w:val="00633433"/>
    <w:rsid w:val="006341B5"/>
    <w:rsid w:val="006346C9"/>
    <w:rsid w:val="00634727"/>
    <w:rsid w:val="00634B64"/>
    <w:rsid w:val="0063578C"/>
    <w:rsid w:val="0063642C"/>
    <w:rsid w:val="0063681E"/>
    <w:rsid w:val="00636BD9"/>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4B5"/>
    <w:rsid w:val="00666F74"/>
    <w:rsid w:val="00667FEA"/>
    <w:rsid w:val="006710D2"/>
    <w:rsid w:val="00671A8B"/>
    <w:rsid w:val="00671CCE"/>
    <w:rsid w:val="00671F53"/>
    <w:rsid w:val="00672107"/>
    <w:rsid w:val="006725A0"/>
    <w:rsid w:val="00674628"/>
    <w:rsid w:val="0067555E"/>
    <w:rsid w:val="00677FAD"/>
    <w:rsid w:val="006802DE"/>
    <w:rsid w:val="0068032D"/>
    <w:rsid w:val="0068068C"/>
    <w:rsid w:val="00680FE8"/>
    <w:rsid w:val="00681115"/>
    <w:rsid w:val="006815DF"/>
    <w:rsid w:val="00683920"/>
    <w:rsid w:val="00685147"/>
    <w:rsid w:val="00685653"/>
    <w:rsid w:val="0068590D"/>
    <w:rsid w:val="00685A89"/>
    <w:rsid w:val="006861B3"/>
    <w:rsid w:val="00686DC5"/>
    <w:rsid w:val="00686FA2"/>
    <w:rsid w:val="006870C5"/>
    <w:rsid w:val="00687A4D"/>
    <w:rsid w:val="006901CE"/>
    <w:rsid w:val="006906F9"/>
    <w:rsid w:val="00690F0E"/>
    <w:rsid w:val="006911C0"/>
    <w:rsid w:val="00691B7C"/>
    <w:rsid w:val="00692370"/>
    <w:rsid w:val="0069299E"/>
    <w:rsid w:val="00692ADF"/>
    <w:rsid w:val="00693907"/>
    <w:rsid w:val="00694B73"/>
    <w:rsid w:val="00694DF2"/>
    <w:rsid w:val="00695F80"/>
    <w:rsid w:val="006966CD"/>
    <w:rsid w:val="00696735"/>
    <w:rsid w:val="0069780E"/>
    <w:rsid w:val="006A2CA2"/>
    <w:rsid w:val="006A2FE9"/>
    <w:rsid w:val="006A3DEE"/>
    <w:rsid w:val="006A5C57"/>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4C0E"/>
    <w:rsid w:val="006C5E96"/>
    <w:rsid w:val="006D399F"/>
    <w:rsid w:val="006D4F0C"/>
    <w:rsid w:val="006D5645"/>
    <w:rsid w:val="006D5EE6"/>
    <w:rsid w:val="006D68B4"/>
    <w:rsid w:val="006E0C8A"/>
    <w:rsid w:val="006E2A23"/>
    <w:rsid w:val="006E35E5"/>
    <w:rsid w:val="006E3C72"/>
    <w:rsid w:val="006E4F20"/>
    <w:rsid w:val="006E570D"/>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E9B"/>
    <w:rsid w:val="0070421B"/>
    <w:rsid w:val="00704380"/>
    <w:rsid w:val="007043F0"/>
    <w:rsid w:val="0070482E"/>
    <w:rsid w:val="00704D25"/>
    <w:rsid w:val="00707200"/>
    <w:rsid w:val="0070781C"/>
    <w:rsid w:val="00710519"/>
    <w:rsid w:val="007107E0"/>
    <w:rsid w:val="00710F6E"/>
    <w:rsid w:val="00711663"/>
    <w:rsid w:val="007116B4"/>
    <w:rsid w:val="007121FB"/>
    <w:rsid w:val="00712580"/>
    <w:rsid w:val="007133E4"/>
    <w:rsid w:val="00713788"/>
    <w:rsid w:val="00713940"/>
    <w:rsid w:val="007151A2"/>
    <w:rsid w:val="00716668"/>
    <w:rsid w:val="00716774"/>
    <w:rsid w:val="0071740A"/>
    <w:rsid w:val="007209DD"/>
    <w:rsid w:val="00722E49"/>
    <w:rsid w:val="0072300F"/>
    <w:rsid w:val="00723A08"/>
    <w:rsid w:val="00723B5C"/>
    <w:rsid w:val="00724391"/>
    <w:rsid w:val="00724C18"/>
    <w:rsid w:val="00724F82"/>
    <w:rsid w:val="00725233"/>
    <w:rsid w:val="00725FB1"/>
    <w:rsid w:val="00726630"/>
    <w:rsid w:val="00727396"/>
    <w:rsid w:val="00727F73"/>
    <w:rsid w:val="00730705"/>
    <w:rsid w:val="00730944"/>
    <w:rsid w:val="00731475"/>
    <w:rsid w:val="0073248E"/>
    <w:rsid w:val="00733EE9"/>
    <w:rsid w:val="00735B8E"/>
    <w:rsid w:val="00736651"/>
    <w:rsid w:val="0073673C"/>
    <w:rsid w:val="00736935"/>
    <w:rsid w:val="0073702F"/>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57361"/>
    <w:rsid w:val="00760041"/>
    <w:rsid w:val="007605C7"/>
    <w:rsid w:val="00760B08"/>
    <w:rsid w:val="00760EDA"/>
    <w:rsid w:val="00761234"/>
    <w:rsid w:val="00761F4E"/>
    <w:rsid w:val="00762150"/>
    <w:rsid w:val="00762621"/>
    <w:rsid w:val="00763F36"/>
    <w:rsid w:val="007648A0"/>
    <w:rsid w:val="00766647"/>
    <w:rsid w:val="00766734"/>
    <w:rsid w:val="00766F4D"/>
    <w:rsid w:val="00770268"/>
    <w:rsid w:val="007706B9"/>
    <w:rsid w:val="007707ED"/>
    <w:rsid w:val="00771A51"/>
    <w:rsid w:val="00771C3B"/>
    <w:rsid w:val="007726F9"/>
    <w:rsid w:val="00773B94"/>
    <w:rsid w:val="00773C65"/>
    <w:rsid w:val="00775937"/>
    <w:rsid w:val="00776EA6"/>
    <w:rsid w:val="00777046"/>
    <w:rsid w:val="007770DA"/>
    <w:rsid w:val="007805B9"/>
    <w:rsid w:val="00780C3A"/>
    <w:rsid w:val="007834A1"/>
    <w:rsid w:val="007915C6"/>
    <w:rsid w:val="00791EB4"/>
    <w:rsid w:val="007928F1"/>
    <w:rsid w:val="0079357D"/>
    <w:rsid w:val="007937CC"/>
    <w:rsid w:val="00793A31"/>
    <w:rsid w:val="0079485D"/>
    <w:rsid w:val="00794979"/>
    <w:rsid w:val="007956B7"/>
    <w:rsid w:val="00795F1A"/>
    <w:rsid w:val="00796EDE"/>
    <w:rsid w:val="00797297"/>
    <w:rsid w:val="007974B3"/>
    <w:rsid w:val="00797800"/>
    <w:rsid w:val="00797875"/>
    <w:rsid w:val="007A076C"/>
    <w:rsid w:val="007A2140"/>
    <w:rsid w:val="007A2233"/>
    <w:rsid w:val="007A23E2"/>
    <w:rsid w:val="007A31A5"/>
    <w:rsid w:val="007A411B"/>
    <w:rsid w:val="007A45E6"/>
    <w:rsid w:val="007A4B28"/>
    <w:rsid w:val="007A4F6C"/>
    <w:rsid w:val="007A5C2C"/>
    <w:rsid w:val="007A644B"/>
    <w:rsid w:val="007A7678"/>
    <w:rsid w:val="007B09C9"/>
    <w:rsid w:val="007B0CD8"/>
    <w:rsid w:val="007B0DE0"/>
    <w:rsid w:val="007B21DE"/>
    <w:rsid w:val="007B2BB9"/>
    <w:rsid w:val="007B43E8"/>
    <w:rsid w:val="007B4740"/>
    <w:rsid w:val="007B502C"/>
    <w:rsid w:val="007B5F3B"/>
    <w:rsid w:val="007B6442"/>
    <w:rsid w:val="007B6C6A"/>
    <w:rsid w:val="007C02B0"/>
    <w:rsid w:val="007C063E"/>
    <w:rsid w:val="007C1901"/>
    <w:rsid w:val="007C31AC"/>
    <w:rsid w:val="007C3932"/>
    <w:rsid w:val="007C49C0"/>
    <w:rsid w:val="007C55C1"/>
    <w:rsid w:val="007C5738"/>
    <w:rsid w:val="007C5772"/>
    <w:rsid w:val="007C5962"/>
    <w:rsid w:val="007C5AC3"/>
    <w:rsid w:val="007C5BD5"/>
    <w:rsid w:val="007C5CE7"/>
    <w:rsid w:val="007C7233"/>
    <w:rsid w:val="007D10EE"/>
    <w:rsid w:val="007D1193"/>
    <w:rsid w:val="007D21D5"/>
    <w:rsid w:val="007D2B88"/>
    <w:rsid w:val="007D3E8D"/>
    <w:rsid w:val="007D5915"/>
    <w:rsid w:val="007D5B4F"/>
    <w:rsid w:val="007D5C30"/>
    <w:rsid w:val="007E0660"/>
    <w:rsid w:val="007E0A54"/>
    <w:rsid w:val="007E1411"/>
    <w:rsid w:val="007E1882"/>
    <w:rsid w:val="007E1BB4"/>
    <w:rsid w:val="007E2077"/>
    <w:rsid w:val="007E3514"/>
    <w:rsid w:val="007E402C"/>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4BD"/>
    <w:rsid w:val="00812FD7"/>
    <w:rsid w:val="00816196"/>
    <w:rsid w:val="008161CD"/>
    <w:rsid w:val="00820623"/>
    <w:rsid w:val="00821747"/>
    <w:rsid w:val="008229A3"/>
    <w:rsid w:val="00822DFB"/>
    <w:rsid w:val="00822F64"/>
    <w:rsid w:val="008253A6"/>
    <w:rsid w:val="00825A6B"/>
    <w:rsid w:val="00825C50"/>
    <w:rsid w:val="00826577"/>
    <w:rsid w:val="00827439"/>
    <w:rsid w:val="00827C79"/>
    <w:rsid w:val="00827C9D"/>
    <w:rsid w:val="00827DAC"/>
    <w:rsid w:val="0083003F"/>
    <w:rsid w:val="00830677"/>
    <w:rsid w:val="00831077"/>
    <w:rsid w:val="00831A4A"/>
    <w:rsid w:val="00832134"/>
    <w:rsid w:val="0083219E"/>
    <w:rsid w:val="00832382"/>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6D4A"/>
    <w:rsid w:val="008477BF"/>
    <w:rsid w:val="008503DA"/>
    <w:rsid w:val="00850B68"/>
    <w:rsid w:val="00850E82"/>
    <w:rsid w:val="0085122D"/>
    <w:rsid w:val="008519E8"/>
    <w:rsid w:val="008525FF"/>
    <w:rsid w:val="00852C03"/>
    <w:rsid w:val="0085590C"/>
    <w:rsid w:val="008575EB"/>
    <w:rsid w:val="00861800"/>
    <w:rsid w:val="00862DDD"/>
    <w:rsid w:val="0086312D"/>
    <w:rsid w:val="0086326D"/>
    <w:rsid w:val="00863A81"/>
    <w:rsid w:val="00863CC1"/>
    <w:rsid w:val="00863ECB"/>
    <w:rsid w:val="00865B01"/>
    <w:rsid w:val="0086678C"/>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967C8"/>
    <w:rsid w:val="008A04DB"/>
    <w:rsid w:val="008A2585"/>
    <w:rsid w:val="008A2718"/>
    <w:rsid w:val="008A4CF6"/>
    <w:rsid w:val="008A4E42"/>
    <w:rsid w:val="008A51AA"/>
    <w:rsid w:val="008A6A12"/>
    <w:rsid w:val="008B0DC6"/>
    <w:rsid w:val="008B2B9E"/>
    <w:rsid w:val="008B31F5"/>
    <w:rsid w:val="008B4C79"/>
    <w:rsid w:val="008B5D2D"/>
    <w:rsid w:val="008B6361"/>
    <w:rsid w:val="008B63EF"/>
    <w:rsid w:val="008C0320"/>
    <w:rsid w:val="008C10DA"/>
    <w:rsid w:val="008C1BEC"/>
    <w:rsid w:val="008C2A81"/>
    <w:rsid w:val="008C3863"/>
    <w:rsid w:val="008C3B36"/>
    <w:rsid w:val="008C3B6B"/>
    <w:rsid w:val="008C4BDC"/>
    <w:rsid w:val="008C50FF"/>
    <w:rsid w:val="008C5435"/>
    <w:rsid w:val="008C6BD1"/>
    <w:rsid w:val="008D2DB5"/>
    <w:rsid w:val="008D3640"/>
    <w:rsid w:val="008D3F10"/>
    <w:rsid w:val="008D611D"/>
    <w:rsid w:val="008D6D0B"/>
    <w:rsid w:val="008E1B6A"/>
    <w:rsid w:val="008E3054"/>
    <w:rsid w:val="008E32FF"/>
    <w:rsid w:val="008E4202"/>
    <w:rsid w:val="008E5625"/>
    <w:rsid w:val="008E5C5B"/>
    <w:rsid w:val="008E6A37"/>
    <w:rsid w:val="008F0354"/>
    <w:rsid w:val="008F085A"/>
    <w:rsid w:val="008F1462"/>
    <w:rsid w:val="008F2413"/>
    <w:rsid w:val="008F248D"/>
    <w:rsid w:val="008F45F3"/>
    <w:rsid w:val="008F4B2C"/>
    <w:rsid w:val="008F4C08"/>
    <w:rsid w:val="008F5A17"/>
    <w:rsid w:val="008F6851"/>
    <w:rsid w:val="008F6FB7"/>
    <w:rsid w:val="008F7BC4"/>
    <w:rsid w:val="009003B8"/>
    <w:rsid w:val="00900E7A"/>
    <w:rsid w:val="009013B5"/>
    <w:rsid w:val="00903DBC"/>
    <w:rsid w:val="00903E11"/>
    <w:rsid w:val="00903EBE"/>
    <w:rsid w:val="009041DE"/>
    <w:rsid w:val="009052BA"/>
    <w:rsid w:val="00905D59"/>
    <w:rsid w:val="009062CA"/>
    <w:rsid w:val="00907631"/>
    <w:rsid w:val="00907776"/>
    <w:rsid w:val="00907865"/>
    <w:rsid w:val="00912361"/>
    <w:rsid w:val="009124FF"/>
    <w:rsid w:val="00913401"/>
    <w:rsid w:val="00913567"/>
    <w:rsid w:val="009137B6"/>
    <w:rsid w:val="009142CB"/>
    <w:rsid w:val="0091450F"/>
    <w:rsid w:val="00915EBA"/>
    <w:rsid w:val="00917093"/>
    <w:rsid w:val="0092030E"/>
    <w:rsid w:val="009205D4"/>
    <w:rsid w:val="009217B1"/>
    <w:rsid w:val="00921A42"/>
    <w:rsid w:val="009223BB"/>
    <w:rsid w:val="00922491"/>
    <w:rsid w:val="00923BCF"/>
    <w:rsid w:val="00925AEC"/>
    <w:rsid w:val="0092751A"/>
    <w:rsid w:val="009279DE"/>
    <w:rsid w:val="009305C4"/>
    <w:rsid w:val="00930833"/>
    <w:rsid w:val="00931FAF"/>
    <w:rsid w:val="00932478"/>
    <w:rsid w:val="009360F6"/>
    <w:rsid w:val="009371DC"/>
    <w:rsid w:val="0093759D"/>
    <w:rsid w:val="00940239"/>
    <w:rsid w:val="00942BD6"/>
    <w:rsid w:val="00942DED"/>
    <w:rsid w:val="00944404"/>
    <w:rsid w:val="009452D7"/>
    <w:rsid w:val="00945D12"/>
    <w:rsid w:val="00945FD1"/>
    <w:rsid w:val="009466BF"/>
    <w:rsid w:val="00946CCC"/>
    <w:rsid w:val="009503E5"/>
    <w:rsid w:val="00950F71"/>
    <w:rsid w:val="00952F2C"/>
    <w:rsid w:val="009532E3"/>
    <w:rsid w:val="00953615"/>
    <w:rsid w:val="00954BAF"/>
    <w:rsid w:val="00955F48"/>
    <w:rsid w:val="009560B3"/>
    <w:rsid w:val="00956929"/>
    <w:rsid w:val="0095745E"/>
    <w:rsid w:val="00957CE0"/>
    <w:rsid w:val="0096002E"/>
    <w:rsid w:val="0096039E"/>
    <w:rsid w:val="00962CEF"/>
    <w:rsid w:val="00963766"/>
    <w:rsid w:val="00963FDF"/>
    <w:rsid w:val="00964B64"/>
    <w:rsid w:val="00964C32"/>
    <w:rsid w:val="0096528F"/>
    <w:rsid w:val="009653F2"/>
    <w:rsid w:val="009661DF"/>
    <w:rsid w:val="009667BD"/>
    <w:rsid w:val="00967C2B"/>
    <w:rsid w:val="00967CE2"/>
    <w:rsid w:val="00970F12"/>
    <w:rsid w:val="00971DA3"/>
    <w:rsid w:val="00972161"/>
    <w:rsid w:val="0097261B"/>
    <w:rsid w:val="00974881"/>
    <w:rsid w:val="0097606C"/>
    <w:rsid w:val="009771D1"/>
    <w:rsid w:val="0098012D"/>
    <w:rsid w:val="00980845"/>
    <w:rsid w:val="00981BD9"/>
    <w:rsid w:val="0098225F"/>
    <w:rsid w:val="0098319E"/>
    <w:rsid w:val="009838B0"/>
    <w:rsid w:val="00983A3C"/>
    <w:rsid w:val="00983EFA"/>
    <w:rsid w:val="00984C15"/>
    <w:rsid w:val="00986EB6"/>
    <w:rsid w:val="00987829"/>
    <w:rsid w:val="00987F7A"/>
    <w:rsid w:val="00991276"/>
    <w:rsid w:val="009923E7"/>
    <w:rsid w:val="00992697"/>
    <w:rsid w:val="00992D4E"/>
    <w:rsid w:val="009934BB"/>
    <w:rsid w:val="00994621"/>
    <w:rsid w:val="009947FF"/>
    <w:rsid w:val="0099544B"/>
    <w:rsid w:val="009957B2"/>
    <w:rsid w:val="009A07A6"/>
    <w:rsid w:val="009A0D56"/>
    <w:rsid w:val="009A31B9"/>
    <w:rsid w:val="009A46C2"/>
    <w:rsid w:val="009A4D4F"/>
    <w:rsid w:val="009A53D8"/>
    <w:rsid w:val="009A597F"/>
    <w:rsid w:val="009A7955"/>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047"/>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601"/>
    <w:rsid w:val="009E4E02"/>
    <w:rsid w:val="009E6B77"/>
    <w:rsid w:val="009E7724"/>
    <w:rsid w:val="009E7D1F"/>
    <w:rsid w:val="009F1D82"/>
    <w:rsid w:val="009F37AA"/>
    <w:rsid w:val="009F544C"/>
    <w:rsid w:val="009F5731"/>
    <w:rsid w:val="009F58FA"/>
    <w:rsid w:val="009F6321"/>
    <w:rsid w:val="009F6378"/>
    <w:rsid w:val="009F73FA"/>
    <w:rsid w:val="009F7669"/>
    <w:rsid w:val="009F7F45"/>
    <w:rsid w:val="009F7FD5"/>
    <w:rsid w:val="00A005D4"/>
    <w:rsid w:val="00A0083C"/>
    <w:rsid w:val="00A01A90"/>
    <w:rsid w:val="00A02370"/>
    <w:rsid w:val="00A04685"/>
    <w:rsid w:val="00A04C57"/>
    <w:rsid w:val="00A04E6F"/>
    <w:rsid w:val="00A06340"/>
    <w:rsid w:val="00A0684F"/>
    <w:rsid w:val="00A06867"/>
    <w:rsid w:val="00A10148"/>
    <w:rsid w:val="00A113FD"/>
    <w:rsid w:val="00A11907"/>
    <w:rsid w:val="00A11DDE"/>
    <w:rsid w:val="00A127A7"/>
    <w:rsid w:val="00A129F4"/>
    <w:rsid w:val="00A136F4"/>
    <w:rsid w:val="00A13F61"/>
    <w:rsid w:val="00A160D3"/>
    <w:rsid w:val="00A16DC9"/>
    <w:rsid w:val="00A20225"/>
    <w:rsid w:val="00A23B9D"/>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29BF"/>
    <w:rsid w:val="00A4376E"/>
    <w:rsid w:val="00A446F9"/>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2DB"/>
    <w:rsid w:val="00A61762"/>
    <w:rsid w:val="00A61938"/>
    <w:rsid w:val="00A61CFD"/>
    <w:rsid w:val="00A62B21"/>
    <w:rsid w:val="00A62B86"/>
    <w:rsid w:val="00A63C96"/>
    <w:rsid w:val="00A65805"/>
    <w:rsid w:val="00A66BEE"/>
    <w:rsid w:val="00A671C9"/>
    <w:rsid w:val="00A67CDD"/>
    <w:rsid w:val="00A67DFD"/>
    <w:rsid w:val="00A70E1D"/>
    <w:rsid w:val="00A74F9F"/>
    <w:rsid w:val="00A750B3"/>
    <w:rsid w:val="00A75559"/>
    <w:rsid w:val="00A7623D"/>
    <w:rsid w:val="00A77EF3"/>
    <w:rsid w:val="00A8217C"/>
    <w:rsid w:val="00A824A7"/>
    <w:rsid w:val="00A83644"/>
    <w:rsid w:val="00A83C07"/>
    <w:rsid w:val="00A83F40"/>
    <w:rsid w:val="00A84945"/>
    <w:rsid w:val="00A84AA0"/>
    <w:rsid w:val="00A85543"/>
    <w:rsid w:val="00A86EDD"/>
    <w:rsid w:val="00A8728B"/>
    <w:rsid w:val="00A91682"/>
    <w:rsid w:val="00A91F50"/>
    <w:rsid w:val="00A92125"/>
    <w:rsid w:val="00A92E4A"/>
    <w:rsid w:val="00A94348"/>
    <w:rsid w:val="00A958CA"/>
    <w:rsid w:val="00A966B6"/>
    <w:rsid w:val="00A96B46"/>
    <w:rsid w:val="00AA003B"/>
    <w:rsid w:val="00AA016B"/>
    <w:rsid w:val="00AA15DD"/>
    <w:rsid w:val="00AA1C09"/>
    <w:rsid w:val="00AA1FB2"/>
    <w:rsid w:val="00AA2F67"/>
    <w:rsid w:val="00AA3569"/>
    <w:rsid w:val="00AA4E46"/>
    <w:rsid w:val="00AA4FA1"/>
    <w:rsid w:val="00AA5F4C"/>
    <w:rsid w:val="00AA615C"/>
    <w:rsid w:val="00AA6276"/>
    <w:rsid w:val="00AA6711"/>
    <w:rsid w:val="00AA6CC2"/>
    <w:rsid w:val="00AB2AEC"/>
    <w:rsid w:val="00AB2DC1"/>
    <w:rsid w:val="00AB3102"/>
    <w:rsid w:val="00AB3D9A"/>
    <w:rsid w:val="00AB4824"/>
    <w:rsid w:val="00AB4B1D"/>
    <w:rsid w:val="00AB6B5E"/>
    <w:rsid w:val="00AC047F"/>
    <w:rsid w:val="00AC0DB2"/>
    <w:rsid w:val="00AC379A"/>
    <w:rsid w:val="00AC3934"/>
    <w:rsid w:val="00AC50C8"/>
    <w:rsid w:val="00AC5401"/>
    <w:rsid w:val="00AC5581"/>
    <w:rsid w:val="00AC56AD"/>
    <w:rsid w:val="00AC61BE"/>
    <w:rsid w:val="00AC7E2D"/>
    <w:rsid w:val="00AC7E8A"/>
    <w:rsid w:val="00AD0C8A"/>
    <w:rsid w:val="00AD0CB4"/>
    <w:rsid w:val="00AD0FE7"/>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0A2"/>
    <w:rsid w:val="00AF4401"/>
    <w:rsid w:val="00AF4463"/>
    <w:rsid w:val="00AF502B"/>
    <w:rsid w:val="00AF53CB"/>
    <w:rsid w:val="00AF65C5"/>
    <w:rsid w:val="00AF6B6F"/>
    <w:rsid w:val="00AF6CB5"/>
    <w:rsid w:val="00B03CE2"/>
    <w:rsid w:val="00B06544"/>
    <w:rsid w:val="00B079C2"/>
    <w:rsid w:val="00B105F2"/>
    <w:rsid w:val="00B10991"/>
    <w:rsid w:val="00B12128"/>
    <w:rsid w:val="00B12945"/>
    <w:rsid w:val="00B12C1E"/>
    <w:rsid w:val="00B12FE5"/>
    <w:rsid w:val="00B1467D"/>
    <w:rsid w:val="00B155DF"/>
    <w:rsid w:val="00B156CF"/>
    <w:rsid w:val="00B1570E"/>
    <w:rsid w:val="00B16001"/>
    <w:rsid w:val="00B1697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439"/>
    <w:rsid w:val="00B455D1"/>
    <w:rsid w:val="00B46135"/>
    <w:rsid w:val="00B472AB"/>
    <w:rsid w:val="00B47B85"/>
    <w:rsid w:val="00B47CE4"/>
    <w:rsid w:val="00B503A8"/>
    <w:rsid w:val="00B50673"/>
    <w:rsid w:val="00B5121D"/>
    <w:rsid w:val="00B518DF"/>
    <w:rsid w:val="00B525C0"/>
    <w:rsid w:val="00B5272C"/>
    <w:rsid w:val="00B52FAB"/>
    <w:rsid w:val="00B5319A"/>
    <w:rsid w:val="00B539F9"/>
    <w:rsid w:val="00B53E56"/>
    <w:rsid w:val="00B546C3"/>
    <w:rsid w:val="00B54BD9"/>
    <w:rsid w:val="00B5503C"/>
    <w:rsid w:val="00B55640"/>
    <w:rsid w:val="00B55C57"/>
    <w:rsid w:val="00B57107"/>
    <w:rsid w:val="00B57E61"/>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44D6"/>
    <w:rsid w:val="00B7512A"/>
    <w:rsid w:val="00B76548"/>
    <w:rsid w:val="00B76BED"/>
    <w:rsid w:val="00B806E6"/>
    <w:rsid w:val="00B82DC1"/>
    <w:rsid w:val="00B835D5"/>
    <w:rsid w:val="00B84028"/>
    <w:rsid w:val="00B84307"/>
    <w:rsid w:val="00B8430D"/>
    <w:rsid w:val="00B85661"/>
    <w:rsid w:val="00B85C8A"/>
    <w:rsid w:val="00B86FBD"/>
    <w:rsid w:val="00B87DF9"/>
    <w:rsid w:val="00B90C16"/>
    <w:rsid w:val="00B91B86"/>
    <w:rsid w:val="00B927CA"/>
    <w:rsid w:val="00B928AE"/>
    <w:rsid w:val="00B93CDA"/>
    <w:rsid w:val="00B942E9"/>
    <w:rsid w:val="00B9433A"/>
    <w:rsid w:val="00B948BC"/>
    <w:rsid w:val="00B948EE"/>
    <w:rsid w:val="00B94BF3"/>
    <w:rsid w:val="00B94F90"/>
    <w:rsid w:val="00B95DC5"/>
    <w:rsid w:val="00B96E28"/>
    <w:rsid w:val="00B97E34"/>
    <w:rsid w:val="00B97FEF"/>
    <w:rsid w:val="00BA1354"/>
    <w:rsid w:val="00BA20B6"/>
    <w:rsid w:val="00BA24F8"/>
    <w:rsid w:val="00BA31AA"/>
    <w:rsid w:val="00BA45D8"/>
    <w:rsid w:val="00BA5828"/>
    <w:rsid w:val="00BA5933"/>
    <w:rsid w:val="00BA5DCA"/>
    <w:rsid w:val="00BA64B3"/>
    <w:rsid w:val="00BA754A"/>
    <w:rsid w:val="00BA7820"/>
    <w:rsid w:val="00BA794C"/>
    <w:rsid w:val="00BB09FB"/>
    <w:rsid w:val="00BB14DD"/>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246A"/>
    <w:rsid w:val="00BD45A4"/>
    <w:rsid w:val="00BD4A5F"/>
    <w:rsid w:val="00BD59AA"/>
    <w:rsid w:val="00BD6464"/>
    <w:rsid w:val="00BD65E6"/>
    <w:rsid w:val="00BD6AF7"/>
    <w:rsid w:val="00BD6D89"/>
    <w:rsid w:val="00BD73AA"/>
    <w:rsid w:val="00BE02A2"/>
    <w:rsid w:val="00BE19EF"/>
    <w:rsid w:val="00BE425B"/>
    <w:rsid w:val="00BE51BB"/>
    <w:rsid w:val="00BE7595"/>
    <w:rsid w:val="00BE77D3"/>
    <w:rsid w:val="00BF0138"/>
    <w:rsid w:val="00BF114B"/>
    <w:rsid w:val="00BF1620"/>
    <w:rsid w:val="00BF1AC3"/>
    <w:rsid w:val="00BF373A"/>
    <w:rsid w:val="00BF3FC2"/>
    <w:rsid w:val="00BF409D"/>
    <w:rsid w:val="00BF553C"/>
    <w:rsid w:val="00BF62D2"/>
    <w:rsid w:val="00BF6459"/>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8BE"/>
    <w:rsid w:val="00C13ED7"/>
    <w:rsid w:val="00C14615"/>
    <w:rsid w:val="00C14F48"/>
    <w:rsid w:val="00C15296"/>
    <w:rsid w:val="00C17750"/>
    <w:rsid w:val="00C2094B"/>
    <w:rsid w:val="00C20DC5"/>
    <w:rsid w:val="00C228C1"/>
    <w:rsid w:val="00C2294E"/>
    <w:rsid w:val="00C22A5B"/>
    <w:rsid w:val="00C231A6"/>
    <w:rsid w:val="00C23412"/>
    <w:rsid w:val="00C264C7"/>
    <w:rsid w:val="00C2682A"/>
    <w:rsid w:val="00C271C4"/>
    <w:rsid w:val="00C274F3"/>
    <w:rsid w:val="00C30A54"/>
    <w:rsid w:val="00C30D5A"/>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4DCC"/>
    <w:rsid w:val="00C456E8"/>
    <w:rsid w:val="00C45CDA"/>
    <w:rsid w:val="00C46630"/>
    <w:rsid w:val="00C47A2F"/>
    <w:rsid w:val="00C47CF9"/>
    <w:rsid w:val="00C50D18"/>
    <w:rsid w:val="00C51179"/>
    <w:rsid w:val="00C5282C"/>
    <w:rsid w:val="00C52FBE"/>
    <w:rsid w:val="00C5355E"/>
    <w:rsid w:val="00C535E2"/>
    <w:rsid w:val="00C53FC1"/>
    <w:rsid w:val="00C54034"/>
    <w:rsid w:val="00C551D2"/>
    <w:rsid w:val="00C56438"/>
    <w:rsid w:val="00C570B3"/>
    <w:rsid w:val="00C57114"/>
    <w:rsid w:val="00C57D9A"/>
    <w:rsid w:val="00C6009F"/>
    <w:rsid w:val="00C60417"/>
    <w:rsid w:val="00C6046F"/>
    <w:rsid w:val="00C619AA"/>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1C2"/>
    <w:rsid w:val="00C909C6"/>
    <w:rsid w:val="00C923B7"/>
    <w:rsid w:val="00C9370E"/>
    <w:rsid w:val="00C94D4C"/>
    <w:rsid w:val="00C96C1E"/>
    <w:rsid w:val="00C96CA4"/>
    <w:rsid w:val="00CA012C"/>
    <w:rsid w:val="00CA0AA6"/>
    <w:rsid w:val="00CA2897"/>
    <w:rsid w:val="00CA318D"/>
    <w:rsid w:val="00CA44F3"/>
    <w:rsid w:val="00CA582C"/>
    <w:rsid w:val="00CA6077"/>
    <w:rsid w:val="00CA6C5B"/>
    <w:rsid w:val="00CA715B"/>
    <w:rsid w:val="00CA7988"/>
    <w:rsid w:val="00CA7BA2"/>
    <w:rsid w:val="00CB0B78"/>
    <w:rsid w:val="00CB12A5"/>
    <w:rsid w:val="00CB1411"/>
    <w:rsid w:val="00CB17FA"/>
    <w:rsid w:val="00CB23D8"/>
    <w:rsid w:val="00CB2ED9"/>
    <w:rsid w:val="00CB36A5"/>
    <w:rsid w:val="00CB56B4"/>
    <w:rsid w:val="00CB7286"/>
    <w:rsid w:val="00CB7827"/>
    <w:rsid w:val="00CB7947"/>
    <w:rsid w:val="00CC1783"/>
    <w:rsid w:val="00CC2B8D"/>
    <w:rsid w:val="00CC3B46"/>
    <w:rsid w:val="00CC3D8B"/>
    <w:rsid w:val="00CC471E"/>
    <w:rsid w:val="00CC4E27"/>
    <w:rsid w:val="00CC570C"/>
    <w:rsid w:val="00CC59BB"/>
    <w:rsid w:val="00CC62B6"/>
    <w:rsid w:val="00CC76AA"/>
    <w:rsid w:val="00CC7CD2"/>
    <w:rsid w:val="00CD05CF"/>
    <w:rsid w:val="00CD1679"/>
    <w:rsid w:val="00CD1FAE"/>
    <w:rsid w:val="00CD232F"/>
    <w:rsid w:val="00CD2439"/>
    <w:rsid w:val="00CD279E"/>
    <w:rsid w:val="00CD2F92"/>
    <w:rsid w:val="00CD45FC"/>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9E9"/>
    <w:rsid w:val="00D12A7D"/>
    <w:rsid w:val="00D13AB0"/>
    <w:rsid w:val="00D1519E"/>
    <w:rsid w:val="00D152B7"/>
    <w:rsid w:val="00D16EDC"/>
    <w:rsid w:val="00D17FDE"/>
    <w:rsid w:val="00D201CB"/>
    <w:rsid w:val="00D22786"/>
    <w:rsid w:val="00D228B4"/>
    <w:rsid w:val="00D25AC4"/>
    <w:rsid w:val="00D263F0"/>
    <w:rsid w:val="00D305F6"/>
    <w:rsid w:val="00D30B25"/>
    <w:rsid w:val="00D3175A"/>
    <w:rsid w:val="00D31A00"/>
    <w:rsid w:val="00D323E4"/>
    <w:rsid w:val="00D32871"/>
    <w:rsid w:val="00D329F6"/>
    <w:rsid w:val="00D33881"/>
    <w:rsid w:val="00D34282"/>
    <w:rsid w:val="00D366B1"/>
    <w:rsid w:val="00D3769B"/>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59A"/>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4CB8"/>
    <w:rsid w:val="00D871C6"/>
    <w:rsid w:val="00D91010"/>
    <w:rsid w:val="00D9143D"/>
    <w:rsid w:val="00D920D1"/>
    <w:rsid w:val="00D92FC1"/>
    <w:rsid w:val="00D9439D"/>
    <w:rsid w:val="00D9540B"/>
    <w:rsid w:val="00D96EBE"/>
    <w:rsid w:val="00D9742B"/>
    <w:rsid w:val="00DA0FA7"/>
    <w:rsid w:val="00DA12B0"/>
    <w:rsid w:val="00DA2BA0"/>
    <w:rsid w:val="00DA39AD"/>
    <w:rsid w:val="00DA3D1F"/>
    <w:rsid w:val="00DA5B13"/>
    <w:rsid w:val="00DA6917"/>
    <w:rsid w:val="00DA6926"/>
    <w:rsid w:val="00DB0965"/>
    <w:rsid w:val="00DB0E47"/>
    <w:rsid w:val="00DB201F"/>
    <w:rsid w:val="00DB25D3"/>
    <w:rsid w:val="00DB2BDD"/>
    <w:rsid w:val="00DB2C79"/>
    <w:rsid w:val="00DB4121"/>
    <w:rsid w:val="00DB46C3"/>
    <w:rsid w:val="00DB5742"/>
    <w:rsid w:val="00DB5EDF"/>
    <w:rsid w:val="00DB6C46"/>
    <w:rsid w:val="00DB72B8"/>
    <w:rsid w:val="00DB7FDA"/>
    <w:rsid w:val="00DC16AF"/>
    <w:rsid w:val="00DC2A9A"/>
    <w:rsid w:val="00DC2E2E"/>
    <w:rsid w:val="00DC4D68"/>
    <w:rsid w:val="00DC6463"/>
    <w:rsid w:val="00DC6BA1"/>
    <w:rsid w:val="00DC7822"/>
    <w:rsid w:val="00DC7AF1"/>
    <w:rsid w:val="00DD0577"/>
    <w:rsid w:val="00DD2CDA"/>
    <w:rsid w:val="00DD2D92"/>
    <w:rsid w:val="00DD3026"/>
    <w:rsid w:val="00DD33DC"/>
    <w:rsid w:val="00DD3BB0"/>
    <w:rsid w:val="00DD61F5"/>
    <w:rsid w:val="00DD7418"/>
    <w:rsid w:val="00DE4CD7"/>
    <w:rsid w:val="00DE64A6"/>
    <w:rsid w:val="00DE66EB"/>
    <w:rsid w:val="00DE7035"/>
    <w:rsid w:val="00DF12E3"/>
    <w:rsid w:val="00DF2A20"/>
    <w:rsid w:val="00DF3F1D"/>
    <w:rsid w:val="00DF4921"/>
    <w:rsid w:val="00DF595C"/>
    <w:rsid w:val="00DF691E"/>
    <w:rsid w:val="00DF6DD5"/>
    <w:rsid w:val="00DF7708"/>
    <w:rsid w:val="00DF7EA7"/>
    <w:rsid w:val="00E0200F"/>
    <w:rsid w:val="00E04548"/>
    <w:rsid w:val="00E0484E"/>
    <w:rsid w:val="00E063F8"/>
    <w:rsid w:val="00E114D6"/>
    <w:rsid w:val="00E1166E"/>
    <w:rsid w:val="00E11DBD"/>
    <w:rsid w:val="00E13211"/>
    <w:rsid w:val="00E14F94"/>
    <w:rsid w:val="00E16FB5"/>
    <w:rsid w:val="00E179D6"/>
    <w:rsid w:val="00E20EA5"/>
    <w:rsid w:val="00E21407"/>
    <w:rsid w:val="00E22668"/>
    <w:rsid w:val="00E227D3"/>
    <w:rsid w:val="00E22BFF"/>
    <w:rsid w:val="00E22CB0"/>
    <w:rsid w:val="00E23170"/>
    <w:rsid w:val="00E23798"/>
    <w:rsid w:val="00E23DE0"/>
    <w:rsid w:val="00E2585D"/>
    <w:rsid w:val="00E25DBD"/>
    <w:rsid w:val="00E25FA2"/>
    <w:rsid w:val="00E26201"/>
    <w:rsid w:val="00E2723D"/>
    <w:rsid w:val="00E27C77"/>
    <w:rsid w:val="00E3179E"/>
    <w:rsid w:val="00E32AC9"/>
    <w:rsid w:val="00E338C1"/>
    <w:rsid w:val="00E354DA"/>
    <w:rsid w:val="00E354F5"/>
    <w:rsid w:val="00E3687E"/>
    <w:rsid w:val="00E40974"/>
    <w:rsid w:val="00E40AAB"/>
    <w:rsid w:val="00E41205"/>
    <w:rsid w:val="00E41F32"/>
    <w:rsid w:val="00E42608"/>
    <w:rsid w:val="00E43387"/>
    <w:rsid w:val="00E43536"/>
    <w:rsid w:val="00E43DA3"/>
    <w:rsid w:val="00E44B80"/>
    <w:rsid w:val="00E45938"/>
    <w:rsid w:val="00E4721A"/>
    <w:rsid w:val="00E47430"/>
    <w:rsid w:val="00E474BD"/>
    <w:rsid w:val="00E50FB7"/>
    <w:rsid w:val="00E5199F"/>
    <w:rsid w:val="00E526DF"/>
    <w:rsid w:val="00E53C15"/>
    <w:rsid w:val="00E54EE6"/>
    <w:rsid w:val="00E56715"/>
    <w:rsid w:val="00E56C2C"/>
    <w:rsid w:val="00E57F8E"/>
    <w:rsid w:val="00E611C8"/>
    <w:rsid w:val="00E619AB"/>
    <w:rsid w:val="00E62C51"/>
    <w:rsid w:val="00E6344A"/>
    <w:rsid w:val="00E63AB5"/>
    <w:rsid w:val="00E64E69"/>
    <w:rsid w:val="00E64FB7"/>
    <w:rsid w:val="00E65189"/>
    <w:rsid w:val="00E665F4"/>
    <w:rsid w:val="00E669A1"/>
    <w:rsid w:val="00E679BA"/>
    <w:rsid w:val="00E70243"/>
    <w:rsid w:val="00E70E2E"/>
    <w:rsid w:val="00E72CC6"/>
    <w:rsid w:val="00E73C6C"/>
    <w:rsid w:val="00E73D44"/>
    <w:rsid w:val="00E7494A"/>
    <w:rsid w:val="00E74BE2"/>
    <w:rsid w:val="00E74C66"/>
    <w:rsid w:val="00E75933"/>
    <w:rsid w:val="00E76F42"/>
    <w:rsid w:val="00E77951"/>
    <w:rsid w:val="00E77A1B"/>
    <w:rsid w:val="00E808BE"/>
    <w:rsid w:val="00E81E36"/>
    <w:rsid w:val="00E81E40"/>
    <w:rsid w:val="00E82ECE"/>
    <w:rsid w:val="00E83115"/>
    <w:rsid w:val="00E8713B"/>
    <w:rsid w:val="00E90774"/>
    <w:rsid w:val="00E90C61"/>
    <w:rsid w:val="00E91E02"/>
    <w:rsid w:val="00E92A82"/>
    <w:rsid w:val="00E92AA8"/>
    <w:rsid w:val="00E9344E"/>
    <w:rsid w:val="00E93E39"/>
    <w:rsid w:val="00E94391"/>
    <w:rsid w:val="00E968D8"/>
    <w:rsid w:val="00E97E2B"/>
    <w:rsid w:val="00EA08CA"/>
    <w:rsid w:val="00EA0C0C"/>
    <w:rsid w:val="00EA1DD0"/>
    <w:rsid w:val="00EA2AEA"/>
    <w:rsid w:val="00EA332B"/>
    <w:rsid w:val="00EA3D36"/>
    <w:rsid w:val="00EA40AA"/>
    <w:rsid w:val="00EA57E2"/>
    <w:rsid w:val="00EA7186"/>
    <w:rsid w:val="00EA7C2C"/>
    <w:rsid w:val="00EB018B"/>
    <w:rsid w:val="00EB1003"/>
    <w:rsid w:val="00EB143A"/>
    <w:rsid w:val="00EB167E"/>
    <w:rsid w:val="00EB24ED"/>
    <w:rsid w:val="00EB2A00"/>
    <w:rsid w:val="00EB309B"/>
    <w:rsid w:val="00EB3AA2"/>
    <w:rsid w:val="00EB4138"/>
    <w:rsid w:val="00EB4763"/>
    <w:rsid w:val="00EB6CB7"/>
    <w:rsid w:val="00EC078B"/>
    <w:rsid w:val="00EC07A0"/>
    <w:rsid w:val="00EC08E4"/>
    <w:rsid w:val="00EC26B5"/>
    <w:rsid w:val="00EC3086"/>
    <w:rsid w:val="00EC3CB4"/>
    <w:rsid w:val="00EC4293"/>
    <w:rsid w:val="00EC443E"/>
    <w:rsid w:val="00EC4D83"/>
    <w:rsid w:val="00EC4EEE"/>
    <w:rsid w:val="00EC634F"/>
    <w:rsid w:val="00EC6848"/>
    <w:rsid w:val="00EC6C6E"/>
    <w:rsid w:val="00EC7B97"/>
    <w:rsid w:val="00EC7E10"/>
    <w:rsid w:val="00ED049C"/>
    <w:rsid w:val="00ED07B7"/>
    <w:rsid w:val="00ED19D7"/>
    <w:rsid w:val="00ED2167"/>
    <w:rsid w:val="00ED351E"/>
    <w:rsid w:val="00ED4B27"/>
    <w:rsid w:val="00ED543C"/>
    <w:rsid w:val="00ED6BA4"/>
    <w:rsid w:val="00ED7DA7"/>
    <w:rsid w:val="00EE0598"/>
    <w:rsid w:val="00EE246B"/>
    <w:rsid w:val="00EE2F4B"/>
    <w:rsid w:val="00EE311C"/>
    <w:rsid w:val="00EE500B"/>
    <w:rsid w:val="00EE56FF"/>
    <w:rsid w:val="00EE5886"/>
    <w:rsid w:val="00EE5FBF"/>
    <w:rsid w:val="00EE6472"/>
    <w:rsid w:val="00EE76F2"/>
    <w:rsid w:val="00EF0769"/>
    <w:rsid w:val="00EF0D7C"/>
    <w:rsid w:val="00EF314C"/>
    <w:rsid w:val="00EF383B"/>
    <w:rsid w:val="00EF40E2"/>
    <w:rsid w:val="00EF5278"/>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1566D"/>
    <w:rsid w:val="00F2081B"/>
    <w:rsid w:val="00F20A43"/>
    <w:rsid w:val="00F20C51"/>
    <w:rsid w:val="00F21049"/>
    <w:rsid w:val="00F218AE"/>
    <w:rsid w:val="00F21B95"/>
    <w:rsid w:val="00F22232"/>
    <w:rsid w:val="00F2228E"/>
    <w:rsid w:val="00F22945"/>
    <w:rsid w:val="00F22B80"/>
    <w:rsid w:val="00F22D3C"/>
    <w:rsid w:val="00F23CE2"/>
    <w:rsid w:val="00F23D66"/>
    <w:rsid w:val="00F24E6F"/>
    <w:rsid w:val="00F26069"/>
    <w:rsid w:val="00F26B7E"/>
    <w:rsid w:val="00F27D7D"/>
    <w:rsid w:val="00F3002B"/>
    <w:rsid w:val="00F30BC9"/>
    <w:rsid w:val="00F30D27"/>
    <w:rsid w:val="00F32042"/>
    <w:rsid w:val="00F32241"/>
    <w:rsid w:val="00F32462"/>
    <w:rsid w:val="00F32FF7"/>
    <w:rsid w:val="00F33CE2"/>
    <w:rsid w:val="00F33EDE"/>
    <w:rsid w:val="00F3568B"/>
    <w:rsid w:val="00F377CD"/>
    <w:rsid w:val="00F37B70"/>
    <w:rsid w:val="00F40C3B"/>
    <w:rsid w:val="00F40CE0"/>
    <w:rsid w:val="00F42DBC"/>
    <w:rsid w:val="00F4308D"/>
    <w:rsid w:val="00F438F9"/>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4D3D"/>
    <w:rsid w:val="00F6502B"/>
    <w:rsid w:val="00F6509A"/>
    <w:rsid w:val="00F6612A"/>
    <w:rsid w:val="00F66724"/>
    <w:rsid w:val="00F67F04"/>
    <w:rsid w:val="00F70207"/>
    <w:rsid w:val="00F702CB"/>
    <w:rsid w:val="00F716D4"/>
    <w:rsid w:val="00F71757"/>
    <w:rsid w:val="00F71AC2"/>
    <w:rsid w:val="00F73139"/>
    <w:rsid w:val="00F73460"/>
    <w:rsid w:val="00F739D4"/>
    <w:rsid w:val="00F74C84"/>
    <w:rsid w:val="00F75F89"/>
    <w:rsid w:val="00F77D43"/>
    <w:rsid w:val="00F77DCB"/>
    <w:rsid w:val="00F80953"/>
    <w:rsid w:val="00F80B5C"/>
    <w:rsid w:val="00F81312"/>
    <w:rsid w:val="00F81B90"/>
    <w:rsid w:val="00F81E6F"/>
    <w:rsid w:val="00F82FF3"/>
    <w:rsid w:val="00F83468"/>
    <w:rsid w:val="00F8453C"/>
    <w:rsid w:val="00F84D4C"/>
    <w:rsid w:val="00F8657D"/>
    <w:rsid w:val="00F86805"/>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6974"/>
    <w:rsid w:val="00F975CA"/>
    <w:rsid w:val="00F97FC5"/>
    <w:rsid w:val="00FA0B60"/>
    <w:rsid w:val="00FA0C3E"/>
    <w:rsid w:val="00FA0D5F"/>
    <w:rsid w:val="00FA2528"/>
    <w:rsid w:val="00FA4100"/>
    <w:rsid w:val="00FA5524"/>
    <w:rsid w:val="00FA5535"/>
    <w:rsid w:val="00FA7206"/>
    <w:rsid w:val="00FA7EFB"/>
    <w:rsid w:val="00FB0816"/>
    <w:rsid w:val="00FB08C2"/>
    <w:rsid w:val="00FB3DD1"/>
    <w:rsid w:val="00FB51FD"/>
    <w:rsid w:val="00FB53BC"/>
    <w:rsid w:val="00FB5667"/>
    <w:rsid w:val="00FB7A97"/>
    <w:rsid w:val="00FC1601"/>
    <w:rsid w:val="00FC1B9B"/>
    <w:rsid w:val="00FC21B7"/>
    <w:rsid w:val="00FC23E0"/>
    <w:rsid w:val="00FC318D"/>
    <w:rsid w:val="00FC36CF"/>
    <w:rsid w:val="00FC3B0E"/>
    <w:rsid w:val="00FC40BC"/>
    <w:rsid w:val="00FC41FC"/>
    <w:rsid w:val="00FC4F6E"/>
    <w:rsid w:val="00FC506C"/>
    <w:rsid w:val="00FC578C"/>
    <w:rsid w:val="00FC5A37"/>
    <w:rsid w:val="00FC7836"/>
    <w:rsid w:val="00FD13EA"/>
    <w:rsid w:val="00FD2E4C"/>
    <w:rsid w:val="00FD4BED"/>
    <w:rsid w:val="00FD5EC4"/>
    <w:rsid w:val="00FD67D9"/>
    <w:rsid w:val="00FD7858"/>
    <w:rsid w:val="00FD7A8D"/>
    <w:rsid w:val="00FE11A0"/>
    <w:rsid w:val="00FE1330"/>
    <w:rsid w:val="00FE1CE5"/>
    <w:rsid w:val="00FE2832"/>
    <w:rsid w:val="00FE2D38"/>
    <w:rsid w:val="00FE2F03"/>
    <w:rsid w:val="00FE3929"/>
    <w:rsid w:val="00FE3E32"/>
    <w:rsid w:val="00FE4439"/>
    <w:rsid w:val="00FE78E1"/>
    <w:rsid w:val="00FF097B"/>
    <w:rsid w:val="00FF0B6E"/>
    <w:rsid w:val="00FF1C1B"/>
    <w:rsid w:val="00FF2067"/>
    <w:rsid w:val="00FF3BC4"/>
    <w:rsid w:val="00FF4B66"/>
    <w:rsid w:val="00FF56CC"/>
    <w:rsid w:val="00FF5939"/>
    <w:rsid w:val="00FF688E"/>
    <w:rsid w:val="08E67E8B"/>
    <w:rsid w:val="0EC78CB4"/>
    <w:rsid w:val="1309BE2A"/>
    <w:rsid w:val="1E71317A"/>
    <w:rsid w:val="296079D6"/>
    <w:rsid w:val="2D749BA2"/>
    <w:rsid w:val="3E4EB157"/>
    <w:rsid w:val="452338F9"/>
    <w:rsid w:val="4FC22064"/>
    <w:rsid w:val="6091E632"/>
    <w:rsid w:val="6294B5FF"/>
    <w:rsid w:val="631D6170"/>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573BDE64-5F98-4E8F-B1FE-BE641CFB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A2E3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2.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header" Target="header6.xml"/><Relationship Id="rId30"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2026</Year>
    <TaxCatchAll xmlns="d0fb0f98-34f9-4d57-9559-eb8efd17aa5e">
      <Value>61</Value>
      <Value>10</Value>
      <Value>17</Value>
      <Value>645</Value>
      <Value>469</Value>
    </TaxCatchAll>
    <_dlc_DocId xmlns="d0fb0f98-34f9-4d57-9559-eb8efd17aa5e">ESMA91-1505572268-4723</_dlc_DocId>
    <_dlc_DocIdUrl xmlns="d0fb0f98-34f9-4d57-9559-eb8efd17aa5e">
      <Url>https://securitiesandmarketsauth.sharepoint.com/sites/sherpa-ccp/_layouts/15/DocIdRedir.aspx?ID=ESMA91-1505572268-4723</Url>
      <Description>ESMA91-1505572268-4723</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RTS 153</TermName>
          <TermId xmlns="http://schemas.microsoft.com/office/infopath/2007/PartnerControls">a51dd9b2-9e17-4703-9a7c-7aa18e1d70b8</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e9ce02f900eb64d2f0d7169a308f0898">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8e80d928a4eb712c6b33e00518fa8101"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230282C5-32BF-4D56-B930-335C7103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Metadata/LabelInfo.xml><?xml version="1.0" encoding="utf-8"?>
<clbl:labelList xmlns:clbl="http://schemas.microsoft.com/office/2020/mipLabelMetadata">
  <clbl:label id="{6a8c7913-ff21-4b2f-95bd-db8559500aa4}" enabled="1" method="Standard" siteId="{3dd0ae16-6dc3-4cf7-bead-8ad6edf221cf}" removed="0"/>
  <clbl:label id="{9359c8d1-71e4-4fa6-b317-56207df695f5}" enabled="1" method="Standard" siteId="{38f1de9a-87ec-4107-92bc-16975c874670}" removed="0"/>
  <clbl:label id="{f481d56f-c63d-4d74-8406-d64e74f44395}" enabled="0" method="" siteId="{f481d56f-c63d-4d74-8406-d64e74f44395}"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Cemil Altin</cp:lastModifiedBy>
  <cp:revision>2</cp:revision>
  <dcterms:created xsi:type="dcterms:W3CDTF">2026-04-30T09:56:00Z</dcterms:created>
  <dcterms:modified xsi:type="dcterms:W3CDTF">2026-04-30T09:56:00Z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etDescription">
    <vt:lpwstr/>
  </property>
  <property fmtid="{D5CDD505-2E9C-101B-9397-08002B2CF9AE}" pid="3" name="_ExtendedDescription">
    <vt:lpwstr/>
  </property>
  <property fmtid="{D5CDD505-2E9C-101B-9397-08002B2CF9AE}" pid="4" name="URL">
    <vt:lpwstr/>
  </property>
  <property fmtid="{D5CDD505-2E9C-101B-9397-08002B2CF9AE}" pid="5" name="MediaServiceImageTags">
    <vt:lpwstr/>
  </property>
  <property fmtid="{D5CDD505-2E9C-101B-9397-08002B2CF9AE}" pid="6" name="MultiTopic">
    <vt:lpwstr/>
  </property>
  <property fmtid="{D5CDD505-2E9C-101B-9397-08002B2CF9AE}" pid="7" name="EsmaAudience">
    <vt:lpwstr/>
  </property>
  <property fmtid="{D5CDD505-2E9C-101B-9397-08002B2CF9AE}" pid="8" name="ClassificationContentMarkingHeaderShapeIds">
    <vt:lpwstr>789e72dd,829e9b,36c419f1,751f1b0,1575fcf8,37e955be,663f25d3</vt:lpwstr>
  </property>
  <property fmtid="{D5CDD505-2E9C-101B-9397-08002B2CF9AE}" pid="9" name="ClassificationContentMarkingHeaderFontProps">
    <vt:lpwstr>#ff0000,10,Calibri</vt:lpwstr>
  </property>
  <property fmtid="{D5CDD505-2E9C-101B-9397-08002B2CF9AE}" pid="10" name="ClassificationContentMarkingHeaderText">
    <vt:lpwstr>RESTRICTED</vt:lpwstr>
  </property>
  <property fmtid="{D5CDD505-2E9C-101B-9397-08002B2CF9AE}" pid="11" name="ClassificationContentMarkingFooterShapeIds">
    <vt:lpwstr>1e5a852e,131c93bf,23aa8a90,1aee8f3d,786f6cc9,61a5ddf7</vt:lpwstr>
  </property>
  <property fmtid="{D5CDD505-2E9C-101B-9397-08002B2CF9AE}" pid="12" name="ClassificationContentMarkingFooterFontProps">
    <vt:lpwstr>#ff0000,10,Calibri</vt:lpwstr>
  </property>
  <property fmtid="{D5CDD505-2E9C-101B-9397-08002B2CF9AE}" pid="13" name="ClassificationContentMarkingFooterText">
    <vt:lpwstr>RESTRICTED</vt:lpwstr>
  </property>
</Properties>
</file>