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9E29EE3" w:rsidR="004E60D2" w:rsidRPr="00252134" w:rsidRDefault="007C5962" w:rsidP="004E60D2">
      <w:pPr>
        <w:pStyle w:val="Subtitle"/>
        <w:spacing w:after="0"/>
        <w:rPr>
          <w:b w:val="0"/>
          <w:bCs w:val="0"/>
        </w:rPr>
        <w:sectPr w:rsidR="004E60D2" w:rsidRPr="00252134" w:rsidSect="004E60D2">
          <w:headerReference w:type="default" r:id="rId12"/>
          <w:footerReference w:type="default" r:id="rId13"/>
          <w:headerReference w:type="first" r:id="rId14"/>
          <w:footerReference w:type="first" r:id="rId15"/>
          <w:pgSz w:w="11906" w:h="16838" w:code="9"/>
          <w:pgMar w:top="1418" w:right="1418" w:bottom="1418" w:left="1418" w:header="862" w:footer="862" w:gutter="0"/>
          <w:pgNumType w:start="0"/>
          <w:cols w:space="708"/>
          <w:titlePg/>
          <w:docGrid w:linePitch="360"/>
        </w:sectPr>
      </w:pPr>
      <w:r>
        <w:t>Consultation Paper on d</w:t>
      </w:r>
      <w:r w:rsidRPr="007C5962">
        <w:t xml:space="preserve">raft RTS </w:t>
      </w:r>
      <w:r w:rsidR="00F71757" w:rsidRPr="00F71757">
        <w:t>amending Commission Delegated Regulation (RTS) 153/2013 in relation to public guarantees, public bank guarantees and commercial bank guarantees as collateral and in relation to certain aspects of investment policy and highly secure arrangements for the deposit of financial instruments</w:t>
      </w:r>
      <w:r w:rsidRPr="007C5962">
        <w:t xml:space="preserve">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1CEE37B1">
                <wp:simplePos x="0" y="0"/>
                <wp:positionH relativeFrom="page">
                  <wp:align>right</wp:align>
                </wp:positionH>
                <wp:positionV relativeFrom="paragraph">
                  <wp:posOffset>1171575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13B62" id="Freeform: Shape 1" o:spid="_x0000_s1026" style="position:absolute;margin-left:544.9pt;margin-top:92.25pt;width:596.1pt;height:769.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JVJyAT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3868228" w:rsidR="00E70E2E" w:rsidRDefault="00E70E2E" w:rsidP="00E70E2E">
      <w:pPr>
        <w:rPr>
          <w:b/>
        </w:rPr>
      </w:pPr>
      <w:r w:rsidRPr="00517886">
        <w:t xml:space="preserve">ESMA will consider all comments received by </w:t>
      </w:r>
      <w:r w:rsidR="00366A11">
        <w:rPr>
          <w:b/>
        </w:rPr>
        <w:t>30 April</w:t>
      </w:r>
      <w:r w:rsidR="009013B5">
        <w:rPr>
          <w:b/>
        </w:rPr>
        <w:t xml:space="preserve">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3E37C3D0"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74C84">
        <w:t>COLL</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661D9C2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F74C84">
        <w:t>COLL</w:t>
      </w:r>
      <w:r w:rsidRPr="00863BFD">
        <w:t>_nameofrespondent</w:t>
      </w:r>
      <w:proofErr w:type="spellEnd"/>
      <w:r w:rsidRPr="00863BFD">
        <w:t xml:space="preserve">. </w:t>
      </w:r>
    </w:p>
    <w:p w14:paraId="115A7ABF" w14:textId="3BB0FDD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350CE0">
        <w:t>COLL</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6DC404E3" w:rsidR="00C2682A" w:rsidRPr="00104E00" w:rsidRDefault="00B15EDF" w:rsidP="00104E00">
                <w:pPr>
                  <w:jc w:val="left"/>
                  <w:rPr>
                    <w:rStyle w:val="PlaceholderText"/>
                  </w:rPr>
                </w:pPr>
                <w:r>
                  <w:rPr>
                    <w:rStyle w:val="PlaceholderText"/>
                  </w:rPr>
                  <w:t>International Swaps and Derivatives Association</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7BD519E6"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B15EDF">
                  <w:t>Banking sector</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4727A20A" w:rsidR="00C2682A" w:rsidRPr="00104E00" w:rsidRDefault="00B15EDF"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501FAA38" w:rsidR="00C2682A" w:rsidRPr="00104E00" w:rsidRDefault="00B15EDF" w:rsidP="00104E00">
                <w:pPr>
                  <w:jc w:val="left"/>
                </w:pPr>
                <w:r>
                  <w:t>International</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7FEBD42E" w:rsidR="00693907" w:rsidRPr="00B15006" w:rsidRDefault="0042141E" w:rsidP="00693907">
      <w:pPr>
        <w:pStyle w:val="Questionstyle"/>
      </w:pPr>
      <w:r w:rsidRPr="0042141E">
        <w:t>Do</w:t>
      </w:r>
      <w:r w:rsidR="001C3526">
        <w:t xml:space="preserve"> </w:t>
      </w:r>
      <w:r w:rsidR="001C3526" w:rsidRPr="001C3526">
        <w:t>you agree that the existing provision on concentration limits should apply to guarantees and as such Article 42 should be amended to provide legal clarity on this?</w:t>
      </w:r>
      <w:r w:rsidR="00693907" w:rsidRPr="00B15006">
        <w:t xml:space="preserve"> </w:t>
      </w:r>
    </w:p>
    <w:p w14:paraId="1E634CEC" w14:textId="509E79DC" w:rsidR="00693907" w:rsidRDefault="00693907" w:rsidP="00693907">
      <w:r>
        <w:t>&lt;ESMA_QUESTION_</w:t>
      </w:r>
      <w:r w:rsidR="00B744D6">
        <w:t>COLL</w:t>
      </w:r>
      <w:r>
        <w:t>_1&gt;</w:t>
      </w:r>
    </w:p>
    <w:p w14:paraId="5C2C8D04" w14:textId="77777777" w:rsidR="00676B90" w:rsidRDefault="00676B90" w:rsidP="00676B90">
      <w:pPr>
        <w:spacing w:after="120"/>
        <w:rPr>
          <w:bCs/>
        </w:rPr>
      </w:pPr>
      <w:r w:rsidRPr="00D744DB">
        <w:rPr>
          <w:bCs/>
        </w:rPr>
        <w:t xml:space="preserve">We agree with ESMA’s approach to amending Article 42 of RTS 153/2013, to provide further clarity on the application to guarantees of the existing requirements on concentration risk. It is crucial that the use of guarantees be governed by a robust concentration risk framework at the level of the CCP. The proposed addition to Article 42 helpfully extends the scope of current requirements for CCPs on concentration limits to guarantees, explicitly requiring that CCPs should determine conservative limits also in relation to guarantees, in terms of “economic sector, activity, geographic region” (per Article 42(3)(a)) as well as at the level of issuers and clearing members (per Article 42(2)). </w:t>
      </w:r>
    </w:p>
    <w:p w14:paraId="342AC2EC" w14:textId="77777777" w:rsidR="00676B90" w:rsidRDefault="00676B90" w:rsidP="00676B90">
      <w:pPr>
        <w:spacing w:after="120"/>
        <w:rPr>
          <w:bCs/>
        </w:rPr>
      </w:pPr>
      <w:r>
        <w:rPr>
          <w:bCs/>
        </w:rPr>
        <w:t xml:space="preserve">We note that one of the eligibility conditions, as set out in Section 2 of Annex I, sets out that the guarantee should not introduce significant wrong way risk. In addition, Article 42(3)(a) sets out that concentration limits should consider, among other criteria, financial instruments and guarantees issued by issuers of the same type. We see these considerations as very important, </w:t>
      </w:r>
      <w:r w:rsidRPr="00D744DB">
        <w:rPr>
          <w:bCs/>
        </w:rPr>
        <w:t>for CCPs to ensure that guarantees, especially those issued by clearing members or their group entities, do not give rise to concentration, correlation or contagion risks that undermine the risk</w:t>
      </w:r>
      <w:r w:rsidRPr="00D744DB">
        <w:rPr>
          <w:bCs/>
        </w:rPr>
        <w:noBreakHyphen/>
        <w:t>segregating objectives of central clearing. Robust concentration limits</w:t>
      </w:r>
      <w:r>
        <w:rPr>
          <w:bCs/>
        </w:rPr>
        <w:t xml:space="preserve"> – following Article 42, subject to the suggested changes,</w:t>
      </w:r>
      <w:r w:rsidRPr="00D744DB">
        <w:rPr>
          <w:bCs/>
        </w:rPr>
        <w:t xml:space="preserve"> issuer credit</w:t>
      </w:r>
      <w:r w:rsidRPr="00D744DB">
        <w:rPr>
          <w:bCs/>
        </w:rPr>
        <w:noBreakHyphen/>
        <w:t xml:space="preserve">quality requirements </w:t>
      </w:r>
      <w:r>
        <w:rPr>
          <w:bCs/>
        </w:rPr>
        <w:t xml:space="preserve">– per the requirement under Section 2 of Annex I, </w:t>
      </w:r>
      <w:r w:rsidRPr="00D744DB">
        <w:rPr>
          <w:bCs/>
        </w:rPr>
        <w:t>and CCP</w:t>
      </w:r>
      <w:r w:rsidRPr="00D744DB">
        <w:rPr>
          <w:bCs/>
        </w:rPr>
        <w:noBreakHyphen/>
        <w:t>level oversight are therefore essential</w:t>
      </w:r>
      <w:r>
        <w:rPr>
          <w:bCs/>
        </w:rPr>
        <w:t>,</w:t>
      </w:r>
      <w:r w:rsidRPr="00D744DB">
        <w:rPr>
          <w:bCs/>
        </w:rPr>
        <w:t xml:space="preserve"> where such structures are permitted.</w:t>
      </w:r>
    </w:p>
    <w:p w14:paraId="6784A3DC" w14:textId="77777777" w:rsidR="00676B90" w:rsidRPr="00D744DB" w:rsidRDefault="00676B90" w:rsidP="00676B90">
      <w:pPr>
        <w:spacing w:after="120"/>
        <w:rPr>
          <w:bCs/>
        </w:rPr>
      </w:pPr>
      <w:r>
        <w:rPr>
          <w:bCs/>
        </w:rPr>
        <w:t>With regards to CCP-level oversight specifically, w</w:t>
      </w:r>
      <w:r w:rsidRPr="00D744DB">
        <w:rPr>
          <w:bCs/>
        </w:rPr>
        <w:t xml:space="preserve">e suggest </w:t>
      </w:r>
      <w:r w:rsidRPr="00A51481">
        <w:rPr>
          <w:bCs/>
        </w:rPr>
        <w:t>requiring</w:t>
      </w:r>
      <w:r w:rsidRPr="00D744DB">
        <w:rPr>
          <w:bCs/>
        </w:rPr>
        <w:t xml:space="preserve"> that the CCP seeks advice from the risk committee on the concentration limits applying to guarantees, also adding the following requirements to strengthen the risk management framework surrounding the use of guarantees (please see our suggested drafting in the draft RTS text included in Annex):</w:t>
      </w:r>
    </w:p>
    <w:p w14:paraId="668F1DBD" w14:textId="77777777" w:rsidR="00676B90" w:rsidRDefault="00676B90" w:rsidP="00676B90">
      <w:pPr>
        <w:pStyle w:val="ListParagraph"/>
        <w:numPr>
          <w:ilvl w:val="0"/>
          <w:numId w:val="37"/>
        </w:numPr>
        <w:spacing w:after="120" w:line="259" w:lineRule="auto"/>
        <w:jc w:val="left"/>
        <w:rPr>
          <w:bCs/>
        </w:rPr>
      </w:pPr>
      <w:r w:rsidRPr="00F77415">
        <w:rPr>
          <w:bCs/>
        </w:rPr>
        <w:lastRenderedPageBreak/>
        <w:t>under Article 42(8)</w:t>
      </w:r>
      <w:r w:rsidRPr="00D744DB">
        <w:rPr>
          <w:bCs/>
        </w:rPr>
        <w:t>,</w:t>
      </w:r>
      <w:r w:rsidRPr="00F77415">
        <w:rPr>
          <w:bCs/>
        </w:rPr>
        <w:t xml:space="preserve"> to require CCP</w:t>
      </w:r>
      <w:r>
        <w:rPr>
          <w:bCs/>
        </w:rPr>
        <w:t>s to</w:t>
      </w:r>
      <w:r w:rsidRPr="00F77415">
        <w:rPr>
          <w:bCs/>
        </w:rPr>
        <w:t xml:space="preserve"> seek advice from the risk committee in relation to </w:t>
      </w:r>
      <w:r>
        <w:rPr>
          <w:bCs/>
        </w:rPr>
        <w:t>their</w:t>
      </w:r>
      <w:r w:rsidRPr="00F77415">
        <w:rPr>
          <w:bCs/>
        </w:rPr>
        <w:t xml:space="preserve"> concentration risk framework in relation to guarantees</w:t>
      </w:r>
      <w:r>
        <w:rPr>
          <w:bCs/>
        </w:rPr>
        <w:t xml:space="preserve">, explaining how they have taken into consideration the criteria set out under Article 42(3), (4), (5) and (6) in relation to </w:t>
      </w:r>
      <w:proofErr w:type="gramStart"/>
      <w:r>
        <w:rPr>
          <w:bCs/>
        </w:rPr>
        <w:t>guarantees;</w:t>
      </w:r>
      <w:proofErr w:type="gramEnd"/>
    </w:p>
    <w:p w14:paraId="1B74CE4E" w14:textId="77777777" w:rsidR="00676B90" w:rsidRPr="00D744DB" w:rsidRDefault="00676B90" w:rsidP="00676B90">
      <w:pPr>
        <w:pStyle w:val="ListParagraph"/>
        <w:numPr>
          <w:ilvl w:val="0"/>
          <w:numId w:val="37"/>
        </w:numPr>
        <w:spacing w:after="120" w:line="259" w:lineRule="auto"/>
        <w:jc w:val="left"/>
        <w:rPr>
          <w:bCs/>
        </w:rPr>
      </w:pPr>
      <w:r>
        <w:rPr>
          <w:bCs/>
        </w:rPr>
        <w:t xml:space="preserve">under Article 42(4), to require CCPs to define a limit on the proportion of their total collateral that may take the form of uncollateralised bank </w:t>
      </w:r>
      <w:proofErr w:type="gramStart"/>
      <w:r>
        <w:rPr>
          <w:bCs/>
        </w:rPr>
        <w:t>guarantees;</w:t>
      </w:r>
      <w:proofErr w:type="gramEnd"/>
    </w:p>
    <w:p w14:paraId="6B1B365D" w14:textId="77777777" w:rsidR="00676B90" w:rsidRPr="00D744DB" w:rsidRDefault="00676B90" w:rsidP="00676B90">
      <w:pPr>
        <w:pStyle w:val="ListParagraph"/>
        <w:numPr>
          <w:ilvl w:val="0"/>
          <w:numId w:val="37"/>
        </w:numPr>
        <w:spacing w:after="120" w:line="259" w:lineRule="auto"/>
        <w:jc w:val="left"/>
        <w:rPr>
          <w:bCs/>
        </w:rPr>
      </w:pPr>
      <w:r w:rsidRPr="00D744DB">
        <w:rPr>
          <w:bCs/>
        </w:rPr>
        <w:t xml:space="preserve">under Article 53(4), to require CCPs to consider as part of their stress testing the consequence of a default of an issuing </w:t>
      </w:r>
      <w:proofErr w:type="gramStart"/>
      <w:r w:rsidRPr="00D744DB">
        <w:rPr>
          <w:bCs/>
        </w:rPr>
        <w:t>bank;</w:t>
      </w:r>
      <w:proofErr w:type="gramEnd"/>
    </w:p>
    <w:p w14:paraId="0E017830" w14:textId="77777777" w:rsidR="00676B90" w:rsidRPr="00F77415" w:rsidRDefault="00676B90" w:rsidP="00676B90">
      <w:pPr>
        <w:pStyle w:val="ListParagraph"/>
        <w:numPr>
          <w:ilvl w:val="0"/>
          <w:numId w:val="37"/>
        </w:numPr>
        <w:spacing w:after="120" w:line="259" w:lineRule="auto"/>
        <w:jc w:val="left"/>
        <w:rPr>
          <w:bCs/>
        </w:rPr>
      </w:pPr>
      <w:r w:rsidRPr="00D744DB">
        <w:rPr>
          <w:bCs/>
        </w:rPr>
        <w:t>under paragraph (f) of Annex I for bank guarantees (and similarly for other types of issuers), to require CCP</w:t>
      </w:r>
      <w:r>
        <w:rPr>
          <w:bCs/>
        </w:rPr>
        <w:t>s to</w:t>
      </w:r>
      <w:r w:rsidRPr="00D744DB">
        <w:rPr>
          <w:bCs/>
        </w:rPr>
        <w:t xml:space="preserve"> test the capacity to draw on the guarantee, or to transfer it to the clearing member, at least on a yearly basis.</w:t>
      </w:r>
    </w:p>
    <w:p w14:paraId="696C7A37" w14:textId="77777777" w:rsidR="00676B90" w:rsidRDefault="00676B90" w:rsidP="00676B90">
      <w:pPr>
        <w:spacing w:after="120"/>
        <w:rPr>
          <w:bCs/>
        </w:rPr>
      </w:pPr>
      <w:r>
        <w:rPr>
          <w:bCs/>
        </w:rPr>
        <w:t>Finally, w</w:t>
      </w:r>
      <w:r w:rsidRPr="00D744DB">
        <w:rPr>
          <w:bCs/>
        </w:rPr>
        <w:t xml:space="preserve">e suggest deleting the second sentence of Article 42(4), as the increase of the single issuer limit to 25% when 50% of collateral is in the form of commercial bank guarantees – already in the existing RTS – would </w:t>
      </w:r>
      <w:r>
        <w:rPr>
          <w:bCs/>
        </w:rPr>
        <w:t>potentially allow for</w:t>
      </w:r>
      <w:r w:rsidRPr="00D744DB">
        <w:rPr>
          <w:bCs/>
        </w:rPr>
        <w:t xml:space="preserve"> </w:t>
      </w:r>
      <w:r>
        <w:rPr>
          <w:bCs/>
        </w:rPr>
        <w:t>outsized</w:t>
      </w:r>
      <w:r w:rsidRPr="00D744DB">
        <w:rPr>
          <w:bCs/>
        </w:rPr>
        <w:t xml:space="preserve"> concentration on one single </w:t>
      </w:r>
      <w:r>
        <w:rPr>
          <w:bCs/>
        </w:rPr>
        <w:t>issuer</w:t>
      </w:r>
      <w:r w:rsidRPr="00D744DB">
        <w:rPr>
          <w:bCs/>
        </w:rPr>
        <w:t>.</w:t>
      </w:r>
    </w:p>
    <w:p w14:paraId="01997357" w14:textId="77777777" w:rsidR="00676B90" w:rsidRPr="00C3658E" w:rsidRDefault="00676B90" w:rsidP="00676B90">
      <w:pPr>
        <w:spacing w:after="120"/>
        <w:rPr>
          <w:bCs/>
          <w:i/>
          <w:iCs/>
        </w:rPr>
      </w:pPr>
      <w:r w:rsidRPr="00C3658E">
        <w:rPr>
          <w:bCs/>
          <w:i/>
          <w:iCs/>
        </w:rPr>
        <w:t xml:space="preserve">Please refer to the drafting suggestions on the proposed draft RTS, which we have included in the Annex </w:t>
      </w:r>
      <w:r>
        <w:rPr>
          <w:bCs/>
          <w:i/>
          <w:iCs/>
        </w:rPr>
        <w:t>submitted alongside</w:t>
      </w:r>
      <w:r w:rsidRPr="00C3658E">
        <w:rPr>
          <w:bCs/>
          <w:i/>
          <w:iCs/>
        </w:rPr>
        <w:t xml:space="preserve"> our response.</w:t>
      </w:r>
    </w:p>
    <w:p w14:paraId="7D4640BC" w14:textId="4AD0283A" w:rsidR="00693907" w:rsidRDefault="00693907" w:rsidP="00693907">
      <w:r>
        <w:t>&lt;ESMA_QUESTION_</w:t>
      </w:r>
      <w:r w:rsidR="00B744D6">
        <w:t>COLL</w:t>
      </w:r>
      <w:r>
        <w:t>_1&gt;</w:t>
      </w:r>
    </w:p>
    <w:p w14:paraId="0B2E60F7" w14:textId="77777777" w:rsidR="00693907" w:rsidRDefault="00693907" w:rsidP="00693907"/>
    <w:p w14:paraId="0D4A902B" w14:textId="67C691EF" w:rsidR="00693907" w:rsidRPr="00C57036" w:rsidRDefault="007C5CE7" w:rsidP="00693907">
      <w:pPr>
        <w:pStyle w:val="Questionstyle"/>
      </w:pPr>
      <w:r w:rsidRPr="007C5CE7">
        <w:t>Do</w:t>
      </w:r>
      <w:r w:rsidR="002C497F">
        <w:t xml:space="preserve"> </w:t>
      </w:r>
      <w:r w:rsidR="002C497F" w:rsidRPr="002C497F">
        <w:t xml:space="preserve">you agree with the inclusion of the level of collateralisation of the guarantee as a criterion for the CCP to consider when establishing concentration limits? </w:t>
      </w:r>
      <w:r w:rsidR="00693907" w:rsidRPr="00C57036">
        <w:t xml:space="preserve">   </w:t>
      </w:r>
    </w:p>
    <w:p w14:paraId="00896A16" w14:textId="79A6D7D2" w:rsidR="00693907" w:rsidRDefault="00693907" w:rsidP="00693907">
      <w:r>
        <w:t>&lt;ESMA_QUESTION_</w:t>
      </w:r>
      <w:r w:rsidR="008D6D0B">
        <w:t>COLL</w:t>
      </w:r>
      <w:r>
        <w:t>_2&gt;</w:t>
      </w:r>
    </w:p>
    <w:p w14:paraId="6F159BF1" w14:textId="77777777" w:rsidR="008B7001" w:rsidRDefault="008B7001" w:rsidP="008B7001">
      <w:pPr>
        <w:spacing w:after="0"/>
        <w:rPr>
          <w:bCs/>
        </w:rPr>
      </w:pPr>
      <w:r w:rsidRPr="00D744DB">
        <w:rPr>
          <w:bCs/>
        </w:rPr>
        <w:t xml:space="preserve">We are not aware of any potential meaningful use for collateralised bank guarantees. As a principle, while it </w:t>
      </w:r>
      <w:r>
        <w:rPr>
          <w:bCs/>
        </w:rPr>
        <w:t>could make</w:t>
      </w:r>
      <w:r w:rsidRPr="00D744DB">
        <w:rPr>
          <w:bCs/>
        </w:rPr>
        <w:t xml:space="preserve"> sense to consider the level of collateralization, this specific RTS is about permitting uncollateralised bank guarantees for use by NFCs, who do not have readily available </w:t>
      </w:r>
      <w:r>
        <w:rPr>
          <w:bCs/>
        </w:rPr>
        <w:t>liquid</w:t>
      </w:r>
      <w:r w:rsidRPr="00D744DB">
        <w:rPr>
          <w:bCs/>
        </w:rPr>
        <w:t xml:space="preserve"> collateral. If NFCs did have </w:t>
      </w:r>
      <w:r>
        <w:rPr>
          <w:bCs/>
        </w:rPr>
        <w:t>liquid</w:t>
      </w:r>
      <w:r w:rsidRPr="00D744DB">
        <w:rPr>
          <w:bCs/>
        </w:rPr>
        <w:t xml:space="preserve"> collateral, they would </w:t>
      </w:r>
      <w:r>
        <w:rPr>
          <w:bCs/>
        </w:rPr>
        <w:t xml:space="preserve">likely </w:t>
      </w:r>
      <w:r w:rsidRPr="00D744DB">
        <w:rPr>
          <w:bCs/>
        </w:rPr>
        <w:t>be posting this directly rather than seek</w:t>
      </w:r>
      <w:r>
        <w:rPr>
          <w:bCs/>
        </w:rPr>
        <w:t>ing</w:t>
      </w:r>
      <w:r w:rsidRPr="00D744DB">
        <w:rPr>
          <w:bCs/>
        </w:rPr>
        <w:t xml:space="preserve"> guarantees. </w:t>
      </w:r>
    </w:p>
    <w:p w14:paraId="046A1299" w14:textId="77777777" w:rsidR="008B7001" w:rsidRPr="00D744DB" w:rsidRDefault="008B7001" w:rsidP="008B7001">
      <w:pPr>
        <w:spacing w:after="0"/>
        <w:rPr>
          <w:bCs/>
        </w:rPr>
      </w:pPr>
    </w:p>
    <w:p w14:paraId="456D2494" w14:textId="7C8052C1" w:rsidR="00693907" w:rsidRDefault="00693907" w:rsidP="00693907">
      <w:r>
        <w:t>&lt;ESMA_QUESTION_</w:t>
      </w:r>
      <w:r w:rsidR="008D6D0B">
        <w:t>COLL</w:t>
      </w:r>
      <w:r>
        <w:t>_2&gt;</w:t>
      </w:r>
    </w:p>
    <w:p w14:paraId="07210AC9" w14:textId="77777777" w:rsidR="00693907" w:rsidRDefault="00693907" w:rsidP="00693907"/>
    <w:p w14:paraId="19A7880E" w14:textId="433F68E8" w:rsidR="00693907" w:rsidRPr="00EB5987" w:rsidRDefault="006901CE" w:rsidP="00693907">
      <w:pPr>
        <w:pStyle w:val="Questionstyle"/>
      </w:pPr>
      <w:proofErr w:type="gramStart"/>
      <w:r w:rsidRPr="006901CE">
        <w:t>Do</w:t>
      </w:r>
      <w:r w:rsidR="005039EC">
        <w:t xml:space="preserve"> </w:t>
      </w:r>
      <w:r>
        <w:t xml:space="preserve"> </w:t>
      </w:r>
      <w:r w:rsidR="005039EC" w:rsidRPr="005039EC">
        <w:t>you</w:t>
      </w:r>
      <w:proofErr w:type="gramEnd"/>
      <w:r w:rsidR="005039EC" w:rsidRPr="005039EC">
        <w:t xml:space="preserve"> agree with the inclusion of the new criteria (e) in paragraph 3 of Article 42, so that the CCP can consider the activity of the non-financial client when setting concentration limits?</w:t>
      </w:r>
      <w:r w:rsidR="00693907" w:rsidRPr="00EB5987">
        <w:t xml:space="preserve">    </w:t>
      </w:r>
    </w:p>
    <w:p w14:paraId="4B1B3C0E" w14:textId="4203ECA6" w:rsidR="00693907" w:rsidRDefault="00693907" w:rsidP="00693907">
      <w:r>
        <w:t>&lt;ESMA_QUESTION_</w:t>
      </w:r>
      <w:r w:rsidR="008D6D0B">
        <w:t>COLL</w:t>
      </w:r>
      <w:r>
        <w:t>_3&gt;</w:t>
      </w:r>
    </w:p>
    <w:p w14:paraId="497AC513" w14:textId="77777777" w:rsidR="00BD650B" w:rsidRPr="00D744DB" w:rsidRDefault="00BD650B" w:rsidP="00BD650B">
      <w:pPr>
        <w:spacing w:after="0"/>
        <w:rPr>
          <w:bCs/>
        </w:rPr>
      </w:pPr>
      <w:r w:rsidRPr="00D744DB">
        <w:rPr>
          <w:bCs/>
        </w:rPr>
        <w:t xml:space="preserve">We agree with the inclusion of a new criteria (e) in paragraph 3 of Article 42, to specify that </w:t>
      </w:r>
      <w:r>
        <w:rPr>
          <w:bCs/>
        </w:rPr>
        <w:t xml:space="preserve">a </w:t>
      </w:r>
      <w:r w:rsidRPr="00D744DB">
        <w:rPr>
          <w:bCs/>
        </w:rPr>
        <w:t xml:space="preserve">CCP should consider the activity of the non-financial client when setting limits. We understand “activity” as referring to the sector in which the NFC operates. If guarantees are tagged with the client’s </w:t>
      </w:r>
      <w:r w:rsidRPr="00D744DB">
        <w:rPr>
          <w:bCs/>
        </w:rPr>
        <w:lastRenderedPageBreak/>
        <w:t xml:space="preserve">name, a CCP should be able </w:t>
      </w:r>
      <w:r>
        <w:rPr>
          <w:bCs/>
        </w:rPr>
        <w:t xml:space="preserve">to </w:t>
      </w:r>
      <w:proofErr w:type="gramStart"/>
      <w:r>
        <w:rPr>
          <w:bCs/>
        </w:rPr>
        <w:t>take into account</w:t>
      </w:r>
      <w:proofErr w:type="gramEnd"/>
      <w:r>
        <w:rPr>
          <w:bCs/>
        </w:rPr>
        <w:t xml:space="preserve"> the sector in which the client operates when setting concentration limits</w:t>
      </w:r>
      <w:r w:rsidRPr="00D744DB">
        <w:rPr>
          <w:bCs/>
        </w:rPr>
        <w:t>.</w:t>
      </w:r>
    </w:p>
    <w:p w14:paraId="05E733B6" w14:textId="77777777" w:rsidR="00BD650B" w:rsidRPr="00D744DB" w:rsidRDefault="00BD650B" w:rsidP="00BD650B">
      <w:pPr>
        <w:spacing w:after="0"/>
        <w:rPr>
          <w:bCs/>
        </w:rPr>
      </w:pPr>
    </w:p>
    <w:p w14:paraId="11B77D60" w14:textId="77777777" w:rsidR="00BD650B" w:rsidRDefault="00BD650B" w:rsidP="00BD650B">
      <w:pPr>
        <w:spacing w:after="0"/>
        <w:rPr>
          <w:bCs/>
        </w:rPr>
      </w:pPr>
      <w:r w:rsidRPr="00D744DB">
        <w:rPr>
          <w:bCs/>
        </w:rPr>
        <w:t xml:space="preserve">From a systemic risk perspective, the CCP should </w:t>
      </w:r>
      <w:r>
        <w:rPr>
          <w:bCs/>
        </w:rPr>
        <w:t>en</w:t>
      </w:r>
      <w:r w:rsidRPr="00D744DB">
        <w:rPr>
          <w:bCs/>
        </w:rPr>
        <w:t xml:space="preserve">sure that </w:t>
      </w:r>
      <w:r>
        <w:rPr>
          <w:bCs/>
        </w:rPr>
        <w:t>the</w:t>
      </w:r>
      <w:r w:rsidRPr="00D744DB">
        <w:rPr>
          <w:bCs/>
        </w:rPr>
        <w:t xml:space="preserve"> issuing bank </w:t>
      </w:r>
      <w:r>
        <w:rPr>
          <w:bCs/>
        </w:rPr>
        <w:t>is</w:t>
      </w:r>
      <w:r w:rsidRPr="00D744DB">
        <w:rPr>
          <w:bCs/>
        </w:rPr>
        <w:t xml:space="preserve"> not over-exposed to risk in the same sector as the client applying for the guarantee. This is to ensure that CCPs consider potential sources of concentration risk at multiple level, as discussed in response to question 1, and set appropriate limits. This should be addressed through the definition of concentration limits that </w:t>
      </w:r>
      <w:proofErr w:type="gramStart"/>
      <w:r w:rsidRPr="00D744DB">
        <w:rPr>
          <w:bCs/>
        </w:rPr>
        <w:t>take into account</w:t>
      </w:r>
      <w:proofErr w:type="gramEnd"/>
      <w:r w:rsidRPr="00D744DB">
        <w:rPr>
          <w:bCs/>
        </w:rPr>
        <w:t xml:space="preserve"> the criteria set out under Article 42 paragraphs 3, 5, and 6.</w:t>
      </w:r>
    </w:p>
    <w:p w14:paraId="7DC7A8BB" w14:textId="77777777" w:rsidR="00BD650B" w:rsidRPr="00D744DB" w:rsidRDefault="00BD650B" w:rsidP="00BD650B">
      <w:pPr>
        <w:spacing w:after="0"/>
        <w:rPr>
          <w:bCs/>
        </w:rPr>
      </w:pPr>
    </w:p>
    <w:p w14:paraId="7EF07F00" w14:textId="43ADDCB7" w:rsidR="00693907" w:rsidRDefault="00693907" w:rsidP="00693907">
      <w:r>
        <w:t>&lt;ESMA_QUESTION_</w:t>
      </w:r>
      <w:r w:rsidR="00135967">
        <w:t>COLL</w:t>
      </w:r>
      <w:r>
        <w:t>_3&gt;</w:t>
      </w:r>
    </w:p>
    <w:p w14:paraId="6B4516C3" w14:textId="77777777" w:rsidR="00693907" w:rsidRDefault="00693907" w:rsidP="00693907"/>
    <w:p w14:paraId="5487291B" w14:textId="0684972D" w:rsidR="00693907" w:rsidRPr="007966CD" w:rsidRDefault="00191142" w:rsidP="00693907">
      <w:pPr>
        <w:pStyle w:val="Questionstyle"/>
      </w:pPr>
      <w:r w:rsidRPr="00191142">
        <w:t>Shall there be specific concentration limits established for guarantees provided by non-clearing members, given these exposures are not considered in the Stress Test?</w:t>
      </w:r>
      <w:r w:rsidR="00693907" w:rsidRPr="007966CD">
        <w:t xml:space="preserve">   </w:t>
      </w:r>
    </w:p>
    <w:p w14:paraId="6040CACC" w14:textId="2C012C7C" w:rsidR="00693907" w:rsidRDefault="00693907" w:rsidP="00693907">
      <w:r>
        <w:t>&lt;ESMA_QUESTION_</w:t>
      </w:r>
      <w:r w:rsidR="00E665F4">
        <w:t>COLL</w:t>
      </w:r>
      <w:r>
        <w:t>_4&gt;</w:t>
      </w:r>
    </w:p>
    <w:p w14:paraId="03EA813F" w14:textId="77777777" w:rsidR="00CD0D14" w:rsidRPr="00D744DB" w:rsidRDefault="00CD0D14" w:rsidP="00CD0D14">
      <w:pPr>
        <w:spacing w:after="0"/>
        <w:rPr>
          <w:bCs/>
        </w:rPr>
      </w:pPr>
      <w:r w:rsidRPr="00D744DB">
        <w:rPr>
          <w:bCs/>
        </w:rPr>
        <w:t>We suggest that ESMA sets a specific concentration limit for guarantees provided by non-clearing members. The CCP should also seek advice from the risk committee, as part of discussions on the concentration risk framework, on the credit risk monitoring and limit framework that applies to non-clearing member issuers</w:t>
      </w:r>
      <w:r w:rsidRPr="009930F6">
        <w:rPr>
          <w:bCs/>
        </w:rPr>
        <w:t>.</w:t>
      </w:r>
      <w:r w:rsidRPr="00D744DB">
        <w:rPr>
          <w:bCs/>
          <w:highlight w:val="yellow"/>
        </w:rPr>
        <w:t xml:space="preserve"> </w:t>
      </w:r>
    </w:p>
    <w:p w14:paraId="566D0149" w14:textId="77777777" w:rsidR="00CD0D14" w:rsidRPr="00D744DB" w:rsidRDefault="00CD0D14" w:rsidP="00CD0D14">
      <w:pPr>
        <w:spacing w:after="0"/>
        <w:rPr>
          <w:bCs/>
        </w:rPr>
      </w:pPr>
    </w:p>
    <w:p w14:paraId="2ED73E96" w14:textId="77777777" w:rsidR="00CD0D14" w:rsidRDefault="00CD0D14" w:rsidP="00CD0D14">
      <w:pPr>
        <w:spacing w:after="0"/>
        <w:rPr>
          <w:bCs/>
        </w:rPr>
      </w:pPr>
      <w:r w:rsidRPr="00D744DB">
        <w:rPr>
          <w:bCs/>
        </w:rPr>
        <w:t xml:space="preserve">We also note that a guarantee provided by a non-clearing member would have the advantage of not being linked to any clearing member and therefore would not pose the risk of a double default situation (the client defaults </w:t>
      </w:r>
      <w:proofErr w:type="gramStart"/>
      <w:r w:rsidRPr="00D744DB">
        <w:rPr>
          <w:bCs/>
        </w:rPr>
        <w:t>and also</w:t>
      </w:r>
      <w:proofErr w:type="gramEnd"/>
      <w:r w:rsidRPr="00D744DB">
        <w:rPr>
          <w:bCs/>
        </w:rPr>
        <w:t xml:space="preserve"> the guarantor).</w:t>
      </w:r>
    </w:p>
    <w:p w14:paraId="48FA82F0" w14:textId="77777777" w:rsidR="00CD0D14" w:rsidRPr="00D744DB" w:rsidRDefault="00CD0D14" w:rsidP="00CD0D14">
      <w:pPr>
        <w:spacing w:after="0"/>
        <w:rPr>
          <w:bCs/>
        </w:rPr>
      </w:pPr>
    </w:p>
    <w:p w14:paraId="0AB70AFF" w14:textId="7279ACFE" w:rsidR="00693907" w:rsidRDefault="00693907" w:rsidP="00693907">
      <w:r>
        <w:t>&lt;ESMA_QUESTION_</w:t>
      </w:r>
      <w:r w:rsidR="00E665F4">
        <w:t>COLL</w:t>
      </w:r>
      <w:r>
        <w:t>_4&gt;</w:t>
      </w:r>
    </w:p>
    <w:p w14:paraId="2B2D8140" w14:textId="77777777" w:rsidR="00693907" w:rsidRDefault="00693907" w:rsidP="00693907"/>
    <w:p w14:paraId="0BC438F6" w14:textId="3D7F0085" w:rsidR="00693907" w:rsidRPr="007966CD" w:rsidRDefault="00625ABA" w:rsidP="00693907">
      <w:pPr>
        <w:pStyle w:val="Questionstyle"/>
      </w:pPr>
      <w:r w:rsidRPr="00625ABA">
        <w:t xml:space="preserve">Is ESMA’s </w:t>
      </w:r>
      <w:proofErr w:type="gramStart"/>
      <w:r w:rsidRPr="00625ABA">
        <w:t>understanding</w:t>
      </w:r>
      <w:proofErr w:type="gramEnd"/>
      <w:r w:rsidRPr="00625ABA">
        <w:t xml:space="preserve"> correct? Are there other essential features of the guarantees that should be highlighted?</w:t>
      </w:r>
      <w:r w:rsidR="00693907" w:rsidRPr="007966CD">
        <w:t xml:space="preserve">   </w:t>
      </w:r>
    </w:p>
    <w:p w14:paraId="01C9FE80" w14:textId="0C467029" w:rsidR="00693907" w:rsidRDefault="00693907" w:rsidP="00693907">
      <w:r>
        <w:t>&lt;ESMA_QUESTION_</w:t>
      </w:r>
      <w:r w:rsidR="00863ECB">
        <w:t>COLL</w:t>
      </w:r>
      <w:r>
        <w:t>_5&gt;</w:t>
      </w:r>
    </w:p>
    <w:p w14:paraId="36F89D62" w14:textId="77777777" w:rsidR="00307219" w:rsidRPr="00D744DB" w:rsidRDefault="00307219" w:rsidP="00307219">
      <w:pPr>
        <w:spacing w:after="0"/>
        <w:rPr>
          <w:bCs/>
        </w:rPr>
      </w:pPr>
      <w:r w:rsidRPr="00D744DB">
        <w:rPr>
          <w:bCs/>
        </w:rPr>
        <w:t xml:space="preserve">We have </w:t>
      </w:r>
      <w:proofErr w:type="gramStart"/>
      <w:r w:rsidRPr="00D744DB">
        <w:rPr>
          <w:bCs/>
        </w:rPr>
        <w:t>a number of</w:t>
      </w:r>
      <w:proofErr w:type="gramEnd"/>
      <w:r w:rsidRPr="00D744DB">
        <w:rPr>
          <w:bCs/>
        </w:rPr>
        <w:t xml:space="preserve"> comments on the functioning of the guarantees as described by ESMA under paragraph 20.</w:t>
      </w:r>
    </w:p>
    <w:p w14:paraId="7ABA80B7" w14:textId="77777777" w:rsidR="00307219" w:rsidRPr="00D744DB" w:rsidRDefault="00307219" w:rsidP="00307219">
      <w:pPr>
        <w:spacing w:after="0"/>
        <w:rPr>
          <w:bCs/>
        </w:rPr>
      </w:pPr>
    </w:p>
    <w:p w14:paraId="5FE8F958" w14:textId="3443E6A7" w:rsidR="00307219" w:rsidRPr="00D744DB" w:rsidRDefault="00307219" w:rsidP="00307219">
      <w:pPr>
        <w:spacing w:after="0"/>
        <w:rPr>
          <w:b/>
        </w:rPr>
      </w:pPr>
      <w:r w:rsidRPr="00D744DB">
        <w:rPr>
          <w:b/>
        </w:rPr>
        <w:t>Use of the guarantee to the benefit of the clearing member in the event of a client default</w:t>
      </w:r>
    </w:p>
    <w:p w14:paraId="07B29165" w14:textId="77777777" w:rsidR="00307219" w:rsidRPr="00D744DB" w:rsidRDefault="00307219" w:rsidP="00307219">
      <w:pPr>
        <w:spacing w:after="0"/>
        <w:rPr>
          <w:b/>
        </w:rPr>
      </w:pPr>
    </w:p>
    <w:p w14:paraId="68807CCC" w14:textId="77777777" w:rsidR="00307219" w:rsidRPr="00D744DB" w:rsidRDefault="00307219" w:rsidP="00307219">
      <w:pPr>
        <w:spacing w:after="120"/>
        <w:rPr>
          <w:bCs/>
          <w:i/>
          <w:iCs/>
        </w:rPr>
      </w:pPr>
      <w:r w:rsidRPr="00D744DB">
        <w:rPr>
          <w:bCs/>
        </w:rPr>
        <w:t xml:space="preserve">In paragraph 20, ESMA notes </w:t>
      </w:r>
      <w:r w:rsidRPr="00D744DB">
        <w:rPr>
          <w:bCs/>
          <w:i/>
          <w:iCs/>
        </w:rPr>
        <w:t xml:space="preserve">“In case of a client default alone, considering that the CCP does not have a direct contractual relationship with the client, the guarantee should not be executed by the </w:t>
      </w:r>
      <w:r w:rsidRPr="00D744DB">
        <w:rPr>
          <w:bCs/>
          <w:i/>
          <w:iCs/>
        </w:rPr>
        <w:lastRenderedPageBreak/>
        <w:t xml:space="preserve">CCP unless the default of the client causes the clearing member to default on its obligations to the CCP”. </w:t>
      </w:r>
    </w:p>
    <w:p w14:paraId="2440854A" w14:textId="77777777" w:rsidR="00307219" w:rsidRPr="00D744DB" w:rsidRDefault="00307219" w:rsidP="00307219">
      <w:pPr>
        <w:spacing w:after="120"/>
        <w:rPr>
          <w:bCs/>
        </w:rPr>
      </w:pPr>
      <w:r w:rsidRPr="00D744DB">
        <w:rPr>
          <w:bCs/>
        </w:rPr>
        <w:t xml:space="preserve">We have some comments on the description by ESMA of a mechanism where the guarantee is only executed by the CCP in the event of a default of the clearing member. </w:t>
      </w:r>
      <w:r>
        <w:rPr>
          <w:bCs/>
        </w:rPr>
        <w:t xml:space="preserve">The </w:t>
      </w:r>
      <w:r w:rsidRPr="00D744DB">
        <w:rPr>
          <w:bCs/>
        </w:rPr>
        <w:t>clearing member is responsible for the client’s performance and will collect margin accordingly.</w:t>
      </w:r>
      <w:r>
        <w:rPr>
          <w:bCs/>
        </w:rPr>
        <w:t xml:space="preserve"> </w:t>
      </w:r>
      <w:r w:rsidRPr="00D744DB">
        <w:rPr>
          <w:bCs/>
        </w:rPr>
        <w:t xml:space="preserve"> If the client defaults, the clearing member would manage the default, including using any posted collateral.</w:t>
      </w:r>
    </w:p>
    <w:p w14:paraId="5A461FEE" w14:textId="77777777" w:rsidR="00307219" w:rsidRPr="00D744DB" w:rsidRDefault="00307219" w:rsidP="00307219">
      <w:pPr>
        <w:spacing w:after="120"/>
        <w:rPr>
          <w:bCs/>
        </w:rPr>
      </w:pPr>
      <w:r>
        <w:rPr>
          <w:bCs/>
        </w:rPr>
        <w:t>In the event a clearing member has accepted a construct where a client provides an uncollateralised bank guarantee, it</w:t>
      </w:r>
      <w:r w:rsidRPr="00D744DB">
        <w:rPr>
          <w:bCs/>
        </w:rPr>
        <w:t xml:space="preserve"> appears unworkable </w:t>
      </w:r>
      <w:r>
        <w:rPr>
          <w:bCs/>
        </w:rPr>
        <w:t xml:space="preserve">if </w:t>
      </w:r>
      <w:r w:rsidRPr="00D744DB">
        <w:rPr>
          <w:bCs/>
        </w:rPr>
        <w:t>the clearing member is responsible for the performance o</w:t>
      </w:r>
      <w:r>
        <w:rPr>
          <w:bCs/>
        </w:rPr>
        <w:t>f</w:t>
      </w:r>
      <w:r w:rsidRPr="00D744DB">
        <w:rPr>
          <w:bCs/>
        </w:rPr>
        <w:t xml:space="preserve"> the client’s account </w:t>
      </w:r>
      <w:r>
        <w:rPr>
          <w:bCs/>
        </w:rPr>
        <w:t xml:space="preserve">but does not have access to collateral, including </w:t>
      </w:r>
      <w:r w:rsidRPr="00D744DB">
        <w:rPr>
          <w:bCs/>
        </w:rPr>
        <w:t>guarantees. Unless the CCP relies upon the guarantee in a client default, the client is unlikely to benefit from this type of collateral because the clearing member is likely to call further collateral to cover its exposure to the client, which is not covered by the guarantee</w:t>
      </w:r>
      <w:r>
        <w:rPr>
          <w:bCs/>
        </w:rPr>
        <w:t>, or will not agree to the client posting a guarantee in the first place.</w:t>
      </w:r>
    </w:p>
    <w:p w14:paraId="4F43C234" w14:textId="77777777" w:rsidR="00307219" w:rsidRPr="00D744DB" w:rsidRDefault="00307219" w:rsidP="00307219">
      <w:pPr>
        <w:spacing w:after="120"/>
        <w:rPr>
          <w:bCs/>
        </w:rPr>
      </w:pPr>
      <w:r w:rsidRPr="00D744DB">
        <w:rPr>
          <w:bCs/>
        </w:rPr>
        <w:t xml:space="preserve">Therefore, the approach described by ESMA that a CCP can only call a guarantee where a </w:t>
      </w:r>
      <w:proofErr w:type="gramStart"/>
      <w:r w:rsidRPr="00D744DB">
        <w:rPr>
          <w:bCs/>
        </w:rPr>
        <w:t>clearing member defaults</w:t>
      </w:r>
      <w:proofErr w:type="gramEnd"/>
      <w:r w:rsidRPr="00D744DB">
        <w:rPr>
          <w:bCs/>
        </w:rPr>
        <w:t xml:space="preserve"> looks difficult to apply in practice.  </w:t>
      </w:r>
      <w:proofErr w:type="gramStart"/>
      <w:r w:rsidRPr="00D744DB">
        <w:rPr>
          <w:bCs/>
        </w:rPr>
        <w:t>In order for</w:t>
      </w:r>
      <w:proofErr w:type="gramEnd"/>
      <w:r w:rsidRPr="00D744DB">
        <w:rPr>
          <w:bCs/>
        </w:rPr>
        <w:t xml:space="preserve"> this to be a realistic option for non-financial </w:t>
      </w:r>
      <w:r>
        <w:rPr>
          <w:bCs/>
        </w:rPr>
        <w:t>clients</w:t>
      </w:r>
      <w:r w:rsidRPr="00D744DB">
        <w:rPr>
          <w:bCs/>
        </w:rPr>
        <w:t xml:space="preserve"> to use, there needs to be a reduction in the clearing member’s exposure to the CCP and its non-financial client</w:t>
      </w:r>
      <w:r>
        <w:rPr>
          <w:bCs/>
        </w:rPr>
        <w:t>,</w:t>
      </w:r>
      <w:r w:rsidRPr="00D744DB">
        <w:rPr>
          <w:bCs/>
        </w:rPr>
        <w:t xml:space="preserve"> </w:t>
      </w:r>
      <w:proofErr w:type="gramStart"/>
      <w:r w:rsidRPr="00D744DB">
        <w:rPr>
          <w:bCs/>
        </w:rPr>
        <w:t>as a result of</w:t>
      </w:r>
      <w:proofErr w:type="gramEnd"/>
      <w:r w:rsidRPr="00D744DB">
        <w:rPr>
          <w:bCs/>
        </w:rPr>
        <w:t xml:space="preserve"> the guarantee being posted as IM. </w:t>
      </w:r>
    </w:p>
    <w:p w14:paraId="757E2F70" w14:textId="77777777" w:rsidR="00307219" w:rsidRDefault="00307219" w:rsidP="00307219">
      <w:pPr>
        <w:spacing w:after="120"/>
        <w:rPr>
          <w:bCs/>
        </w:rPr>
      </w:pPr>
      <w:r>
        <w:rPr>
          <w:bCs/>
        </w:rPr>
        <w:t>T</w:t>
      </w:r>
      <w:r w:rsidRPr="00D744DB">
        <w:rPr>
          <w:bCs/>
        </w:rPr>
        <w:t>he only workable approach is to require that the guarantee comes with two beneficiaries: the CCP and the clearing member.</w:t>
      </w:r>
      <w:r>
        <w:rPr>
          <w:bCs/>
        </w:rPr>
        <w:t xml:space="preserve"> </w:t>
      </w:r>
      <w:r w:rsidRPr="002A6514">
        <w:rPr>
          <w:bCs/>
        </w:rPr>
        <w:t>This would allow the clearing member to rely on the guarantee in managing a client default, while ensuring that the CCP retains full protection in the event of a clearing member default. Such a structure supports risk reduction at both clearing member and CCP level and is consistent with the objectives of EMIR.</w:t>
      </w:r>
    </w:p>
    <w:p w14:paraId="04EEC0C5" w14:textId="77777777" w:rsidR="00307219" w:rsidRPr="002A6514" w:rsidRDefault="00307219" w:rsidP="00307219">
      <w:pPr>
        <w:spacing w:after="120"/>
        <w:rPr>
          <w:bCs/>
        </w:rPr>
      </w:pPr>
      <w:r>
        <w:rPr>
          <w:bCs/>
        </w:rPr>
        <w:t>In any case, it should be emphasised that the type of collateral that a clearing member accepts from a client remains in the first instance a commercial and risk decision for the clearing member to make, within its own risk appetite and limit framework.</w:t>
      </w:r>
    </w:p>
    <w:p w14:paraId="5665FA64" w14:textId="77777777" w:rsidR="00307219" w:rsidRPr="00D744DB" w:rsidRDefault="00307219" w:rsidP="00307219">
      <w:pPr>
        <w:spacing w:after="120"/>
        <w:rPr>
          <w:b/>
        </w:rPr>
      </w:pPr>
      <w:r w:rsidRPr="00D744DB">
        <w:rPr>
          <w:b/>
        </w:rPr>
        <w:t xml:space="preserve">Unconditionality </w:t>
      </w:r>
    </w:p>
    <w:p w14:paraId="2143AA58" w14:textId="77777777" w:rsidR="00307219" w:rsidRPr="009244E8" w:rsidRDefault="00307219" w:rsidP="00307219">
      <w:pPr>
        <w:spacing w:after="120"/>
        <w:rPr>
          <w:bCs/>
        </w:rPr>
      </w:pPr>
      <w:r>
        <w:rPr>
          <w:bCs/>
        </w:rPr>
        <w:t>I</w:t>
      </w:r>
      <w:r w:rsidRPr="009244E8">
        <w:rPr>
          <w:bCs/>
        </w:rPr>
        <w:t xml:space="preserve">t is important that the guarantee </w:t>
      </w:r>
      <w:r>
        <w:rPr>
          <w:bCs/>
        </w:rPr>
        <w:t>take the form of an</w:t>
      </w:r>
      <w:r w:rsidRPr="009244E8">
        <w:rPr>
          <w:bCs/>
        </w:rPr>
        <w:t xml:space="preserve"> autonomous, irrevocable,</w:t>
      </w:r>
      <w:r>
        <w:rPr>
          <w:bCs/>
        </w:rPr>
        <w:t xml:space="preserve"> unconditional</w:t>
      </w:r>
      <w:r w:rsidRPr="009244E8">
        <w:rPr>
          <w:bCs/>
        </w:rPr>
        <w:t xml:space="preserve"> on</w:t>
      </w:r>
      <w:r w:rsidRPr="009244E8">
        <w:rPr>
          <w:rFonts w:ascii="Cambria Math" w:hAnsi="Cambria Math" w:cs="Cambria Math"/>
          <w:bCs/>
        </w:rPr>
        <w:t>‑</w:t>
      </w:r>
      <w:r w:rsidRPr="009244E8">
        <w:rPr>
          <w:bCs/>
        </w:rPr>
        <w:t>demand payment obligation that</w:t>
      </w:r>
      <w:r>
        <w:rPr>
          <w:bCs/>
        </w:rPr>
        <w:t xml:space="preserve"> is</w:t>
      </w:r>
      <w:r w:rsidRPr="009244E8">
        <w:rPr>
          <w:bCs/>
        </w:rPr>
        <w:t xml:space="preserve"> not contingent on proof of loss</w:t>
      </w:r>
      <w:r>
        <w:rPr>
          <w:bCs/>
        </w:rPr>
        <w:t xml:space="preserve"> or default,</w:t>
      </w:r>
      <w:r w:rsidRPr="009244E8">
        <w:rPr>
          <w:bCs/>
        </w:rPr>
        <w:t xml:space="preserve"> and </w:t>
      </w:r>
      <w:r>
        <w:rPr>
          <w:bCs/>
        </w:rPr>
        <w:t xml:space="preserve">that it </w:t>
      </w:r>
      <w:r w:rsidRPr="009244E8">
        <w:rPr>
          <w:bCs/>
        </w:rPr>
        <w:t xml:space="preserve">can be honoured </w:t>
      </w:r>
      <w:r>
        <w:rPr>
          <w:bCs/>
        </w:rPr>
        <w:t>promptly. A structure that could only be triggered upon default</w:t>
      </w:r>
      <w:r w:rsidRPr="009244E8">
        <w:rPr>
          <w:bCs/>
        </w:rPr>
        <w:t xml:space="preserve"> would set a much higher bar for the clearing member to be able call on the guarantee, if they </w:t>
      </w:r>
      <w:proofErr w:type="gramStart"/>
      <w:r w:rsidRPr="009244E8">
        <w:rPr>
          <w:bCs/>
        </w:rPr>
        <w:t>have to</w:t>
      </w:r>
      <w:proofErr w:type="gramEnd"/>
      <w:r w:rsidRPr="009244E8">
        <w:rPr>
          <w:bCs/>
        </w:rPr>
        <w:t xml:space="preserve"> evidence that their client has defaulted.</w:t>
      </w:r>
      <w:r>
        <w:rPr>
          <w:bCs/>
        </w:rPr>
        <w:t xml:space="preserve"> </w:t>
      </w:r>
      <w:r w:rsidRPr="00BA3AB2">
        <w:rPr>
          <w:bCs/>
        </w:rPr>
        <w:t xml:space="preserve">More importantly, such a structure increases overall risk by </w:t>
      </w:r>
      <w:r>
        <w:rPr>
          <w:bCs/>
        </w:rPr>
        <w:t>allowing</w:t>
      </w:r>
      <w:r w:rsidRPr="00BA3AB2">
        <w:rPr>
          <w:bCs/>
        </w:rPr>
        <w:t xml:space="preserve"> that the guarantee only be accessed at a very late stage, when losses have already crystallised and liquidity pressures are most acute.</w:t>
      </w:r>
      <w:r>
        <w:rPr>
          <w:bCs/>
        </w:rPr>
        <w:t xml:space="preserve"> </w:t>
      </w:r>
      <w:r w:rsidRPr="00C4638E">
        <w:rPr>
          <w:bCs/>
        </w:rPr>
        <w:t>In that situation, the guarantee would no longer function as an effective preventive risk</w:t>
      </w:r>
      <w:r w:rsidRPr="00C4638E">
        <w:rPr>
          <w:bCs/>
        </w:rPr>
        <w:noBreakHyphen/>
        <w:t>management tool, but rather as a last</w:t>
      </w:r>
      <w:r w:rsidRPr="00C4638E">
        <w:rPr>
          <w:bCs/>
        </w:rPr>
        <w:noBreakHyphen/>
        <w:t>resort instrument that may be triggered when it is almost too late to stabilise the default.</w:t>
      </w:r>
      <w:r>
        <w:rPr>
          <w:bCs/>
        </w:rPr>
        <w:t xml:space="preserve"> In addition, it would prevent US FCMs from accepting such guarantees, as CFTC rule 1.43 may only accept letters of credit as collateral if the letter of credit may be exercised “</w:t>
      </w:r>
      <w:r w:rsidRPr="002D498F">
        <w:rPr>
          <w:bCs/>
        </w:rPr>
        <w:t>regardless of whether the customer posting that letter of credit is in default in any obligation</w:t>
      </w:r>
      <w:r>
        <w:rPr>
          <w:bCs/>
        </w:rPr>
        <w:t>”.</w:t>
      </w:r>
    </w:p>
    <w:p w14:paraId="3BEAA78B" w14:textId="77777777" w:rsidR="00307219" w:rsidRPr="00D744DB" w:rsidRDefault="00307219" w:rsidP="00307219">
      <w:pPr>
        <w:spacing w:after="120"/>
        <w:rPr>
          <w:b/>
        </w:rPr>
      </w:pPr>
      <w:r w:rsidRPr="00D744DB">
        <w:rPr>
          <w:b/>
        </w:rPr>
        <w:t>Form of the instrument: guarantee and letter of credit</w:t>
      </w:r>
    </w:p>
    <w:p w14:paraId="342A5477" w14:textId="77777777" w:rsidR="00307219" w:rsidRDefault="00307219" w:rsidP="00307219">
      <w:pPr>
        <w:spacing w:after="120"/>
        <w:rPr>
          <w:bCs/>
        </w:rPr>
      </w:pPr>
      <w:r w:rsidRPr="00D744DB">
        <w:rPr>
          <w:bCs/>
        </w:rPr>
        <w:lastRenderedPageBreak/>
        <w:t>We also note that where uncollateralised bank guarantees are used, such as in the US, the instrument takes the form of a letter of credit. We assume that any instrument that meet</w:t>
      </w:r>
      <w:r>
        <w:rPr>
          <w:bCs/>
        </w:rPr>
        <w:t>s</w:t>
      </w:r>
      <w:r w:rsidRPr="00D744DB">
        <w:rPr>
          <w:bCs/>
        </w:rPr>
        <w:t xml:space="preserve"> the conditions set out by EMIR Article 46, as further specified in the forthcoming RTS Annex I, will be eligible, regardless of whether they are labelled as an uncollateralised bank guarantee or a letter of credit.</w:t>
      </w:r>
    </w:p>
    <w:p w14:paraId="56F73252" w14:textId="77777777" w:rsidR="00307219" w:rsidRPr="00D744DB" w:rsidRDefault="00307219" w:rsidP="00307219">
      <w:pPr>
        <w:spacing w:after="120"/>
      </w:pPr>
      <w:r w:rsidRPr="00D744DB">
        <w:rPr>
          <w:b/>
          <w:bCs/>
        </w:rPr>
        <w:t>Prudential treatment of the bank guarantee for a clearing member</w:t>
      </w:r>
      <w:r w:rsidRPr="00D744DB">
        <w:t xml:space="preserve"> </w:t>
      </w:r>
    </w:p>
    <w:p w14:paraId="64524C81" w14:textId="77777777" w:rsidR="00307219" w:rsidRPr="00D744DB" w:rsidRDefault="00307219" w:rsidP="00307219">
      <w:pPr>
        <w:tabs>
          <w:tab w:val="num" w:pos="720"/>
        </w:tabs>
        <w:spacing w:after="120"/>
        <w:rPr>
          <w:bCs/>
        </w:rPr>
      </w:pPr>
      <w:r w:rsidRPr="00D744DB">
        <w:rPr>
          <w:bCs/>
        </w:rPr>
        <w:t>Another essential consideration is the treatment of the bank guarantee for the clearing member. European banks are not allowed to use bank guarantees to offset their credit exposure under CRR</w:t>
      </w:r>
      <w:r w:rsidRPr="00D744DB">
        <w:t>.</w:t>
      </w:r>
      <w:r w:rsidRPr="00D744DB">
        <w:rPr>
          <w:bCs/>
        </w:rPr>
        <w:t xml:space="preserve"> EBA confirmed </w:t>
      </w:r>
      <w:r w:rsidRPr="00D744DB">
        <w:t>in a Q&amp;A that these are</w:t>
      </w:r>
      <w:r w:rsidRPr="00D744DB">
        <w:rPr>
          <w:bCs/>
        </w:rPr>
        <w:t xml:space="preserve"> to </w:t>
      </w:r>
      <w:r w:rsidRPr="00D744DB">
        <w:t>be treated</w:t>
      </w:r>
      <w:r w:rsidRPr="00D744DB">
        <w:rPr>
          <w:bCs/>
        </w:rPr>
        <w:t xml:space="preserve"> as unfunded credit protection (See EBA Q&amp;A 2015_1917</w:t>
      </w:r>
      <w:r w:rsidRPr="00D744DB">
        <w:rPr>
          <w:rStyle w:val="FootnoteReference"/>
          <w:bCs/>
        </w:rPr>
        <w:footnoteReference w:id="2"/>
      </w:r>
      <w:r w:rsidRPr="00D744DB">
        <w:rPr>
          <w:bCs/>
        </w:rPr>
        <w:t>). As a result of this, there is a capital cost of accepting guarantees as collateral for EU clearing members</w:t>
      </w:r>
      <w:r>
        <w:rPr>
          <w:bCs/>
        </w:rPr>
        <w:t>.</w:t>
      </w:r>
    </w:p>
    <w:p w14:paraId="444DCD1A" w14:textId="77777777" w:rsidR="00307219" w:rsidRPr="00D744DB" w:rsidRDefault="00307219" w:rsidP="00307219">
      <w:pPr>
        <w:tabs>
          <w:tab w:val="num" w:pos="720"/>
        </w:tabs>
        <w:spacing w:after="120"/>
        <w:rPr>
          <w:bCs/>
        </w:rPr>
      </w:pPr>
      <w:r w:rsidRPr="00D744DB">
        <w:rPr>
          <w:bCs/>
        </w:rPr>
        <w:t>Ultimately, the key question is whether these instruments are sufficiently reliable to reduce risk in a default situation. The answer should be consistent for both capital treatment and CCPs: either these instruments genuinely mitigate risk, or they do not. There should</w:t>
      </w:r>
      <w:r>
        <w:rPr>
          <w:bCs/>
        </w:rPr>
        <w:t xml:space="preserve"> no</w:t>
      </w:r>
      <w:r w:rsidRPr="00D744DB">
        <w:rPr>
          <w:bCs/>
        </w:rPr>
        <w:t>t be a discrepancy between their use for capital and their recognition by CCPs</w:t>
      </w:r>
      <w:r>
        <w:rPr>
          <w:bCs/>
        </w:rPr>
        <w:t xml:space="preserve"> and clearing members</w:t>
      </w:r>
      <w:r w:rsidRPr="00D744DB">
        <w:rPr>
          <w:bCs/>
        </w:rPr>
        <w:t>.</w:t>
      </w:r>
    </w:p>
    <w:p w14:paraId="77C228EC" w14:textId="77777777" w:rsidR="00307219" w:rsidRPr="00D744DB" w:rsidRDefault="00307219" w:rsidP="00307219">
      <w:pPr>
        <w:spacing w:after="120"/>
        <w:rPr>
          <w:bCs/>
        </w:rPr>
      </w:pPr>
      <w:r w:rsidRPr="00D744DB">
        <w:rPr>
          <w:bCs/>
        </w:rPr>
        <w:t xml:space="preserve">Guarantees should operate as a reduction of credit exposure for the clearing member, essentially because payment to the CCP is irrevocably guaranteed up to the amount of the guarantee by the issuing bank. The client pays the issuing bank for </w:t>
      </w:r>
      <w:r>
        <w:rPr>
          <w:bCs/>
        </w:rPr>
        <w:t>a</w:t>
      </w:r>
      <w:r w:rsidRPr="00D744DB">
        <w:rPr>
          <w:bCs/>
        </w:rPr>
        <w:t xml:space="preserve"> guarantee/letter of credit</w:t>
      </w:r>
      <w:r>
        <w:rPr>
          <w:bCs/>
        </w:rPr>
        <w:t xml:space="preserve"> that meets all the applicable conditions</w:t>
      </w:r>
      <w:r w:rsidRPr="00D744DB">
        <w:rPr>
          <w:bCs/>
        </w:rPr>
        <w:t xml:space="preserve">. If the clearing member passes this through to the CCP as collateral, the clearing member’s exposure to the CCP should reduce correspondingly. </w:t>
      </w:r>
    </w:p>
    <w:p w14:paraId="6EA8D4B3" w14:textId="77777777" w:rsidR="00307219" w:rsidRPr="009244E8" w:rsidRDefault="00307219" w:rsidP="00307219">
      <w:pPr>
        <w:spacing w:after="120"/>
        <w:rPr>
          <w:bCs/>
          <w:i/>
          <w:iCs/>
        </w:rPr>
      </w:pPr>
      <w:r w:rsidRPr="009244E8">
        <w:rPr>
          <w:bCs/>
          <w:i/>
          <w:iCs/>
        </w:rPr>
        <w:t xml:space="preserve">Please refer to the drafting suggestions on the proposed draft RTS, which we have included in the Annex </w:t>
      </w:r>
      <w:r>
        <w:rPr>
          <w:bCs/>
          <w:i/>
          <w:iCs/>
        </w:rPr>
        <w:t>submitted alongside</w:t>
      </w:r>
      <w:r w:rsidRPr="009244E8">
        <w:rPr>
          <w:bCs/>
          <w:i/>
          <w:iCs/>
        </w:rPr>
        <w:t xml:space="preserve"> our response.</w:t>
      </w:r>
    </w:p>
    <w:p w14:paraId="3CE960DF" w14:textId="78A656CA" w:rsidR="00693907" w:rsidRDefault="00693907" w:rsidP="00693907">
      <w:r>
        <w:t>&lt;ESMA_QUESTION_</w:t>
      </w:r>
      <w:r w:rsidR="00863ECB">
        <w:t>COLL</w:t>
      </w:r>
      <w:r>
        <w:t>_5&gt;</w:t>
      </w:r>
    </w:p>
    <w:p w14:paraId="6036296B" w14:textId="77777777" w:rsidR="00693907" w:rsidRDefault="00693907" w:rsidP="00693907"/>
    <w:p w14:paraId="18DFE8FB" w14:textId="3C691446" w:rsidR="00693907" w:rsidRDefault="00EC4293" w:rsidP="00693907">
      <w:pPr>
        <w:pStyle w:val="Questionstyle"/>
      </w:pPr>
      <w:r w:rsidRPr="00EC4293">
        <w:t>Do</w:t>
      </w:r>
      <w:r w:rsidR="00AC379A">
        <w:t xml:space="preserve"> </w:t>
      </w:r>
      <w:r w:rsidR="00AC379A" w:rsidRPr="00AC379A">
        <w:t>you agree with the conditions proposed by ESMA? Please provide your views specifically for each condition (a), (b), (c) and (d).</w:t>
      </w:r>
    </w:p>
    <w:p w14:paraId="60F9A95E" w14:textId="24CFF6A7" w:rsidR="00693907" w:rsidRDefault="00693907" w:rsidP="00693907">
      <w:r>
        <w:t>&lt;ESMA_QUESTION_</w:t>
      </w:r>
      <w:r w:rsidR="00863ECB">
        <w:t>COLL</w:t>
      </w:r>
      <w:r>
        <w:t>_6&gt;</w:t>
      </w:r>
    </w:p>
    <w:p w14:paraId="7355C057" w14:textId="77777777" w:rsidR="005211AF" w:rsidRPr="00D744DB" w:rsidRDefault="005211AF" w:rsidP="005211AF">
      <w:pPr>
        <w:spacing w:after="0"/>
        <w:rPr>
          <w:bCs/>
          <w:i/>
          <w:iCs/>
        </w:rPr>
      </w:pPr>
      <w:r w:rsidRPr="00D744DB">
        <w:rPr>
          <w:bCs/>
          <w:i/>
          <w:iCs/>
        </w:rPr>
        <w:t>We use the article references in Annex I Section 2 of the proposed draft RTS, in relation to bank guarantees. Our comments apply for all guarantees.</w:t>
      </w:r>
    </w:p>
    <w:p w14:paraId="3BC0B68E" w14:textId="77777777" w:rsidR="005211AF" w:rsidRPr="00D744DB" w:rsidRDefault="005211AF" w:rsidP="005211AF">
      <w:pPr>
        <w:spacing w:after="0"/>
        <w:rPr>
          <w:bCs/>
          <w:i/>
          <w:iCs/>
        </w:rPr>
      </w:pPr>
    </w:p>
    <w:p w14:paraId="6B28342F" w14:textId="77777777" w:rsidR="005211AF" w:rsidRPr="00D744DB" w:rsidRDefault="005211AF" w:rsidP="005211AF">
      <w:pPr>
        <w:spacing w:after="0"/>
        <w:rPr>
          <w:bCs/>
        </w:rPr>
      </w:pPr>
      <w:r w:rsidRPr="00D744DB">
        <w:rPr>
          <w:bCs/>
        </w:rPr>
        <w:t>Condition (a) sets out that the guarantee must be issued to guarantee a non-financial clearing member or a non-financial client. We agree with this condition.</w:t>
      </w:r>
    </w:p>
    <w:p w14:paraId="0066DDAC" w14:textId="77777777" w:rsidR="005211AF" w:rsidRPr="00D744DB" w:rsidRDefault="005211AF" w:rsidP="005211AF">
      <w:pPr>
        <w:spacing w:after="0"/>
        <w:rPr>
          <w:bCs/>
        </w:rPr>
      </w:pPr>
    </w:p>
    <w:p w14:paraId="0552C6DC" w14:textId="77777777" w:rsidR="005211AF" w:rsidRDefault="005211AF" w:rsidP="005211AF">
      <w:pPr>
        <w:spacing w:after="0"/>
        <w:rPr>
          <w:bCs/>
        </w:rPr>
      </w:pPr>
      <w:r w:rsidRPr="00D744DB">
        <w:rPr>
          <w:bCs/>
        </w:rPr>
        <w:lastRenderedPageBreak/>
        <w:t>Under condition (a), condition (ab) sets out that the beneficiary of a bank guarantee be the CCP. ISDA members ask that ESMA modifies this condition</w:t>
      </w:r>
      <w:r>
        <w:rPr>
          <w:bCs/>
        </w:rPr>
        <w:t xml:space="preserve"> for clients that are clearing through a clearing member</w:t>
      </w:r>
      <w:r w:rsidRPr="00D744DB">
        <w:rPr>
          <w:bCs/>
        </w:rPr>
        <w:t>, to require that the guarantee must include two beneficiaries</w:t>
      </w:r>
      <w:r>
        <w:rPr>
          <w:bCs/>
        </w:rPr>
        <w:t>: both</w:t>
      </w:r>
      <w:r w:rsidRPr="00D744DB">
        <w:rPr>
          <w:bCs/>
        </w:rPr>
        <w:t xml:space="preserve"> the CCP</w:t>
      </w:r>
      <w:r>
        <w:rPr>
          <w:bCs/>
        </w:rPr>
        <w:t>,</w:t>
      </w:r>
      <w:r w:rsidRPr="00D744DB">
        <w:rPr>
          <w:bCs/>
        </w:rPr>
        <w:t xml:space="preserve"> and the clearing member. </w:t>
      </w:r>
      <w:r w:rsidRPr="00D744DB">
        <w:t>ESMA’s current proposal significantly risks turning guarantees as eligible collateral at CCPs as unworkable in practice, thus undermining its intended aim to broaden the pool of eligible collateral. A clearing member must be able to enforce a bank guarantee directly in the case of a client default. If it cannot do so, the clearing member will be left with an unfunded exposure to the client while retaining full IM obligations to the</w:t>
      </w:r>
      <w:r>
        <w:t xml:space="preserve"> CCP.</w:t>
      </w:r>
      <w:r w:rsidRPr="00D744DB">
        <w:rPr>
          <w:bCs/>
        </w:rPr>
        <w:t xml:space="preserve"> </w:t>
      </w:r>
      <w:r w:rsidRPr="00A64ED2">
        <w:rPr>
          <w:bCs/>
        </w:rPr>
        <w:t>This would also increase risk within the clearing system by making it more likely that a client default escalates into a clearing member default, rather than being contained at client level.</w:t>
      </w:r>
      <w:r>
        <w:rPr>
          <w:bCs/>
        </w:rPr>
        <w:t xml:space="preserve"> This would therefore lead to the clearing member requiring further collateral from the client, which would negate the benefit to the client of being able to post an unfunded guarantee.</w:t>
      </w:r>
    </w:p>
    <w:p w14:paraId="53A3A251" w14:textId="77777777" w:rsidR="005211AF" w:rsidRDefault="005211AF" w:rsidP="005211AF">
      <w:pPr>
        <w:spacing w:after="0"/>
        <w:rPr>
          <w:bCs/>
        </w:rPr>
      </w:pPr>
    </w:p>
    <w:p w14:paraId="4796CEB5" w14:textId="77777777" w:rsidR="005211AF" w:rsidRPr="009244E8" w:rsidRDefault="005211AF" w:rsidP="005211AF">
      <w:pPr>
        <w:spacing w:after="120"/>
      </w:pPr>
      <w:r w:rsidRPr="0A610BFD">
        <w:t>We note that condition (ab) also includes a possibility for these guarantees to “include a transfer clause, allowing under conditions to be defined by the CCP, the transfer of the beneficiary from the CCP to the clearing member of the client</w:t>
      </w:r>
      <w:r w:rsidRPr="0A610BFD">
        <w:rPr>
          <w:i/>
        </w:rPr>
        <w:t>”.</w:t>
      </w:r>
      <w:r w:rsidRPr="0A610BFD">
        <w:t xml:space="preserve"> We suggest to amend this sentence, to make it a requirement for guarantees to include two beneficiaries and a transfer clause, so that effectively, the guarantees has two beneficiaries, the CCP and the clearing member,</w:t>
      </w:r>
      <w:r>
        <w:t xml:space="preserve"> and</w:t>
      </w:r>
      <w:r w:rsidRPr="0A610BFD">
        <w:t xml:space="preserve"> so that the clearing member can take the benefit where appropriate, such as where it has closed out the client’s positions at the CCP and settled any losses arising, leading to a claim against the client under the mirror trades between the clearing member and the client</w:t>
      </w:r>
      <w:r>
        <w:t>.</w:t>
      </w:r>
    </w:p>
    <w:p w14:paraId="7F84E22C" w14:textId="77777777" w:rsidR="005211AF" w:rsidRPr="00DE583F" w:rsidRDefault="005211AF" w:rsidP="005211AF">
      <w:pPr>
        <w:spacing w:after="120"/>
        <w:rPr>
          <w:bCs/>
        </w:rPr>
      </w:pPr>
      <w:r>
        <w:rPr>
          <w:bCs/>
        </w:rPr>
        <w:t xml:space="preserve">In addition, the requirement for the CCP to be the sole beneficiary, as currently proposed, would prevent US FCM from accepting such guarantees. </w:t>
      </w:r>
      <w:r w:rsidRPr="00DE583F">
        <w:rPr>
          <w:bCs/>
        </w:rPr>
        <w:t>Under CFTC Rule 1.43</w:t>
      </w:r>
      <w:r>
        <w:rPr>
          <w:rStyle w:val="FootnoteReference"/>
          <w:bCs/>
        </w:rPr>
        <w:footnoteReference w:id="3"/>
      </w:r>
      <w:r w:rsidRPr="00DE583F">
        <w:rPr>
          <w:bCs/>
        </w:rPr>
        <w:t>, a</w:t>
      </w:r>
      <w:r>
        <w:rPr>
          <w:bCs/>
        </w:rPr>
        <w:t xml:space="preserve"> futures commission merchant (FCM) </w:t>
      </w:r>
      <w:r w:rsidRPr="00DE583F">
        <w:rPr>
          <w:bCs/>
        </w:rPr>
        <w:t xml:space="preserve">is prohibited from accepting a letter of credit as collateral if the </w:t>
      </w:r>
      <w:r>
        <w:rPr>
          <w:bCs/>
        </w:rPr>
        <w:t xml:space="preserve">derivatives clearing </w:t>
      </w:r>
      <w:proofErr w:type="gramStart"/>
      <w:r>
        <w:rPr>
          <w:bCs/>
        </w:rPr>
        <w:t>organization</w:t>
      </w:r>
      <w:proofErr w:type="gramEnd"/>
      <w:r w:rsidRPr="00DE583F">
        <w:rPr>
          <w:bCs/>
        </w:rPr>
        <w:t xml:space="preserve"> is the sole beneficiary</w:t>
      </w:r>
      <w:r>
        <w:rPr>
          <w:bCs/>
        </w:rPr>
        <w:t xml:space="preserve">. </w:t>
      </w:r>
      <w:r w:rsidRPr="00DE583F">
        <w:rPr>
          <w:bCs/>
        </w:rPr>
        <w:t xml:space="preserve">The FCM must be a beneficiary of the letter of credit to guarantee the authority to draw upon the funds </w:t>
      </w:r>
      <w:proofErr w:type="gramStart"/>
      <w:r w:rsidRPr="00DE583F">
        <w:rPr>
          <w:bCs/>
        </w:rPr>
        <w:t>in order to</w:t>
      </w:r>
      <w:proofErr w:type="gramEnd"/>
      <w:r w:rsidRPr="00DE583F">
        <w:rPr>
          <w:bCs/>
        </w:rPr>
        <w:t xml:space="preserve"> fulfil customer obligations.</w:t>
      </w:r>
      <w:r>
        <w:rPr>
          <w:bCs/>
        </w:rPr>
        <w:t xml:space="preserve"> </w:t>
      </w:r>
    </w:p>
    <w:p w14:paraId="27E5ABD2" w14:textId="77777777" w:rsidR="005211AF" w:rsidRPr="00D744DB" w:rsidRDefault="005211AF" w:rsidP="005211AF">
      <w:pPr>
        <w:spacing w:after="0"/>
        <w:rPr>
          <w:bCs/>
        </w:rPr>
      </w:pPr>
    </w:p>
    <w:p w14:paraId="30FD5841" w14:textId="77777777" w:rsidR="005211AF" w:rsidRPr="00D744DB" w:rsidRDefault="005211AF" w:rsidP="005211AF">
      <w:pPr>
        <w:spacing w:after="0"/>
        <w:rPr>
          <w:bCs/>
        </w:rPr>
      </w:pPr>
      <w:r w:rsidRPr="00D744DB">
        <w:rPr>
          <w:bCs/>
        </w:rPr>
        <w:t>Condition (b) sets out that the guarantee must be used by a CRR credit institution with a low credit risk based on the CCP’s internal assessment, taking into consideration the risk arising from the establishment of the issuer in a particular country. We agree with this condition.</w:t>
      </w:r>
    </w:p>
    <w:p w14:paraId="022F7B9A" w14:textId="77777777" w:rsidR="005211AF" w:rsidRPr="00D744DB" w:rsidRDefault="005211AF" w:rsidP="005211AF">
      <w:pPr>
        <w:spacing w:after="0"/>
        <w:rPr>
          <w:bCs/>
        </w:rPr>
      </w:pPr>
    </w:p>
    <w:p w14:paraId="72A56915" w14:textId="77777777" w:rsidR="005211AF" w:rsidRPr="00D744DB" w:rsidRDefault="005211AF" w:rsidP="005211AF">
      <w:pPr>
        <w:spacing w:after="0"/>
        <w:rPr>
          <w:bCs/>
        </w:rPr>
      </w:pPr>
      <w:r w:rsidRPr="00D744DB">
        <w:rPr>
          <w:bCs/>
        </w:rPr>
        <w:t>Condition (c) sets out that the guarantee is denominated in a currency that the CCP can adequately risk manage, or in a currency in which the CCP clears contract under an appropriate limit. We agree with this condition.</w:t>
      </w:r>
    </w:p>
    <w:p w14:paraId="4EBD35EE" w14:textId="77777777" w:rsidR="005211AF" w:rsidRPr="00D744DB" w:rsidRDefault="005211AF" w:rsidP="005211AF">
      <w:pPr>
        <w:spacing w:after="0"/>
        <w:rPr>
          <w:bCs/>
        </w:rPr>
      </w:pPr>
    </w:p>
    <w:p w14:paraId="4BCABA36" w14:textId="77777777" w:rsidR="005211AF" w:rsidRPr="00D744DB" w:rsidRDefault="005211AF" w:rsidP="005211AF">
      <w:pPr>
        <w:spacing w:after="0"/>
        <w:rPr>
          <w:bCs/>
          <w:highlight w:val="yellow"/>
        </w:rPr>
      </w:pPr>
      <w:r w:rsidRPr="00D744DB">
        <w:rPr>
          <w:bCs/>
        </w:rPr>
        <w:lastRenderedPageBreak/>
        <w:t>Condition (d) sets out that the guarantee must be irrevocable, unconditional and that the issuer cannot rely on any legal or contractual exemption or defence to oppose the payment of the guarantee. We agree with this condition</w:t>
      </w:r>
      <w:r>
        <w:rPr>
          <w:bCs/>
        </w:rPr>
        <w:t>, but suggest developing it further, to specify that these structures should be truly unconditional, once necessary procedural steps are satisfied. Please refer to our proposed drafting in the Annex.</w:t>
      </w:r>
    </w:p>
    <w:p w14:paraId="3B567FC9" w14:textId="77777777" w:rsidR="005211AF" w:rsidRPr="00D744DB" w:rsidRDefault="005211AF" w:rsidP="005211AF">
      <w:pPr>
        <w:spacing w:after="0"/>
        <w:rPr>
          <w:bCs/>
        </w:rPr>
      </w:pPr>
    </w:p>
    <w:p w14:paraId="00711784" w14:textId="77777777" w:rsidR="005211AF" w:rsidRDefault="005211AF" w:rsidP="005211AF">
      <w:pPr>
        <w:spacing w:after="120"/>
        <w:rPr>
          <w:bCs/>
        </w:rPr>
      </w:pPr>
      <w:r w:rsidRPr="00D744DB">
        <w:rPr>
          <w:bCs/>
        </w:rPr>
        <w:t xml:space="preserve">We also have comments on condition (e), which sets out that the guarantee can be </w:t>
      </w:r>
      <w:r w:rsidRPr="009930F6">
        <w:t>“honoured on demand within the period of liquidation of the portfolio of the defaulting clearing member”.</w:t>
      </w:r>
      <w:r w:rsidRPr="00D744DB">
        <w:rPr>
          <w:bCs/>
        </w:rPr>
        <w:t xml:space="preserve"> </w:t>
      </w:r>
      <w:r w:rsidRPr="009244E8">
        <w:rPr>
          <w:bCs/>
        </w:rPr>
        <w:t>We suggest remov</w:t>
      </w:r>
      <w:r>
        <w:rPr>
          <w:bCs/>
        </w:rPr>
        <w:t>ing</w:t>
      </w:r>
      <w:r w:rsidRPr="009244E8">
        <w:rPr>
          <w:bCs/>
        </w:rPr>
        <w:t xml:space="preserve"> the reference to the liquidation period of the defaulted clearing member’s portfolio</w:t>
      </w:r>
      <w:r>
        <w:rPr>
          <w:bCs/>
        </w:rPr>
        <w:t>. F</w:t>
      </w:r>
      <w:r w:rsidRPr="009244E8">
        <w:rPr>
          <w:bCs/>
        </w:rPr>
        <w:t>irst</w:t>
      </w:r>
      <w:r>
        <w:rPr>
          <w:bCs/>
        </w:rPr>
        <w:t>,</w:t>
      </w:r>
      <w:r w:rsidRPr="009244E8">
        <w:rPr>
          <w:bCs/>
        </w:rPr>
        <w:t xml:space="preserve"> because the guarantee should be accessible in the event of a client default</w:t>
      </w:r>
      <w:r>
        <w:rPr>
          <w:bCs/>
        </w:rPr>
        <w:t>. S</w:t>
      </w:r>
      <w:r w:rsidRPr="009244E8">
        <w:rPr>
          <w:bCs/>
        </w:rPr>
        <w:t xml:space="preserve">econd because the reference to the liquidation period restricts the flexibility with which the CCP or the clearing member may choose to access the guarantee. For example, in the case of a client default, the clearing member might close out the client’s position before drawing on the guarantee, such that in this scenario, the guarantee would have to be honoured outside of the liquidation period. The requirement should therefore be that the guarantee be honoured on demand within a short timeframe defined in the </w:t>
      </w:r>
      <w:proofErr w:type="gramStart"/>
      <w:r w:rsidRPr="009244E8">
        <w:rPr>
          <w:bCs/>
        </w:rPr>
        <w:t>guarantee</w:t>
      </w:r>
      <w:proofErr w:type="gramEnd"/>
      <w:r w:rsidRPr="009244E8">
        <w:rPr>
          <w:bCs/>
        </w:rPr>
        <w:t xml:space="preserve"> agreement</w:t>
      </w:r>
      <w:r>
        <w:rPr>
          <w:bCs/>
        </w:rPr>
        <w:t>.</w:t>
      </w:r>
    </w:p>
    <w:p w14:paraId="0D9FE019" w14:textId="77777777" w:rsidR="005211AF" w:rsidRPr="009244E8" w:rsidRDefault="005211AF" w:rsidP="005211AF">
      <w:pPr>
        <w:spacing w:after="120"/>
        <w:rPr>
          <w:bCs/>
          <w:i/>
          <w:iCs/>
        </w:rPr>
      </w:pPr>
      <w:r w:rsidRPr="009244E8">
        <w:rPr>
          <w:bCs/>
          <w:i/>
          <w:iCs/>
        </w:rPr>
        <w:t xml:space="preserve">Please refer to the drafting suggestions on the proposed draft RTS, which we have included in the Annex </w:t>
      </w:r>
      <w:r>
        <w:rPr>
          <w:bCs/>
          <w:i/>
          <w:iCs/>
        </w:rPr>
        <w:t>submitted alongside</w:t>
      </w:r>
      <w:r w:rsidRPr="009244E8">
        <w:rPr>
          <w:bCs/>
          <w:i/>
          <w:iCs/>
        </w:rPr>
        <w:t xml:space="preserve"> our response.</w:t>
      </w:r>
    </w:p>
    <w:p w14:paraId="01EF6C30" w14:textId="7CB1BA35" w:rsidR="00693907" w:rsidRDefault="00693907" w:rsidP="00693907">
      <w:r>
        <w:t>&lt;ESMA_QUESTION_</w:t>
      </w:r>
      <w:r w:rsidR="00863ECB">
        <w:t>COLL</w:t>
      </w:r>
      <w:r>
        <w:t>_6&gt;</w:t>
      </w:r>
    </w:p>
    <w:p w14:paraId="59161C1E" w14:textId="77777777" w:rsidR="00693907" w:rsidRDefault="00693907" w:rsidP="00693907"/>
    <w:p w14:paraId="40418AF6" w14:textId="7D335F7B" w:rsidR="00693907" w:rsidRDefault="00930833" w:rsidP="00693907">
      <w:pPr>
        <w:pStyle w:val="Questionstyle"/>
      </w:pPr>
      <w:r w:rsidRPr="00930833">
        <w:t>In relation to condition (c), do you agree with ESMA proposal? If not, is it in your opinion legally and practically feasible that guarantees are posted to an omnibus account?</w:t>
      </w:r>
      <w:r w:rsidR="00693907" w:rsidRPr="00F31533">
        <w:t xml:space="preserve"> </w:t>
      </w:r>
    </w:p>
    <w:p w14:paraId="2D7CC49A" w14:textId="5D077D19" w:rsidR="00693907" w:rsidRDefault="00693907" w:rsidP="00693907">
      <w:r>
        <w:t>&lt;ESMA_QUESTION_</w:t>
      </w:r>
      <w:r w:rsidR="00EE246B">
        <w:t>COLL</w:t>
      </w:r>
      <w:r>
        <w:t>_7&gt;</w:t>
      </w:r>
    </w:p>
    <w:p w14:paraId="5B72FFED" w14:textId="77777777" w:rsidR="00C235C5" w:rsidRPr="00D744DB" w:rsidRDefault="00C235C5" w:rsidP="00C235C5">
      <w:pPr>
        <w:spacing w:after="0"/>
        <w:rPr>
          <w:bCs/>
          <w:i/>
          <w:iCs/>
        </w:rPr>
      </w:pPr>
      <w:r w:rsidRPr="00D744DB">
        <w:rPr>
          <w:bCs/>
          <w:i/>
          <w:iCs/>
        </w:rPr>
        <w:t>We assume that ESMA refers to condition (aa) under condition (a) here, not condition (c).</w:t>
      </w:r>
    </w:p>
    <w:p w14:paraId="65D10AFA" w14:textId="77777777" w:rsidR="00C235C5" w:rsidRPr="00D744DB" w:rsidRDefault="00C235C5" w:rsidP="00C235C5">
      <w:pPr>
        <w:spacing w:after="0"/>
        <w:rPr>
          <w:b/>
          <w:color w:val="0070C0"/>
        </w:rPr>
      </w:pPr>
    </w:p>
    <w:p w14:paraId="1F9EF788" w14:textId="77777777" w:rsidR="00C235C5" w:rsidRPr="009244E8" w:rsidRDefault="00C235C5" w:rsidP="00C235C5">
      <w:pPr>
        <w:spacing w:after="0"/>
        <w:rPr>
          <w:bCs/>
        </w:rPr>
      </w:pPr>
      <w:r w:rsidRPr="00D744DB">
        <w:rPr>
          <w:bCs/>
        </w:rPr>
        <w:t xml:space="preserve">Under condition (a), condition (aa) sets out that when the guaranteed is issued for a non-financial client, it must be posted to an individually segregated account (ISA) </w:t>
      </w:r>
      <w:r>
        <w:rPr>
          <w:bCs/>
        </w:rPr>
        <w:t xml:space="preserve">in </w:t>
      </w:r>
      <w:r w:rsidRPr="00D744DB">
        <w:rPr>
          <w:bCs/>
        </w:rPr>
        <w:t>the name of the non-financial client. While we appreciate that the mechanics of the guarantee are more straightforward to define with individually segregated accounts, a viable solution for clients using gross omnibus segregation account</w:t>
      </w:r>
      <w:r>
        <w:rPr>
          <w:bCs/>
        </w:rPr>
        <w:t>s (GOSA)</w:t>
      </w:r>
      <w:r w:rsidRPr="00D744DB">
        <w:rPr>
          <w:bCs/>
        </w:rPr>
        <w:t xml:space="preserve"> </w:t>
      </w:r>
      <w:r>
        <w:rPr>
          <w:bCs/>
        </w:rPr>
        <w:t>can</w:t>
      </w:r>
      <w:r w:rsidRPr="00D744DB">
        <w:rPr>
          <w:bCs/>
        </w:rPr>
        <w:t xml:space="preserve"> be developed.</w:t>
      </w:r>
      <w:r>
        <w:rPr>
          <w:bCs/>
        </w:rPr>
        <w:t xml:space="preserve"> </w:t>
      </w:r>
      <w:proofErr w:type="gramStart"/>
      <w:r>
        <w:t>Similar to</w:t>
      </w:r>
      <w:proofErr w:type="gramEnd"/>
      <w:r>
        <w:t xml:space="preserve"> existing practice in the US, </w:t>
      </w:r>
      <w:r>
        <w:rPr>
          <w:bCs/>
        </w:rPr>
        <w:t>LC</w:t>
      </w:r>
      <w:r w:rsidRPr="00D744DB">
        <w:rPr>
          <w:bCs/>
        </w:rPr>
        <w:t xml:space="preserve">s </w:t>
      </w:r>
      <w:r>
        <w:rPr>
          <w:bCs/>
        </w:rPr>
        <w:t>sh</w:t>
      </w:r>
      <w:r w:rsidRPr="00D744DB">
        <w:rPr>
          <w:bCs/>
        </w:rPr>
        <w:t xml:space="preserve">ould be permitted in </w:t>
      </w:r>
      <w:r>
        <w:rPr>
          <w:bCs/>
        </w:rPr>
        <w:t xml:space="preserve">a </w:t>
      </w:r>
      <w:r w:rsidRPr="00D744DB">
        <w:rPr>
          <w:bCs/>
        </w:rPr>
        <w:t xml:space="preserve">GOSA where client positions are maintained on a gross </w:t>
      </w:r>
      <w:proofErr w:type="gramStart"/>
      <w:r w:rsidRPr="00D744DB">
        <w:rPr>
          <w:bCs/>
        </w:rPr>
        <w:t>basis</w:t>
      </w:r>
      <w:proofErr w:type="gramEnd"/>
      <w:r w:rsidRPr="00D744DB">
        <w:rPr>
          <w:bCs/>
        </w:rPr>
        <w:t xml:space="preserve"> and the </w:t>
      </w:r>
      <w:r>
        <w:rPr>
          <w:bCs/>
        </w:rPr>
        <w:t>LC</w:t>
      </w:r>
      <w:r w:rsidRPr="00D744DB">
        <w:rPr>
          <w:bCs/>
        </w:rPr>
        <w:t xml:space="preserve"> can be clearly attributed to a named client. Where guarantees are permitted to be used in</w:t>
      </w:r>
      <w:r>
        <w:rPr>
          <w:bCs/>
        </w:rPr>
        <w:t xml:space="preserve"> a</w:t>
      </w:r>
      <w:r w:rsidRPr="00D744DB">
        <w:rPr>
          <w:bCs/>
        </w:rPr>
        <w:t xml:space="preserve"> GOSA, CCPs should ensure that the relevant operational processes can be executed quickly and without ambiguity in a default scenario. This should include testing</w:t>
      </w:r>
      <w:r>
        <w:rPr>
          <w:bCs/>
        </w:rPr>
        <w:t xml:space="preserve"> that the guarantee can</w:t>
      </w:r>
      <w:r w:rsidRPr="00D744DB">
        <w:rPr>
          <w:bCs/>
        </w:rPr>
        <w:t xml:space="preserve"> effectively </w:t>
      </w:r>
      <w:r>
        <w:rPr>
          <w:bCs/>
        </w:rPr>
        <w:t xml:space="preserve">be </w:t>
      </w:r>
      <w:r w:rsidRPr="00D744DB">
        <w:rPr>
          <w:bCs/>
        </w:rPr>
        <w:t>called within the required timeframe.</w:t>
      </w:r>
    </w:p>
    <w:p w14:paraId="308AE6A9" w14:textId="77777777" w:rsidR="00C235C5" w:rsidRDefault="00C235C5" w:rsidP="00C235C5">
      <w:pPr>
        <w:spacing w:after="0"/>
        <w:rPr>
          <w:bCs/>
        </w:rPr>
      </w:pPr>
    </w:p>
    <w:p w14:paraId="4421FCE0" w14:textId="77777777" w:rsidR="00C235C5" w:rsidRDefault="00C235C5" w:rsidP="00C235C5">
      <w:pPr>
        <w:rPr>
          <w:bCs/>
        </w:rPr>
      </w:pPr>
      <w:r>
        <w:rPr>
          <w:bCs/>
        </w:rPr>
        <w:t>In a GOSA,</w:t>
      </w:r>
      <w:r w:rsidRPr="00D744DB">
        <w:rPr>
          <w:bCs/>
        </w:rPr>
        <w:t xml:space="preserve"> the clearing member will always know in respect of which client</w:t>
      </w:r>
      <w:r>
        <w:rPr>
          <w:bCs/>
        </w:rPr>
        <w:t>,</w:t>
      </w:r>
      <w:r w:rsidRPr="00D744DB">
        <w:rPr>
          <w:bCs/>
        </w:rPr>
        <w:t xml:space="preserve"> and which positions the guarantee has been posted</w:t>
      </w:r>
      <w:r>
        <w:rPr>
          <w:bCs/>
        </w:rPr>
        <w:t xml:space="preserve"> </w:t>
      </w:r>
      <w:r w:rsidRPr="00D744DB">
        <w:rPr>
          <w:bCs/>
        </w:rPr>
        <w:t>and</w:t>
      </w:r>
      <w:r>
        <w:rPr>
          <w:bCs/>
        </w:rPr>
        <w:t>,</w:t>
      </w:r>
      <w:r w:rsidRPr="00D744DB">
        <w:rPr>
          <w:bCs/>
        </w:rPr>
        <w:t xml:space="preserve"> if the need arises, would be able to request that the CCP </w:t>
      </w:r>
      <w:r w:rsidRPr="00D744DB">
        <w:rPr>
          <w:bCs/>
        </w:rPr>
        <w:lastRenderedPageBreak/>
        <w:t xml:space="preserve">transfers the guarantee to their benefit. If the clearing member defaults, but not the client, the CCP would be able to draw on the guarantee, and the client would therefore still be solvent and able to </w:t>
      </w:r>
      <w:r>
        <w:rPr>
          <w:bCs/>
        </w:rPr>
        <w:t>make whole the issuer of</w:t>
      </w:r>
      <w:r w:rsidRPr="00D744DB">
        <w:rPr>
          <w:bCs/>
        </w:rPr>
        <w:t xml:space="preserve"> the guarantee. </w:t>
      </w:r>
      <w:r w:rsidRPr="00D744DB">
        <w:t>In addition, currently,</w:t>
      </w:r>
      <w:r w:rsidRPr="00D744DB">
        <w:rPr>
          <w:bCs/>
        </w:rPr>
        <w:t xml:space="preserve"> individually segregated accounts for ETD cannot be accessed by US FCMs and US clients. If that individual segregation requirement is maintained, FCMs and US clients would not be able to use guarantees at European CCP</w:t>
      </w:r>
      <w:r>
        <w:rPr>
          <w:bCs/>
        </w:rPr>
        <w:t>s</w:t>
      </w:r>
      <w:r w:rsidRPr="00D744DB">
        <w:rPr>
          <w:bCs/>
        </w:rPr>
        <w:t xml:space="preserve">. </w:t>
      </w:r>
    </w:p>
    <w:p w14:paraId="5B1E788E" w14:textId="71F44C5A" w:rsidR="00693907" w:rsidRDefault="00693907" w:rsidP="00C235C5">
      <w:r>
        <w:t>&lt;ESMA_QUESTION_</w:t>
      </w:r>
      <w:r w:rsidR="00EE246B">
        <w:t>COLL</w:t>
      </w:r>
      <w:r>
        <w:t>_7&gt;</w:t>
      </w:r>
    </w:p>
    <w:p w14:paraId="3B03B9E0" w14:textId="77777777" w:rsidR="00693907" w:rsidRDefault="00693907" w:rsidP="00693907"/>
    <w:p w14:paraId="18FE9B7F" w14:textId="11DAFFAC" w:rsidR="00693907" w:rsidRDefault="0038241C" w:rsidP="00693907">
      <w:pPr>
        <w:pStyle w:val="Questionstyle"/>
      </w:pPr>
      <w:r w:rsidRPr="0038241C">
        <w:t>Is there any other condition you consider would be necessary in relation to the extension of the use of guarantees to guarantee non-financial clients? E.g. should it be mandated that CCPs have in place a mechanism to identify the default of a non-financial client?</w:t>
      </w:r>
      <w:r w:rsidR="00693907">
        <w:t xml:space="preserve"> </w:t>
      </w:r>
    </w:p>
    <w:p w14:paraId="7AA017CC" w14:textId="7608FAED" w:rsidR="00693907" w:rsidRDefault="00693907" w:rsidP="00693907">
      <w:r>
        <w:t>&lt;ESMA_QUESTION_</w:t>
      </w:r>
      <w:r w:rsidR="004C12DB">
        <w:t>COLL</w:t>
      </w:r>
      <w:r>
        <w:t>_8&gt;</w:t>
      </w:r>
    </w:p>
    <w:p w14:paraId="18C1EC29" w14:textId="77777777" w:rsidR="00AA62EF" w:rsidRPr="00D744DB" w:rsidRDefault="00AA62EF" w:rsidP="00AA62EF">
      <w:pPr>
        <w:spacing w:after="0"/>
        <w:rPr>
          <w:bCs/>
        </w:rPr>
      </w:pPr>
      <w:r w:rsidRPr="00D744DB">
        <w:rPr>
          <w:bCs/>
        </w:rPr>
        <w:t>The extension of the use of guarantees should be approached with caution and be subject to robust safeguards. It would not be desirable to rely on guarantees that can only be drawn upon if a default event has occurred, or that would be slow to enforce.</w:t>
      </w:r>
    </w:p>
    <w:p w14:paraId="628D9B56" w14:textId="77777777" w:rsidR="00AA62EF" w:rsidRPr="00D744DB" w:rsidRDefault="00AA62EF" w:rsidP="00AA62EF">
      <w:pPr>
        <w:spacing w:after="0"/>
        <w:rPr>
          <w:bCs/>
        </w:rPr>
      </w:pPr>
    </w:p>
    <w:p w14:paraId="6D8D2627" w14:textId="77777777" w:rsidR="00AA62EF" w:rsidRPr="00D744DB" w:rsidRDefault="00AA62EF" w:rsidP="00AA62EF">
      <w:pPr>
        <w:spacing w:after="0"/>
        <w:rPr>
          <w:vanish/>
          <w:specVanish/>
        </w:rPr>
      </w:pPr>
      <w:r w:rsidRPr="00D744DB">
        <w:rPr>
          <w:bCs/>
        </w:rPr>
        <w:t xml:space="preserve">At the same time, where ‘bank guarantees’ take the form of true </w:t>
      </w:r>
      <w:r>
        <w:rPr>
          <w:bCs/>
        </w:rPr>
        <w:t>LC</w:t>
      </w:r>
      <w:r w:rsidRPr="00D744DB">
        <w:rPr>
          <w:bCs/>
        </w:rPr>
        <w:t>s</w:t>
      </w:r>
      <w:r>
        <w:rPr>
          <w:bCs/>
        </w:rPr>
        <w:t>:</w:t>
      </w:r>
      <w:r w:rsidRPr="00D744DB">
        <w:rPr>
          <w:bCs/>
        </w:rPr>
        <w:t xml:space="preserve"> that is, autonomous, irrevocable, </w:t>
      </w:r>
      <w:r>
        <w:rPr>
          <w:bCs/>
        </w:rPr>
        <w:t xml:space="preserve">unconditional </w:t>
      </w:r>
      <w:r w:rsidRPr="00D744DB">
        <w:rPr>
          <w:bCs/>
        </w:rPr>
        <w:t>on</w:t>
      </w:r>
      <w:r w:rsidRPr="00D744DB">
        <w:rPr>
          <w:rFonts w:ascii="Cambria Math" w:hAnsi="Cambria Math" w:cs="Cambria Math"/>
          <w:bCs/>
        </w:rPr>
        <w:t>‑</w:t>
      </w:r>
      <w:r w:rsidRPr="00D744DB">
        <w:rPr>
          <w:bCs/>
        </w:rPr>
        <w:t xml:space="preserve">demand payment obligations that are not contingent on proof of loss and can be honoured </w:t>
      </w:r>
      <w:r>
        <w:rPr>
          <w:bCs/>
        </w:rPr>
        <w:t>promptly,</w:t>
      </w:r>
      <w:r w:rsidRPr="00D744DB">
        <w:rPr>
          <w:bCs/>
        </w:rPr>
        <w:t xml:space="preserve"> the associated execution and liquidity risks are materially lower and closer to established US CCP practice. In this context, it should be recognised that there is no substitute for appropriate liquid collateral, such as cash or high-quality securities, that is readily available to the CCP. Their effectiveness therefore depends critically on execution certainty and timing. Generic guarantees may introduce uncertainty as to both timing and outcome, whereas well</w:t>
      </w:r>
      <w:r w:rsidRPr="00D744DB">
        <w:rPr>
          <w:bCs/>
        </w:rPr>
        <w:noBreakHyphen/>
        <w:t xml:space="preserve">structured </w:t>
      </w:r>
      <w:r>
        <w:rPr>
          <w:bCs/>
        </w:rPr>
        <w:t>LC</w:t>
      </w:r>
      <w:r w:rsidRPr="00D744DB">
        <w:rPr>
          <w:bCs/>
        </w:rPr>
        <w:noBreakHyphen/>
        <w:t>type instruments can provide direct access to cash without reliance on stressed secondary market conditions</w:t>
      </w:r>
      <w:r>
        <w:rPr>
          <w:bCs/>
        </w:rPr>
        <w:t xml:space="preserve"> (noting that LCs can only be recognised by way of a claim against the issuer, rather than monetised by sale in a secondary market which would be the usual way to recognise the value of funded collateral such as securities)</w:t>
      </w:r>
      <w:r w:rsidRPr="00D744DB">
        <w:rPr>
          <w:bCs/>
        </w:rPr>
        <w:t>.</w:t>
      </w:r>
    </w:p>
    <w:p w14:paraId="5AFDA64B" w14:textId="77777777" w:rsidR="00AA62EF" w:rsidRDefault="00AA62EF" w:rsidP="00AA62EF">
      <w:pPr>
        <w:spacing w:after="0"/>
        <w:rPr>
          <w:rFonts w:ascii="Citi Sans Text" w:hAnsi="Citi Sans Text"/>
          <w:i/>
          <w:iCs/>
        </w:rPr>
      </w:pPr>
      <w:r>
        <w:rPr>
          <w:rFonts w:ascii="Citi Sans Text" w:hAnsi="Citi Sans Text"/>
          <w:i/>
          <w:iCs/>
        </w:rPr>
        <w:t xml:space="preserve"> </w:t>
      </w:r>
    </w:p>
    <w:p w14:paraId="4FE17C76" w14:textId="77777777" w:rsidR="00AA62EF" w:rsidRPr="00D744DB" w:rsidRDefault="00AA62EF" w:rsidP="00AA62EF">
      <w:pPr>
        <w:spacing w:after="0"/>
        <w:rPr>
          <w:vanish/>
          <w:specVanish/>
        </w:rPr>
      </w:pPr>
    </w:p>
    <w:p w14:paraId="1870A651" w14:textId="77777777" w:rsidR="00AA62EF" w:rsidRPr="004A0F68" w:rsidRDefault="00AA62EF" w:rsidP="00AA62EF">
      <w:pPr>
        <w:spacing w:after="0"/>
        <w:rPr>
          <w:rFonts w:ascii="Citi Sans Text" w:hAnsi="Citi Sans Text"/>
          <w:i/>
          <w:iCs/>
        </w:rPr>
      </w:pPr>
      <w:r>
        <w:rPr>
          <w:rFonts w:ascii="Citi Sans Text" w:hAnsi="Citi Sans Text"/>
          <w:i/>
          <w:iCs/>
        </w:rPr>
        <w:t xml:space="preserve"> </w:t>
      </w:r>
    </w:p>
    <w:p w14:paraId="34A93709" w14:textId="77777777" w:rsidR="00AA62EF" w:rsidRDefault="00AA62EF" w:rsidP="00AA62EF">
      <w:pPr>
        <w:spacing w:after="0"/>
        <w:rPr>
          <w:bCs/>
        </w:rPr>
      </w:pPr>
      <w:r w:rsidRPr="004A0BCA">
        <w:rPr>
          <w:bCs/>
        </w:rPr>
        <w:t>On ESMA’s question regarding whether CCPs should have a mechanism to identify the default of a client:</w:t>
      </w:r>
      <w:r>
        <w:rPr>
          <w:bCs/>
        </w:rPr>
        <w:t xml:space="preserve"> b</w:t>
      </w:r>
      <w:r w:rsidRPr="00D744DB">
        <w:rPr>
          <w:bCs/>
        </w:rPr>
        <w:t xml:space="preserve">ecause </w:t>
      </w:r>
      <w:r>
        <w:rPr>
          <w:bCs/>
        </w:rPr>
        <w:t>a</w:t>
      </w:r>
      <w:r w:rsidRPr="00D744DB">
        <w:rPr>
          <w:bCs/>
        </w:rPr>
        <w:t xml:space="preserve"> guarantee</w:t>
      </w:r>
      <w:r>
        <w:rPr>
          <w:bCs/>
        </w:rPr>
        <w:t xml:space="preserve"> that would take the form</w:t>
      </w:r>
      <w:r w:rsidRPr="00D744DB">
        <w:rPr>
          <w:bCs/>
        </w:rPr>
        <w:t xml:space="preserve"> </w:t>
      </w:r>
      <w:r>
        <w:rPr>
          <w:bCs/>
        </w:rPr>
        <w:t xml:space="preserve">of a LC </w:t>
      </w:r>
      <w:r w:rsidRPr="00D744DB">
        <w:rPr>
          <w:bCs/>
        </w:rPr>
        <w:t xml:space="preserve">can be used unconditionally, i.e. even absent an event of default of the non-financial client guaranteed, we do not see any need for CCPs to have a mechanism to identify the default of a non-financial client, especially as in </w:t>
      </w:r>
      <w:r>
        <w:rPr>
          <w:bCs/>
        </w:rPr>
        <w:t xml:space="preserve">the event of </w:t>
      </w:r>
      <w:r w:rsidRPr="00D744DB">
        <w:rPr>
          <w:bCs/>
        </w:rPr>
        <w:t>a client default, the CCP is usually not involved in the close-out of the client’s positions</w:t>
      </w:r>
      <w:r>
        <w:rPr>
          <w:bCs/>
        </w:rPr>
        <w:t xml:space="preserve"> and the CCP would look to the clearing member to settle any amounts due to the CCP consequent upon such close-out</w:t>
      </w:r>
      <w:r w:rsidRPr="00D744DB">
        <w:rPr>
          <w:bCs/>
        </w:rPr>
        <w:t>.</w:t>
      </w:r>
    </w:p>
    <w:p w14:paraId="7B572279" w14:textId="77777777" w:rsidR="005A4DBA" w:rsidRDefault="005A4DBA" w:rsidP="00693907"/>
    <w:p w14:paraId="11DE980E" w14:textId="1CAB8697" w:rsidR="00693907" w:rsidRDefault="00693907" w:rsidP="00693907">
      <w:r>
        <w:t>&lt;ESMA_QUESTION_</w:t>
      </w:r>
      <w:r w:rsidR="004C12DB">
        <w:t>COLL</w:t>
      </w:r>
      <w:r>
        <w:t>_8&gt;</w:t>
      </w:r>
    </w:p>
    <w:p w14:paraId="73AF06AE" w14:textId="77777777" w:rsidR="00970F12" w:rsidRDefault="00970F12" w:rsidP="00693907"/>
    <w:p w14:paraId="5D69E955" w14:textId="104F9CA1" w:rsidR="00970F12" w:rsidRDefault="00970F12" w:rsidP="00970F12">
      <w:pPr>
        <w:pStyle w:val="Questionstyle"/>
      </w:pPr>
      <w:r w:rsidRPr="004344B8">
        <w:t>Do</w:t>
      </w:r>
      <w:r>
        <w:t xml:space="preserve"> </w:t>
      </w:r>
      <w:r w:rsidR="00EA1DD0" w:rsidRPr="00EA1DD0">
        <w:t>you agree with ESMA’s proposal to require that there are a credit rating and reliable financial data on the guarantor available for the CCP to use in its internal assessment?</w:t>
      </w:r>
    </w:p>
    <w:p w14:paraId="432959FD" w14:textId="5BAAE542" w:rsidR="00970F12" w:rsidRDefault="00970F12" w:rsidP="00970F12">
      <w:r>
        <w:t>&lt;ESMA_QUESTION_</w:t>
      </w:r>
      <w:r w:rsidR="008E4202">
        <w:t>COLL</w:t>
      </w:r>
      <w:r>
        <w:t>_</w:t>
      </w:r>
      <w:r w:rsidR="008E4202">
        <w:t>9</w:t>
      </w:r>
      <w:r>
        <w:t>&gt;</w:t>
      </w:r>
    </w:p>
    <w:p w14:paraId="6E5C9514" w14:textId="77777777" w:rsidR="000F2CE7" w:rsidRDefault="000F2CE7" w:rsidP="00970F12">
      <w:pPr>
        <w:rPr>
          <w:bCs/>
        </w:rPr>
      </w:pPr>
      <w:r w:rsidRPr="00D744DB">
        <w:rPr>
          <w:bCs/>
        </w:rPr>
        <w:t xml:space="preserve">We agree with this proposal. </w:t>
      </w:r>
    </w:p>
    <w:p w14:paraId="2FB2642C" w14:textId="0A5B5F1D" w:rsidR="00970F12" w:rsidRDefault="00970F12" w:rsidP="00970F12">
      <w:r>
        <w:t>&lt;ESMA_QUESTION_</w:t>
      </w:r>
      <w:r w:rsidR="008E4202">
        <w:t>COLL</w:t>
      </w:r>
      <w:r>
        <w:t>_</w:t>
      </w:r>
      <w:r w:rsidR="008E4202">
        <w:t>9</w:t>
      </w:r>
      <w:r>
        <w:t>&gt;</w:t>
      </w:r>
    </w:p>
    <w:p w14:paraId="47C1564C" w14:textId="77777777" w:rsidR="00970F12" w:rsidRDefault="00970F12" w:rsidP="00693907"/>
    <w:p w14:paraId="2964373E" w14:textId="6323EC60" w:rsidR="005E4A48" w:rsidRDefault="005E4A48" w:rsidP="005E4A48">
      <w:pPr>
        <w:pStyle w:val="Questionstyle"/>
      </w:pPr>
      <w:r w:rsidRPr="004344B8">
        <w:t>Do</w:t>
      </w:r>
      <w:r w:rsidR="00E77951">
        <w:t xml:space="preserve"> </w:t>
      </w:r>
      <w:r w:rsidR="003A00A8" w:rsidRPr="003A00A8">
        <w:t>you consider that the direct access of a public guarantor to real-time gross settlement systems such as T2 should be a requirement for public guarantors? Please provide evidence or reasoning to support your response.</w:t>
      </w:r>
    </w:p>
    <w:p w14:paraId="04A80332" w14:textId="40679483" w:rsidR="005E4A48" w:rsidRDefault="005E4A48" w:rsidP="005E4A48">
      <w:r>
        <w:t>&lt;ESMA_QUESTION_</w:t>
      </w:r>
      <w:r w:rsidR="0037419B">
        <w:t>COLL</w:t>
      </w:r>
      <w:r>
        <w:t>_</w:t>
      </w:r>
      <w:r w:rsidR="0037419B">
        <w:t>10</w:t>
      </w:r>
      <w:r>
        <w:t>&gt;</w:t>
      </w:r>
    </w:p>
    <w:p w14:paraId="3D4E1BB2" w14:textId="789CEFB0" w:rsidR="004557DF" w:rsidRDefault="001B73B0" w:rsidP="004557DF">
      <w:pPr>
        <w:spacing w:after="0" w:line="240" w:lineRule="auto"/>
        <w:rPr>
          <w:bCs/>
        </w:rPr>
      </w:pPr>
      <w:r w:rsidRPr="00D744DB">
        <w:rPr>
          <w:bCs/>
        </w:rPr>
        <w:t>Guarantees need to be payable promptly. This may imply that the guarantor has access to T2</w:t>
      </w:r>
      <w:r>
        <w:rPr>
          <w:bCs/>
        </w:rPr>
        <w:t>, which could be achieved indirectly</w:t>
      </w:r>
      <w:r w:rsidRPr="00D744DB">
        <w:rPr>
          <w:bCs/>
        </w:rPr>
        <w:t xml:space="preserve">. </w:t>
      </w:r>
    </w:p>
    <w:p w14:paraId="32505222" w14:textId="77777777" w:rsidR="004557DF" w:rsidRPr="004557DF" w:rsidRDefault="004557DF" w:rsidP="004557DF">
      <w:pPr>
        <w:spacing w:after="0" w:line="240" w:lineRule="auto"/>
        <w:rPr>
          <w:bCs/>
        </w:rPr>
      </w:pPr>
    </w:p>
    <w:p w14:paraId="5CF44F01" w14:textId="3E6ED780" w:rsidR="005E4A48" w:rsidRDefault="005E4A48" w:rsidP="005E4A48">
      <w:r>
        <w:t>&lt;ESMA_QUESTION_</w:t>
      </w:r>
      <w:r w:rsidR="0037419B">
        <w:t>COLL</w:t>
      </w:r>
      <w:r>
        <w:t>_</w:t>
      </w:r>
      <w:r w:rsidR="0037419B">
        <w:t>10</w:t>
      </w:r>
      <w:r>
        <w:t>&gt;</w:t>
      </w:r>
    </w:p>
    <w:p w14:paraId="10E37C90" w14:textId="77777777" w:rsidR="005E4A48" w:rsidRDefault="005E4A48" w:rsidP="00693907"/>
    <w:p w14:paraId="71E277F2" w14:textId="4AE639BC" w:rsidR="005E4A48" w:rsidRDefault="005E4A48" w:rsidP="005E4A48">
      <w:pPr>
        <w:pStyle w:val="Questionstyle"/>
      </w:pPr>
      <w:r w:rsidRPr="004344B8">
        <w:t>Do</w:t>
      </w:r>
      <w:r>
        <w:t xml:space="preserve"> </w:t>
      </w:r>
      <w:r w:rsidR="00502F7C" w:rsidRPr="00502F7C">
        <w:t>you agree that public guarantees should be accompanied by a legal opinion confirming the effective representation of the guarantor, the validity of the guarantee and its enforceability?</w:t>
      </w:r>
    </w:p>
    <w:p w14:paraId="182071EF" w14:textId="6E70C2AB" w:rsidR="005E4A48" w:rsidRDefault="005E4A48" w:rsidP="005E4A48">
      <w:r>
        <w:t>&lt;ESMA_QUESTION_</w:t>
      </w:r>
      <w:r w:rsidR="004641DE">
        <w:t>COLL</w:t>
      </w:r>
      <w:r>
        <w:t>_</w:t>
      </w:r>
      <w:r w:rsidR="004641DE">
        <w:t>11</w:t>
      </w:r>
      <w:r>
        <w:t>&gt;</w:t>
      </w:r>
    </w:p>
    <w:p w14:paraId="55B395D5" w14:textId="563ABA12" w:rsidR="004557DF" w:rsidRDefault="004557DF" w:rsidP="004557DF">
      <w:pPr>
        <w:spacing w:after="0" w:line="240" w:lineRule="auto"/>
        <w:rPr>
          <w:bCs/>
        </w:rPr>
      </w:pPr>
      <w:r w:rsidRPr="00D744DB">
        <w:rPr>
          <w:bCs/>
        </w:rPr>
        <w:t>We support requiring public guarantees to be accompanied by a legal opinion confirming the effective representation of the guarantor, the validity of the guarantee and its enforceability.</w:t>
      </w:r>
    </w:p>
    <w:p w14:paraId="174A1AA2" w14:textId="77777777" w:rsidR="004557DF" w:rsidRPr="004557DF" w:rsidRDefault="004557DF" w:rsidP="004557DF">
      <w:pPr>
        <w:spacing w:after="0" w:line="240" w:lineRule="auto"/>
        <w:rPr>
          <w:bCs/>
        </w:rPr>
      </w:pPr>
    </w:p>
    <w:p w14:paraId="622D948A" w14:textId="1EC70FBD" w:rsidR="005E4A48" w:rsidRDefault="005E4A48" w:rsidP="005E4A48">
      <w:r>
        <w:t>&lt;ESMA_QUESTION_</w:t>
      </w:r>
      <w:r w:rsidR="004641DE">
        <w:t>COLL</w:t>
      </w:r>
      <w:r>
        <w:t>_</w:t>
      </w:r>
      <w:r w:rsidR="004641DE">
        <w:t>11</w:t>
      </w:r>
      <w:r>
        <w:t>&gt;</w:t>
      </w:r>
    </w:p>
    <w:p w14:paraId="281801E2" w14:textId="77777777" w:rsidR="005E4A48" w:rsidRDefault="005E4A48" w:rsidP="00693907"/>
    <w:p w14:paraId="1922BA8F" w14:textId="0E442475" w:rsidR="005E4A48" w:rsidRDefault="005E4A48" w:rsidP="005E4A48">
      <w:pPr>
        <w:pStyle w:val="Questionstyle"/>
      </w:pPr>
      <w:r w:rsidRPr="004344B8">
        <w:t xml:space="preserve">Do </w:t>
      </w:r>
      <w:r w:rsidR="004B3CF5" w:rsidRPr="004B3CF5">
        <w:t>you agree that the conditions for commercial bank guarantees should explicitly foresee that the guarantor is a credit institution as defined in CRR?</w:t>
      </w:r>
    </w:p>
    <w:p w14:paraId="645BB6CB" w14:textId="03D6F764" w:rsidR="005E4A48" w:rsidRDefault="005E4A48" w:rsidP="005E4A48">
      <w:r>
        <w:t>&lt;ESMA_QUESTION_</w:t>
      </w:r>
      <w:r w:rsidR="0070781C">
        <w:t>COLL</w:t>
      </w:r>
      <w:r>
        <w:t>_</w:t>
      </w:r>
      <w:r w:rsidR="0070781C">
        <w:t>12</w:t>
      </w:r>
      <w:r>
        <w:t>&gt;</w:t>
      </w:r>
    </w:p>
    <w:p w14:paraId="7D3BEEA2" w14:textId="77777777" w:rsidR="000C0899" w:rsidRDefault="000C0899" w:rsidP="000C0899">
      <w:pPr>
        <w:spacing w:after="0"/>
        <w:rPr>
          <w:bCs/>
        </w:rPr>
      </w:pPr>
      <w:r w:rsidRPr="00D744DB">
        <w:rPr>
          <w:bCs/>
        </w:rPr>
        <w:lastRenderedPageBreak/>
        <w:t>We agree with this requirement. This ensures that guarantors are subject to a harmonised prudential framework, including consistent capital, liquidity and supervisory requirements, thereby supporting a high level of confidence in their financial soundness.</w:t>
      </w:r>
    </w:p>
    <w:p w14:paraId="7F3EA659" w14:textId="77777777" w:rsidR="000C0899" w:rsidRPr="00D744DB" w:rsidRDefault="000C0899" w:rsidP="000C0899">
      <w:pPr>
        <w:spacing w:after="0"/>
        <w:rPr>
          <w:bCs/>
        </w:rPr>
      </w:pPr>
    </w:p>
    <w:p w14:paraId="21809AF2" w14:textId="77777777" w:rsidR="000C0899" w:rsidRDefault="000C0899" w:rsidP="000C0899">
      <w:pPr>
        <w:spacing w:after="0"/>
        <w:rPr>
          <w:bCs/>
        </w:rPr>
      </w:pPr>
      <w:r w:rsidRPr="00D744DB">
        <w:rPr>
          <w:bCs/>
        </w:rPr>
        <w:t>Restricting eligible guarantors to CRR-defined institutions enhances legal certainty and the reliability of execution in stress scenarios. While certain aspects of bank resolution are harmonised at EU level, insolvency regimes remain only partially harmonised, and important differences persist across jurisdictions. These differences may affect the timing, enforceability and ultimate recovery of claims under a guarantee, particularly in a default or resolution scenario.</w:t>
      </w:r>
    </w:p>
    <w:p w14:paraId="5DC4FE12" w14:textId="77777777" w:rsidR="000C0899" w:rsidRPr="00D744DB" w:rsidRDefault="000C0899" w:rsidP="000C0899">
      <w:pPr>
        <w:spacing w:after="0"/>
        <w:rPr>
          <w:bCs/>
        </w:rPr>
      </w:pPr>
    </w:p>
    <w:p w14:paraId="6953CF4E" w14:textId="77777777" w:rsidR="000C0899" w:rsidRDefault="000C0899" w:rsidP="000C0899">
      <w:pPr>
        <w:spacing w:after="0"/>
        <w:rPr>
          <w:bCs/>
        </w:rPr>
      </w:pPr>
      <w:r>
        <w:rPr>
          <w:bCs/>
        </w:rPr>
        <w:t>We do not support relying on</w:t>
      </w:r>
      <w:r w:rsidRPr="00D744DB">
        <w:rPr>
          <w:bCs/>
        </w:rPr>
        <w:t xml:space="preserve"> third-country institutions</w:t>
      </w:r>
      <w:r>
        <w:rPr>
          <w:bCs/>
        </w:rPr>
        <w:t xml:space="preserve"> as guarantors, as it would</w:t>
      </w:r>
      <w:r w:rsidRPr="00D744DB">
        <w:rPr>
          <w:bCs/>
        </w:rPr>
        <w:t xml:space="preserve"> </w:t>
      </w:r>
      <w:r>
        <w:rPr>
          <w:bCs/>
        </w:rPr>
        <w:t xml:space="preserve">raise </w:t>
      </w:r>
      <w:proofErr w:type="gramStart"/>
      <w:r>
        <w:rPr>
          <w:bCs/>
        </w:rPr>
        <w:t>a number of</w:t>
      </w:r>
      <w:proofErr w:type="gramEnd"/>
      <w:r>
        <w:rPr>
          <w:bCs/>
        </w:rPr>
        <w:t xml:space="preserve"> practical issues, </w:t>
      </w:r>
      <w:r w:rsidRPr="00D744DB">
        <w:rPr>
          <w:bCs/>
        </w:rPr>
        <w:t xml:space="preserve">due to additional legal uncertainty, potential conflicts of law, and the absence of a common supervisory and resolution framework. </w:t>
      </w:r>
      <w:r>
        <w:rPr>
          <w:bCs/>
        </w:rPr>
        <w:t xml:space="preserve">This would question the extent to which CCPs and clearing members may be able to rely on structures issued by non-CRR institutions in a timely and certain manner. </w:t>
      </w:r>
      <w:r w:rsidRPr="00D744DB">
        <w:rPr>
          <w:bCs/>
        </w:rPr>
        <w:t xml:space="preserve">However, </w:t>
      </w:r>
      <w:r>
        <w:rPr>
          <w:bCs/>
        </w:rPr>
        <w:t>LC</w:t>
      </w:r>
      <w:r w:rsidRPr="00D744DB">
        <w:rPr>
          <w:bCs/>
        </w:rPr>
        <w:t>s issued by third</w:t>
      </w:r>
      <w:r w:rsidRPr="00D744DB">
        <w:rPr>
          <w:bCs/>
        </w:rPr>
        <w:noBreakHyphen/>
        <w:t xml:space="preserve">country credit institutions </w:t>
      </w:r>
      <w:r>
        <w:rPr>
          <w:bCs/>
        </w:rPr>
        <w:t xml:space="preserve">could be considered </w:t>
      </w:r>
      <w:r w:rsidRPr="00D744DB">
        <w:rPr>
          <w:bCs/>
        </w:rPr>
        <w:t xml:space="preserve">on an exceptional basis, provided that comprehensive legal </w:t>
      </w:r>
      <w:r>
        <w:rPr>
          <w:bCs/>
        </w:rPr>
        <w:t>review</w:t>
      </w:r>
      <w:r w:rsidRPr="00D744DB">
        <w:rPr>
          <w:bCs/>
        </w:rPr>
        <w:t xml:space="preserve"> confirm the validity, enforceability and timely execution of the guarantee under all relevant laws.</w:t>
      </w:r>
    </w:p>
    <w:p w14:paraId="65ADD779" w14:textId="77777777" w:rsidR="000C0899" w:rsidRDefault="000C0899" w:rsidP="000C0899">
      <w:pPr>
        <w:spacing w:after="0"/>
        <w:rPr>
          <w:bCs/>
        </w:rPr>
      </w:pPr>
    </w:p>
    <w:p w14:paraId="36FF8389" w14:textId="245D9198" w:rsidR="005E4A48" w:rsidRDefault="005E4A48" w:rsidP="005E4A48">
      <w:r>
        <w:t>&lt;ESMA_QUESTION_</w:t>
      </w:r>
      <w:r w:rsidR="0070781C">
        <w:t>COLL</w:t>
      </w:r>
      <w:r>
        <w:t>_</w:t>
      </w:r>
      <w:r w:rsidR="0070781C">
        <w:t>12</w:t>
      </w:r>
      <w:r>
        <w:t>&gt;</w:t>
      </w:r>
    </w:p>
    <w:p w14:paraId="1D796774" w14:textId="77777777" w:rsidR="005E4A48" w:rsidRDefault="005E4A48" w:rsidP="00693907"/>
    <w:p w14:paraId="3F18CDD5" w14:textId="07197B4B" w:rsidR="005E4A48" w:rsidRDefault="005E4A48" w:rsidP="005E4A48">
      <w:pPr>
        <w:pStyle w:val="Questionstyle"/>
      </w:pPr>
      <w:r w:rsidRPr="004344B8">
        <w:t xml:space="preserve">Do </w:t>
      </w:r>
      <w:r w:rsidR="00AC7E2D" w:rsidRPr="00AC7E2D">
        <w:t>you agree that the possibility for CCP to accept uncollateralised bank guarantees should be specified in Section two of Annex I of RTS 153/2013?</w:t>
      </w:r>
    </w:p>
    <w:p w14:paraId="359D42A4" w14:textId="5A277687" w:rsidR="005E4A48" w:rsidRDefault="005E4A48" w:rsidP="005E4A48">
      <w:r>
        <w:t>&lt;ESMA_QUESTION_</w:t>
      </w:r>
      <w:r w:rsidR="003618E4">
        <w:t>COLL</w:t>
      </w:r>
      <w:r>
        <w:t>_</w:t>
      </w:r>
      <w:r w:rsidR="003618E4">
        <w:t>13</w:t>
      </w:r>
      <w:r>
        <w:t>&gt;</w:t>
      </w:r>
    </w:p>
    <w:p w14:paraId="7C77A380" w14:textId="77777777" w:rsidR="00923C45" w:rsidRPr="009F1457" w:rsidRDefault="00923C45" w:rsidP="00923C45">
      <w:pPr>
        <w:spacing w:after="0"/>
        <w:rPr>
          <w:bCs/>
        </w:rPr>
      </w:pPr>
      <w:r w:rsidRPr="00D744DB">
        <w:rPr>
          <w:bCs/>
        </w:rPr>
        <w:t xml:space="preserve">We agree with </w:t>
      </w:r>
      <w:r>
        <w:rPr>
          <w:bCs/>
        </w:rPr>
        <w:t>the proposed approach to amending Section two of Annex I of RTS 153/2013. Under current Section two of Annex I, paragraph (h) prevents the use of uncollateralized commercial bank guarantees. We would not suggest adding uncollateralized bank guarantees as a separate category in this section. Rather, we welcome the proposed approach which amends existing requirements on guarantees. Any</w:t>
      </w:r>
      <w:r w:rsidRPr="009F1457">
        <w:rPr>
          <w:bCs/>
        </w:rPr>
        <w:t xml:space="preserve"> necessary adjustments should focus on clarifying that references to bank guarantees are understood to cover only autonomous, irrevocable, </w:t>
      </w:r>
      <w:r>
        <w:rPr>
          <w:bCs/>
        </w:rPr>
        <w:t xml:space="preserve">unconditional </w:t>
      </w:r>
      <w:r w:rsidRPr="009F1457">
        <w:rPr>
          <w:bCs/>
        </w:rPr>
        <w:t xml:space="preserve">on demand payment </w:t>
      </w:r>
      <w:r>
        <w:rPr>
          <w:bCs/>
        </w:rPr>
        <w:t xml:space="preserve">instruments, </w:t>
      </w:r>
      <w:r w:rsidRPr="009F1457">
        <w:rPr>
          <w:bCs/>
        </w:rPr>
        <w:t xml:space="preserve">such as </w:t>
      </w:r>
      <w:r>
        <w:rPr>
          <w:bCs/>
        </w:rPr>
        <w:t>letters of credit,</w:t>
      </w:r>
      <w:r w:rsidRPr="009F1457">
        <w:rPr>
          <w:bCs/>
        </w:rPr>
        <w:t xml:space="preserve"> and not generic or bank guarantees</w:t>
      </w:r>
      <w:r>
        <w:rPr>
          <w:bCs/>
        </w:rPr>
        <w:t xml:space="preserve"> contingent on default, which would in any case not meet the unconditionality criteria</w:t>
      </w:r>
      <w:r w:rsidRPr="009F1457">
        <w:rPr>
          <w:bCs/>
        </w:rPr>
        <w:t xml:space="preserve">. </w:t>
      </w:r>
      <w:r>
        <w:rPr>
          <w:bCs/>
        </w:rPr>
        <w:t>Letters of credit</w:t>
      </w:r>
      <w:r w:rsidRPr="009F1457">
        <w:rPr>
          <w:bCs/>
        </w:rPr>
        <w:t xml:space="preserve"> represent a materially stronger structure than generic </w:t>
      </w:r>
      <w:r>
        <w:rPr>
          <w:bCs/>
        </w:rPr>
        <w:t xml:space="preserve">surety-type </w:t>
      </w:r>
      <w:r w:rsidRPr="009F1457">
        <w:rPr>
          <w:bCs/>
        </w:rPr>
        <w:t>bank guarantees, and more closely align with established US CCP practice. Such instruments significantly reduce execution risk relative to traditional guarantees.</w:t>
      </w:r>
    </w:p>
    <w:p w14:paraId="14C85A51" w14:textId="77777777" w:rsidR="00923C45" w:rsidRPr="009F1457" w:rsidRDefault="00923C45" w:rsidP="00923C45">
      <w:pPr>
        <w:spacing w:after="0"/>
        <w:rPr>
          <w:bCs/>
        </w:rPr>
      </w:pPr>
    </w:p>
    <w:p w14:paraId="653D8FCB" w14:textId="77777777" w:rsidR="00923C45" w:rsidRDefault="00923C45" w:rsidP="00923C45">
      <w:pPr>
        <w:spacing w:after="0"/>
        <w:rPr>
          <w:bCs/>
        </w:rPr>
      </w:pPr>
      <w:r w:rsidRPr="009F1457">
        <w:rPr>
          <w:bCs/>
        </w:rPr>
        <w:t xml:space="preserve">To avoid ambiguity as to the types of instruments that may be accepted, </w:t>
      </w:r>
      <w:r>
        <w:rPr>
          <w:bCs/>
        </w:rPr>
        <w:t>we suggest specific amendments to the</w:t>
      </w:r>
      <w:r w:rsidRPr="009F1457">
        <w:rPr>
          <w:bCs/>
        </w:rPr>
        <w:t xml:space="preserve"> conditions set out in Annex I, Section 2(1)</w:t>
      </w:r>
      <w:r>
        <w:rPr>
          <w:bCs/>
        </w:rPr>
        <w:t>, and we also replicate similar amendments in the sub-sections relevant to central bank, public and public bank guarantees.</w:t>
      </w:r>
    </w:p>
    <w:p w14:paraId="05C24BB2" w14:textId="77777777" w:rsidR="00923C45" w:rsidRDefault="00923C45" w:rsidP="00923C45">
      <w:pPr>
        <w:spacing w:after="0"/>
        <w:rPr>
          <w:bCs/>
        </w:rPr>
      </w:pPr>
    </w:p>
    <w:p w14:paraId="09DEA331" w14:textId="77777777" w:rsidR="00923C45" w:rsidRPr="009F1457" w:rsidRDefault="00923C45" w:rsidP="00923C45">
      <w:pPr>
        <w:spacing w:after="0"/>
        <w:rPr>
          <w:bCs/>
        </w:rPr>
      </w:pPr>
      <w:r>
        <w:rPr>
          <w:bCs/>
        </w:rPr>
        <w:lastRenderedPageBreak/>
        <w:t>In particular, we suggest to add, after the condition on irrevocability and unconditionality, the requirement that “</w:t>
      </w:r>
      <w:r w:rsidRPr="009F1457">
        <w:rPr>
          <w:bCs/>
        </w:rPr>
        <w:t>the guarantee shall constitute a primary and autonomous payment obligation of the issuing credit institution, independent of the validity, enforceability or performance of the underlying obligation</w:t>
      </w:r>
      <w:r>
        <w:rPr>
          <w:bCs/>
        </w:rPr>
        <w:t xml:space="preserve">”, and that it </w:t>
      </w:r>
      <w:r w:rsidRPr="00D744DB">
        <w:rPr>
          <w:bCs/>
        </w:rPr>
        <w:t xml:space="preserve">“shall not be subject to any requirement to evidence default, loss, shortfall or insolvency, nor to any substantive legal or contractual </w:t>
      </w:r>
      <w:proofErr w:type="spellStart"/>
      <w:r w:rsidRPr="00265D8F">
        <w:rPr>
          <w:bCs/>
        </w:rPr>
        <w:t>defense</w:t>
      </w:r>
      <w:proofErr w:type="spellEnd"/>
      <w:r w:rsidRPr="00D744DB">
        <w:rPr>
          <w:bCs/>
        </w:rPr>
        <w:t xml:space="preserve"> that could delay payment.”</w:t>
      </w:r>
    </w:p>
    <w:p w14:paraId="3D2732C4" w14:textId="77777777" w:rsidR="00923C45" w:rsidRDefault="00923C45" w:rsidP="00923C45">
      <w:pPr>
        <w:spacing w:after="0"/>
        <w:rPr>
          <w:bCs/>
        </w:rPr>
      </w:pPr>
    </w:p>
    <w:p w14:paraId="23D36A3D" w14:textId="77777777" w:rsidR="00923C45" w:rsidRPr="00D744DB" w:rsidRDefault="00923C45" w:rsidP="00923C45">
      <w:pPr>
        <w:spacing w:after="0"/>
        <w:rPr>
          <w:bCs/>
        </w:rPr>
      </w:pPr>
      <w:r>
        <w:rPr>
          <w:bCs/>
        </w:rPr>
        <w:t xml:space="preserve">We also suggest specifying that the guarantee should be honoured on demand and “promptly” </w:t>
      </w:r>
      <w:r w:rsidRPr="007519FC">
        <w:rPr>
          <w:bCs/>
        </w:rPr>
        <w:t>within a short timeframe specified in the agreement</w:t>
      </w:r>
      <w:r>
        <w:rPr>
          <w:bCs/>
        </w:rPr>
        <w:t>, to align with established US CCP practice, where the time window within which the guarantor is expected to provide the funds is set out in the letter of credit agreement with the beneficiaries</w:t>
      </w:r>
      <w:r>
        <w:rPr>
          <w:rStyle w:val="FootnoteReference"/>
          <w:bCs/>
        </w:rPr>
        <w:footnoteReference w:id="4"/>
      </w:r>
      <w:r>
        <w:rPr>
          <w:bCs/>
        </w:rPr>
        <w:t>.</w:t>
      </w:r>
    </w:p>
    <w:p w14:paraId="009F6242" w14:textId="77777777" w:rsidR="00923C45" w:rsidRPr="00D744DB" w:rsidRDefault="00923C45" w:rsidP="00923C45">
      <w:pPr>
        <w:spacing w:after="0"/>
        <w:rPr>
          <w:bCs/>
        </w:rPr>
      </w:pPr>
    </w:p>
    <w:p w14:paraId="7D892503" w14:textId="77777777" w:rsidR="00923C45" w:rsidRPr="00D744DB" w:rsidRDefault="00923C45" w:rsidP="00923C45">
      <w:pPr>
        <w:spacing w:after="0"/>
        <w:rPr>
          <w:bCs/>
        </w:rPr>
      </w:pPr>
      <w:r w:rsidRPr="00D744DB">
        <w:rPr>
          <w:bCs/>
        </w:rPr>
        <w:t xml:space="preserve">The liquidity characteristics of uncollateralised bank guarantees depend on their legal structure. Generic guarantees that cannot be reliably monetised </w:t>
      </w:r>
      <w:r>
        <w:rPr>
          <w:bCs/>
        </w:rPr>
        <w:t xml:space="preserve">on demand and promptly </w:t>
      </w:r>
      <w:r w:rsidRPr="00D744DB">
        <w:rPr>
          <w:bCs/>
        </w:rPr>
        <w:t>should be treated as non</w:t>
      </w:r>
      <w:r w:rsidRPr="00D744DB">
        <w:rPr>
          <w:bCs/>
        </w:rPr>
        <w:noBreakHyphen/>
        <w:t xml:space="preserve">liquid resources. Where </w:t>
      </w:r>
      <w:r>
        <w:rPr>
          <w:bCs/>
        </w:rPr>
        <w:t>LC</w:t>
      </w:r>
      <w:r w:rsidRPr="00D744DB">
        <w:rPr>
          <w:bCs/>
        </w:rPr>
        <w:noBreakHyphen/>
        <w:t>type instruments are accepted, CCPs should nevertheless demonstrate that reliance on such instruments does not impair their ability to meet liquidity needs in default scenarios.</w:t>
      </w:r>
    </w:p>
    <w:p w14:paraId="115DD649" w14:textId="77777777" w:rsidR="00923C45" w:rsidRDefault="00923C45" w:rsidP="00923C45">
      <w:pPr>
        <w:spacing w:after="0"/>
        <w:rPr>
          <w:bCs/>
        </w:rPr>
      </w:pPr>
    </w:p>
    <w:p w14:paraId="57F266A4" w14:textId="77777777" w:rsidR="00923C45" w:rsidRPr="00D744DB" w:rsidRDefault="00923C45" w:rsidP="00923C45">
      <w:pPr>
        <w:spacing w:after="0"/>
        <w:rPr>
          <w:bCs/>
        </w:rPr>
      </w:pPr>
      <w:r w:rsidRPr="00D744DB">
        <w:rPr>
          <w:bCs/>
        </w:rPr>
        <w:t xml:space="preserve">Finally, it should be recognised that other types of collateral accepted by CCPs are subject to haircuts to reflect differences in liquidity, price volatility and execution risk. While </w:t>
      </w:r>
      <w:r>
        <w:rPr>
          <w:bCs/>
        </w:rPr>
        <w:t>LC</w:t>
      </w:r>
      <w:r w:rsidRPr="00D744DB">
        <w:rPr>
          <w:bCs/>
        </w:rPr>
        <w:t xml:space="preserve">s and other guarantees are not financial </w:t>
      </w:r>
      <w:proofErr w:type="gramStart"/>
      <w:r w:rsidRPr="00D744DB">
        <w:rPr>
          <w:bCs/>
        </w:rPr>
        <w:t>instruments</w:t>
      </w:r>
      <w:r>
        <w:rPr>
          <w:bCs/>
        </w:rPr>
        <w:t>,</w:t>
      </w:r>
      <w:r w:rsidRPr="00D744DB">
        <w:rPr>
          <w:bCs/>
        </w:rPr>
        <w:t xml:space="preserve"> and</w:t>
      </w:r>
      <w:proofErr w:type="gramEnd"/>
      <w:r w:rsidRPr="00D744DB">
        <w:rPr>
          <w:bCs/>
        </w:rPr>
        <w:t xml:space="preserve"> are therefore not subject to haircuts under Article 41, this highlights that such instruments should not be treated as cash</w:t>
      </w:r>
      <w:r w:rsidRPr="00D744DB">
        <w:rPr>
          <w:bCs/>
        </w:rPr>
        <w:noBreakHyphen/>
        <w:t xml:space="preserve">equivalent. Their reliance on the creditworthiness and operational performance of the issuing bank means that they remain inherently different from funded, immediately realisable collateral. </w:t>
      </w:r>
      <w:r>
        <w:rPr>
          <w:bCs/>
        </w:rPr>
        <w:t>This is why the concentration framework surrounding the use of guarantees, as discussed in relation to Question 1, is crucial, ensuring that letters of credit are seen</w:t>
      </w:r>
      <w:r w:rsidRPr="00D744DB">
        <w:rPr>
          <w:bCs/>
        </w:rPr>
        <w:t xml:space="preserve"> as complementary rather than interchangeable with cash or high</w:t>
      </w:r>
      <w:r w:rsidRPr="00D744DB">
        <w:rPr>
          <w:bCs/>
        </w:rPr>
        <w:noBreakHyphen/>
        <w:t>quality securities.</w:t>
      </w:r>
    </w:p>
    <w:p w14:paraId="09587D4B" w14:textId="77777777" w:rsidR="00923C45" w:rsidRDefault="00923C45" w:rsidP="00923C45">
      <w:pPr>
        <w:spacing w:after="0" w:line="240" w:lineRule="auto"/>
        <w:rPr>
          <w:bCs/>
        </w:rPr>
      </w:pPr>
    </w:p>
    <w:p w14:paraId="22CB6650" w14:textId="77777777" w:rsidR="00923C45" w:rsidRPr="009244E8" w:rsidRDefault="00923C45" w:rsidP="00923C45">
      <w:pPr>
        <w:spacing w:after="120"/>
        <w:rPr>
          <w:bCs/>
          <w:i/>
          <w:iCs/>
        </w:rPr>
      </w:pPr>
      <w:r w:rsidRPr="009244E8">
        <w:rPr>
          <w:bCs/>
          <w:i/>
          <w:iCs/>
        </w:rPr>
        <w:t xml:space="preserve">Please refer to the drafting suggestions on the proposed draft RTS, which we have included in the Annex </w:t>
      </w:r>
      <w:r>
        <w:rPr>
          <w:bCs/>
          <w:i/>
          <w:iCs/>
        </w:rPr>
        <w:t>submitted alongside</w:t>
      </w:r>
      <w:r w:rsidRPr="009244E8">
        <w:rPr>
          <w:bCs/>
          <w:i/>
          <w:iCs/>
        </w:rPr>
        <w:t xml:space="preserve"> our response.</w:t>
      </w:r>
    </w:p>
    <w:p w14:paraId="733C2664" w14:textId="49DF325F" w:rsidR="005E4A48" w:rsidRDefault="005E4A48" w:rsidP="005E4A48">
      <w:r>
        <w:t>&lt;ESMA_QUESTION_</w:t>
      </w:r>
      <w:r w:rsidR="0070781C">
        <w:t>COLL</w:t>
      </w:r>
      <w:r>
        <w:t>_</w:t>
      </w:r>
      <w:r w:rsidR="0070781C">
        <w:t>13</w:t>
      </w:r>
      <w:r>
        <w:t>&gt;</w:t>
      </w:r>
    </w:p>
    <w:p w14:paraId="7AC8814A" w14:textId="77777777" w:rsidR="005E4A48" w:rsidRDefault="005E4A48" w:rsidP="00693907"/>
    <w:p w14:paraId="29F2BAAB" w14:textId="173468ED" w:rsidR="005E4A48" w:rsidRDefault="005E4A48" w:rsidP="005E4A48">
      <w:pPr>
        <w:pStyle w:val="Questionstyle"/>
      </w:pPr>
      <w:r w:rsidRPr="004344B8">
        <w:t xml:space="preserve">Do </w:t>
      </w:r>
      <w:r w:rsidR="002A08CC" w:rsidRPr="002A08CC">
        <w:t>you agree with ESMA that the conditions applicable to commercial bank guarantees should also be applicable to public bank guarantees? Please specify in your answer whether any addition condition should be considered.</w:t>
      </w:r>
    </w:p>
    <w:p w14:paraId="5FEFF315" w14:textId="077F0047" w:rsidR="005E4A48" w:rsidRDefault="005E4A48" w:rsidP="005E4A48">
      <w:r>
        <w:lastRenderedPageBreak/>
        <w:t>&lt;ESMA_QUESTION_</w:t>
      </w:r>
      <w:r w:rsidR="00313B2A">
        <w:t>COLL</w:t>
      </w:r>
      <w:r>
        <w:t>_</w:t>
      </w:r>
      <w:r w:rsidR="00313B2A">
        <w:t>14</w:t>
      </w:r>
      <w:r>
        <w:t>&gt;</w:t>
      </w:r>
    </w:p>
    <w:p w14:paraId="0A9E52AC" w14:textId="77777777" w:rsidR="003F40CB" w:rsidRDefault="003F40CB" w:rsidP="003F40CB">
      <w:pPr>
        <w:spacing w:after="0"/>
        <w:rPr>
          <w:bCs/>
        </w:rPr>
      </w:pPr>
      <w:r w:rsidRPr="00D744DB">
        <w:rPr>
          <w:bCs/>
        </w:rPr>
        <w:t xml:space="preserve">We agree with ESMA’s approach with regards to aligning the conditions applicable to public guarantees with the conditions applicable for commercial bank guarantees, which avoid unnecessary complexity. Our comments above in response to question 6 also apply in respect of public bank guarantees. </w:t>
      </w:r>
    </w:p>
    <w:p w14:paraId="68E7602F" w14:textId="77777777" w:rsidR="003F40CB" w:rsidRPr="00D744DB" w:rsidRDefault="003F40CB" w:rsidP="003F40CB">
      <w:pPr>
        <w:spacing w:after="0"/>
        <w:rPr>
          <w:bCs/>
        </w:rPr>
      </w:pPr>
    </w:p>
    <w:p w14:paraId="195B3B53" w14:textId="35E0DC42" w:rsidR="005E4A48" w:rsidRDefault="005E4A48" w:rsidP="005E4A48">
      <w:r>
        <w:t>&lt;ESMA_QUESTION_</w:t>
      </w:r>
      <w:r w:rsidR="00313B2A">
        <w:t>COLL</w:t>
      </w:r>
      <w:r>
        <w:t>_</w:t>
      </w:r>
      <w:r w:rsidR="00313B2A">
        <w:t>14</w:t>
      </w:r>
      <w:r>
        <w:t>&gt;</w:t>
      </w:r>
    </w:p>
    <w:p w14:paraId="53CE4543" w14:textId="77777777" w:rsidR="005E4A48" w:rsidRDefault="005E4A48" w:rsidP="00693907"/>
    <w:p w14:paraId="55038FDB" w14:textId="7ECBE4B4" w:rsidR="005E4A48" w:rsidRDefault="005E4A48" w:rsidP="005E4A48">
      <w:pPr>
        <w:pStyle w:val="Questionstyle"/>
      </w:pPr>
      <w:r w:rsidRPr="004344B8">
        <w:t>Do</w:t>
      </w:r>
      <w:r w:rsidR="001F57E9" w:rsidRPr="001F57E9">
        <w:t xml:space="preserve"> you agree with the proposed way to address the lack of definition of “public bank”?</w:t>
      </w:r>
      <w:r w:rsidR="001F57E9">
        <w:t xml:space="preserve"> </w:t>
      </w:r>
      <w:r w:rsidRPr="004344B8">
        <w:t xml:space="preserve"> </w:t>
      </w:r>
    </w:p>
    <w:p w14:paraId="04B2A90B" w14:textId="18F9E43B" w:rsidR="005E4A48" w:rsidRDefault="005E4A48" w:rsidP="005E4A48">
      <w:r>
        <w:t>&lt;ESMA_QUESTION_</w:t>
      </w:r>
      <w:r w:rsidR="00830677">
        <w:t>COLL</w:t>
      </w:r>
      <w:r>
        <w:t>_</w:t>
      </w:r>
      <w:r w:rsidR="00830677">
        <w:t>15</w:t>
      </w:r>
      <w:r>
        <w:t>&gt;</w:t>
      </w:r>
    </w:p>
    <w:p w14:paraId="712F485C" w14:textId="77777777" w:rsidR="00F74300" w:rsidRDefault="00F74300" w:rsidP="00F74300">
      <w:pPr>
        <w:spacing w:after="0"/>
        <w:rPr>
          <w:bCs/>
        </w:rPr>
      </w:pPr>
      <w:r w:rsidRPr="00D744DB">
        <w:rPr>
          <w:bCs/>
        </w:rPr>
        <w:t>We agree with ESMA’s approach to clarify what can be considered as a “public bank” in the absence of an EMIR 3 definition, referring to “publicly owned” banks other than multilateral development banks listed under Article 117(2) of Regulation (EU) No 575/2013 and central banks.</w:t>
      </w:r>
      <w:r>
        <w:rPr>
          <w:bCs/>
        </w:rPr>
        <w:t xml:space="preserve"> It would be helpful if ESMA could provide further context as to what type of institution they would expect to meet this proposed definition.</w:t>
      </w:r>
    </w:p>
    <w:p w14:paraId="2A51DF51" w14:textId="77777777" w:rsidR="00F74300" w:rsidRPr="00D744DB" w:rsidRDefault="00F74300" w:rsidP="00F74300">
      <w:pPr>
        <w:spacing w:after="0"/>
        <w:rPr>
          <w:bCs/>
        </w:rPr>
      </w:pPr>
    </w:p>
    <w:p w14:paraId="3C2CF56F" w14:textId="05A819D9" w:rsidR="005E4A48" w:rsidRDefault="005E4A48" w:rsidP="005E4A48">
      <w:r>
        <w:t>&lt;ESMA_QUESTION_</w:t>
      </w:r>
      <w:r w:rsidR="00830677">
        <w:t>COLL</w:t>
      </w:r>
      <w:r>
        <w:t>_</w:t>
      </w:r>
      <w:r w:rsidR="00830677">
        <w:t>15</w:t>
      </w:r>
      <w:r>
        <w:t>&gt;</w:t>
      </w:r>
    </w:p>
    <w:p w14:paraId="7946BE06" w14:textId="77777777" w:rsidR="005E4A48" w:rsidRDefault="005E4A48" w:rsidP="00693907"/>
    <w:p w14:paraId="072A90DC" w14:textId="0B8479CF" w:rsidR="005E4A48" w:rsidRDefault="005E4A48" w:rsidP="005E4A48">
      <w:pPr>
        <w:pStyle w:val="Questionstyle"/>
      </w:pPr>
      <w:r w:rsidRPr="004344B8">
        <w:t xml:space="preserve">Do </w:t>
      </w:r>
      <w:r w:rsidR="00827DAC" w:rsidRPr="00827DAC">
        <w:t>you agree with the proposed change concerning the conditions under which debt instruments can be considered highly liquid, bearing minimal credit and market risk (and hence considered as eligible financial instruments for the purpose of CCP investment policy)?</w:t>
      </w:r>
    </w:p>
    <w:p w14:paraId="0703E9DE" w14:textId="6C3C21CC" w:rsidR="005E4A48" w:rsidRDefault="005E4A48" w:rsidP="005E4A48">
      <w:r>
        <w:t>&lt;ESMA_QUESTION_</w:t>
      </w:r>
      <w:r w:rsidR="00830677">
        <w:t>COLL</w:t>
      </w:r>
      <w:r>
        <w:t>_</w:t>
      </w:r>
      <w:r w:rsidR="00830677">
        <w:t>16</w:t>
      </w:r>
      <w:r>
        <w:t>&gt;</w:t>
      </w:r>
    </w:p>
    <w:p w14:paraId="5F22BF80" w14:textId="77777777" w:rsidR="000F5D0E" w:rsidRPr="00D744DB" w:rsidRDefault="000F5D0E" w:rsidP="000F5D0E">
      <w:pPr>
        <w:spacing w:after="0"/>
        <w:rPr>
          <w:b/>
          <w:bCs/>
        </w:rPr>
      </w:pPr>
      <w:r w:rsidRPr="00D744DB">
        <w:rPr>
          <w:bCs/>
        </w:rPr>
        <w:t xml:space="preserve">We agree with this proposed change, noting that </w:t>
      </w:r>
      <w:r w:rsidRPr="00D744DB">
        <w:t>it is essential that eligibility remains strictly conditioned on a high degree of liquidity and marketability</w:t>
      </w:r>
      <w:r w:rsidRPr="002913C4">
        <w:t>, in line with existing requirements under Annex II, paragraph 1(b), (e) and (f)</w:t>
      </w:r>
      <w:r w:rsidRPr="00D744DB">
        <w:t xml:space="preserve">. </w:t>
      </w:r>
      <w:proofErr w:type="gramStart"/>
      <w:r w:rsidRPr="00D744DB">
        <w:t>In particular, such</w:t>
      </w:r>
      <w:proofErr w:type="gramEnd"/>
      <w:r w:rsidRPr="00D744DB">
        <w:t xml:space="preserve"> instruments should only be considered eligible where they can be sold rapidly under stressed market conditions without a material impact on price. CCPs should therefore ensure that these instruments are actively traded in deep and liquid markets, with demonstrated resilience in periods of market stress. This is necessary to ensure that CCPs can convert investments into cash in a timely manner and maintain their ability to meet liquidity needs in a default scenario.</w:t>
      </w:r>
    </w:p>
    <w:p w14:paraId="531981AB" w14:textId="77777777" w:rsidR="000F5D0E" w:rsidRPr="00D744DB" w:rsidRDefault="000F5D0E" w:rsidP="000F5D0E">
      <w:pPr>
        <w:spacing w:after="0"/>
        <w:rPr>
          <w:bCs/>
        </w:rPr>
      </w:pPr>
    </w:p>
    <w:p w14:paraId="149053BE" w14:textId="77777777" w:rsidR="000F5D0E" w:rsidRDefault="000F5D0E" w:rsidP="000F5D0E">
      <w:pPr>
        <w:spacing w:after="0"/>
        <w:rPr>
          <w:bCs/>
        </w:rPr>
      </w:pPr>
      <w:r w:rsidRPr="00D744DB">
        <w:rPr>
          <w:bCs/>
        </w:rPr>
        <w:t xml:space="preserve">As a separate point, noting that ESMA is revising Annex II of RTS 153/2013, we would encourage ESMA to consider more broadly other type of highly liquid financial instruments that CCPs should </w:t>
      </w:r>
      <w:r w:rsidRPr="00D744DB">
        <w:rPr>
          <w:bCs/>
        </w:rPr>
        <w:lastRenderedPageBreak/>
        <w:t xml:space="preserve">be allowed to invest in, such as public debt constant Net Asset Value MMF funds where the underlying assets qualify as highly liquidity financial instruments under Article 41(1) of EMIR and Annex II. </w:t>
      </w:r>
    </w:p>
    <w:p w14:paraId="15AEB083" w14:textId="77777777" w:rsidR="000F5D0E" w:rsidRPr="00D744DB" w:rsidRDefault="000F5D0E" w:rsidP="000F5D0E">
      <w:pPr>
        <w:spacing w:after="0"/>
        <w:rPr>
          <w:bCs/>
        </w:rPr>
      </w:pPr>
    </w:p>
    <w:p w14:paraId="0B4C738C" w14:textId="6290A124" w:rsidR="005E4A48" w:rsidRDefault="005E4A48" w:rsidP="005E4A48">
      <w:r>
        <w:t>&lt;ESMA_QUESTION_</w:t>
      </w:r>
      <w:r w:rsidR="00830677">
        <w:t>COLL</w:t>
      </w:r>
      <w:r>
        <w:t>_</w:t>
      </w:r>
      <w:r w:rsidR="00830677">
        <w:t>16</w:t>
      </w:r>
      <w:r>
        <w:t>&gt;</w:t>
      </w:r>
    </w:p>
    <w:p w14:paraId="10DA205F" w14:textId="77777777" w:rsidR="005E4A48" w:rsidRDefault="005E4A48" w:rsidP="00693907"/>
    <w:p w14:paraId="148436C5" w14:textId="4EBE401D" w:rsidR="005E4A48" w:rsidRDefault="005E4A48" w:rsidP="005E4A48">
      <w:pPr>
        <w:pStyle w:val="Questionstyle"/>
      </w:pPr>
      <w:r w:rsidRPr="004344B8">
        <w:t xml:space="preserve">Do </w:t>
      </w:r>
      <w:r w:rsidR="009D0047" w:rsidRPr="009D0047">
        <w:t>you agree with the proposed change concerning the highly secure arrangements for the deposit of financial instruments posted as margins or as default fund contributions?</w:t>
      </w:r>
    </w:p>
    <w:p w14:paraId="2F35E308" w14:textId="1A75FCCA" w:rsidR="005E4A48" w:rsidRDefault="005E4A48" w:rsidP="005E4A48">
      <w:r>
        <w:t>&lt;ESMA_QUESTION_</w:t>
      </w:r>
      <w:r w:rsidR="0072300F">
        <w:t>COLL</w:t>
      </w:r>
      <w:r>
        <w:t>_</w:t>
      </w:r>
      <w:r w:rsidR="0072300F">
        <w:t>17</w:t>
      </w:r>
      <w:r>
        <w:t>&gt;</w:t>
      </w:r>
    </w:p>
    <w:p w14:paraId="0F6AEDA2" w14:textId="77777777" w:rsidR="00411C64" w:rsidRPr="002E5D13" w:rsidRDefault="00411C64" w:rsidP="00411C64">
      <w:pPr>
        <w:spacing w:after="0"/>
        <w:rPr>
          <w:bCs/>
        </w:rPr>
      </w:pPr>
      <w:r w:rsidRPr="002E5D13">
        <w:rPr>
          <w:bCs/>
        </w:rPr>
        <w:t>We agree with this proposed change.</w:t>
      </w:r>
    </w:p>
    <w:p w14:paraId="142B2BFB" w14:textId="77777777" w:rsidR="00411C64" w:rsidRPr="002E5D13" w:rsidRDefault="00411C64" w:rsidP="00411C64">
      <w:pPr>
        <w:spacing w:after="0"/>
        <w:rPr>
          <w:bCs/>
        </w:rPr>
      </w:pPr>
    </w:p>
    <w:p w14:paraId="574304A3" w14:textId="77777777" w:rsidR="00411C64" w:rsidRPr="002E5D13" w:rsidRDefault="00411C64" w:rsidP="00411C64">
      <w:pPr>
        <w:spacing w:after="0"/>
        <w:rPr>
          <w:bCs/>
        </w:rPr>
      </w:pPr>
      <w:r w:rsidRPr="002E5D13">
        <w:rPr>
          <w:bCs/>
        </w:rPr>
        <w:t>We would also like to highlight a further important amendment that we believe should be made to this paragraph in relation to Article 44(1) of RTS 153/2013. As currently drafted, the provision creates an unintended inconsistency between the treatment of cash collateral and securities collateral.</w:t>
      </w:r>
    </w:p>
    <w:p w14:paraId="4115D3DB" w14:textId="77777777" w:rsidR="00411C64" w:rsidRPr="002E5D13" w:rsidRDefault="00411C64" w:rsidP="00411C64">
      <w:pPr>
        <w:spacing w:after="0"/>
        <w:rPr>
          <w:bCs/>
        </w:rPr>
      </w:pPr>
    </w:p>
    <w:p w14:paraId="7D6D4EF3" w14:textId="77777777" w:rsidR="00411C64" w:rsidRPr="002E5D13" w:rsidRDefault="00411C64" w:rsidP="00411C64">
      <w:pPr>
        <w:spacing w:after="0"/>
        <w:rPr>
          <w:bCs/>
        </w:rPr>
      </w:pPr>
      <w:r w:rsidRPr="002E5D13">
        <w:rPr>
          <w:bCs/>
        </w:rPr>
        <w:t>Specifically, the framework imposes materially stricter limitations on the locations at which securities collateral may be held by CCPs and their members than those applicable to cash collateral. We recommend that the permissible holding arrangements for securities collateral be aligned with those for cash collateral. Maintaining differentiated treatment lacks a clear risk-based justification and unnecessarily constrains collateral mobility, limiting the efficient movement and use of securities across the market.</w:t>
      </w:r>
    </w:p>
    <w:p w14:paraId="657AAAAC" w14:textId="77777777" w:rsidR="00411C64" w:rsidRPr="002E5D13" w:rsidRDefault="00411C64" w:rsidP="00411C64">
      <w:pPr>
        <w:spacing w:after="0"/>
        <w:rPr>
          <w:bCs/>
        </w:rPr>
      </w:pPr>
    </w:p>
    <w:p w14:paraId="2DF285FE" w14:textId="77777777" w:rsidR="00411C64" w:rsidRPr="002E5D13" w:rsidRDefault="00411C64" w:rsidP="00411C64">
      <w:pPr>
        <w:spacing w:after="0"/>
        <w:rPr>
          <w:bCs/>
        </w:rPr>
      </w:pPr>
      <w:r w:rsidRPr="002E5D13">
        <w:rPr>
          <w:bCs/>
        </w:rPr>
        <w:t>Absent this amendment, the EU collateral framework will remain unnecessarily fragmented, with tangible market consequences, including:</w:t>
      </w:r>
    </w:p>
    <w:p w14:paraId="4C0B1E44" w14:textId="77777777" w:rsidR="00411C64" w:rsidRPr="002E5D13" w:rsidRDefault="00411C64" w:rsidP="00411C64">
      <w:pPr>
        <w:numPr>
          <w:ilvl w:val="0"/>
          <w:numId w:val="38"/>
        </w:numPr>
        <w:spacing w:after="0" w:line="259" w:lineRule="auto"/>
        <w:jc w:val="left"/>
        <w:rPr>
          <w:bCs/>
        </w:rPr>
      </w:pPr>
      <w:r w:rsidRPr="002E5D13">
        <w:rPr>
          <w:bCs/>
        </w:rPr>
        <w:t xml:space="preserve">reduced use of securities as collateral and increased reliance on </w:t>
      </w:r>
      <w:proofErr w:type="gramStart"/>
      <w:r w:rsidRPr="002E5D13">
        <w:rPr>
          <w:bCs/>
        </w:rPr>
        <w:t>cash;</w:t>
      </w:r>
      <w:proofErr w:type="gramEnd"/>
    </w:p>
    <w:p w14:paraId="6194EAFF" w14:textId="77777777" w:rsidR="00411C64" w:rsidRPr="002E5D13" w:rsidRDefault="00411C64" w:rsidP="00411C64">
      <w:pPr>
        <w:numPr>
          <w:ilvl w:val="0"/>
          <w:numId w:val="38"/>
        </w:numPr>
        <w:spacing w:after="0" w:line="259" w:lineRule="auto"/>
        <w:jc w:val="left"/>
        <w:rPr>
          <w:bCs/>
        </w:rPr>
      </w:pPr>
      <w:r w:rsidRPr="002E5D13">
        <w:rPr>
          <w:bCs/>
        </w:rPr>
        <w:t>greater operational complexity and higher costs for market participants; and</w:t>
      </w:r>
    </w:p>
    <w:p w14:paraId="29081FBD" w14:textId="77777777" w:rsidR="00411C64" w:rsidRPr="002E5D13" w:rsidRDefault="00411C64" w:rsidP="00411C64">
      <w:pPr>
        <w:numPr>
          <w:ilvl w:val="0"/>
          <w:numId w:val="38"/>
        </w:numPr>
        <w:spacing w:after="0" w:line="259" w:lineRule="auto"/>
        <w:jc w:val="left"/>
        <w:rPr>
          <w:bCs/>
        </w:rPr>
      </w:pPr>
      <w:r w:rsidRPr="002E5D13">
        <w:rPr>
          <w:bCs/>
        </w:rPr>
        <w:t>fragmentation of collateral pools, resulting in less efficient asset allocation.</w:t>
      </w:r>
    </w:p>
    <w:p w14:paraId="37B66D1A" w14:textId="77777777" w:rsidR="00411C64" w:rsidRPr="002E5D13" w:rsidRDefault="00411C64" w:rsidP="00411C64">
      <w:pPr>
        <w:spacing w:after="0"/>
        <w:rPr>
          <w:bCs/>
        </w:rPr>
      </w:pPr>
    </w:p>
    <w:p w14:paraId="6C84574F" w14:textId="77777777" w:rsidR="00411C64" w:rsidRPr="002E5D13" w:rsidRDefault="00411C64" w:rsidP="00411C64">
      <w:pPr>
        <w:spacing w:after="0"/>
        <w:rPr>
          <w:bCs/>
        </w:rPr>
      </w:pPr>
      <w:r w:rsidRPr="002E5D13">
        <w:rPr>
          <w:bCs/>
        </w:rPr>
        <w:t>Addressing this inconsistency would represent an important step towards facilitating access to CCPs, enhancing the efficiency of collateral provision, and strengthening the resilience and competitiveness of the EU financial system.</w:t>
      </w:r>
    </w:p>
    <w:p w14:paraId="2C165BE0" w14:textId="77777777" w:rsidR="00411C64" w:rsidRPr="002E5D13" w:rsidRDefault="00411C64" w:rsidP="00411C64">
      <w:pPr>
        <w:spacing w:after="0"/>
        <w:rPr>
          <w:bCs/>
        </w:rPr>
      </w:pPr>
    </w:p>
    <w:p w14:paraId="70CF62AF" w14:textId="77777777" w:rsidR="00411C64" w:rsidRDefault="00411C64" w:rsidP="00411C64">
      <w:pPr>
        <w:spacing w:after="0"/>
        <w:rPr>
          <w:bCs/>
        </w:rPr>
      </w:pPr>
      <w:r w:rsidRPr="002E5D13">
        <w:rPr>
          <w:bCs/>
        </w:rPr>
        <w:t xml:space="preserve">Finally, we note that the </w:t>
      </w:r>
      <w:r>
        <w:rPr>
          <w:bCs/>
        </w:rPr>
        <w:t>current RTS 153/2013 include two articles titled “Article 45” within Chapter XI “Investment Policy”: Article 45 “Highly secured arrangements maintaining cash” and Article 45 “Concentration limits”.</w:t>
      </w:r>
    </w:p>
    <w:p w14:paraId="5F09CA42" w14:textId="77777777" w:rsidR="00411C64" w:rsidRDefault="00411C64" w:rsidP="00411C64">
      <w:pPr>
        <w:spacing w:after="0"/>
        <w:rPr>
          <w:bCs/>
        </w:rPr>
      </w:pPr>
    </w:p>
    <w:p w14:paraId="15A13B64" w14:textId="77777777" w:rsidR="00411C64" w:rsidRDefault="00411C64" w:rsidP="00411C64">
      <w:pPr>
        <w:spacing w:after="120"/>
        <w:rPr>
          <w:bCs/>
          <w:i/>
          <w:iCs/>
        </w:rPr>
      </w:pPr>
      <w:r w:rsidRPr="009244E8">
        <w:rPr>
          <w:bCs/>
          <w:i/>
          <w:iCs/>
        </w:rPr>
        <w:t xml:space="preserve">Please refer to the drafting suggestions on the proposed draft RTS, which we have included in the Annex </w:t>
      </w:r>
      <w:r>
        <w:rPr>
          <w:bCs/>
          <w:i/>
          <w:iCs/>
        </w:rPr>
        <w:t>submitted alongside</w:t>
      </w:r>
      <w:r w:rsidRPr="009244E8">
        <w:rPr>
          <w:bCs/>
          <w:i/>
          <w:iCs/>
        </w:rPr>
        <w:t xml:space="preserve"> our response.</w:t>
      </w:r>
    </w:p>
    <w:p w14:paraId="3B14B204" w14:textId="18ED8F55" w:rsidR="005E4A48" w:rsidRDefault="005E4A48" w:rsidP="005E4A48">
      <w:r>
        <w:lastRenderedPageBreak/>
        <w:t>&lt;ESMA_QUESTION_</w:t>
      </w:r>
      <w:r w:rsidR="0072300F">
        <w:t>COLL</w:t>
      </w:r>
      <w:r>
        <w:t>_</w:t>
      </w:r>
      <w:r w:rsidR="0072300F">
        <w:t>17</w:t>
      </w:r>
      <w:r>
        <w:t>&gt;</w:t>
      </w:r>
    </w:p>
    <w:p w14:paraId="1575BAA1" w14:textId="77777777" w:rsidR="005E4A48" w:rsidRDefault="005E4A48" w:rsidP="00693907"/>
    <w:p w14:paraId="1EC367CD" w14:textId="67C1E71A"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EC3D" w14:textId="77777777" w:rsidR="005613B8" w:rsidRDefault="005613B8" w:rsidP="00F716D4">
      <w:r>
        <w:separator/>
      </w:r>
    </w:p>
    <w:p w14:paraId="558D9549" w14:textId="77777777" w:rsidR="005613B8" w:rsidRDefault="005613B8" w:rsidP="00F716D4"/>
  </w:endnote>
  <w:endnote w:type="continuationSeparator" w:id="0">
    <w:p w14:paraId="57A6E873" w14:textId="77777777" w:rsidR="005613B8" w:rsidRDefault="005613B8" w:rsidP="00F716D4">
      <w:r>
        <w:continuationSeparator/>
      </w:r>
    </w:p>
    <w:p w14:paraId="39305A3F" w14:textId="77777777" w:rsidR="005613B8" w:rsidRDefault="005613B8" w:rsidP="00F716D4"/>
  </w:endnote>
  <w:endnote w:type="continuationNotice" w:id="1">
    <w:p w14:paraId="7E6D16D8" w14:textId="77777777" w:rsidR="005613B8" w:rsidRDefault="005613B8"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iti Sans Text">
    <w:altName w:val="Cambria"/>
    <w:charset w:val="00"/>
    <w:family w:val="auto"/>
    <w:pitch w:val="variable"/>
    <w:sig w:usb0="A100006F" w:usb1="0000206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01DE" w14:textId="77777777" w:rsidR="005613B8" w:rsidRDefault="005613B8" w:rsidP="00F716D4">
      <w:r>
        <w:separator/>
      </w:r>
    </w:p>
    <w:p w14:paraId="57D66E39" w14:textId="77777777" w:rsidR="005613B8" w:rsidRDefault="005613B8" w:rsidP="00F716D4"/>
  </w:footnote>
  <w:footnote w:type="continuationSeparator" w:id="0">
    <w:p w14:paraId="7AFA945E" w14:textId="77777777" w:rsidR="005613B8" w:rsidRDefault="005613B8" w:rsidP="00F716D4">
      <w:r>
        <w:continuationSeparator/>
      </w:r>
    </w:p>
    <w:p w14:paraId="7A1AD926" w14:textId="77777777" w:rsidR="005613B8" w:rsidRDefault="005613B8" w:rsidP="00F716D4"/>
  </w:footnote>
  <w:footnote w:type="continuationNotice" w:id="1">
    <w:p w14:paraId="4EE0B13B" w14:textId="77777777" w:rsidR="005613B8" w:rsidRDefault="005613B8" w:rsidP="00F716D4"/>
  </w:footnote>
  <w:footnote w:id="2">
    <w:p w14:paraId="5DF4D7AD" w14:textId="77777777" w:rsidR="00307219" w:rsidRPr="00915EAA" w:rsidRDefault="00307219" w:rsidP="00307219">
      <w:pPr>
        <w:pStyle w:val="FootnoteText"/>
      </w:pPr>
      <w:r>
        <w:rPr>
          <w:rStyle w:val="FootnoteReference"/>
        </w:rPr>
        <w:footnoteRef/>
      </w:r>
      <w:r>
        <w:t xml:space="preserve"> </w:t>
      </w:r>
      <w:hyperlink r:id="rId1" w:history="1">
        <w:r w:rsidRPr="004A0BCA">
          <w:rPr>
            <w:rStyle w:val="Hyperlink"/>
          </w:rPr>
          <w:t>2015_1917 Eligibility of unconditional Financial Letters of Credit as eligible financial collateral | European Banking Authority</w:t>
        </w:r>
      </w:hyperlink>
    </w:p>
  </w:footnote>
  <w:footnote w:id="3">
    <w:p w14:paraId="4964DAF3" w14:textId="77777777" w:rsidR="005211AF" w:rsidRPr="00BC7878" w:rsidRDefault="005211AF" w:rsidP="005211AF">
      <w:pPr>
        <w:pStyle w:val="FootnoteText"/>
      </w:pPr>
      <w:r>
        <w:rPr>
          <w:rStyle w:val="FootnoteReference"/>
        </w:rPr>
        <w:footnoteRef/>
      </w:r>
      <w:r>
        <w:t xml:space="preserve"> </w:t>
      </w:r>
      <w:hyperlink r:id="rId2" w:history="1">
        <w:proofErr w:type="spellStart"/>
        <w:proofErr w:type="gramStart"/>
        <w:r w:rsidRPr="00BC7878">
          <w:rPr>
            <w:rStyle w:val="Hyperlink"/>
          </w:rPr>
          <w:t>eCFR</w:t>
        </w:r>
        <w:proofErr w:type="spellEnd"/>
        <w:r w:rsidRPr="00BC7878">
          <w:rPr>
            <w:rStyle w:val="Hyperlink"/>
          </w:rPr>
          <w:t xml:space="preserve"> :</w:t>
        </w:r>
        <w:proofErr w:type="gramEnd"/>
        <w:r w:rsidRPr="00BC7878">
          <w:rPr>
            <w:rStyle w:val="Hyperlink"/>
          </w:rPr>
          <w:t>: 17 CFR 1.43 -- Letters of credit as collateral.</w:t>
        </w:r>
      </w:hyperlink>
    </w:p>
  </w:footnote>
  <w:footnote w:id="4">
    <w:p w14:paraId="7020CA26" w14:textId="77777777" w:rsidR="00923C45" w:rsidRPr="00D744DB" w:rsidRDefault="00923C45" w:rsidP="00923C45">
      <w:pPr>
        <w:pStyle w:val="FootnoteText"/>
      </w:pPr>
      <w:r>
        <w:rPr>
          <w:rStyle w:val="FootnoteReference"/>
        </w:rPr>
        <w:footnoteRef/>
      </w:r>
      <w:r>
        <w:t xml:space="preserve"> </w:t>
      </w:r>
      <w:hyperlink r:id="rId3" w:history="1">
        <w:r>
          <w:rPr>
            <w:rStyle w:val="Hyperlink"/>
          </w:rPr>
          <w:t>https://www.cmegroup.com/clearing/audit/files/rm_FU_Irrevocable_Standby_LOC920.pdf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0CFC632"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21832">
      <w:rPr>
        <w:rStyle w:val="normaltextrun"/>
        <w:color w:val="001B4F"/>
        <w:sz w:val="16"/>
        <w:szCs w:val="16"/>
        <w:shd w:val="clear" w:color="auto" w:fill="FFFFFF"/>
      </w:rPr>
      <w:t>23 February 2026</w:t>
    </w:r>
  </w:p>
  <w:p w14:paraId="4AF05B1F" w14:textId="12B51104" w:rsidR="004E60D2" w:rsidRDefault="004E60D2" w:rsidP="00621832">
    <w:pPr>
      <w:jc w:val="right"/>
    </w:pPr>
    <w:r w:rsidRPr="00A13F61">
      <w:rPr>
        <w:rStyle w:val="normaltextrun"/>
        <w:color w:val="001B4F"/>
        <w:sz w:val="16"/>
        <w:szCs w:val="16"/>
        <w:shd w:val="clear" w:color="auto" w:fill="FFFFFF"/>
      </w:rPr>
      <w:t>ESMA</w:t>
    </w:r>
    <w:r w:rsidR="00A13F61" w:rsidRPr="00A13F61">
      <w:rPr>
        <w:rStyle w:val="normaltextrun"/>
        <w:color w:val="001B4F"/>
        <w:sz w:val="16"/>
        <w:szCs w:val="16"/>
        <w:shd w:val="clear" w:color="auto" w:fill="FFFFFF"/>
      </w:rPr>
      <w:t>91-1505572268-4723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3072B2"/>
    <w:multiLevelType w:val="hybridMultilevel"/>
    <w:tmpl w:val="72DA7FBA"/>
    <w:lvl w:ilvl="0" w:tplc="265C203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D3B53"/>
    <w:multiLevelType w:val="multilevel"/>
    <w:tmpl w:val="63A2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1"/>
  </w:num>
  <w:num w:numId="4" w16cid:durableId="1881627233">
    <w:abstractNumId w:val="24"/>
  </w:num>
  <w:num w:numId="5" w16cid:durableId="208225584">
    <w:abstractNumId w:val="0"/>
  </w:num>
  <w:num w:numId="6" w16cid:durableId="1787233265">
    <w:abstractNumId w:val="5"/>
  </w:num>
  <w:num w:numId="7" w16cid:durableId="1846357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7"/>
  </w:num>
  <w:num w:numId="12" w16cid:durableId="1500659627">
    <w:abstractNumId w:val="30"/>
  </w:num>
  <w:num w:numId="13" w16cid:durableId="1879658227">
    <w:abstractNumId w:val="23"/>
  </w:num>
  <w:num w:numId="14" w16cid:durableId="1495758855">
    <w:abstractNumId w:val="10"/>
  </w:num>
  <w:num w:numId="15" w16cid:durableId="1186556611">
    <w:abstractNumId w:val="1"/>
  </w:num>
  <w:num w:numId="16" w16cid:durableId="679087124">
    <w:abstractNumId w:val="14"/>
  </w:num>
  <w:num w:numId="17" w16cid:durableId="1695498691">
    <w:abstractNumId w:val="15"/>
  </w:num>
  <w:num w:numId="18" w16cid:durableId="1042363640">
    <w:abstractNumId w:val="17"/>
  </w:num>
  <w:num w:numId="19" w16cid:durableId="820345968">
    <w:abstractNumId w:val="26"/>
  </w:num>
  <w:num w:numId="20" w16cid:durableId="1805388212">
    <w:abstractNumId w:val="35"/>
  </w:num>
  <w:num w:numId="21" w16cid:durableId="538709007">
    <w:abstractNumId w:val="25"/>
  </w:num>
  <w:num w:numId="22" w16cid:durableId="104540172">
    <w:abstractNumId w:val="9"/>
  </w:num>
  <w:num w:numId="23" w16cid:durableId="1824349076">
    <w:abstractNumId w:val="29"/>
  </w:num>
  <w:num w:numId="24" w16cid:durableId="672032853">
    <w:abstractNumId w:val="28"/>
  </w:num>
  <w:num w:numId="25" w16cid:durableId="48917541">
    <w:abstractNumId w:val="20"/>
  </w:num>
  <w:num w:numId="26" w16cid:durableId="978925443">
    <w:abstractNumId w:val="32"/>
  </w:num>
  <w:num w:numId="27" w16cid:durableId="1036613928">
    <w:abstractNumId w:val="37"/>
  </w:num>
  <w:num w:numId="28" w16cid:durableId="872039349">
    <w:abstractNumId w:val="7"/>
  </w:num>
  <w:num w:numId="29" w16cid:durableId="924530660">
    <w:abstractNumId w:val="4"/>
  </w:num>
  <w:num w:numId="30" w16cid:durableId="419180233">
    <w:abstractNumId w:val="22"/>
  </w:num>
  <w:num w:numId="31" w16cid:durableId="276761337">
    <w:abstractNumId w:val="21"/>
  </w:num>
  <w:num w:numId="32" w16cid:durableId="1166238383">
    <w:abstractNumId w:val="34"/>
  </w:num>
  <w:num w:numId="33" w16cid:durableId="2076850202">
    <w:abstractNumId w:val="33"/>
  </w:num>
  <w:num w:numId="34" w16cid:durableId="469176496">
    <w:abstractNumId w:val="12"/>
  </w:num>
  <w:num w:numId="35" w16cid:durableId="674843309">
    <w:abstractNumId w:val="18"/>
  </w:num>
  <w:num w:numId="36" w16cid:durableId="1954971501">
    <w:abstractNumId w:val="38"/>
  </w:num>
  <w:num w:numId="37" w16cid:durableId="905533929">
    <w:abstractNumId w:val="2"/>
  </w:num>
  <w:num w:numId="38" w16cid:durableId="57012170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DBA"/>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4D96"/>
    <w:rsid w:val="00045CA6"/>
    <w:rsid w:val="000463A6"/>
    <w:rsid w:val="00046CC9"/>
    <w:rsid w:val="00046E91"/>
    <w:rsid w:val="000502FE"/>
    <w:rsid w:val="0005126D"/>
    <w:rsid w:val="00051992"/>
    <w:rsid w:val="00051E9A"/>
    <w:rsid w:val="000521A7"/>
    <w:rsid w:val="00052F47"/>
    <w:rsid w:val="0005345B"/>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962"/>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FED"/>
    <w:rsid w:val="000A43CC"/>
    <w:rsid w:val="000A7314"/>
    <w:rsid w:val="000A7B53"/>
    <w:rsid w:val="000A7B64"/>
    <w:rsid w:val="000B275C"/>
    <w:rsid w:val="000B2C3D"/>
    <w:rsid w:val="000B55C0"/>
    <w:rsid w:val="000B5DF2"/>
    <w:rsid w:val="000C06C9"/>
    <w:rsid w:val="000C089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D05"/>
    <w:rsid w:val="000E5F7F"/>
    <w:rsid w:val="000E7086"/>
    <w:rsid w:val="000E7C65"/>
    <w:rsid w:val="000F04D2"/>
    <w:rsid w:val="000F2CE7"/>
    <w:rsid w:val="000F55B7"/>
    <w:rsid w:val="000F5D0E"/>
    <w:rsid w:val="000F604F"/>
    <w:rsid w:val="000F7399"/>
    <w:rsid w:val="00101BF1"/>
    <w:rsid w:val="001027F1"/>
    <w:rsid w:val="00104DC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5B"/>
    <w:rsid w:val="00123D39"/>
    <w:rsid w:val="001244CD"/>
    <w:rsid w:val="0012566F"/>
    <w:rsid w:val="001262B1"/>
    <w:rsid w:val="00130F41"/>
    <w:rsid w:val="00130FAF"/>
    <w:rsid w:val="00135967"/>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1142"/>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B73B0"/>
    <w:rsid w:val="001C0344"/>
    <w:rsid w:val="001C0F2A"/>
    <w:rsid w:val="001C1A59"/>
    <w:rsid w:val="001C270F"/>
    <w:rsid w:val="001C3526"/>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57E9"/>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8CC"/>
    <w:rsid w:val="002A0C82"/>
    <w:rsid w:val="002A0CD8"/>
    <w:rsid w:val="002A13EB"/>
    <w:rsid w:val="002A35EF"/>
    <w:rsid w:val="002A3DE0"/>
    <w:rsid w:val="002A40EA"/>
    <w:rsid w:val="002A41CA"/>
    <w:rsid w:val="002A46E8"/>
    <w:rsid w:val="002A491C"/>
    <w:rsid w:val="002A4C8E"/>
    <w:rsid w:val="002A6516"/>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497F"/>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51B"/>
    <w:rsid w:val="002F1683"/>
    <w:rsid w:val="002F1B19"/>
    <w:rsid w:val="002F1FBF"/>
    <w:rsid w:val="002F4139"/>
    <w:rsid w:val="00300624"/>
    <w:rsid w:val="00300F56"/>
    <w:rsid w:val="00301006"/>
    <w:rsid w:val="00301C2B"/>
    <w:rsid w:val="00304A71"/>
    <w:rsid w:val="003066C8"/>
    <w:rsid w:val="00307219"/>
    <w:rsid w:val="0030739D"/>
    <w:rsid w:val="00307AFB"/>
    <w:rsid w:val="00311184"/>
    <w:rsid w:val="00311E05"/>
    <w:rsid w:val="00312675"/>
    <w:rsid w:val="00313B2A"/>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0CE0"/>
    <w:rsid w:val="003522B2"/>
    <w:rsid w:val="0035455E"/>
    <w:rsid w:val="00354A6F"/>
    <w:rsid w:val="00354B48"/>
    <w:rsid w:val="00355789"/>
    <w:rsid w:val="003609B6"/>
    <w:rsid w:val="00361119"/>
    <w:rsid w:val="003618E4"/>
    <w:rsid w:val="0036538D"/>
    <w:rsid w:val="00365D12"/>
    <w:rsid w:val="00366A11"/>
    <w:rsid w:val="00366E20"/>
    <w:rsid w:val="0037018D"/>
    <w:rsid w:val="00372299"/>
    <w:rsid w:val="00372F02"/>
    <w:rsid w:val="00373729"/>
    <w:rsid w:val="00373C91"/>
    <w:rsid w:val="0037419B"/>
    <w:rsid w:val="003748F0"/>
    <w:rsid w:val="003755C6"/>
    <w:rsid w:val="00375AEF"/>
    <w:rsid w:val="00376367"/>
    <w:rsid w:val="00376B02"/>
    <w:rsid w:val="0037733A"/>
    <w:rsid w:val="003776DC"/>
    <w:rsid w:val="003779C1"/>
    <w:rsid w:val="00380FEC"/>
    <w:rsid w:val="00381226"/>
    <w:rsid w:val="00381B1B"/>
    <w:rsid w:val="00381FF6"/>
    <w:rsid w:val="0038241C"/>
    <w:rsid w:val="00383D7D"/>
    <w:rsid w:val="00384CCE"/>
    <w:rsid w:val="003865E5"/>
    <w:rsid w:val="003926C1"/>
    <w:rsid w:val="00392900"/>
    <w:rsid w:val="00393357"/>
    <w:rsid w:val="00395008"/>
    <w:rsid w:val="00395E7B"/>
    <w:rsid w:val="00395F4C"/>
    <w:rsid w:val="003A00A8"/>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D744C"/>
    <w:rsid w:val="003E0F84"/>
    <w:rsid w:val="003E1FF3"/>
    <w:rsid w:val="003E3ACA"/>
    <w:rsid w:val="003E50EA"/>
    <w:rsid w:val="003E68C7"/>
    <w:rsid w:val="003E7313"/>
    <w:rsid w:val="003E79B0"/>
    <w:rsid w:val="003F0403"/>
    <w:rsid w:val="003F1094"/>
    <w:rsid w:val="003F2E45"/>
    <w:rsid w:val="003F3EFE"/>
    <w:rsid w:val="003F40B8"/>
    <w:rsid w:val="003F40CB"/>
    <w:rsid w:val="003F5C06"/>
    <w:rsid w:val="00400195"/>
    <w:rsid w:val="0040254B"/>
    <w:rsid w:val="00403086"/>
    <w:rsid w:val="00403460"/>
    <w:rsid w:val="004040FF"/>
    <w:rsid w:val="00404284"/>
    <w:rsid w:val="004042C4"/>
    <w:rsid w:val="00406E90"/>
    <w:rsid w:val="00410240"/>
    <w:rsid w:val="00411C64"/>
    <w:rsid w:val="00412253"/>
    <w:rsid w:val="004142ED"/>
    <w:rsid w:val="0041634D"/>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557DF"/>
    <w:rsid w:val="00460905"/>
    <w:rsid w:val="00461E35"/>
    <w:rsid w:val="004621DB"/>
    <w:rsid w:val="004634A7"/>
    <w:rsid w:val="00463787"/>
    <w:rsid w:val="004641DE"/>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3CF5"/>
    <w:rsid w:val="004B59E0"/>
    <w:rsid w:val="004B667B"/>
    <w:rsid w:val="004B71C7"/>
    <w:rsid w:val="004C03AA"/>
    <w:rsid w:val="004C0B9A"/>
    <w:rsid w:val="004C12DB"/>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2F7C"/>
    <w:rsid w:val="005039EC"/>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1AF"/>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849"/>
    <w:rsid w:val="005559A8"/>
    <w:rsid w:val="00557048"/>
    <w:rsid w:val="00557FB5"/>
    <w:rsid w:val="005613B8"/>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1535"/>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4DBA"/>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A48"/>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832"/>
    <w:rsid w:val="00621E1F"/>
    <w:rsid w:val="006228B2"/>
    <w:rsid w:val="006228E1"/>
    <w:rsid w:val="00622E32"/>
    <w:rsid w:val="00623688"/>
    <w:rsid w:val="006247E0"/>
    <w:rsid w:val="00625ABA"/>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6B90"/>
    <w:rsid w:val="00677FAD"/>
    <w:rsid w:val="006802DE"/>
    <w:rsid w:val="0068032D"/>
    <w:rsid w:val="0068068C"/>
    <w:rsid w:val="00681115"/>
    <w:rsid w:val="006815DF"/>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F80"/>
    <w:rsid w:val="006966CD"/>
    <w:rsid w:val="00696735"/>
    <w:rsid w:val="0069780E"/>
    <w:rsid w:val="006A2CA2"/>
    <w:rsid w:val="006A3DEE"/>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0781C"/>
    <w:rsid w:val="00710519"/>
    <w:rsid w:val="007107E0"/>
    <w:rsid w:val="00710F6E"/>
    <w:rsid w:val="00711663"/>
    <w:rsid w:val="007116B4"/>
    <w:rsid w:val="007121FB"/>
    <w:rsid w:val="00712580"/>
    <w:rsid w:val="007133E4"/>
    <w:rsid w:val="00713788"/>
    <w:rsid w:val="00713940"/>
    <w:rsid w:val="007151A2"/>
    <w:rsid w:val="00716774"/>
    <w:rsid w:val="0071740A"/>
    <w:rsid w:val="007209DD"/>
    <w:rsid w:val="00722E49"/>
    <w:rsid w:val="0072300F"/>
    <w:rsid w:val="00723A08"/>
    <w:rsid w:val="00723B5C"/>
    <w:rsid w:val="00724391"/>
    <w:rsid w:val="00724C18"/>
    <w:rsid w:val="00725233"/>
    <w:rsid w:val="00725FB1"/>
    <w:rsid w:val="00726630"/>
    <w:rsid w:val="00727F73"/>
    <w:rsid w:val="00730705"/>
    <w:rsid w:val="00730944"/>
    <w:rsid w:val="00731475"/>
    <w:rsid w:val="0073248E"/>
    <w:rsid w:val="00733EE9"/>
    <w:rsid w:val="00735B8E"/>
    <w:rsid w:val="00736651"/>
    <w:rsid w:val="0073673C"/>
    <w:rsid w:val="00736935"/>
    <w:rsid w:val="0073702F"/>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57E9C"/>
    <w:rsid w:val="00760041"/>
    <w:rsid w:val="007605C7"/>
    <w:rsid w:val="00760B08"/>
    <w:rsid w:val="00760EDA"/>
    <w:rsid w:val="00761F4E"/>
    <w:rsid w:val="00762150"/>
    <w:rsid w:val="00762621"/>
    <w:rsid w:val="00763F36"/>
    <w:rsid w:val="007648A0"/>
    <w:rsid w:val="00766647"/>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27DAC"/>
    <w:rsid w:val="0083003F"/>
    <w:rsid w:val="00830677"/>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A81"/>
    <w:rsid w:val="00863CC1"/>
    <w:rsid w:val="00863ECB"/>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001"/>
    <w:rsid w:val="008C0320"/>
    <w:rsid w:val="008C2A81"/>
    <w:rsid w:val="008C3863"/>
    <w:rsid w:val="008C3B6B"/>
    <w:rsid w:val="008C4BDC"/>
    <w:rsid w:val="008C50FF"/>
    <w:rsid w:val="008C5435"/>
    <w:rsid w:val="008C6BD1"/>
    <w:rsid w:val="008D2DB5"/>
    <w:rsid w:val="008D3F10"/>
    <w:rsid w:val="008D611D"/>
    <w:rsid w:val="008D6D0B"/>
    <w:rsid w:val="008E1B6A"/>
    <w:rsid w:val="008E3054"/>
    <w:rsid w:val="008E32FF"/>
    <w:rsid w:val="008E4202"/>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3B5"/>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17DA9"/>
    <w:rsid w:val="0092030E"/>
    <w:rsid w:val="009217B1"/>
    <w:rsid w:val="00921A42"/>
    <w:rsid w:val="009223BB"/>
    <w:rsid w:val="00922491"/>
    <w:rsid w:val="00923BCF"/>
    <w:rsid w:val="00923C45"/>
    <w:rsid w:val="00925AEC"/>
    <w:rsid w:val="0092751A"/>
    <w:rsid w:val="009305C4"/>
    <w:rsid w:val="00930833"/>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0F1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957B2"/>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047"/>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3F61"/>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2EF"/>
    <w:rsid w:val="00AA6711"/>
    <w:rsid w:val="00AB2AEC"/>
    <w:rsid w:val="00AB2DC1"/>
    <w:rsid w:val="00AB3102"/>
    <w:rsid w:val="00AB3D9A"/>
    <w:rsid w:val="00AB4824"/>
    <w:rsid w:val="00AB4B1D"/>
    <w:rsid w:val="00AB6B5E"/>
    <w:rsid w:val="00AC047F"/>
    <w:rsid w:val="00AC0DB2"/>
    <w:rsid w:val="00AC379A"/>
    <w:rsid w:val="00AC3934"/>
    <w:rsid w:val="00AC50C8"/>
    <w:rsid w:val="00AC5581"/>
    <w:rsid w:val="00AC56AD"/>
    <w:rsid w:val="00AC61BE"/>
    <w:rsid w:val="00AC7E2D"/>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0A2"/>
    <w:rsid w:val="00AF4401"/>
    <w:rsid w:val="00AF4463"/>
    <w:rsid w:val="00AF502B"/>
    <w:rsid w:val="00AF53CB"/>
    <w:rsid w:val="00AF65C5"/>
    <w:rsid w:val="00AF6B6F"/>
    <w:rsid w:val="00B03CE2"/>
    <w:rsid w:val="00B06544"/>
    <w:rsid w:val="00B105F2"/>
    <w:rsid w:val="00B10991"/>
    <w:rsid w:val="00B12128"/>
    <w:rsid w:val="00B12945"/>
    <w:rsid w:val="00B12C1E"/>
    <w:rsid w:val="00B1467D"/>
    <w:rsid w:val="00B155DF"/>
    <w:rsid w:val="00B156CF"/>
    <w:rsid w:val="00B1570E"/>
    <w:rsid w:val="00B15EDF"/>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44D6"/>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0B"/>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35C5"/>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5CDA"/>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19AA"/>
    <w:rsid w:val="00C638C2"/>
    <w:rsid w:val="00C651D4"/>
    <w:rsid w:val="00C6669E"/>
    <w:rsid w:val="00C672B0"/>
    <w:rsid w:val="00C72976"/>
    <w:rsid w:val="00C729C7"/>
    <w:rsid w:val="00C75F5F"/>
    <w:rsid w:val="00C777AD"/>
    <w:rsid w:val="00C80C53"/>
    <w:rsid w:val="00C81195"/>
    <w:rsid w:val="00C81798"/>
    <w:rsid w:val="00C81837"/>
    <w:rsid w:val="00C85387"/>
    <w:rsid w:val="00C85E52"/>
    <w:rsid w:val="00C86471"/>
    <w:rsid w:val="00C8677B"/>
    <w:rsid w:val="00C86F96"/>
    <w:rsid w:val="00C901C2"/>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0D14"/>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2C79"/>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59"/>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542"/>
    <w:rsid w:val="00E54EE6"/>
    <w:rsid w:val="00E56715"/>
    <w:rsid w:val="00E56C2C"/>
    <w:rsid w:val="00E57F8E"/>
    <w:rsid w:val="00E611C8"/>
    <w:rsid w:val="00E619AB"/>
    <w:rsid w:val="00E6344A"/>
    <w:rsid w:val="00E64E69"/>
    <w:rsid w:val="00E64FB7"/>
    <w:rsid w:val="00E665F4"/>
    <w:rsid w:val="00E669A1"/>
    <w:rsid w:val="00E679BA"/>
    <w:rsid w:val="00E70243"/>
    <w:rsid w:val="00E70E2E"/>
    <w:rsid w:val="00E72CC6"/>
    <w:rsid w:val="00E73C6C"/>
    <w:rsid w:val="00E73D44"/>
    <w:rsid w:val="00E7494A"/>
    <w:rsid w:val="00E74BE2"/>
    <w:rsid w:val="00E74C66"/>
    <w:rsid w:val="00E75933"/>
    <w:rsid w:val="00E77951"/>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1DD0"/>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46B"/>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67A"/>
    <w:rsid w:val="00F61B99"/>
    <w:rsid w:val="00F64C45"/>
    <w:rsid w:val="00F6502B"/>
    <w:rsid w:val="00F6612A"/>
    <w:rsid w:val="00F66724"/>
    <w:rsid w:val="00F67F04"/>
    <w:rsid w:val="00F70207"/>
    <w:rsid w:val="00F702CB"/>
    <w:rsid w:val="00F716D4"/>
    <w:rsid w:val="00F71757"/>
    <w:rsid w:val="00F71AC2"/>
    <w:rsid w:val="00F739D4"/>
    <w:rsid w:val="00F74300"/>
    <w:rsid w:val="00F74C8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styles" Target="styles.xml"/><Relationship Id="rId12"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megroup.com/clearing/audit/files/rm_FU_Irrevocable_Standby_LOC920.pdf" TargetMode="External"/><Relationship Id="rId2" Type="http://schemas.openxmlformats.org/officeDocument/2006/relationships/hyperlink" Target="https://www.ecfr.gov/current/title-17/chapter-I/part-1/subject-group-ECFR13f523b74fee655/section-1.43" TargetMode="External"/><Relationship Id="rId1" Type="http://schemas.openxmlformats.org/officeDocument/2006/relationships/hyperlink" Target="https://www.eba.europa.eu/single-rule-book-qa/qna/view/publicId/2015_191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8F880AA0C7834E811FDDE8FEF426AF" ma:contentTypeVersion="16" ma:contentTypeDescription="Create a new document." ma:contentTypeScope="" ma:versionID="b47790a85884b7841bcc4b5e70fb18b8">
  <xsd:schema xmlns:xsd="http://www.w3.org/2001/XMLSchema" xmlns:xs="http://www.w3.org/2001/XMLSchema" xmlns:p="http://schemas.microsoft.com/office/2006/metadata/properties" xmlns:ns2="d0bcca81-78d5-471c-8c60-f25a2971c91b" xmlns:ns3="785af06c-f757-4c41-af11-9fd890ae6138" targetNamespace="http://schemas.microsoft.com/office/2006/metadata/properties" ma:root="true" ma:fieldsID="46c6f6b5facbe0d2e045d6fee308dc50" ns2:_="" ns3:_="">
    <xsd:import namespace="d0bcca81-78d5-471c-8c60-f25a2971c91b"/>
    <xsd:import namespace="785af06c-f757-4c41-af11-9fd890ae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cca81-78d5-471c-8c60-f25a2971c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45ece8-0e9f-4286-ad44-c4403c44d0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af06c-f757-4c41-af11-9fd890ae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943ba2-99d6-4daf-8a30-3d947963d409}" ma:internalName="TaxCatchAll" ma:showField="CatchAllData" ma:web="785af06c-f757-4c41-af11-9fd890ae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5af06c-f757-4c41-af11-9fd890ae6138" xsi:nil="true"/>
    <SharedWithUsers xmlns="785af06c-f757-4c41-af11-9fd890ae6138">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d0bcca81-78d5-471c-8c60-f25a2971c91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D9B5DDE7-BA95-4117-8901-B6112173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cca81-78d5-471c-8c60-f25a2971c91b"/>
    <ds:schemaRef ds:uri="785af06c-f757-4c41-af11-9fd890ae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785af06c-f757-4c41-af11-9fd890ae6138"/>
    <ds:schemaRef ds:uri="d0bcca81-78d5-471c-8c60-f25a2971c91b"/>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Metadata/LabelInfo.xml><?xml version="1.0" encoding="utf-8"?>
<clbl:labelList xmlns:clbl="http://schemas.microsoft.com/office/2020/mipLabelMetadata">
  <clbl:label id="{ab676213-c285-47a2-bc12-c9207c5e8ed8}" enabled="0" method="" siteId="{ab676213-c285-47a2-bc12-c9207c5e8ed8}" removed="1"/>
</clbl:labelList>
</file>

<file path=docProps/app.xml><?xml version="1.0" encoding="utf-8"?>
<Properties xmlns="http://schemas.openxmlformats.org/officeDocument/2006/extended-properties" xmlns:vt="http://schemas.openxmlformats.org/officeDocument/2006/docPropsVTypes">
  <Template>Normal</Template>
  <TotalTime>10</TotalTime>
  <Pages>17</Pages>
  <Words>5368</Words>
  <Characters>29202</Characters>
  <Application>Microsoft Office Word</Application>
  <DocSecurity>0</DocSecurity>
  <Lines>530</Lines>
  <Paragraphs>184</Paragraphs>
  <ScaleCrop>false</ScaleCrop>
  <Company>ESMA</Company>
  <LinksUpToDate>false</LinksUpToDate>
  <CharactersWithSpaces>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Sarah Crowley</cp:lastModifiedBy>
  <cp:revision>31</cp:revision>
  <cp:lastPrinted>2015-02-18T20:01:00Z</cp:lastPrinted>
  <dcterms:created xsi:type="dcterms:W3CDTF">2026-04-29T16:14:00Z</dcterms:created>
  <dcterms:modified xsi:type="dcterms:W3CDTF">2026-04-29T17:12:00Z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f1f531c7-559a-4e19-b4ae-15d6e2a84815</vt:lpwstr>
  </property>
  <property fmtid="{D5CDD505-2E9C-101B-9397-08002B2CF9AE}" pid="3" name="TeamName">
    <vt:lpwstr>10;#CCP|cfa1e806-4441-4d82-a168-2bc2f7f5a273</vt:lpwstr>
  </property>
  <property fmtid="{D5CDD505-2E9C-101B-9397-08002B2CF9AE}" pid="4" name="Topic">
    <vt:lpwstr>469;#EMIR 3|f931d6ea-49c1-471a-b933-589830532ca3</vt:lpwstr>
  </property>
  <property fmtid="{D5CDD505-2E9C-101B-9397-08002B2CF9AE}" pid="5" name="ConfidentialityLevel">
    <vt:lpwstr>17;#Regular|07f1e362-856b-423d-bea6-a14079762141</vt:lpwstr>
  </property>
  <property fmtid="{D5CDD505-2E9C-101B-9397-08002B2CF9AE}" pid="6" name="DocumentType">
    <vt:lpwstr>61;#Form / Request|efe27f23-61a2-47e7-916e-544dd02c80f4</vt:lpwstr>
  </property>
  <property fmtid="{D5CDD505-2E9C-101B-9397-08002B2CF9AE}" pid="7" name="mf50acab3f6949599688191e8740e810">
    <vt:lpwstr>Regular|07f1e362-856b-423d-bea6-a14079762141</vt:lpwstr>
  </property>
  <property fmtid="{D5CDD505-2E9C-101B-9397-08002B2CF9AE}" pid="8" name="ESMATemplatesConfidentialityLevel">
    <vt:lpwstr>8;#Public|a0c619ff-bd46-48f0-b213-6b7c03fe156d</vt:lpwstr>
  </property>
  <property fmtid="{D5CDD505-2E9C-101B-9397-08002B2CF9AE}" pid="9" name="ESMATemplatesTopic">
    <vt:lpwstr>105;#Report|6152310e-8bc8-447a-92f1-7d43d5ef86b8</vt:lpwstr>
  </property>
  <property fmtid="{D5CDD505-2E9C-101B-9397-08002B2CF9AE}" pid="10" name="n84bf37b4eaf4fd99e887816221de8a8">
    <vt:lpwstr>EN|f7e7f686-dfa7-4032-a218-a5881e990598</vt:lpwstr>
  </property>
  <property fmtid="{D5CDD505-2E9C-101B-9397-08002B2CF9AE}" pid="11" name="DocumentSetDescription">
    <vt:lpwstr/>
  </property>
  <property fmtid="{D5CDD505-2E9C-101B-9397-08002B2CF9AE}" pid="12" name="_ExtendedDescription">
    <vt:lpwstr/>
  </property>
  <property fmtid="{D5CDD505-2E9C-101B-9397-08002B2CF9AE}" pid="13" name="URL">
    <vt:lpwstr/>
  </property>
  <property fmtid="{D5CDD505-2E9C-101B-9397-08002B2CF9AE}" pid="14" name="MediaServiceImageTags">
    <vt:lpwstr/>
  </property>
  <property fmtid="{D5CDD505-2E9C-101B-9397-08002B2CF9AE}" pid="15" name="_docset_NoMedatataSyncRequired">
    <vt:lpwstr>False</vt:lpwstr>
  </property>
  <property fmtid="{D5CDD505-2E9C-101B-9397-08002B2CF9AE}" pid="16" name="MultiTopic">
    <vt:lpwstr/>
  </property>
  <property fmtid="{D5CDD505-2E9C-101B-9397-08002B2CF9AE}" pid="17" name="EsmaAudience">
    <vt:lpwstr/>
  </property>
  <property fmtid="{D5CDD505-2E9C-101B-9397-08002B2CF9AE}" pid="18" name="SubTopic">
    <vt:lpwstr>645;#RTS 153|a51dd9b2-9e17-4703-9a7c-7aa18e1d70b8</vt:lpwstr>
  </property>
  <property fmtid="{D5CDD505-2E9C-101B-9397-08002B2CF9AE}" pid="19" name="MSIP_Label_05ae7051-b702-462d-8e81-9ac0b6085f00_Extended_MSFT_Method">
    <vt:lpwstr>Standard</vt:lpwstr>
  </property>
  <property fmtid="{D5CDD505-2E9C-101B-9397-08002B2CF9AE}" pid="20" name="MSIP_Label_05ae7051-b702-462d-8e81-9ac0b6085f00_Removed">
    <vt:lpwstr>False</vt:lpwstr>
  </property>
  <property fmtid="{D5CDD505-2E9C-101B-9397-08002B2CF9AE}" pid="21" name="MSIP_Label_05ae7051-b702-462d-8e81-9ac0b6085f00_ActionId">
    <vt:lpwstr>a2cf8dee-15b1-4b34-8492-7a43b92a8920</vt:lpwstr>
  </property>
  <property fmtid="{D5CDD505-2E9C-101B-9397-08002B2CF9AE}" pid="22" name="MSIP_Label_05ae7051-b702-462d-8e81-9ac0b6085f00_Name">
    <vt:lpwstr>Regular</vt:lpwstr>
  </property>
  <property fmtid="{D5CDD505-2E9C-101B-9397-08002B2CF9AE}" pid="23" name="MSIP_Label_05ae7051-b702-462d-8e81-9ac0b6085f00_SetDate">
    <vt:lpwstr>2025-06-21T04:45:36Z</vt:lpwstr>
  </property>
  <property fmtid="{D5CDD505-2E9C-101B-9397-08002B2CF9AE}" pid="24" name="MSIP_Label_05ae7051-b702-462d-8e81-9ac0b6085f00_SiteId">
    <vt:lpwstr>e406f268-4ae7-4c80-8994-02493da00c03</vt:lpwstr>
  </property>
  <property fmtid="{D5CDD505-2E9C-101B-9397-08002B2CF9AE}" pid="25" name="MSIP_Label_05ae7051-b702-462d-8e81-9ac0b6085f00_Enabled">
    <vt:lpwstr>True</vt:lpwstr>
  </property>
  <property fmtid="{D5CDD505-2E9C-101B-9397-08002B2CF9AE}" pid="26" name="Sensitivity">
    <vt:lpwstr>Regular</vt:lpwstr>
  </property>
  <property fmtid="{D5CDD505-2E9C-101B-9397-08002B2CF9AE}" pid="27" name="docLang">
    <vt:lpwstr>en</vt:lpwstr>
  </property>
  <property fmtid="{D5CDD505-2E9C-101B-9397-08002B2CF9AE}" pid="28" name="ContentTypeId">
    <vt:lpwstr>0x010100988F880AA0C7834E811FDDE8FEF426AF</vt:lpwstr>
  </property>
</Properties>
</file>