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19E29EE3" w:rsidR="004E60D2" w:rsidRPr="00252134" w:rsidRDefault="007C5962" w:rsidP="004E60D2">
      <w:pPr>
        <w:pStyle w:val="Untertitel"/>
        <w:spacing w:after="0"/>
        <w:rPr>
          <w:b w:val="0"/>
          <w:bCs w:val="0"/>
        </w:rPr>
        <w:sectPr w:rsidR="004E60D2" w:rsidRPr="00252134" w:rsidSect="004E60D2">
          <w:headerReference w:type="default" r:id="rId13"/>
          <w:footerReference w:type="default" r:id="rId14"/>
          <w:headerReference w:type="first" r:id="rId15"/>
          <w:footerReference w:type="first" r:id="rId16"/>
          <w:pgSz w:w="11906" w:h="16838" w:code="9"/>
          <w:pgMar w:top="1418" w:right="1418" w:bottom="1418" w:left="1418" w:header="862" w:footer="862" w:gutter="0"/>
          <w:pgNumType w:start="0"/>
          <w:cols w:space="708"/>
          <w:titlePg/>
          <w:docGrid w:linePitch="360"/>
        </w:sectPr>
      </w:pPr>
      <w:r>
        <w:t>Consultation Paper on d</w:t>
      </w:r>
      <w:r w:rsidRPr="007C5962">
        <w:t xml:space="preserve">raft RTS </w:t>
      </w:r>
      <w:r w:rsidR="00F71757" w:rsidRPr="00F71757">
        <w:t>amending Commission Delegated Regulation (RTS) 153/2013 in relation to public guarantees, public bank guarantees and commercial bank guarantees as collateral and in relation to certain aspects of investment policy and highly secure arrangements for the deposit of financial instruments</w:t>
      </w:r>
      <w:r w:rsidRPr="007C5962">
        <w:t xml:space="preserve"> </w:t>
      </w:r>
      <w:r w:rsidRPr="00840209">
        <w:rPr>
          <w:b w:val="0"/>
          <w:bCs w:val="0"/>
          <w:noProof/>
        </w:rPr>
        <w:t xml:space="preserve"> </w:t>
      </w:r>
      <w:r w:rsidR="004E60D2" w:rsidRPr="00840209">
        <w:rPr>
          <w:b w:val="0"/>
          <w:bCs w:val="0"/>
          <w:noProof/>
        </w:rPr>
        <mc:AlternateContent>
          <mc:Choice Requires="wps">
            <w:drawing>
              <wp:anchor distT="0" distB="0" distL="114300" distR="114300" simplePos="0" relativeHeight="251658240" behindDoc="1" locked="1" layoutInCell="1" allowOverlap="0" wp14:anchorId="4E723106" wp14:editId="1CEE37B1">
                <wp:simplePos x="0" y="0"/>
                <wp:positionH relativeFrom="page">
                  <wp:align>right</wp:align>
                </wp:positionH>
                <wp:positionV relativeFrom="paragraph">
                  <wp:posOffset>1171575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7"/>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13B62" id="Freeform: Shape 1" o:spid="_x0000_s1026" style="position:absolute;margin-left:544.9pt;margin-top:92.25pt;width:596.1pt;height:769.8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JVJyAT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8"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p>
    <w:p w14:paraId="1B9D7190" w14:textId="24F4AE66" w:rsidR="00F574D0" w:rsidRPr="009D6E99" w:rsidRDefault="00F574D0" w:rsidP="004E60D2">
      <w:pPr>
        <w:pStyle w:val="Untertitel"/>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enabsatz"/>
        <w:numPr>
          <w:ilvl w:val="0"/>
          <w:numId w:val="35"/>
        </w:numPr>
        <w:contextualSpacing w:val="0"/>
      </w:pPr>
      <w:r w:rsidRPr="005B6B12">
        <w:t>respond to the question stated;</w:t>
      </w:r>
    </w:p>
    <w:p w14:paraId="73161343" w14:textId="77777777" w:rsidR="00E70E2E" w:rsidRPr="005B6B12" w:rsidRDefault="00E70E2E" w:rsidP="00E43387">
      <w:pPr>
        <w:pStyle w:val="Listenabsatz"/>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enabsatz"/>
        <w:numPr>
          <w:ilvl w:val="0"/>
          <w:numId w:val="35"/>
        </w:numPr>
        <w:contextualSpacing w:val="0"/>
      </w:pPr>
      <w:r w:rsidRPr="005B6B12">
        <w:t>contain a clear rationale; and</w:t>
      </w:r>
    </w:p>
    <w:p w14:paraId="30D73002" w14:textId="77777777" w:rsidR="00E70E2E" w:rsidRPr="005B6B12" w:rsidRDefault="00E70E2E" w:rsidP="00E43387">
      <w:pPr>
        <w:pStyle w:val="Listenabsatz"/>
        <w:numPr>
          <w:ilvl w:val="0"/>
          <w:numId w:val="35"/>
        </w:numPr>
        <w:contextualSpacing w:val="0"/>
      </w:pPr>
      <w:r w:rsidRPr="005B6B12">
        <w:t>describe any alternatives ESMA should consider.</w:t>
      </w:r>
    </w:p>
    <w:p w14:paraId="4A599464" w14:textId="73868228" w:rsidR="00E70E2E" w:rsidRDefault="00E70E2E" w:rsidP="00E70E2E">
      <w:pPr>
        <w:rPr>
          <w:b/>
        </w:rPr>
      </w:pPr>
      <w:r w:rsidRPr="00517886">
        <w:t xml:space="preserve">ESMA will consider all comments received by </w:t>
      </w:r>
      <w:r w:rsidR="00366A11">
        <w:rPr>
          <w:b/>
        </w:rPr>
        <w:t>30 April</w:t>
      </w:r>
      <w:r w:rsidR="009013B5">
        <w:rPr>
          <w:b/>
        </w:rPr>
        <w:t xml:space="preserve"> 2026</w:t>
      </w:r>
      <w:r w:rsidRPr="0051788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enabsatz"/>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3E37C3D0" w:rsidR="009D6E99" w:rsidRPr="00863BFD" w:rsidRDefault="009D6E99" w:rsidP="00E43387">
      <w:pPr>
        <w:pStyle w:val="Listenabsatz"/>
        <w:numPr>
          <w:ilvl w:val="0"/>
          <w:numId w:val="35"/>
        </w:numPr>
        <w:contextualSpacing w:val="0"/>
      </w:pPr>
      <w:r w:rsidRPr="00863BFD">
        <w:t>Please do not remove tags of the type &lt;ESMA_QUESTION</w:t>
      </w:r>
      <w:r w:rsidR="00C05202">
        <w:t>_</w:t>
      </w:r>
      <w:r w:rsidR="00F74C84">
        <w:t>COLL</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enabsatz"/>
        <w:numPr>
          <w:ilvl w:val="0"/>
          <w:numId w:val="35"/>
        </w:numPr>
        <w:contextualSpacing w:val="0"/>
      </w:pPr>
      <w:r w:rsidRPr="00863BFD">
        <w:t>If you do not wish to respond to a given question, please do not delete it but simply leave the text “TYPE YOUR TEXT HERE” between the tags.</w:t>
      </w:r>
    </w:p>
    <w:p w14:paraId="399C1605" w14:textId="661D9C21" w:rsidR="009D6E99" w:rsidRDefault="009D6E99" w:rsidP="00E43387">
      <w:pPr>
        <w:pStyle w:val="Listenabsatz"/>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F74C84">
        <w:t>COLL</w:t>
      </w:r>
      <w:r w:rsidRPr="00863BFD">
        <w:t>_nameofrespondent</w:t>
      </w:r>
      <w:proofErr w:type="spellEnd"/>
      <w:r w:rsidRPr="00863BFD">
        <w:t xml:space="preserve">. </w:t>
      </w:r>
    </w:p>
    <w:p w14:paraId="115A7ABF" w14:textId="3BB0FDD3" w:rsidR="009D6E99" w:rsidRDefault="009D6E99" w:rsidP="009D6E99">
      <w:pPr>
        <w:pStyle w:val="Listenabsatz"/>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350CE0">
        <w:t>COLL</w:t>
      </w:r>
      <w:r>
        <w:t>_</w:t>
      </w:r>
      <w:r w:rsidRPr="00863BFD">
        <w:t>ABCD.</w:t>
      </w:r>
    </w:p>
    <w:p w14:paraId="175B3887" w14:textId="22A43A3A" w:rsidR="009D6E99" w:rsidRDefault="009D6E99" w:rsidP="00E43387">
      <w:pPr>
        <w:pStyle w:val="Listenabsatz"/>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9"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0"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1"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2"/>
          <w:headerReference w:type="default" r:id="rId23"/>
          <w:footerReference w:type="default"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berschrift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tzhaltertext"/>
            </w:rPr>
            <w:id w:val="651570699"/>
            <w:text/>
          </w:sdtPr>
          <w:sdtContent>
            <w:tc>
              <w:tcPr>
                <w:tcW w:w="5595" w:type="dxa"/>
                <w:vAlign w:val="center"/>
              </w:tcPr>
              <w:p w14:paraId="633DB1B6" w14:textId="2B0247CB" w:rsidR="00C2682A" w:rsidRPr="00104E00" w:rsidRDefault="00B242B5" w:rsidP="00104E00">
                <w:pPr>
                  <w:jc w:val="left"/>
                  <w:rPr>
                    <w:rStyle w:val="Platzhaltertext"/>
                  </w:rPr>
                </w:pPr>
                <w:r>
                  <w:rPr>
                    <w:rStyle w:val="Platzhaltertext"/>
                  </w:rPr>
                  <w:t>RWE</w:t>
                </w:r>
                <w:r>
                  <w:rPr>
                    <w:rStyle w:val="Platzhaltertext"/>
                  </w:rPr>
                  <w:t xml:space="preserve"> Supply &amp; Trading GmbH</w:t>
                </w:r>
              </w:p>
            </w:tc>
          </w:sdtContent>
        </w:sdt>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7B603741"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113B80">
                  <w:t>Non-financial counterparty</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Content>
            <w:tc>
              <w:tcPr>
                <w:tcW w:w="5595" w:type="dxa"/>
                <w:vAlign w:val="center"/>
              </w:tcPr>
              <w:p w14:paraId="4BD68813" w14:textId="77777777" w:rsidR="00C2682A" w:rsidRPr="00104E00" w:rsidRDefault="00C2682A" w:rsidP="00104E00">
                <w:pPr>
                  <w:jc w:val="left"/>
                </w:pPr>
                <w:r w:rsidRPr="00104E00">
                  <w:rPr>
                    <w:rFonts w:ascii="Segoe UI Symbol" w:eastAsia="MS Gothic" w:hAnsi="Segoe UI Symbol" w:cs="Segoe UI Symbol"/>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vAlign w:val="center"/>
              </w:tcPr>
              <w:p w14:paraId="204E7C89" w14:textId="1CE1B8FF" w:rsidR="00C2682A" w:rsidRPr="00104E00" w:rsidRDefault="00113B80" w:rsidP="00104E00">
                <w:pPr>
                  <w:jc w:val="left"/>
                </w:pPr>
                <w:r>
                  <w:t>Germany</w:t>
                </w:r>
              </w:p>
            </w:tc>
          </w:sdtContent>
        </w:sdt>
      </w:tr>
      <w:permEnd w:id="1727412903"/>
    </w:tbl>
    <w:p w14:paraId="398E9C9E" w14:textId="10C9CC3D" w:rsidR="00C2682A" w:rsidRDefault="00C2682A" w:rsidP="00F716D4"/>
    <w:p w14:paraId="7F986E69" w14:textId="77777777" w:rsidR="00FA4100" w:rsidRDefault="00BB1973" w:rsidP="00FA4100">
      <w:pPr>
        <w:pStyle w:val="berschrift1"/>
      </w:pPr>
      <w:r>
        <w:t>Questions</w:t>
      </w:r>
      <w:bookmarkStart w:id="8" w:name="_Hlk124780170"/>
    </w:p>
    <w:bookmarkEnd w:id="7"/>
    <w:bookmarkEnd w:id="8"/>
    <w:p w14:paraId="127B4719" w14:textId="7FEBD42E" w:rsidR="00693907" w:rsidRPr="00B15006" w:rsidRDefault="0042141E" w:rsidP="00693907">
      <w:pPr>
        <w:pStyle w:val="Questionstyle"/>
      </w:pPr>
      <w:r w:rsidRPr="0042141E">
        <w:t>Do</w:t>
      </w:r>
      <w:r w:rsidR="001C3526">
        <w:t xml:space="preserve"> </w:t>
      </w:r>
      <w:r w:rsidR="001C3526" w:rsidRPr="001C3526">
        <w:t>you agree that the existing provision on concentration limits should apply to guarantees and as such Article 42 should be amended to provide legal clarity on this?</w:t>
      </w:r>
      <w:r w:rsidR="00693907" w:rsidRPr="00B15006">
        <w:t xml:space="preserve"> </w:t>
      </w:r>
    </w:p>
    <w:p w14:paraId="1E634CEC" w14:textId="509E79DC" w:rsidR="00693907" w:rsidRDefault="00693907" w:rsidP="00693907">
      <w:r>
        <w:t>&lt;ESMA_QUESTION_</w:t>
      </w:r>
      <w:r w:rsidR="00B744D6">
        <w:t>COLL</w:t>
      </w:r>
      <w:r>
        <w:t>_1&gt;</w:t>
      </w:r>
    </w:p>
    <w:p w14:paraId="66A2A089" w14:textId="77777777" w:rsidR="00F1046B" w:rsidRPr="00D7560D" w:rsidRDefault="00F1046B" w:rsidP="00D7560D">
      <w:permStart w:id="910108688" w:edGrp="everyone"/>
      <w:r w:rsidRPr="00D7560D">
        <w:t>Introduction:</w:t>
      </w:r>
    </w:p>
    <w:p w14:paraId="07F5A0C8" w14:textId="57085AD2" w:rsidR="00F1046B" w:rsidRPr="00D7560D" w:rsidRDefault="00F1046B" w:rsidP="00D7560D">
      <w:r w:rsidRPr="00D7560D">
        <w:t xml:space="preserve">In our response we represent a non-financial company that may act as a Direct Clearing </w:t>
      </w:r>
      <w:r w:rsidR="00DA0AD3">
        <w:t>M</w:t>
      </w:r>
      <w:r w:rsidRPr="00D7560D">
        <w:t xml:space="preserve">ember but in the majority of cases as the client of </w:t>
      </w:r>
      <w:r w:rsidR="00DA0AD3">
        <w:t xml:space="preserve">a </w:t>
      </w:r>
      <w:r w:rsidR="00391DF0">
        <w:t xml:space="preserve">General </w:t>
      </w:r>
      <w:r w:rsidR="00DA0AD3">
        <w:t>Clearing Member (</w:t>
      </w:r>
      <w:r w:rsidRPr="00D7560D">
        <w:t>Clearing Service Providers</w:t>
      </w:r>
      <w:r w:rsidR="00DA0AD3">
        <w:t>)</w:t>
      </w:r>
      <w:r w:rsidRPr="00D7560D">
        <w:t xml:space="preserve">. The proposed RTS will support us a lot in increasing the flexibility of our collateral processes and allow to release cash reserves for the purpose of investment projects such as </w:t>
      </w:r>
      <w:r w:rsidR="004D3D0F" w:rsidRPr="00D7560D">
        <w:t>capital-intensive</w:t>
      </w:r>
      <w:r w:rsidRPr="00D7560D">
        <w:t xml:space="preserve"> </w:t>
      </w:r>
      <w:r w:rsidR="008F0D87">
        <w:t>r</w:t>
      </w:r>
      <w:r w:rsidRPr="00D7560D">
        <w:t>enewables projects as well as to cover stressed market scenarios which are very cash consuming due to volatile margin call amounts.</w:t>
      </w:r>
    </w:p>
    <w:p w14:paraId="7525D98B" w14:textId="083CDA70" w:rsidR="00F1046B" w:rsidRPr="00D7560D" w:rsidRDefault="00F1046B" w:rsidP="00D7560D">
      <w:r w:rsidRPr="00D7560D">
        <w:t>In order  to reduce ambiguity on important aspects of the usage of bank guarantees, some clarification is necessary especially on the following items:</w:t>
      </w:r>
    </w:p>
    <w:p w14:paraId="1BD1A622" w14:textId="565FA108" w:rsidR="00D7560D" w:rsidRDefault="00F1046B" w:rsidP="00D7560D">
      <w:pPr>
        <w:pStyle w:val="Listenabsatz"/>
        <w:numPr>
          <w:ilvl w:val="0"/>
          <w:numId w:val="38"/>
        </w:numPr>
      </w:pPr>
      <w:r w:rsidRPr="00D7560D">
        <w:t xml:space="preserve">Confirmation that the extension for the eligibility of </w:t>
      </w:r>
      <w:r w:rsidR="008C21D4">
        <w:t xml:space="preserve">bank </w:t>
      </w:r>
      <w:r w:rsidRPr="00D7560D">
        <w:t>guarantees as collateral applies to non-financial clients that are Direct Clearing Members or clients of General Clearing Members</w:t>
      </w:r>
    </w:p>
    <w:p w14:paraId="07C7D9CC" w14:textId="78B7141C" w:rsidR="00D7560D" w:rsidRDefault="00F1046B" w:rsidP="00D7560D">
      <w:pPr>
        <w:pStyle w:val="Listenabsatz"/>
        <w:numPr>
          <w:ilvl w:val="0"/>
          <w:numId w:val="38"/>
        </w:numPr>
      </w:pPr>
      <w:r w:rsidRPr="00D7560D">
        <w:t xml:space="preserve">Clarification about the fundamental conditions that types of </w:t>
      </w:r>
      <w:r w:rsidR="008C21D4">
        <w:t xml:space="preserve">bank </w:t>
      </w:r>
      <w:r w:rsidRPr="00D7560D">
        <w:t xml:space="preserve">guarantees need to fulfil in order to be eligible as a performing </w:t>
      </w:r>
      <w:r w:rsidR="002C76B4">
        <w:t>c</w:t>
      </w:r>
      <w:r w:rsidRPr="00D7560D">
        <w:t>ollateral: unconditional, irrevocable and on first demand.</w:t>
      </w:r>
      <w:r w:rsidRPr="00D7560D">
        <w:br/>
        <w:t xml:space="preserve">By this, any instrument – whether taking the form of a guarantee or for example uncollateralized standby letter of credit – would be eligible as long as it meets all the relevant requirements. </w:t>
      </w:r>
    </w:p>
    <w:p w14:paraId="41593135" w14:textId="12567036" w:rsidR="00D7560D" w:rsidRDefault="00E15596" w:rsidP="00D7560D">
      <w:pPr>
        <w:pStyle w:val="Listenabsatz"/>
        <w:numPr>
          <w:ilvl w:val="0"/>
          <w:numId w:val="38"/>
        </w:numPr>
      </w:pPr>
      <w:r>
        <w:lastRenderedPageBreak/>
        <w:t>A</w:t>
      </w:r>
      <w:r w:rsidR="00F1046B" w:rsidRPr="00D7560D">
        <w:t xml:space="preserve"> </w:t>
      </w:r>
      <w:r w:rsidR="007C4F24">
        <w:t xml:space="preserve">bank </w:t>
      </w:r>
      <w:r w:rsidR="00F1046B" w:rsidRPr="00D7560D">
        <w:t>guarantee beneficiary structure</w:t>
      </w:r>
      <w:r>
        <w:t xml:space="preserve"> </w:t>
      </w:r>
      <w:r w:rsidR="00F1046B" w:rsidRPr="00D7560D">
        <w:t>that allow</w:t>
      </w:r>
      <w:r>
        <w:t>s</w:t>
      </w:r>
      <w:r w:rsidR="00F1046B" w:rsidRPr="00D7560D">
        <w:t xml:space="preserve"> to respond to default scenarios to be potentially faced on CCP level (CM’s default) as well as Clearing Member level (Client’s default</w:t>
      </w:r>
      <w:r w:rsidR="00912A7D" w:rsidRPr="00D7560D">
        <w:t>).</w:t>
      </w:r>
      <w:r w:rsidR="00F1046B" w:rsidRPr="00D7560D">
        <w:t xml:space="preserve"> </w:t>
      </w:r>
    </w:p>
    <w:p w14:paraId="25BB8EB9" w14:textId="10EE36E8" w:rsidR="00D7560D" w:rsidRDefault="0046159F" w:rsidP="00D7560D">
      <w:pPr>
        <w:pStyle w:val="Listenabsatz"/>
        <w:numPr>
          <w:ilvl w:val="0"/>
          <w:numId w:val="38"/>
        </w:numPr>
      </w:pPr>
      <w:r>
        <w:t xml:space="preserve">We question the </w:t>
      </w:r>
      <w:r w:rsidR="00F1046B" w:rsidRPr="00D7560D">
        <w:t xml:space="preserve">reasoning for a mandatory posting of collateral in form of a </w:t>
      </w:r>
      <w:r w:rsidR="007C4F24">
        <w:t xml:space="preserve">bank </w:t>
      </w:r>
      <w:r w:rsidR="00F1046B" w:rsidRPr="00D7560D">
        <w:t xml:space="preserve">guarantee on individually segregated accounts (ISA). We appreciate ESMA intention to maximise segregation of collateral submitted by NFC but see it as an option for CM clients and not an obligation. Making ISA allocation as an obligation will limit significantly the flexible implementation and increase implementation burdens and costs. </w:t>
      </w:r>
      <w:r w:rsidR="007C4F24">
        <w:t>Bank g</w:t>
      </w:r>
      <w:r w:rsidR="00F1046B" w:rsidRPr="00D7560D">
        <w:t xml:space="preserve">uarantees can be allocated to omnibus account and will increase accessibility to CCP to cover the potential loss of a CM default. </w:t>
      </w:r>
    </w:p>
    <w:p w14:paraId="0E2CCA96" w14:textId="70C8F8A0" w:rsidR="00F1046B" w:rsidRPr="00D7560D" w:rsidRDefault="00F1046B" w:rsidP="00D7560D">
      <w:pPr>
        <w:pStyle w:val="Listenabsatz"/>
        <w:numPr>
          <w:ilvl w:val="0"/>
          <w:numId w:val="38"/>
        </w:numPr>
      </w:pPr>
      <w:r w:rsidRPr="00D7560D">
        <w:t xml:space="preserve">Although we recognize prudential constraints on EU banks, including the materially higher capital costs associated with accepting </w:t>
      </w:r>
      <w:r w:rsidR="00C9635C">
        <w:t xml:space="preserve">bank </w:t>
      </w:r>
      <w:r w:rsidRPr="00D7560D">
        <w:t>guarantees under current CRR</w:t>
      </w:r>
      <w:r w:rsidR="0046159F">
        <w:t xml:space="preserve"> rules and </w:t>
      </w:r>
      <w:r w:rsidRPr="00D7560D">
        <w:t xml:space="preserve">EBA guidance, we do not see it as a barrier for having </w:t>
      </w:r>
      <w:r w:rsidR="00C9635C">
        <w:t xml:space="preserve">bank </w:t>
      </w:r>
      <w:r w:rsidRPr="00D7560D">
        <w:t>guarantees as CCP eligible collateral. There may be an opportunity to review the CRR</w:t>
      </w:r>
      <w:r w:rsidR="0046159F">
        <w:t xml:space="preserve"> rules and / or </w:t>
      </w:r>
      <w:r w:rsidRPr="00D7560D">
        <w:t>EBA guidance and mitigate the negative impact on capital requirements.</w:t>
      </w:r>
    </w:p>
    <w:p w14:paraId="06BF79AB" w14:textId="77777777" w:rsidR="00D7560D" w:rsidRDefault="00F1046B" w:rsidP="00D7560D">
      <w:r w:rsidRPr="00D7560D">
        <w:t xml:space="preserve">Answer to question 1: </w:t>
      </w:r>
    </w:p>
    <w:p w14:paraId="67649656" w14:textId="2B730EE7" w:rsidR="00F1046B" w:rsidRPr="00D7560D" w:rsidRDefault="00F1046B" w:rsidP="00D7560D">
      <w:r w:rsidRPr="00D7560D">
        <w:t xml:space="preserve">We agree to the necessity of governance on concentration limits to </w:t>
      </w:r>
      <w:r w:rsidR="00C9635C">
        <w:t xml:space="preserve">bank </w:t>
      </w:r>
      <w:r w:rsidRPr="00D7560D">
        <w:t xml:space="preserve">guarantees in Article 42 without prescribing specific limits. As non-financial company that may be Direct Clearing member of CCP or client of a Clearing Service Provider (General Clearing Member), we support a risk sensitive approach calibrated by CCPs (proposed Option 1) as </w:t>
      </w:r>
      <w:r w:rsidR="0046159F">
        <w:t xml:space="preserve">is </w:t>
      </w:r>
      <w:r w:rsidRPr="00D7560D">
        <w:t>offer</w:t>
      </w:r>
      <w:r w:rsidR="0046159F">
        <w:t>s</w:t>
      </w:r>
      <w:r w:rsidRPr="00D7560D">
        <w:t xml:space="preserve"> more flexibility for example in the time of stressed market conditions where CCP may be able to adjust the concentration limits without creating more risk. We also express the wish of a high degree of harmonisation across CCPs for maximising the efficiency of the operational implementation. </w:t>
      </w:r>
    </w:p>
    <w:p w14:paraId="628AAE1C" w14:textId="0AF5F600" w:rsidR="00693907" w:rsidRPr="00D7560D" w:rsidRDefault="00F1046B" w:rsidP="00D7560D">
      <w:r w:rsidRPr="00D7560D">
        <w:t xml:space="preserve">We agree with ESMA’s approach to amend Article 42 of RTS 153/2013, to provide further clarity on the application of the existing provision on concentration limits to </w:t>
      </w:r>
      <w:r w:rsidR="00C9635C">
        <w:t xml:space="preserve">bank </w:t>
      </w:r>
      <w:r w:rsidRPr="00D7560D">
        <w:t xml:space="preserve">guarantees. We consider as very important to appropriately risk-manage the usage of </w:t>
      </w:r>
      <w:r w:rsidR="00C9635C">
        <w:t xml:space="preserve">bank </w:t>
      </w:r>
      <w:r w:rsidRPr="00D7560D">
        <w:t>guarantees by having multiple layers of concentration checks (clearing member level, issuer level, CCP level, geography, sector).</w:t>
      </w:r>
    </w:p>
    <w:permEnd w:id="910108688"/>
    <w:p w14:paraId="7D4640BC" w14:textId="4AD0283A" w:rsidR="00693907" w:rsidRDefault="00693907" w:rsidP="00693907">
      <w:r>
        <w:t>&lt;ESMA_QUESTION_</w:t>
      </w:r>
      <w:r w:rsidR="00B744D6">
        <w:t>COLL</w:t>
      </w:r>
      <w:r>
        <w:t>_1&gt;</w:t>
      </w:r>
    </w:p>
    <w:p w14:paraId="0B2E60F7" w14:textId="77777777" w:rsidR="00693907" w:rsidRDefault="00693907" w:rsidP="00693907"/>
    <w:p w14:paraId="0D4A902B" w14:textId="67C691EF" w:rsidR="00693907" w:rsidRPr="00C57036" w:rsidRDefault="007C5CE7" w:rsidP="00693907">
      <w:pPr>
        <w:pStyle w:val="Questionstyle"/>
      </w:pPr>
      <w:r w:rsidRPr="007C5CE7">
        <w:t>Do</w:t>
      </w:r>
      <w:r w:rsidR="002C497F">
        <w:t xml:space="preserve"> </w:t>
      </w:r>
      <w:r w:rsidR="002C497F" w:rsidRPr="002C497F">
        <w:t xml:space="preserve">you agree with the inclusion of the level of collateralisation of the guarantee as a criterion for the CCP to consider when establishing concentration limits? </w:t>
      </w:r>
      <w:r w:rsidR="00693907" w:rsidRPr="00C57036">
        <w:t xml:space="preserve">   </w:t>
      </w:r>
    </w:p>
    <w:p w14:paraId="00896A16" w14:textId="79A6D7D2" w:rsidR="00693907" w:rsidRDefault="00693907" w:rsidP="00693907">
      <w:r>
        <w:t>&lt;ESMA_QUESTION_</w:t>
      </w:r>
      <w:r w:rsidR="008D6D0B">
        <w:t>COLL</w:t>
      </w:r>
      <w:r>
        <w:t>_2&gt;</w:t>
      </w:r>
    </w:p>
    <w:p w14:paraId="49CEA718" w14:textId="60BBA9E3" w:rsidR="00130495" w:rsidRPr="00D7560D" w:rsidRDefault="00130495" w:rsidP="00D7560D">
      <w:permStart w:id="834943991" w:edGrp="everyone"/>
      <w:r w:rsidRPr="00D7560D">
        <w:t xml:space="preserve">For us as non-financial clients, we </w:t>
      </w:r>
      <w:r w:rsidR="005F2F2D">
        <w:t>support the use</w:t>
      </w:r>
      <w:r w:rsidRPr="00D7560D">
        <w:t xml:space="preserve"> non-collateralised bank guarantee </w:t>
      </w:r>
      <w:r w:rsidR="005F2F2D">
        <w:t>as eligible collateral</w:t>
      </w:r>
      <w:r w:rsidRPr="00D7560D">
        <w:t xml:space="preserve"> because we aim to use them as a diversification of collateral between cash and non-</w:t>
      </w:r>
      <w:r w:rsidRPr="00D7560D">
        <w:lastRenderedPageBreak/>
        <w:t xml:space="preserve">cash alternatives. There we do not think that </w:t>
      </w:r>
      <w:r w:rsidR="005F2F2D">
        <w:t>it is not appropriate to define the</w:t>
      </w:r>
      <w:r w:rsidRPr="00D7560D">
        <w:t xml:space="preserve"> level of collateralisation of the </w:t>
      </w:r>
      <w:r w:rsidR="00ED7B28">
        <w:t xml:space="preserve">bank </w:t>
      </w:r>
      <w:r w:rsidRPr="00D7560D">
        <w:t xml:space="preserve">guarantee as a criterion for the CCP to consider when establishing concentration limits. Concentration risks can be </w:t>
      </w:r>
      <w:r w:rsidR="00C47601">
        <w:t>sufficiently</w:t>
      </w:r>
      <w:r w:rsidRPr="00D7560D">
        <w:t xml:space="preserve"> mitigated with other instruments like specific criteria like for example for the selection of the issuing bank (status of the institution, rating), threshold defined by CCP about which maximum portion of the initial margin can be covered with </w:t>
      </w:r>
      <w:r w:rsidR="00ED7B28">
        <w:t xml:space="preserve">bank </w:t>
      </w:r>
      <w:r w:rsidRPr="00D7560D">
        <w:t>guarantees.</w:t>
      </w:r>
    </w:p>
    <w:p w14:paraId="32B784C4" w14:textId="3E5CA32F" w:rsidR="00693907" w:rsidRPr="00D7560D" w:rsidRDefault="00130495" w:rsidP="00D7560D">
      <w:r w:rsidRPr="00D7560D">
        <w:t xml:space="preserve">With a level of collateralisation of the </w:t>
      </w:r>
      <w:r w:rsidR="00ED7B28">
        <w:t xml:space="preserve">bank </w:t>
      </w:r>
      <w:r w:rsidRPr="00D7560D">
        <w:t xml:space="preserve">guarantee set, this alternative to cash collateral will not fulfil its aim anymore which is to give more flexibility to non-financial counterparties about the choice of collateral especially during higher stressed market conditions which are very cash consuming (mainly driven by volatile Variation but also increased Initial </w:t>
      </w:r>
      <w:r w:rsidR="00C47601">
        <w:t xml:space="preserve">Margin </w:t>
      </w:r>
      <w:r w:rsidRPr="00D7560D">
        <w:t>requirements).</w:t>
      </w:r>
    </w:p>
    <w:permEnd w:id="834943991"/>
    <w:p w14:paraId="456D2494" w14:textId="7C8052C1" w:rsidR="00693907" w:rsidRDefault="00693907" w:rsidP="00693907">
      <w:r>
        <w:t>&lt;ESMA_QUESTION_</w:t>
      </w:r>
      <w:r w:rsidR="008D6D0B">
        <w:t>COLL</w:t>
      </w:r>
      <w:r>
        <w:t>_2&gt;</w:t>
      </w:r>
    </w:p>
    <w:p w14:paraId="07210AC9" w14:textId="77777777" w:rsidR="00693907" w:rsidRDefault="00693907" w:rsidP="00693907"/>
    <w:p w14:paraId="19A7880E" w14:textId="0892F898" w:rsidR="00693907" w:rsidRPr="00EB5987" w:rsidRDefault="00E15596" w:rsidP="00693907">
      <w:pPr>
        <w:pStyle w:val="Questionstyle"/>
      </w:pPr>
      <w:r w:rsidRPr="006901CE">
        <w:t>Do</w:t>
      </w:r>
      <w:r>
        <w:t xml:space="preserve"> you</w:t>
      </w:r>
      <w:r w:rsidR="005039EC" w:rsidRPr="005039EC">
        <w:t xml:space="preserve"> agree with the inclusion of the new criteria (e) in paragraph 3 of Article 42, so that the CCP can consider the activity of the non-financial client when setting concentration limits?</w:t>
      </w:r>
      <w:r w:rsidR="00693907" w:rsidRPr="00EB5987">
        <w:t xml:space="preserve">    </w:t>
      </w:r>
    </w:p>
    <w:p w14:paraId="4B1B3C0E" w14:textId="4203ECA6" w:rsidR="00693907" w:rsidRDefault="00693907" w:rsidP="00693907">
      <w:r>
        <w:t>&lt;ESMA_QUESTION_</w:t>
      </w:r>
      <w:r w:rsidR="008D6D0B">
        <w:t>COLL</w:t>
      </w:r>
      <w:r>
        <w:t>_3&gt;</w:t>
      </w:r>
    </w:p>
    <w:p w14:paraId="6EDBBD0D" w14:textId="421B4629" w:rsidR="00693907" w:rsidRPr="00D7560D" w:rsidRDefault="00E11FE8" w:rsidP="00D7560D">
      <w:permStart w:id="1178823114" w:edGrp="everyone"/>
      <w:r w:rsidRPr="00D7560D">
        <w:t xml:space="preserve">Whereas the Clearing Member is the instance to manage and cover risk of their Client according to the </w:t>
      </w:r>
      <w:r w:rsidR="00081008" w:rsidRPr="00D7560D">
        <w:t>principal-to-principal</w:t>
      </w:r>
      <w:r w:rsidRPr="00D7560D">
        <w:t xml:space="preserve"> clearing system</w:t>
      </w:r>
      <w:r w:rsidR="006760FC">
        <w:t xml:space="preserve"> </w:t>
      </w:r>
      <w:r w:rsidR="00FA161B">
        <w:t>(two contractual relationships, respectively between CCP and CM and CM and Client)</w:t>
      </w:r>
      <w:r w:rsidRPr="00D7560D">
        <w:t xml:space="preserve">, we support CCPs considering the activity level and risk profile of non-financial clients. This reflects the fact that non-financial clients differ widely in operational sophistication, liquidity, exposure size, and collateralisation behaviour. This aligns well with our view that CCP rules should reflect the underlying risk profile of market </w:t>
      </w:r>
      <w:r w:rsidR="00081008" w:rsidRPr="00D7560D">
        <w:t>participants,</w:t>
      </w:r>
      <w:r w:rsidRPr="00D7560D">
        <w:t xml:space="preserve"> and this change is therefore very beneficial to an end to end clearing and related risk management system.</w:t>
      </w:r>
    </w:p>
    <w:permEnd w:id="1178823114"/>
    <w:p w14:paraId="7EF07F00" w14:textId="43ADDCB7" w:rsidR="00693907" w:rsidRDefault="00693907" w:rsidP="00693907">
      <w:r>
        <w:t>&lt;ESMA_QUESTION_</w:t>
      </w:r>
      <w:r w:rsidR="00135967">
        <w:t>COLL</w:t>
      </w:r>
      <w:r>
        <w:t>_3&gt;</w:t>
      </w:r>
    </w:p>
    <w:p w14:paraId="6B4516C3" w14:textId="77777777" w:rsidR="00693907" w:rsidRDefault="00693907" w:rsidP="00693907"/>
    <w:p w14:paraId="5487291B" w14:textId="0684972D" w:rsidR="00693907" w:rsidRPr="007966CD" w:rsidRDefault="00191142" w:rsidP="00693907">
      <w:pPr>
        <w:pStyle w:val="Questionstyle"/>
      </w:pPr>
      <w:r w:rsidRPr="00191142">
        <w:t>Shall there be specific concentration limits established for guarantees provided by non-clearing members, given these exposures are not considered in the Stress Test?</w:t>
      </w:r>
      <w:r w:rsidR="00693907" w:rsidRPr="007966CD">
        <w:t xml:space="preserve">   </w:t>
      </w:r>
    </w:p>
    <w:p w14:paraId="6040CACC" w14:textId="2C012C7C" w:rsidR="00693907" w:rsidRDefault="00693907" w:rsidP="00693907">
      <w:r>
        <w:t>&lt;ESMA_QUESTION_</w:t>
      </w:r>
      <w:r w:rsidR="00E665F4">
        <w:t>COLL</w:t>
      </w:r>
      <w:r>
        <w:t>_4&gt;</w:t>
      </w:r>
    </w:p>
    <w:p w14:paraId="7F9C8646" w14:textId="1DDB89FD" w:rsidR="00D7560D" w:rsidRDefault="00D7560D" w:rsidP="00D7560D">
      <w:permStart w:id="2012300575" w:edGrp="everyone"/>
      <w:r>
        <w:t>We support the principle that concentration risk</w:t>
      </w:r>
      <w:r w:rsidR="00930FBB">
        <w:t>s</w:t>
      </w:r>
      <w:r>
        <w:t xml:space="preserve"> related to </w:t>
      </w:r>
      <w:r w:rsidR="00ED7B28">
        <w:t xml:space="preserve">bank </w:t>
      </w:r>
      <w:r>
        <w:t xml:space="preserve">guarantees provided by non-clearing members should be adequately managed. However, we are not in favour of mandating prescriptive EU-level quantitative thresholds. Any concentration limits implemented should be both proportionate and </w:t>
      </w:r>
      <w:r w:rsidR="00081008">
        <w:t>risk sensitive</w:t>
      </w:r>
      <w:r>
        <w:t xml:space="preserve"> as explained under Question 1. Hence, CCPs should </w:t>
      </w:r>
      <w:r w:rsidR="002E4D03">
        <w:t>get the needed flexibility when</w:t>
      </w:r>
      <w:r>
        <w:t xml:space="preserve"> setting the concentration limits. </w:t>
      </w:r>
    </w:p>
    <w:p w14:paraId="32D83766" w14:textId="56D37E80" w:rsidR="00D7560D" w:rsidRDefault="00D7560D" w:rsidP="00D7560D">
      <w:r>
        <w:lastRenderedPageBreak/>
        <w:t xml:space="preserve"> </w:t>
      </w:r>
    </w:p>
    <w:p w14:paraId="2E4EBF81" w14:textId="1B9B38D2" w:rsidR="00D7560D" w:rsidRDefault="00D7560D" w:rsidP="00D7560D">
      <w:r>
        <w:t xml:space="preserve">We also note that a </w:t>
      </w:r>
      <w:r w:rsidR="00ED7B28">
        <w:t xml:space="preserve">bank </w:t>
      </w:r>
      <w:r>
        <w:t>guarantee provided by a non-clearing member would have the advantage of not being linked to any clearing member and therefore would not pose the risk of a double default situation (the client defaults and also the guarantor) so the concentration limit can be specific to reflect this.</w:t>
      </w:r>
    </w:p>
    <w:permEnd w:id="2012300575"/>
    <w:p w14:paraId="0AB70AFF" w14:textId="37C22694" w:rsidR="00693907" w:rsidRDefault="00693907" w:rsidP="00D7560D">
      <w:r>
        <w:t>&lt;ESMA_QUESTION_</w:t>
      </w:r>
      <w:r w:rsidR="00E665F4">
        <w:t>COLL</w:t>
      </w:r>
      <w:r>
        <w:t>_4&gt;</w:t>
      </w:r>
    </w:p>
    <w:p w14:paraId="2B2D8140" w14:textId="77777777" w:rsidR="00693907" w:rsidRDefault="00693907" w:rsidP="00693907"/>
    <w:p w14:paraId="0BC438F6" w14:textId="3D7F0085" w:rsidR="00693907" w:rsidRPr="007966CD" w:rsidRDefault="00625ABA" w:rsidP="00693907">
      <w:pPr>
        <w:pStyle w:val="Questionstyle"/>
      </w:pPr>
      <w:r w:rsidRPr="00625ABA">
        <w:t>Is ESMA’s understanding correct? Are there other essential features of the guarantees that should be highlighted?</w:t>
      </w:r>
      <w:r w:rsidR="00693907" w:rsidRPr="007966CD">
        <w:t xml:space="preserve">   </w:t>
      </w:r>
    </w:p>
    <w:p w14:paraId="01C9FE80" w14:textId="0C467029" w:rsidR="00693907" w:rsidRDefault="00693907" w:rsidP="00693907">
      <w:r>
        <w:t>&lt;ESMA_QUESTION_</w:t>
      </w:r>
      <w:r w:rsidR="00863ECB">
        <w:t>COLL</w:t>
      </w:r>
      <w:r>
        <w:t>_5&gt;</w:t>
      </w:r>
    </w:p>
    <w:p w14:paraId="2C4F3ECD" w14:textId="0CA49D32" w:rsidR="00E77324" w:rsidRDefault="00E77324" w:rsidP="00E77324">
      <w:permStart w:id="1536499182" w:edGrp="everyone"/>
      <w:r>
        <w:t xml:space="preserve">We support ESMA’s proposal but believe there are essential features that should be </w:t>
      </w:r>
      <w:r w:rsidR="002E4D03">
        <w:t>implemented</w:t>
      </w:r>
      <w:r w:rsidR="00FA4997">
        <w:t xml:space="preserve"> in the technical rules</w:t>
      </w:r>
      <w:r>
        <w:t xml:space="preserve"> to ensure </w:t>
      </w:r>
      <w:r w:rsidR="00D77E5A">
        <w:t xml:space="preserve">bank </w:t>
      </w:r>
      <w:r>
        <w:t xml:space="preserve">guarantees are both practical and robust in risk management. </w:t>
      </w:r>
    </w:p>
    <w:p w14:paraId="772903B4" w14:textId="77777777" w:rsidR="00E77324" w:rsidRDefault="00E77324" w:rsidP="00E77324">
      <w:r>
        <w:t>These include some necessary clarifications on:</w:t>
      </w:r>
    </w:p>
    <w:p w14:paraId="7B800A4C" w14:textId="77777777" w:rsidR="00E77324" w:rsidRDefault="00E77324" w:rsidP="00E77324">
      <w:r>
        <w:t>1)</w:t>
      </w:r>
      <w:r>
        <w:tab/>
        <w:t>Beneficiary Structure</w:t>
      </w:r>
    </w:p>
    <w:p w14:paraId="7A17F3D3" w14:textId="716A2F53" w:rsidR="00E77324" w:rsidRDefault="00E77324" w:rsidP="00E77324">
      <w:r>
        <w:t xml:space="preserve">It is crucial to consider the way </w:t>
      </w:r>
      <w:r w:rsidR="00081008">
        <w:t xml:space="preserve">a </w:t>
      </w:r>
      <w:r w:rsidR="00D77E5A">
        <w:t xml:space="preserve">bank </w:t>
      </w:r>
      <w:r>
        <w:t xml:space="preserve">guarantee </w:t>
      </w:r>
      <w:r w:rsidR="00081008">
        <w:t>is</w:t>
      </w:r>
      <w:r>
        <w:t xml:space="preserve"> legally and operationally designed and that their structure of beneficiary matches with the </w:t>
      </w:r>
      <w:r w:rsidR="00912A7D">
        <w:t>principal-to-principal</w:t>
      </w:r>
      <w:r>
        <w:t xml:space="preserve"> relationship structure respectively between CCP and CM and CM and their clients. The </w:t>
      </w:r>
      <w:r w:rsidR="00D77E5A">
        <w:t xml:space="preserve">bank </w:t>
      </w:r>
      <w:r>
        <w:t xml:space="preserve">guarantee should therefore provide adequate protection not only for the CCP to cover an event of default of a CM but also constitutes an instrument for the CM to cover a client default. </w:t>
      </w:r>
      <w:r w:rsidR="00360353">
        <w:t>Bank g</w:t>
      </w:r>
      <w:r>
        <w:t>uarantees which name only the CCP as beneficiary would not reflect this principal-to-principal structure of the clearing system. Widely used standards of (commercial bank) guarantees offer the possibility to have two beneficiaries with an established ranking:</w:t>
      </w:r>
    </w:p>
    <w:p w14:paraId="4C783328" w14:textId="7EB33EC4" w:rsidR="00241AE4" w:rsidRDefault="00E77324" w:rsidP="00A91B6F">
      <w:pPr>
        <w:pStyle w:val="Listenabsatz"/>
        <w:numPr>
          <w:ilvl w:val="0"/>
          <w:numId w:val="41"/>
        </w:numPr>
      </w:pPr>
      <w:r>
        <w:t xml:space="preserve">CCP as ultimate beneficiary (in first rank) </w:t>
      </w:r>
    </w:p>
    <w:p w14:paraId="732B475F" w14:textId="3365BA50" w:rsidR="00E77324" w:rsidRDefault="00E77324" w:rsidP="00A91B6F">
      <w:pPr>
        <w:pStyle w:val="Listenabsatz"/>
        <w:numPr>
          <w:ilvl w:val="0"/>
          <w:numId w:val="41"/>
        </w:numPr>
      </w:pPr>
      <w:r>
        <w:t xml:space="preserve">CM as a second beneficiary (in second rank) who can make use of the </w:t>
      </w:r>
      <w:r w:rsidR="00360353">
        <w:t xml:space="preserve">bank </w:t>
      </w:r>
      <w:r>
        <w:t>guarantee as soon as the first rank of beneficiary is released by the CCP</w:t>
      </w:r>
    </w:p>
    <w:p w14:paraId="5E5DF1C2" w14:textId="77777777" w:rsidR="00E77324" w:rsidRDefault="00E77324" w:rsidP="00E77324">
      <w:r>
        <w:t>This model with two beneficiaries brings several benefits:</w:t>
      </w:r>
    </w:p>
    <w:p w14:paraId="411E35D1" w14:textId="5B105442" w:rsidR="00241AE4" w:rsidRDefault="00E77324" w:rsidP="00A91B6F">
      <w:pPr>
        <w:pStyle w:val="Listenabsatz"/>
        <w:numPr>
          <w:ilvl w:val="0"/>
          <w:numId w:val="42"/>
        </w:numPr>
      </w:pPr>
      <w:r>
        <w:t>It covers CM and Client default scenarios (see above)</w:t>
      </w:r>
    </w:p>
    <w:p w14:paraId="77524455" w14:textId="439291E3" w:rsidR="00E77324" w:rsidRDefault="00241AE4" w:rsidP="00A91B6F">
      <w:pPr>
        <w:pStyle w:val="Listenabsatz"/>
        <w:numPr>
          <w:ilvl w:val="0"/>
          <w:numId w:val="42"/>
        </w:numPr>
      </w:pPr>
      <w:r>
        <w:t>It r</w:t>
      </w:r>
      <w:r w:rsidR="00E77324">
        <w:t>educe</w:t>
      </w:r>
      <w:r>
        <w:t>s</w:t>
      </w:r>
      <w:r w:rsidR="00E77324">
        <w:t xml:space="preserve"> considerably the operational burden and related costs of transformation of collateral that CM need to proceed with if they are the only beneficiary of the </w:t>
      </w:r>
      <w:r w:rsidR="00360353">
        <w:t xml:space="preserve">bank </w:t>
      </w:r>
      <w:r w:rsidR="00E77324">
        <w:t>guarantee submitted by the client and</w:t>
      </w:r>
      <w:r w:rsidR="00F55945">
        <w:t>,</w:t>
      </w:r>
      <w:r w:rsidR="00E77324">
        <w:t xml:space="preserve"> therefore</w:t>
      </w:r>
      <w:r w:rsidR="00F55945">
        <w:t>,</w:t>
      </w:r>
      <w:r w:rsidR="00E77324">
        <w:t xml:space="preserve"> </w:t>
      </w:r>
      <w:r w:rsidR="006757B5">
        <w:t>they</w:t>
      </w:r>
      <w:r w:rsidR="00E77324">
        <w:t xml:space="preserve"> need to source another form of collateral to be posted with CCPs (e.g. cash, bonds) </w:t>
      </w:r>
    </w:p>
    <w:p w14:paraId="66904A7E" w14:textId="0E823C5E" w:rsidR="00E77324" w:rsidRDefault="00E77324" w:rsidP="00E77324">
      <w:r>
        <w:lastRenderedPageBreak/>
        <w:t xml:space="preserve">We note of course that the draft RTS includes a possibility for these </w:t>
      </w:r>
      <w:r w:rsidR="00360353">
        <w:t xml:space="preserve">bank </w:t>
      </w:r>
      <w:r>
        <w:t xml:space="preserve">guarantees to “include a transfer clause, allowing under conditions to be defined by the CCP, the transfer of the beneficiary from the CCP to the clearing member of the client”. We therefore suggest </w:t>
      </w:r>
      <w:r w:rsidR="00EC76F7">
        <w:t>amending</w:t>
      </w:r>
      <w:r>
        <w:t xml:space="preserve"> the wording around this transfer clause, to make it a requirement for guarantees to include such a transfer clause, so that effectively, the </w:t>
      </w:r>
      <w:r w:rsidR="00930DAA">
        <w:t xml:space="preserve">bank </w:t>
      </w:r>
      <w:r>
        <w:t xml:space="preserve">guarantees </w:t>
      </w:r>
      <w:r w:rsidR="00EC76F7">
        <w:t>have</w:t>
      </w:r>
      <w:r>
        <w:t xml:space="preserve"> </w:t>
      </w:r>
      <w:r w:rsidR="00EC76F7">
        <w:t>two beneficiaries</w:t>
      </w:r>
      <w:r>
        <w:t>, the CCP</w:t>
      </w:r>
      <w:r w:rsidR="00AD6A14">
        <w:t xml:space="preserve"> as the ultimate one</w:t>
      </w:r>
      <w:r>
        <w:t xml:space="preserve"> and the clearing member</w:t>
      </w:r>
      <w:r w:rsidR="00AD6A14">
        <w:t xml:space="preserve"> in second rank</w:t>
      </w:r>
      <w:r>
        <w:t>.</w:t>
      </w:r>
    </w:p>
    <w:p w14:paraId="229755AF" w14:textId="20E896F6" w:rsidR="00736639" w:rsidRDefault="00736639">
      <w:pPr>
        <w:rPr>
          <w:szCs w:val="22"/>
        </w:rPr>
      </w:pPr>
    </w:p>
    <w:p w14:paraId="3FAC7B91" w14:textId="77777777" w:rsidR="00E77324" w:rsidRDefault="00E77324" w:rsidP="00E77324">
      <w:r>
        <w:t>2)</w:t>
      </w:r>
      <w:r>
        <w:tab/>
        <w:t>Scope of Eligible Instruments</w:t>
      </w:r>
    </w:p>
    <w:p w14:paraId="570D2E75" w14:textId="0016B5A6" w:rsidR="00E77324" w:rsidRDefault="00E77324" w:rsidP="00E77324">
      <w:r>
        <w:t xml:space="preserve">In order to ensure a consistent implementation across different types of </w:t>
      </w:r>
      <w:r w:rsidR="00930DAA">
        <w:t xml:space="preserve">bank </w:t>
      </w:r>
      <w:r w:rsidR="00BE03A2">
        <w:t>guarantees</w:t>
      </w:r>
      <w:r>
        <w:t xml:space="preserve"> recognised as eligible by CCP, the RTS should confirm the fundamental criteria that the eligible guarantee should fulfil: unconditionality, irrevocability and on first demand. The large majority of </w:t>
      </w:r>
      <w:r w:rsidR="00930DAA">
        <w:t xml:space="preserve">bank </w:t>
      </w:r>
      <w:r>
        <w:t>guarantee used to cover collateral requirements have these conditions in their standard documentation.</w:t>
      </w:r>
    </w:p>
    <w:p w14:paraId="2FBC34F8" w14:textId="6CCC307E" w:rsidR="00E77324" w:rsidRDefault="00E77324" w:rsidP="00E77324">
      <w:r>
        <w:t xml:space="preserve">As a general information we would like to highlight the established market practice in OTC Collateral Management as well as </w:t>
      </w:r>
      <w:r w:rsidR="00D15BDF">
        <w:t xml:space="preserve"> in certain </w:t>
      </w:r>
      <w:r w:rsidR="00675EBF">
        <w:t xml:space="preserve">third country </w:t>
      </w:r>
      <w:r w:rsidR="00D15BDF">
        <w:t>jurisdictions</w:t>
      </w:r>
      <w:r w:rsidR="00675EBF">
        <w:t>,</w:t>
      </w:r>
      <w:r w:rsidR="00D15BDF">
        <w:t xml:space="preserve"> such as in the US, </w:t>
      </w:r>
      <w:r>
        <w:t xml:space="preserve"> where uncollateralised bank guarantees are used</w:t>
      </w:r>
      <w:r w:rsidDel="00D15BDF">
        <w:t xml:space="preserve">, </w:t>
      </w:r>
      <w:r>
        <w:t>the instrument typically takes the form of a standby letter of credit</w:t>
      </w:r>
      <w:r w:rsidR="001236B7">
        <w:t>, including for the purpose of posting collateral for central clearing</w:t>
      </w:r>
      <w:r>
        <w:t xml:space="preserve">. We assume that any instrument meeting the conditions set out in EMIR Article 46, as further specified in the forthcoming RTS, will be </w:t>
      </w:r>
      <w:r w:rsidR="00EC76F7">
        <w:t>eligible.</w:t>
      </w:r>
    </w:p>
    <w:p w14:paraId="6248C83D" w14:textId="4F965D4F" w:rsidR="00E77324" w:rsidRDefault="00E77324" w:rsidP="00EC76F7">
      <w:r>
        <w:t xml:space="preserve">From a practical and risk management perspective, we believe that consideration should also be given to explicitly authorising non only EU but widely used international standards for commercial guarantees – such as Standby Letters of Credit (SBLCs) governed by ISP98. </w:t>
      </w:r>
      <w:r w:rsidR="00EC76F7" w:rsidRPr="00EC76F7">
        <w:rPr>
          <w:color w:val="1A1A1A"/>
        </w:rPr>
        <w:t>These widely accepted instruments are currently utilised in the EU on a daily basis, for instance, as eligible tools for managing OTC collateral.</w:t>
      </w:r>
    </w:p>
    <w:p w14:paraId="544622C6" w14:textId="77777777" w:rsidR="00E77324" w:rsidRDefault="00E77324" w:rsidP="00E77324">
      <w:r>
        <w:t>3)</w:t>
      </w:r>
      <w:r>
        <w:tab/>
        <w:t>Operational Callability</w:t>
      </w:r>
    </w:p>
    <w:p w14:paraId="21B0F580" w14:textId="0793E7C1" w:rsidR="00E77324" w:rsidRDefault="00E77324" w:rsidP="00E77324">
      <w:r>
        <w:t>We support to have fundamental principles of rules indicated in the RTS like the fact that the type of guarantee used should be unconditional, irrevocable and on first demand, ensuring that CCPs and their members can effectively manage risk.</w:t>
      </w:r>
    </w:p>
    <w:p w14:paraId="1CC6F4BC" w14:textId="77777777" w:rsidR="00E77324" w:rsidRDefault="00E77324" w:rsidP="00E77324">
      <w:r>
        <w:t>4)</w:t>
      </w:r>
      <w:r>
        <w:tab/>
        <w:t>Treatment of bank guarantees for the CM under prudential regulation:</w:t>
      </w:r>
    </w:p>
    <w:p w14:paraId="17A7A3D8" w14:textId="30FD7E87" w:rsidR="00E77324" w:rsidRDefault="00E77324" w:rsidP="00E77324">
      <w:r>
        <w:t xml:space="preserve">Another consideration which we recognise as </w:t>
      </w:r>
      <w:r w:rsidR="001F5C2F">
        <w:t>non-financial firms</w:t>
      </w:r>
      <w:r>
        <w:t xml:space="preserve"> and client of CM is the reluctance of certain banks to accept a certain level of bank guarantees as collateral to cover client exposures due to the restriction on the level of capital requirement set by prudential regulation (Credit Conversion Factor (CCF) under BASEL III and CRR). While this regulation and the treatment of capital requirement </w:t>
      </w:r>
      <w:r w:rsidR="00DE74BB">
        <w:t>do</w:t>
      </w:r>
      <w:r>
        <w:t xml:space="preserve"> not fall within ESMA’s remit, it nevertheless represents a material constraint for the acceptance of this form of collateral by EU clearing members. </w:t>
      </w:r>
    </w:p>
    <w:p w14:paraId="15455D41" w14:textId="4B6ABE46" w:rsidR="00E77324" w:rsidRDefault="00E77324" w:rsidP="00E77324">
      <w:r>
        <w:lastRenderedPageBreak/>
        <w:t>Under the current EU prudential framework, European banks are not allowed to use bank guarantees to offset their credit exposure under CRR. EBA confirmed in a Q&amp;A that bank guarantees are to be treated as unfunded credit protection (See EBA Q&amp;A 2015_</w:t>
      </w:r>
      <w:r w:rsidR="00DE74BB">
        <w:t>1917)</w:t>
      </w:r>
      <w:r>
        <w:t>. As a result of this, there is a capital cost of accepting guarantees as collateral.</w:t>
      </w:r>
    </w:p>
    <w:p w14:paraId="21173A8A" w14:textId="77777777" w:rsidR="00E77324" w:rsidRDefault="00E77324" w:rsidP="00E77324">
      <w:r>
        <w:t xml:space="preserve">We would therefore welcome a review of the prudential regulation in this respect via a dialogue between ESMA and EBA, considering amongst other aspect a link to the activity of the underlying clients for whom a bank guarantee is issued. </w:t>
      </w:r>
    </w:p>
    <w:permEnd w:id="1536499182"/>
    <w:p w14:paraId="3CE960DF" w14:textId="78A656CA" w:rsidR="00693907" w:rsidRDefault="00693907" w:rsidP="00693907">
      <w:r>
        <w:t>&lt;ESMA_QUESTION_</w:t>
      </w:r>
      <w:r w:rsidR="00863ECB">
        <w:t>COLL</w:t>
      </w:r>
      <w:r>
        <w:t>_5&gt;</w:t>
      </w:r>
    </w:p>
    <w:p w14:paraId="6036296B" w14:textId="77777777" w:rsidR="00693907" w:rsidRDefault="00693907" w:rsidP="00693907"/>
    <w:p w14:paraId="18DFE8FB" w14:textId="3C691446" w:rsidR="00693907" w:rsidRDefault="00EC4293" w:rsidP="00693907">
      <w:pPr>
        <w:pStyle w:val="Questionstyle"/>
      </w:pPr>
      <w:r w:rsidRPr="00EC4293">
        <w:t>Do</w:t>
      </w:r>
      <w:r w:rsidR="00AC379A">
        <w:t xml:space="preserve"> </w:t>
      </w:r>
      <w:r w:rsidR="00AC379A" w:rsidRPr="00AC379A">
        <w:t>you agree with the conditions proposed by ESMA? Please provide your views specifically for each condition (a), (b), (c) and (d).</w:t>
      </w:r>
    </w:p>
    <w:p w14:paraId="60F9A95E" w14:textId="24CFF6A7" w:rsidR="00693907" w:rsidRDefault="00693907" w:rsidP="00693907">
      <w:r>
        <w:t>&lt;ESMA_QUESTION_</w:t>
      </w:r>
      <w:r w:rsidR="00863ECB">
        <w:t>COLL</w:t>
      </w:r>
      <w:r>
        <w:t>_6&gt;</w:t>
      </w:r>
    </w:p>
    <w:p w14:paraId="019082B3" w14:textId="77777777" w:rsidR="008D3DD7" w:rsidRDefault="008D3DD7" w:rsidP="008D3DD7">
      <w:permStart w:id="1016208263" w:edGrp="everyone"/>
      <w:r>
        <w:t>(a)</w:t>
      </w:r>
      <w:r>
        <w:tab/>
        <w:t xml:space="preserve">We agree to the necessity of the client being clearly identified. </w:t>
      </w:r>
    </w:p>
    <w:p w14:paraId="1FF2BDCF" w14:textId="77777777" w:rsidR="008D3DD7" w:rsidRDefault="008D3DD7" w:rsidP="008D3DD7">
      <w:r>
        <w:t>(b)</w:t>
      </w:r>
      <w:r>
        <w:tab/>
        <w:t xml:space="preserve"> Beneficiary:</w:t>
      </w:r>
    </w:p>
    <w:p w14:paraId="3E686B31" w14:textId="33766A8D" w:rsidR="008D3DD7" w:rsidRDefault="008D3DD7" w:rsidP="008D3DD7">
      <w:r>
        <w:t>We do not agree</w:t>
      </w:r>
      <w:r w:rsidR="00AA3E02">
        <w:t xml:space="preserve"> that</w:t>
      </w:r>
      <w:r>
        <w:t xml:space="preserve"> </w:t>
      </w:r>
      <w:r w:rsidR="00DE74BB">
        <w:t>a</w:t>
      </w:r>
      <w:r>
        <w:t xml:space="preserve"> single beneficiary clause is feasible as it would not match with the </w:t>
      </w:r>
      <w:r w:rsidR="00DE74BB">
        <w:t>principal-to-principal</w:t>
      </w:r>
      <w:r>
        <w:t xml:space="preserve"> clearing system and would oversee the collateral to be collected by CM to cover their </w:t>
      </w:r>
      <w:r w:rsidR="00DD5E9E">
        <w:t>client’s</w:t>
      </w:r>
      <w:r>
        <w:t xml:space="preserve"> exposure (IM). Instead, we recommend </w:t>
      </w:r>
      <w:r w:rsidR="00DE74BB">
        <w:t>having</w:t>
      </w:r>
      <w:r>
        <w:t xml:space="preserve"> two beneficiaries (CCP and </w:t>
      </w:r>
      <w:r w:rsidR="006E2A52">
        <w:t>CM</w:t>
      </w:r>
      <w:r>
        <w:t>) respectively in first and second rank of the beneficiary structure for bank guarantees issued for NFC so that</w:t>
      </w:r>
      <w:r w:rsidR="00A010A1">
        <w:t>:</w:t>
      </w:r>
      <w:r>
        <w:t xml:space="preserve"> </w:t>
      </w:r>
    </w:p>
    <w:p w14:paraId="1F0DC232" w14:textId="4D8419DD" w:rsidR="00190012" w:rsidRDefault="008D3DD7" w:rsidP="00A91B6F">
      <w:pPr>
        <w:pStyle w:val="Listenabsatz"/>
        <w:numPr>
          <w:ilvl w:val="0"/>
          <w:numId w:val="39"/>
        </w:numPr>
      </w:pPr>
      <w:r>
        <w:t xml:space="preserve">CM are </w:t>
      </w:r>
      <w:r w:rsidR="00DD5E9E">
        <w:t>protected by</w:t>
      </w:r>
      <w:r>
        <w:t xml:space="preserve"> the guarantee in the case of a client default, under the premise that CCP release their first rank right of exercise on the guarantee as the ultimate beneficiary. </w:t>
      </w:r>
    </w:p>
    <w:p w14:paraId="5DA0BB01" w14:textId="2F8909F3" w:rsidR="008D3DD7" w:rsidRDefault="008D3DD7" w:rsidP="00A91B6F">
      <w:pPr>
        <w:pStyle w:val="Listenabsatz"/>
        <w:numPr>
          <w:ilvl w:val="0"/>
          <w:numId w:val="39"/>
        </w:numPr>
      </w:pPr>
      <w:r>
        <w:t xml:space="preserve">the </w:t>
      </w:r>
      <w:r w:rsidR="006E2A52">
        <w:t xml:space="preserve">operational </w:t>
      </w:r>
      <w:r>
        <w:t xml:space="preserve">effort and </w:t>
      </w:r>
      <w:r w:rsidR="006E2A52">
        <w:t>resulting</w:t>
      </w:r>
      <w:r w:rsidR="00773567">
        <w:t xml:space="preserve"> </w:t>
      </w:r>
      <w:r>
        <w:t>costs of transformation of collateral for CM are significantly</w:t>
      </w:r>
      <w:r w:rsidR="001A05CB">
        <w:t xml:space="preserve"> reduced</w:t>
      </w:r>
      <w:r>
        <w:t xml:space="preserve"> as the bank </w:t>
      </w:r>
      <w:r w:rsidR="00015E9D">
        <w:t>guarantee</w:t>
      </w:r>
      <w:r>
        <w:t xml:space="preserve"> which is issued only once cover</w:t>
      </w:r>
      <w:r w:rsidR="00F60F17">
        <w:t>s</w:t>
      </w:r>
      <w:r>
        <w:t xml:space="preserve"> the two levels of default scenarios (CM or CM Client). Certain coordination efforts may be necessary between CCP and CM with regards to available concentration risk conditions and limits defined by CCP for authorized issuing banks. This model exists in other jurisdictions like US and is proven to function effectively.</w:t>
      </w:r>
    </w:p>
    <w:p w14:paraId="1094551F" w14:textId="77777777" w:rsidR="008D3DD7" w:rsidRDefault="008D3DD7" w:rsidP="008D3DD7">
      <w:r>
        <w:t xml:space="preserve">We note that the draft RTS includes a possibility for these guarantees to “include a transfer clause, allowing under conditions to be defined by the CCP, the transfer of the beneficiary from the CCP to the clearing member of the client”. We therefore suggest </w:t>
      </w:r>
      <w:r w:rsidR="00DD5E9E">
        <w:t>amending</w:t>
      </w:r>
      <w:r>
        <w:t xml:space="preserve"> the wording around this transfer clause, to make it a requirement for guarantees to include such a transfer clause, so that effectively, the guarantees </w:t>
      </w:r>
      <w:r w:rsidR="00DC56E3">
        <w:t>have</w:t>
      </w:r>
      <w:r>
        <w:t xml:space="preserve"> </w:t>
      </w:r>
      <w:r w:rsidR="00A010A1">
        <w:t>two beneficiaries</w:t>
      </w:r>
      <w:r>
        <w:t>, the CCP and the clearing member.</w:t>
      </w:r>
    </w:p>
    <w:p w14:paraId="2A34BF53" w14:textId="77777777" w:rsidR="008D3DD7" w:rsidRDefault="008D3DD7" w:rsidP="008D3DD7">
      <w:r>
        <w:t>(c)</w:t>
      </w:r>
      <w:r>
        <w:tab/>
        <w:t xml:space="preserve">Segregation of accounts: </w:t>
      </w:r>
    </w:p>
    <w:p w14:paraId="449C89C6" w14:textId="3E48FD2A" w:rsidR="008D3DD7" w:rsidRDefault="008D3DD7" w:rsidP="008D3DD7">
      <w:r>
        <w:lastRenderedPageBreak/>
        <w:t xml:space="preserve">As </w:t>
      </w:r>
      <w:r w:rsidR="00DC56E3">
        <w:t>an</w:t>
      </w:r>
      <w:r>
        <w:t xml:space="preserve"> NFC and client of CM we appreciate ESMA proposal to individualise the segregation of client collateral but not think that a mandatory allocation of collateral under an individual segregated account (ISA) is necessary and the proposal is too prescriptive. </w:t>
      </w:r>
      <w:r>
        <w:tab/>
      </w:r>
    </w:p>
    <w:p w14:paraId="445E5ABA" w14:textId="564E8DE0" w:rsidR="008D3DD7" w:rsidRDefault="004B4681" w:rsidP="008D3DD7">
      <w:r>
        <w:t>Bank g</w:t>
      </w:r>
      <w:r w:rsidR="008D3DD7">
        <w:t xml:space="preserve">uarantees can be allocated to CCP on omnibus account which offer fully accessibility and flexibility for CCP to cover potential CM defaults. In the case NFC as CM clients wish a higher segregation of </w:t>
      </w:r>
      <w:r w:rsidR="00BE03A2">
        <w:t>collaterals</w:t>
      </w:r>
      <w:r w:rsidR="008D3DD7">
        <w:t xml:space="preserve">, then they can always opt for an ISA. </w:t>
      </w:r>
    </w:p>
    <w:p w14:paraId="122F20EE" w14:textId="77777777" w:rsidR="008D3DD7" w:rsidRDefault="008D3DD7" w:rsidP="008D3DD7">
      <w:r>
        <w:t>(d)</w:t>
      </w:r>
      <w:r>
        <w:tab/>
        <w:t xml:space="preserve">Limitations on eligible guarantors: </w:t>
      </w:r>
    </w:p>
    <w:p w14:paraId="64E3603A" w14:textId="2777CD1C" w:rsidR="00693907" w:rsidRDefault="008D3DD7" w:rsidP="008D3DD7">
      <w:r>
        <w:t xml:space="preserve">We agree to the condition of limitation to issuing bank with clear segregation from clearing bank and related </w:t>
      </w:r>
      <w:r w:rsidR="00DD5E9E">
        <w:t>entities.</w:t>
      </w:r>
    </w:p>
    <w:permEnd w:id="1016208263"/>
    <w:p w14:paraId="01EF6C30" w14:textId="7CB1BA35" w:rsidR="00693907" w:rsidRDefault="00693907" w:rsidP="00693907">
      <w:r>
        <w:t>&lt;ESMA_QUESTION_</w:t>
      </w:r>
      <w:r w:rsidR="00863ECB">
        <w:t>COLL</w:t>
      </w:r>
      <w:r>
        <w:t>_6&gt;</w:t>
      </w:r>
    </w:p>
    <w:p w14:paraId="59161C1E" w14:textId="77777777" w:rsidR="00693907" w:rsidRDefault="00693907" w:rsidP="00693907"/>
    <w:p w14:paraId="40418AF6" w14:textId="7D335F7B" w:rsidR="00693907" w:rsidRDefault="00930833" w:rsidP="00693907">
      <w:pPr>
        <w:pStyle w:val="Questionstyle"/>
      </w:pPr>
      <w:r w:rsidRPr="00930833">
        <w:t>In relation to condition (c), do you agree with ESMA proposal? If not, is it in your opinion legally and practically feasible that guarantees are posted to an omnibus account?</w:t>
      </w:r>
      <w:r w:rsidR="00693907" w:rsidRPr="00F31533">
        <w:t xml:space="preserve"> </w:t>
      </w:r>
    </w:p>
    <w:p w14:paraId="2D7CC49A" w14:textId="5D077D19" w:rsidR="00693907" w:rsidRDefault="00693907" w:rsidP="00693907">
      <w:r>
        <w:t>&lt;ESMA_QUESTION_</w:t>
      </w:r>
      <w:r w:rsidR="00EE246B">
        <w:t>COLL</w:t>
      </w:r>
      <w:r>
        <w:t>_7&gt;</w:t>
      </w:r>
    </w:p>
    <w:p w14:paraId="5619D049" w14:textId="3A046F0F" w:rsidR="00FB2527" w:rsidRDefault="00083FD9" w:rsidP="00083FD9">
      <w:permStart w:id="90601763" w:edGrp="everyone"/>
      <w:r>
        <w:t xml:space="preserve">We believe that </w:t>
      </w:r>
      <w:r w:rsidR="0009771F">
        <w:t xml:space="preserve">bank </w:t>
      </w:r>
      <w:r>
        <w:t>guarantees are practically feasible on omnibus accounts and this is proven in other jurisdiction</w:t>
      </w:r>
      <w:r w:rsidR="004D2836">
        <w:t>,</w:t>
      </w:r>
      <w:r>
        <w:t xml:space="preserve"> i.e. US where Omnibus Account on gross basis is the only segregation model. </w:t>
      </w:r>
    </w:p>
    <w:p w14:paraId="30EE55FF" w14:textId="73FD43AA" w:rsidR="00083FD9" w:rsidRDefault="00083FD9" w:rsidP="00083FD9">
      <w:r>
        <w:t>The practicability of the implementation on omnibus accounts is supported by the following aspects:</w:t>
      </w:r>
    </w:p>
    <w:p w14:paraId="43D7C9D2" w14:textId="4F9251E3" w:rsidR="00083FD9" w:rsidRDefault="00083FD9" w:rsidP="00A91B6F">
      <w:pPr>
        <w:pStyle w:val="Listenabsatz"/>
        <w:numPr>
          <w:ilvl w:val="0"/>
          <w:numId w:val="40"/>
        </w:numPr>
      </w:pPr>
      <w:r>
        <w:t xml:space="preserve">Like </w:t>
      </w:r>
      <w:r w:rsidR="00FB2527">
        <w:t xml:space="preserve">for any </w:t>
      </w:r>
      <w:r>
        <w:t xml:space="preserve">other form of </w:t>
      </w:r>
      <w:r w:rsidR="00FB2527">
        <w:t xml:space="preserve">eligible </w:t>
      </w:r>
      <w:r w:rsidR="00DD5E9E">
        <w:t>collateral,</w:t>
      </w:r>
      <w:r>
        <w:t xml:space="preserve"> the guarantee needs to be </w:t>
      </w:r>
      <w:r w:rsidR="0014022D">
        <w:t xml:space="preserve">highly </w:t>
      </w:r>
      <w:r>
        <w:t xml:space="preserve">accessible by CCP to cover default of CM which is </w:t>
      </w:r>
      <w:r w:rsidR="0014022D">
        <w:t xml:space="preserve">only </w:t>
      </w:r>
      <w:r w:rsidR="004D2836">
        <w:t xml:space="preserve">possible when </w:t>
      </w:r>
      <w:r w:rsidR="00336062">
        <w:t>the guarantee is posted on a</w:t>
      </w:r>
      <w:r w:rsidR="005C4E8F">
        <w:t>n</w:t>
      </w:r>
      <w:r>
        <w:t xml:space="preserve"> omnibus account. In that case the </w:t>
      </w:r>
      <w:r w:rsidR="00DD5E9E">
        <w:t>identification of</w:t>
      </w:r>
      <w:r>
        <w:t xml:space="preserve"> the specific client associated with the guarantee is less relevant as this guarantee needs to be accessible to the CCP like any other form of collateral posted on that omnibus account to cover a CM default. </w:t>
      </w:r>
    </w:p>
    <w:p w14:paraId="23E51F80" w14:textId="2E59ADC7" w:rsidR="00241AE4" w:rsidRDefault="00083FD9" w:rsidP="00A91B6F">
      <w:pPr>
        <w:pStyle w:val="Listenabsatz"/>
        <w:numPr>
          <w:ilvl w:val="0"/>
          <w:numId w:val="40"/>
        </w:numPr>
      </w:pPr>
      <w:r>
        <w:t xml:space="preserve">In the case a NFC wishes to increase the level of segregation of collateral it can opt for an </w:t>
      </w:r>
      <w:r w:rsidR="003A296E">
        <w:t>Individual Segregated Account</w:t>
      </w:r>
      <w:r>
        <w:t xml:space="preserve">, in which </w:t>
      </w:r>
      <w:r w:rsidR="00DD5E9E">
        <w:t>case the</w:t>
      </w:r>
      <w:r>
        <w:t xml:space="preserve"> identification of the client will be given by the individual segregation process and will be indicated in the guarantee document.</w:t>
      </w:r>
    </w:p>
    <w:p w14:paraId="268F1B7E" w14:textId="1B5285A3" w:rsidR="00693907" w:rsidRDefault="00083FD9" w:rsidP="00A91B6F">
      <w:pPr>
        <w:pStyle w:val="Listenabsatz"/>
        <w:numPr>
          <w:ilvl w:val="0"/>
          <w:numId w:val="40"/>
        </w:numPr>
      </w:pPr>
      <w:r>
        <w:t xml:space="preserve">The access to clearing through an omnibus account provides a more economical option to clear for end-clients, </w:t>
      </w:r>
      <w:r w:rsidR="00301386">
        <w:t>such as</w:t>
      </w:r>
      <w:r>
        <w:t xml:space="preserve"> non-financial companies. Restricting the possibility to use omnibus account would significantly disincentivize voluntary clearing and causes higher level of unnecessary efforts and cost of implementation for CCP</w:t>
      </w:r>
      <w:r w:rsidR="009F7410">
        <w:t xml:space="preserve"> and</w:t>
      </w:r>
      <w:r>
        <w:t xml:space="preserve"> CM</w:t>
      </w:r>
      <w:r w:rsidR="009F7410">
        <w:t>, ultimately</w:t>
      </w:r>
      <w:r>
        <w:t xml:space="preserve"> with cost impact on clients too. Using omnibus account is also standard practice in the context of exchange-traded derivatives.</w:t>
      </w:r>
    </w:p>
    <w:permEnd w:id="90601763"/>
    <w:p w14:paraId="5B1E788E" w14:textId="02745B68" w:rsidR="00693907" w:rsidRDefault="00693907" w:rsidP="00693907">
      <w:r>
        <w:t>&lt;ESMA_QUESTION_</w:t>
      </w:r>
      <w:r w:rsidR="00EE246B">
        <w:t>COLL</w:t>
      </w:r>
      <w:r>
        <w:t>_7&gt;</w:t>
      </w:r>
    </w:p>
    <w:p w14:paraId="3B03B9E0" w14:textId="77777777" w:rsidR="00693907" w:rsidRDefault="00693907" w:rsidP="00693907"/>
    <w:p w14:paraId="18FE9B7F" w14:textId="11DAFFAC" w:rsidR="00693907" w:rsidRDefault="0038241C" w:rsidP="00693907">
      <w:pPr>
        <w:pStyle w:val="Questionstyle"/>
      </w:pPr>
      <w:r w:rsidRPr="0038241C">
        <w:t>Is there any other condition you consider would be necessary in relation to the extension of the use of guarantees to guarantee non-financial clients? E.g. should it be mandated that CCPs have in place a mechanism to identify the default of a non-financial client?</w:t>
      </w:r>
      <w:r w:rsidR="00693907">
        <w:t xml:space="preserve"> </w:t>
      </w:r>
    </w:p>
    <w:p w14:paraId="7AA017CC" w14:textId="7608FAED" w:rsidR="00693907" w:rsidRDefault="00693907" w:rsidP="00693907">
      <w:r>
        <w:t>&lt;ESMA_QUESTION_</w:t>
      </w:r>
      <w:r w:rsidR="004C12DB">
        <w:t>COLL</w:t>
      </w:r>
      <w:r>
        <w:t>_8&gt;</w:t>
      </w:r>
    </w:p>
    <w:p w14:paraId="797F690C" w14:textId="33A5D947" w:rsidR="00235429" w:rsidRDefault="00235429" w:rsidP="00235429">
      <w:permStart w:id="689849779" w:edGrp="everyone"/>
      <w:r>
        <w:t>In our opinion</w:t>
      </w:r>
      <w:r w:rsidR="004D3D0F">
        <w:t>,</w:t>
      </w:r>
      <w:r>
        <w:t xml:space="preserve"> there are no additional conditions necessary in relation to the extension on the use of </w:t>
      </w:r>
      <w:r w:rsidR="0009771F">
        <w:t xml:space="preserve">bank </w:t>
      </w:r>
      <w:r>
        <w:t xml:space="preserve">guarantees to guarantee non-financial clients. </w:t>
      </w:r>
    </w:p>
    <w:p w14:paraId="06B14124" w14:textId="32B6F42C" w:rsidR="00235429" w:rsidRDefault="00235429" w:rsidP="00235429">
      <w:r>
        <w:t>Because the guarantee can be used unconditionally we do not see any need for CCPs to have a mechanism to identify the default of a non-financial client, especially as in a client default, the CCP is usually not involved in the close-out of the client’s positions.</w:t>
      </w:r>
    </w:p>
    <w:permEnd w:id="689849779"/>
    <w:p w14:paraId="11DE980E" w14:textId="6EC495BC" w:rsidR="00693907" w:rsidRDefault="00693907" w:rsidP="00235429">
      <w:r>
        <w:t>&lt;ESMA_QUESTION_</w:t>
      </w:r>
      <w:r w:rsidR="004C12DB">
        <w:t>COLL</w:t>
      </w:r>
      <w:r>
        <w:t>_8&gt;</w:t>
      </w:r>
    </w:p>
    <w:p w14:paraId="73AF06AE" w14:textId="77777777" w:rsidR="00970F12" w:rsidRDefault="00970F12" w:rsidP="00693907"/>
    <w:p w14:paraId="5D69E955" w14:textId="104F9CA1" w:rsidR="00970F12" w:rsidRDefault="00970F12" w:rsidP="00970F12">
      <w:pPr>
        <w:pStyle w:val="Questionstyle"/>
      </w:pPr>
      <w:r w:rsidRPr="004344B8">
        <w:t>Do</w:t>
      </w:r>
      <w:r>
        <w:t xml:space="preserve"> </w:t>
      </w:r>
      <w:r w:rsidR="00EA1DD0" w:rsidRPr="00EA1DD0">
        <w:t>you agree with ESMA’s proposal to require that there are a credit rating and reliable financial data on the guarantor available for the CCP to use in its internal assessment?</w:t>
      </w:r>
    </w:p>
    <w:p w14:paraId="432959FD" w14:textId="5BAAE542" w:rsidR="00970F12" w:rsidRPr="00A91B6F" w:rsidRDefault="00970F12" w:rsidP="00970F12">
      <w:pPr>
        <w:rPr>
          <w:lang w:val="it-IT"/>
        </w:rPr>
      </w:pPr>
      <w:r w:rsidRPr="00A91B6F">
        <w:rPr>
          <w:lang w:val="it-IT"/>
        </w:rPr>
        <w:t>&lt;ESMA_QUESTION_</w:t>
      </w:r>
      <w:r w:rsidR="008E4202" w:rsidRPr="00A91B6F">
        <w:rPr>
          <w:lang w:val="it-IT"/>
        </w:rPr>
        <w:t>COLL</w:t>
      </w:r>
      <w:r w:rsidRPr="00A91B6F">
        <w:rPr>
          <w:lang w:val="it-IT"/>
        </w:rPr>
        <w:t>_</w:t>
      </w:r>
      <w:r w:rsidR="008E4202" w:rsidRPr="00A91B6F">
        <w:rPr>
          <w:lang w:val="it-IT"/>
        </w:rPr>
        <w:t>9</w:t>
      </w:r>
      <w:r w:rsidRPr="00A91B6F">
        <w:rPr>
          <w:lang w:val="it-IT"/>
        </w:rPr>
        <w:t>&gt;</w:t>
      </w:r>
    </w:p>
    <w:p w14:paraId="0D97FB81" w14:textId="77777777" w:rsidR="003C11F3" w:rsidRPr="00A91B6F" w:rsidRDefault="003C11F3" w:rsidP="003C11F3">
      <w:pPr>
        <w:rPr>
          <w:lang w:val="it-IT"/>
        </w:rPr>
      </w:pPr>
      <w:permStart w:id="1211653911" w:edGrp="everyone"/>
      <w:r w:rsidRPr="00A91B6F">
        <w:rPr>
          <w:lang w:val="it-IT"/>
        </w:rPr>
        <w:t>No comment</w:t>
      </w:r>
    </w:p>
    <w:permEnd w:id="1211653911"/>
    <w:p w14:paraId="2FB2642C" w14:textId="7CBD84AE" w:rsidR="00970F12" w:rsidRPr="00A91B6F" w:rsidRDefault="00970F12" w:rsidP="003C11F3">
      <w:pPr>
        <w:rPr>
          <w:lang w:val="it-IT"/>
        </w:rPr>
      </w:pPr>
      <w:r w:rsidRPr="00A91B6F">
        <w:rPr>
          <w:lang w:val="it-IT"/>
        </w:rPr>
        <w:t>&lt;ESMA_QUESTION_</w:t>
      </w:r>
      <w:r w:rsidR="008E4202" w:rsidRPr="00A91B6F">
        <w:rPr>
          <w:lang w:val="it-IT"/>
        </w:rPr>
        <w:t>COLL</w:t>
      </w:r>
      <w:r w:rsidRPr="00A91B6F">
        <w:rPr>
          <w:lang w:val="it-IT"/>
        </w:rPr>
        <w:t>_</w:t>
      </w:r>
      <w:r w:rsidR="008E4202" w:rsidRPr="00A91B6F">
        <w:rPr>
          <w:lang w:val="it-IT"/>
        </w:rPr>
        <w:t>9</w:t>
      </w:r>
      <w:r w:rsidRPr="00A91B6F">
        <w:rPr>
          <w:lang w:val="it-IT"/>
        </w:rPr>
        <w:t>&gt;</w:t>
      </w:r>
    </w:p>
    <w:p w14:paraId="47C1564C" w14:textId="77777777" w:rsidR="00970F12" w:rsidRPr="00A91B6F" w:rsidRDefault="00970F12" w:rsidP="00693907">
      <w:pPr>
        <w:rPr>
          <w:lang w:val="it-IT"/>
        </w:rPr>
      </w:pPr>
    </w:p>
    <w:p w14:paraId="2964373E" w14:textId="6323EC60" w:rsidR="005E4A48" w:rsidRDefault="005E4A48" w:rsidP="005E4A48">
      <w:pPr>
        <w:pStyle w:val="Questionstyle"/>
      </w:pPr>
      <w:r w:rsidRPr="004344B8">
        <w:t>Do</w:t>
      </w:r>
      <w:r w:rsidR="00E77951">
        <w:t xml:space="preserve"> </w:t>
      </w:r>
      <w:r w:rsidR="003A00A8" w:rsidRPr="003A00A8">
        <w:t>you consider that the direct access of a public guarantor to real-time gross settlement systems such as T2 should be a requirement for public guarantors? Please provide evidence or reasoning to support your response.</w:t>
      </w:r>
    </w:p>
    <w:p w14:paraId="04A80332" w14:textId="40679483" w:rsidR="005E4A48" w:rsidRDefault="005E4A48" w:rsidP="005E4A48">
      <w:r>
        <w:t>&lt;ESMA_QUESTION_</w:t>
      </w:r>
      <w:r w:rsidR="0037419B">
        <w:t>COLL</w:t>
      </w:r>
      <w:r>
        <w:t>_</w:t>
      </w:r>
      <w:r w:rsidR="0037419B">
        <w:t>10</w:t>
      </w:r>
      <w:r>
        <w:t>&gt;</w:t>
      </w:r>
    </w:p>
    <w:p w14:paraId="0910243D" w14:textId="77777777" w:rsidR="003C11F3" w:rsidRDefault="003C11F3" w:rsidP="003C11F3">
      <w:permStart w:id="1911907807" w:edGrp="everyone"/>
      <w:r w:rsidRPr="003C11F3">
        <w:t>No comment</w:t>
      </w:r>
    </w:p>
    <w:permEnd w:id="1911907807"/>
    <w:p w14:paraId="5CF44F01" w14:textId="5CA565F5" w:rsidR="005E4A48" w:rsidRDefault="005E4A48" w:rsidP="005E4A48">
      <w:r>
        <w:t>&lt;ESMA_QUESTION_</w:t>
      </w:r>
      <w:r w:rsidR="0037419B">
        <w:t>COLL</w:t>
      </w:r>
      <w:r>
        <w:t>_</w:t>
      </w:r>
      <w:r w:rsidR="0037419B">
        <w:t>10</w:t>
      </w:r>
      <w:r>
        <w:t>&gt;</w:t>
      </w:r>
    </w:p>
    <w:p w14:paraId="10E37C90" w14:textId="77777777" w:rsidR="005E4A48" w:rsidRDefault="005E4A48" w:rsidP="00693907"/>
    <w:p w14:paraId="71E277F2" w14:textId="4AE639BC" w:rsidR="005E4A48" w:rsidRDefault="005E4A48" w:rsidP="005E4A48">
      <w:pPr>
        <w:pStyle w:val="Questionstyle"/>
      </w:pPr>
      <w:r w:rsidRPr="004344B8">
        <w:lastRenderedPageBreak/>
        <w:t>Do</w:t>
      </w:r>
      <w:r>
        <w:t xml:space="preserve"> </w:t>
      </w:r>
      <w:r w:rsidR="00502F7C" w:rsidRPr="00502F7C">
        <w:t>you agree that public guarantees should be accompanied by a legal opinion confirming the effective representation of the guarantor, the validity of the guarantee and its enforceability?</w:t>
      </w:r>
    </w:p>
    <w:p w14:paraId="182071EF" w14:textId="6E70C2AB" w:rsidR="005E4A48" w:rsidRPr="00A91B6F" w:rsidRDefault="005E4A48" w:rsidP="005E4A48">
      <w:pPr>
        <w:rPr>
          <w:lang w:val="it-IT"/>
        </w:rPr>
      </w:pPr>
      <w:r w:rsidRPr="00A91B6F">
        <w:rPr>
          <w:lang w:val="it-IT"/>
        </w:rPr>
        <w:t>&lt;ESMA_QUESTION_</w:t>
      </w:r>
      <w:r w:rsidR="004641DE" w:rsidRPr="00A91B6F">
        <w:rPr>
          <w:lang w:val="it-IT"/>
        </w:rPr>
        <w:t>COLL</w:t>
      </w:r>
      <w:r w:rsidRPr="00A91B6F">
        <w:rPr>
          <w:lang w:val="it-IT"/>
        </w:rPr>
        <w:t>_</w:t>
      </w:r>
      <w:r w:rsidR="004641DE" w:rsidRPr="00A91B6F">
        <w:rPr>
          <w:lang w:val="it-IT"/>
        </w:rPr>
        <w:t>11</w:t>
      </w:r>
      <w:r w:rsidRPr="00A91B6F">
        <w:rPr>
          <w:lang w:val="it-IT"/>
        </w:rPr>
        <w:t>&gt;</w:t>
      </w:r>
    </w:p>
    <w:p w14:paraId="118F0E35" w14:textId="77777777" w:rsidR="00640A46" w:rsidRPr="00A91B6F" w:rsidRDefault="00640A46" w:rsidP="00640A46">
      <w:pPr>
        <w:rPr>
          <w:lang w:val="it-IT"/>
        </w:rPr>
      </w:pPr>
      <w:permStart w:id="1813731189" w:edGrp="everyone"/>
      <w:r w:rsidRPr="00A91B6F">
        <w:rPr>
          <w:lang w:val="it-IT"/>
        </w:rPr>
        <w:t>No comment</w:t>
      </w:r>
    </w:p>
    <w:permEnd w:id="1813731189"/>
    <w:p w14:paraId="622D948A" w14:textId="50AF4799" w:rsidR="005E4A48" w:rsidRPr="00A91B6F" w:rsidRDefault="005E4A48" w:rsidP="005E4A48">
      <w:pPr>
        <w:rPr>
          <w:lang w:val="it-IT"/>
        </w:rPr>
      </w:pPr>
      <w:r w:rsidRPr="00A91B6F">
        <w:rPr>
          <w:lang w:val="it-IT"/>
        </w:rPr>
        <w:t>&lt;ESMA_QUESTION_</w:t>
      </w:r>
      <w:r w:rsidR="004641DE" w:rsidRPr="00A91B6F">
        <w:rPr>
          <w:lang w:val="it-IT"/>
        </w:rPr>
        <w:t>COLL</w:t>
      </w:r>
      <w:r w:rsidRPr="00A91B6F">
        <w:rPr>
          <w:lang w:val="it-IT"/>
        </w:rPr>
        <w:t>_</w:t>
      </w:r>
      <w:r w:rsidR="004641DE" w:rsidRPr="00A91B6F">
        <w:rPr>
          <w:lang w:val="it-IT"/>
        </w:rPr>
        <w:t>11</w:t>
      </w:r>
      <w:r w:rsidRPr="00A91B6F">
        <w:rPr>
          <w:lang w:val="it-IT"/>
        </w:rPr>
        <w:t>&gt;</w:t>
      </w:r>
    </w:p>
    <w:p w14:paraId="281801E2" w14:textId="77777777" w:rsidR="005E4A48" w:rsidRPr="00A91B6F" w:rsidRDefault="005E4A48" w:rsidP="00693907">
      <w:pPr>
        <w:rPr>
          <w:lang w:val="it-IT"/>
        </w:rPr>
      </w:pPr>
    </w:p>
    <w:p w14:paraId="1922BA8F" w14:textId="0E442475" w:rsidR="005E4A48" w:rsidRDefault="005E4A48" w:rsidP="005E4A48">
      <w:pPr>
        <w:pStyle w:val="Questionstyle"/>
      </w:pPr>
      <w:r w:rsidRPr="004344B8">
        <w:t xml:space="preserve">Do </w:t>
      </w:r>
      <w:r w:rsidR="004B3CF5" w:rsidRPr="004B3CF5">
        <w:t>you agree that the conditions for commercial bank guarantees should explicitly foresee that the guarantor is a credit institution as defined in CRR?</w:t>
      </w:r>
    </w:p>
    <w:p w14:paraId="645BB6CB" w14:textId="03D6F764" w:rsidR="005E4A48" w:rsidRDefault="005E4A48" w:rsidP="005E4A48">
      <w:r>
        <w:t>&lt;ESMA_QUESTION_</w:t>
      </w:r>
      <w:r w:rsidR="0070781C">
        <w:t>COLL</w:t>
      </w:r>
      <w:r>
        <w:t>_</w:t>
      </w:r>
      <w:r w:rsidR="0070781C">
        <w:t>12</w:t>
      </w:r>
      <w:r>
        <w:t>&gt;</w:t>
      </w:r>
    </w:p>
    <w:p w14:paraId="2D808874" w14:textId="5C7E9BDF" w:rsidR="005E4A48" w:rsidRDefault="00E42810" w:rsidP="005E4A48">
      <w:permStart w:id="184505729" w:edGrp="everyone"/>
      <w:r w:rsidRPr="00E42810">
        <w:t>Yes, we agree that eligible guarantors should be CRR regulated credit institutions as established in other areas for the usage of commercial bank guarantees. This would also avoid introducing risks from insurers or non-bank entities without equivalent prudential regulation.</w:t>
      </w:r>
    </w:p>
    <w:permEnd w:id="184505729"/>
    <w:p w14:paraId="36FF8389" w14:textId="245D9198" w:rsidR="005E4A48" w:rsidRDefault="005E4A48" w:rsidP="005E4A48">
      <w:r>
        <w:t>&lt;ESMA_QUESTION_</w:t>
      </w:r>
      <w:r w:rsidR="0070781C">
        <w:t>COLL</w:t>
      </w:r>
      <w:r>
        <w:t>_</w:t>
      </w:r>
      <w:r w:rsidR="0070781C">
        <w:t>12</w:t>
      </w:r>
      <w:r>
        <w:t>&gt;</w:t>
      </w:r>
    </w:p>
    <w:p w14:paraId="1D796774" w14:textId="77777777" w:rsidR="005E4A48" w:rsidRDefault="005E4A48" w:rsidP="00693907"/>
    <w:p w14:paraId="3F18CDD5" w14:textId="07197B4B" w:rsidR="005E4A48" w:rsidRDefault="005E4A48" w:rsidP="005E4A48">
      <w:pPr>
        <w:pStyle w:val="Questionstyle"/>
      </w:pPr>
      <w:r w:rsidRPr="004344B8">
        <w:t xml:space="preserve">Do </w:t>
      </w:r>
      <w:r w:rsidR="00AC7E2D" w:rsidRPr="00AC7E2D">
        <w:t>you agree that the possibility for CCP to accept uncollateralised bank guarantees should be specified in Section two of Annex I of RTS 153/2013?</w:t>
      </w:r>
    </w:p>
    <w:p w14:paraId="359D42A4" w14:textId="5A277687" w:rsidR="005E4A48" w:rsidRDefault="005E4A48" w:rsidP="005E4A48">
      <w:r>
        <w:t>&lt;ESMA_QUESTION_</w:t>
      </w:r>
      <w:r w:rsidR="003618E4">
        <w:t>COLL</w:t>
      </w:r>
      <w:r>
        <w:t>_</w:t>
      </w:r>
      <w:r w:rsidR="003618E4">
        <w:t>13</w:t>
      </w:r>
      <w:r>
        <w:t>&gt;</w:t>
      </w:r>
    </w:p>
    <w:p w14:paraId="6D125462" w14:textId="7880F77E" w:rsidR="005E4A48" w:rsidRDefault="00DD3ABF" w:rsidP="00DD3ABF">
      <w:permStart w:id="819362067" w:edGrp="everyone"/>
      <w:r>
        <w:rPr>
          <w:color w:val="1A1A1A"/>
        </w:rPr>
        <w:t>Yes, w</w:t>
      </w:r>
      <w:r w:rsidRPr="00DD3ABF">
        <w:rPr>
          <w:color w:val="1A1A1A"/>
        </w:rPr>
        <w:t>e believe it is crucial that Section two of Annex I in RTS 153/2013 explicitly states that CCPs are permitted to accept uncollateralised bank guarantees.</w:t>
      </w:r>
      <w:r>
        <w:rPr>
          <w:color w:val="1A1A1A"/>
        </w:rPr>
        <w:t xml:space="preserve"> </w:t>
      </w:r>
      <w:r w:rsidR="002366E2" w:rsidRPr="002366E2">
        <w:t>This is fully in line with EMIR Article 46, as modified by EMIR 3, that explicitly sets out that a CCP “may specify that it can accept fully uncollateralized public bank guarantees or commercial bank guarantees”.</w:t>
      </w:r>
    </w:p>
    <w:permEnd w:id="819362067"/>
    <w:p w14:paraId="733C2664" w14:textId="49DF325F" w:rsidR="005E4A48" w:rsidRDefault="005E4A48" w:rsidP="005E4A48">
      <w:r>
        <w:t>&lt;ESMA_QUESTION_</w:t>
      </w:r>
      <w:r w:rsidR="0070781C">
        <w:t>COLL</w:t>
      </w:r>
      <w:r>
        <w:t>_</w:t>
      </w:r>
      <w:r w:rsidR="0070781C">
        <w:t>13</w:t>
      </w:r>
      <w:r>
        <w:t>&gt;</w:t>
      </w:r>
    </w:p>
    <w:p w14:paraId="7AC8814A" w14:textId="77777777" w:rsidR="005E4A48" w:rsidRDefault="005E4A48" w:rsidP="00693907"/>
    <w:p w14:paraId="29F2BAAB" w14:textId="173468ED" w:rsidR="005E4A48" w:rsidRDefault="005E4A48" w:rsidP="005E4A48">
      <w:pPr>
        <w:pStyle w:val="Questionstyle"/>
      </w:pPr>
      <w:r w:rsidRPr="004344B8">
        <w:t xml:space="preserve">Do </w:t>
      </w:r>
      <w:r w:rsidR="002A08CC" w:rsidRPr="002A08CC">
        <w:t>you agree with ESMA that the conditions applicable to commercial bank guarantees should also be applicable to public bank guarantees? Please specify in your answer whether any addition condition should be considered.</w:t>
      </w:r>
    </w:p>
    <w:p w14:paraId="5FEFF315" w14:textId="077F0047" w:rsidR="005E4A48" w:rsidRPr="00A91B6F" w:rsidRDefault="005E4A48" w:rsidP="005E4A48">
      <w:pPr>
        <w:rPr>
          <w:lang w:val="it-IT"/>
        </w:rPr>
      </w:pPr>
      <w:r w:rsidRPr="00A91B6F">
        <w:rPr>
          <w:lang w:val="it-IT"/>
        </w:rPr>
        <w:t>&lt;ESMA_QUESTION_</w:t>
      </w:r>
      <w:r w:rsidR="00313B2A" w:rsidRPr="00A91B6F">
        <w:rPr>
          <w:lang w:val="it-IT"/>
        </w:rPr>
        <w:t>COLL</w:t>
      </w:r>
      <w:r w:rsidRPr="00A91B6F">
        <w:rPr>
          <w:lang w:val="it-IT"/>
        </w:rPr>
        <w:t>_</w:t>
      </w:r>
      <w:r w:rsidR="00313B2A" w:rsidRPr="00A91B6F">
        <w:rPr>
          <w:lang w:val="it-IT"/>
        </w:rPr>
        <w:t>14</w:t>
      </w:r>
      <w:r w:rsidRPr="00A91B6F">
        <w:rPr>
          <w:lang w:val="it-IT"/>
        </w:rPr>
        <w:t>&gt;</w:t>
      </w:r>
    </w:p>
    <w:p w14:paraId="7FECB151" w14:textId="77777777" w:rsidR="00E03FFB" w:rsidRPr="00A91B6F" w:rsidRDefault="00E03FFB" w:rsidP="00E03FFB">
      <w:pPr>
        <w:rPr>
          <w:lang w:val="it-IT"/>
        </w:rPr>
      </w:pPr>
      <w:permStart w:id="1776364355" w:edGrp="everyone"/>
      <w:r w:rsidRPr="00A91B6F">
        <w:rPr>
          <w:lang w:val="it-IT"/>
        </w:rPr>
        <w:t>No comment</w:t>
      </w:r>
    </w:p>
    <w:permEnd w:id="1776364355"/>
    <w:p w14:paraId="195B3B53" w14:textId="02C2A2D0" w:rsidR="005E4A48" w:rsidRPr="00A91B6F" w:rsidRDefault="005E4A48" w:rsidP="00E03FFB">
      <w:pPr>
        <w:rPr>
          <w:lang w:val="it-IT"/>
        </w:rPr>
      </w:pPr>
      <w:r w:rsidRPr="00A91B6F">
        <w:rPr>
          <w:lang w:val="it-IT"/>
        </w:rPr>
        <w:lastRenderedPageBreak/>
        <w:t>&lt;ESMA_QUESTION_</w:t>
      </w:r>
      <w:r w:rsidR="00313B2A" w:rsidRPr="00A91B6F">
        <w:rPr>
          <w:lang w:val="it-IT"/>
        </w:rPr>
        <w:t>COLL</w:t>
      </w:r>
      <w:r w:rsidRPr="00A91B6F">
        <w:rPr>
          <w:lang w:val="it-IT"/>
        </w:rPr>
        <w:t>_</w:t>
      </w:r>
      <w:r w:rsidR="00313B2A" w:rsidRPr="00A91B6F">
        <w:rPr>
          <w:lang w:val="it-IT"/>
        </w:rPr>
        <w:t>14</w:t>
      </w:r>
      <w:r w:rsidRPr="00A91B6F">
        <w:rPr>
          <w:lang w:val="it-IT"/>
        </w:rPr>
        <w:t>&gt;</w:t>
      </w:r>
    </w:p>
    <w:p w14:paraId="53CE4543" w14:textId="77777777" w:rsidR="005E4A48" w:rsidRPr="00A91B6F" w:rsidRDefault="005E4A48" w:rsidP="00693907">
      <w:pPr>
        <w:rPr>
          <w:lang w:val="it-IT"/>
        </w:rPr>
      </w:pPr>
    </w:p>
    <w:p w14:paraId="55038FDB" w14:textId="7ECBE4B4" w:rsidR="005E4A48" w:rsidRDefault="005E4A48" w:rsidP="005E4A48">
      <w:pPr>
        <w:pStyle w:val="Questionstyle"/>
      </w:pPr>
      <w:r w:rsidRPr="004344B8">
        <w:t>Do</w:t>
      </w:r>
      <w:r w:rsidR="001F57E9" w:rsidRPr="001F57E9">
        <w:t xml:space="preserve"> you agree with the proposed way to address the lack of definition of “public bank”?</w:t>
      </w:r>
      <w:r w:rsidR="001F57E9">
        <w:t xml:space="preserve"> </w:t>
      </w:r>
      <w:r w:rsidRPr="004344B8">
        <w:t xml:space="preserve"> </w:t>
      </w:r>
    </w:p>
    <w:p w14:paraId="04B2A90B" w14:textId="18F9E43B" w:rsidR="005E4A48" w:rsidRPr="00A91B6F" w:rsidRDefault="005E4A48" w:rsidP="005E4A48">
      <w:pPr>
        <w:rPr>
          <w:lang w:val="it-IT"/>
        </w:rPr>
      </w:pPr>
      <w:r w:rsidRPr="00A91B6F">
        <w:rPr>
          <w:lang w:val="it-IT"/>
        </w:rPr>
        <w:t>&lt;ESMA_QUESTION_</w:t>
      </w:r>
      <w:r w:rsidR="00830677" w:rsidRPr="00A91B6F">
        <w:rPr>
          <w:lang w:val="it-IT"/>
        </w:rPr>
        <w:t>COLL</w:t>
      </w:r>
      <w:r w:rsidRPr="00A91B6F">
        <w:rPr>
          <w:lang w:val="it-IT"/>
        </w:rPr>
        <w:t>_</w:t>
      </w:r>
      <w:r w:rsidR="00830677" w:rsidRPr="00A91B6F">
        <w:rPr>
          <w:lang w:val="it-IT"/>
        </w:rPr>
        <w:t>15</w:t>
      </w:r>
      <w:r w:rsidRPr="00A91B6F">
        <w:rPr>
          <w:lang w:val="it-IT"/>
        </w:rPr>
        <w:t>&gt;</w:t>
      </w:r>
    </w:p>
    <w:p w14:paraId="550BAE5C" w14:textId="15359626" w:rsidR="005E4A48" w:rsidRPr="00A91B6F" w:rsidRDefault="00532221" w:rsidP="005E4A48">
      <w:pPr>
        <w:rPr>
          <w:lang w:val="it-IT"/>
        </w:rPr>
      </w:pPr>
      <w:permStart w:id="870328820" w:edGrp="everyone"/>
      <w:r w:rsidRPr="00A91B6F">
        <w:rPr>
          <w:lang w:val="it-IT"/>
        </w:rPr>
        <w:t>No comment</w:t>
      </w:r>
    </w:p>
    <w:permEnd w:id="870328820"/>
    <w:p w14:paraId="3C2CF56F" w14:textId="05A819D9" w:rsidR="005E4A48" w:rsidRPr="00A91B6F" w:rsidRDefault="005E4A48" w:rsidP="005E4A48">
      <w:pPr>
        <w:rPr>
          <w:lang w:val="it-IT"/>
        </w:rPr>
      </w:pPr>
      <w:r w:rsidRPr="00A91B6F">
        <w:rPr>
          <w:lang w:val="it-IT"/>
        </w:rPr>
        <w:t>&lt;ESMA_QUESTION_</w:t>
      </w:r>
      <w:r w:rsidR="00830677" w:rsidRPr="00A91B6F">
        <w:rPr>
          <w:lang w:val="it-IT"/>
        </w:rPr>
        <w:t>COLL</w:t>
      </w:r>
      <w:r w:rsidRPr="00A91B6F">
        <w:rPr>
          <w:lang w:val="it-IT"/>
        </w:rPr>
        <w:t>_</w:t>
      </w:r>
      <w:r w:rsidR="00830677" w:rsidRPr="00A91B6F">
        <w:rPr>
          <w:lang w:val="it-IT"/>
        </w:rPr>
        <w:t>15</w:t>
      </w:r>
      <w:r w:rsidRPr="00A91B6F">
        <w:rPr>
          <w:lang w:val="it-IT"/>
        </w:rPr>
        <w:t>&gt;</w:t>
      </w:r>
    </w:p>
    <w:p w14:paraId="7946BE06" w14:textId="77777777" w:rsidR="005E4A48" w:rsidRPr="00A91B6F" w:rsidRDefault="005E4A48" w:rsidP="00693907">
      <w:pPr>
        <w:rPr>
          <w:lang w:val="it-IT"/>
        </w:rPr>
      </w:pPr>
    </w:p>
    <w:p w14:paraId="072A90DC" w14:textId="0B8479CF" w:rsidR="005E4A48" w:rsidRDefault="005E4A48" w:rsidP="005E4A48">
      <w:pPr>
        <w:pStyle w:val="Questionstyle"/>
      </w:pPr>
      <w:r w:rsidRPr="004344B8">
        <w:t xml:space="preserve">Do </w:t>
      </w:r>
      <w:r w:rsidR="00827DAC" w:rsidRPr="00827DAC">
        <w:t>you agree with the proposed change concerning the conditions under which debt instruments can be considered highly liquid, bearing minimal credit and market risk (and hence considered as eligible financial instruments for the purpose of CCP investment policy)?</w:t>
      </w:r>
    </w:p>
    <w:p w14:paraId="0703E9DE" w14:textId="6C3C21CC" w:rsidR="005E4A48" w:rsidRDefault="005E4A48" w:rsidP="005E4A48">
      <w:r>
        <w:t>&lt;ESMA_QUESTION_</w:t>
      </w:r>
      <w:r w:rsidR="00830677">
        <w:t>COLL</w:t>
      </w:r>
      <w:r>
        <w:t>_</w:t>
      </w:r>
      <w:r w:rsidR="00830677">
        <w:t>16</w:t>
      </w:r>
      <w:r>
        <w:t>&gt;</w:t>
      </w:r>
    </w:p>
    <w:p w14:paraId="50AD6877" w14:textId="47D74623" w:rsidR="002624E5" w:rsidRDefault="002624E5" w:rsidP="002624E5">
      <w:permStart w:id="444013336" w:edGrp="everyone"/>
      <w:r>
        <w:t xml:space="preserve">Yes, we support including EU, BIS, and IMF issued debt instruments, which </w:t>
      </w:r>
      <w:r w:rsidR="004D3D0F">
        <w:t>exhibit</w:t>
      </w:r>
      <w:r>
        <w:t xml:space="preserve"> strong liquidity and credit quality. This update modernises the investment eligibility framework.</w:t>
      </w:r>
    </w:p>
    <w:p w14:paraId="3C2FA7FD" w14:textId="278D90B2" w:rsidR="005E4A48" w:rsidRDefault="002624E5" w:rsidP="002624E5">
      <w:r>
        <w:t>In addition, money market funds (MMFs) could be used as collateral for the initial margin (IM). MMFs are investment funds that mainly invest in short-term, highly liquid, low-risk securities such as bank bonds, commercial papers issued by companies, and often government debt instruments. MMFs are a key tool for large corporates like RWE to manage their day-to-day liquidity flexibly and reliably. MMFs are typically well-diversified and remain liquid even during market stress, helping to avoid sudden liquidity shortages. In addition, MMFs allow the use of securities as collateral without needing to convert everything into cash, preserving funding flexibility. Overall, broader acceptance of MMFs as eligible collateral reduces systemic risks, such as forced sales (“fire-sales”) and procyclical margin spirals, and supports stable demand for corporate issuances like RWE bonds during volatile periods.</w:t>
      </w:r>
    </w:p>
    <w:permEnd w:id="444013336"/>
    <w:p w14:paraId="0B4C738C" w14:textId="6290A124" w:rsidR="005E4A48" w:rsidRDefault="005E4A48" w:rsidP="005E4A48">
      <w:r>
        <w:t>&lt;ESMA_QUESTION_</w:t>
      </w:r>
      <w:r w:rsidR="00830677">
        <w:t>COLL</w:t>
      </w:r>
      <w:r>
        <w:t>_</w:t>
      </w:r>
      <w:r w:rsidR="00830677">
        <w:t>16</w:t>
      </w:r>
      <w:r>
        <w:t>&gt;</w:t>
      </w:r>
    </w:p>
    <w:p w14:paraId="10DA205F" w14:textId="77777777" w:rsidR="005E4A48" w:rsidRDefault="005E4A48" w:rsidP="00693907"/>
    <w:p w14:paraId="148436C5" w14:textId="4EBE401D" w:rsidR="005E4A48" w:rsidRDefault="005E4A48" w:rsidP="005E4A48">
      <w:pPr>
        <w:pStyle w:val="Questionstyle"/>
      </w:pPr>
      <w:r w:rsidRPr="004344B8">
        <w:t xml:space="preserve">Do </w:t>
      </w:r>
      <w:r w:rsidR="009D0047" w:rsidRPr="009D0047">
        <w:t>you agree with the proposed change concerning the highly secure arrangements for the deposit of financial instruments posted as margins or as default fund contributions?</w:t>
      </w:r>
    </w:p>
    <w:p w14:paraId="2F35E308" w14:textId="1A75FCCA" w:rsidR="005E4A48" w:rsidRDefault="005E4A48" w:rsidP="005E4A48">
      <w:r>
        <w:t>&lt;ESMA_QUESTION_</w:t>
      </w:r>
      <w:r w:rsidR="0072300F">
        <w:t>COLL</w:t>
      </w:r>
      <w:r>
        <w:t>_</w:t>
      </w:r>
      <w:r w:rsidR="0072300F">
        <w:t>17</w:t>
      </w:r>
      <w:r>
        <w:t>&gt;</w:t>
      </w:r>
    </w:p>
    <w:p w14:paraId="41537DFA" w14:textId="122D62B3" w:rsidR="005E4A48" w:rsidRDefault="00251E11" w:rsidP="005E4A48">
      <w:permStart w:id="2055102596" w:edGrp="everyone"/>
      <w:r w:rsidRPr="00251E11">
        <w:lastRenderedPageBreak/>
        <w:t>Yes, we agree with ESMA’s proposals, not to allow emission allowances as eligible instrument in scope for CCP investment. We also support the proposed clarification that CCPs are allowed to accept emission allowances as collateral to deposit the emission allowances posted as margins at the Union Registry, only where emission allowances are the underlying of the derivative contract to cover against initial margin only for such contract.</w:t>
      </w:r>
    </w:p>
    <w:permEnd w:id="2055102596"/>
    <w:p w14:paraId="3B14B204" w14:textId="18ED8F55" w:rsidR="005E4A48" w:rsidRDefault="005E4A48" w:rsidP="005E4A48">
      <w:r>
        <w:t>&lt;ESMA_QUESTION_</w:t>
      </w:r>
      <w:r w:rsidR="0072300F">
        <w:t>COLL</w:t>
      </w:r>
      <w:r>
        <w:t>_</w:t>
      </w:r>
      <w:r w:rsidR="0072300F">
        <w:t>17</w:t>
      </w:r>
      <w:r>
        <w:t>&gt;</w:t>
      </w:r>
    </w:p>
    <w:p w14:paraId="1575BAA1" w14:textId="77777777" w:rsidR="005E4A48" w:rsidRDefault="005E4A48" w:rsidP="00693907"/>
    <w:p w14:paraId="237BFC19" w14:textId="77777777" w:rsidR="00693907" w:rsidRDefault="00693907" w:rsidP="00693907"/>
    <w:p w14:paraId="1EC367CD" w14:textId="67C1E71A" w:rsidR="00E619AB" w:rsidRPr="00B25E0D" w:rsidRDefault="00E619AB" w:rsidP="00693907"/>
    <w:sectPr w:rsidR="00E619AB" w:rsidRPr="00B25E0D" w:rsidSect="00A8728B">
      <w:headerReference w:type="default" r:id="rId27"/>
      <w:footerReference w:type="default" r:id="rId28"/>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66B76" w14:textId="77777777" w:rsidR="00BB6071" w:rsidRDefault="00BB6071" w:rsidP="00F716D4">
      <w:r>
        <w:separator/>
      </w:r>
    </w:p>
    <w:p w14:paraId="2F15531A" w14:textId="77777777" w:rsidR="00BB6071" w:rsidRDefault="00BB6071" w:rsidP="00F716D4"/>
  </w:endnote>
  <w:endnote w:type="continuationSeparator" w:id="0">
    <w:p w14:paraId="0E9ADB0F" w14:textId="77777777" w:rsidR="00BB6071" w:rsidRDefault="00BB6071" w:rsidP="00F716D4">
      <w:r>
        <w:continuationSeparator/>
      </w:r>
    </w:p>
    <w:p w14:paraId="65D2825F" w14:textId="77777777" w:rsidR="00BB6071" w:rsidRDefault="00BB6071" w:rsidP="00F716D4"/>
  </w:endnote>
  <w:endnote w:type="continuationNotice" w:id="1">
    <w:p w14:paraId="5882044C" w14:textId="77777777" w:rsidR="00BB6071" w:rsidRDefault="00BB6071"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0D2438C9" w:rsidR="296079D6" w:rsidRDefault="296079D6" w:rsidP="296079D6">
          <w:pPr>
            <w:pStyle w:val="Kopfzeile"/>
            <w:ind w:left="-115"/>
            <w:jc w:val="left"/>
          </w:pPr>
        </w:p>
      </w:tc>
      <w:tc>
        <w:tcPr>
          <w:tcW w:w="3020" w:type="dxa"/>
        </w:tcPr>
        <w:p w14:paraId="31DF827A" w14:textId="32EA9807" w:rsidR="296079D6" w:rsidRDefault="296079D6" w:rsidP="296079D6">
          <w:pPr>
            <w:pStyle w:val="Kopfzeile"/>
            <w:jc w:val="center"/>
          </w:pPr>
        </w:p>
      </w:tc>
      <w:tc>
        <w:tcPr>
          <w:tcW w:w="3020" w:type="dxa"/>
        </w:tcPr>
        <w:p w14:paraId="684BE38F" w14:textId="24CDFEA3" w:rsidR="296079D6" w:rsidRDefault="296079D6" w:rsidP="296079D6">
          <w:pPr>
            <w:pStyle w:val="Kopfzeile"/>
            <w:ind w:right="-115"/>
            <w:jc w:val="right"/>
          </w:pPr>
        </w:p>
      </w:tc>
    </w:tr>
  </w:tbl>
  <w:p w14:paraId="1EA6AD30" w14:textId="508E27C7" w:rsidR="296079D6" w:rsidRDefault="296079D6" w:rsidP="296079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96079D6">
      <w:trPr>
        <w:trHeight w:val="300"/>
      </w:trPr>
      <w:tc>
        <w:tcPr>
          <w:tcW w:w="3020" w:type="dxa"/>
        </w:tcPr>
        <w:p w14:paraId="0D5A25EC" w14:textId="6A091ED5" w:rsidR="296079D6" w:rsidRDefault="296079D6" w:rsidP="296079D6">
          <w:pPr>
            <w:pStyle w:val="Kopfzeile"/>
            <w:ind w:left="-115"/>
            <w:jc w:val="left"/>
          </w:pPr>
        </w:p>
      </w:tc>
      <w:tc>
        <w:tcPr>
          <w:tcW w:w="3020" w:type="dxa"/>
        </w:tcPr>
        <w:p w14:paraId="60B14148" w14:textId="19E36BA0" w:rsidR="296079D6" w:rsidRDefault="296079D6" w:rsidP="296079D6">
          <w:pPr>
            <w:pStyle w:val="Kopfzeile"/>
            <w:jc w:val="center"/>
          </w:pPr>
        </w:p>
      </w:tc>
      <w:tc>
        <w:tcPr>
          <w:tcW w:w="3020" w:type="dxa"/>
        </w:tcPr>
        <w:p w14:paraId="767ABF03" w14:textId="0FB96330" w:rsidR="296079D6" w:rsidRDefault="296079D6" w:rsidP="296079D6">
          <w:pPr>
            <w:pStyle w:val="Kopfzeile"/>
            <w:ind w:right="-115"/>
            <w:jc w:val="right"/>
          </w:pPr>
        </w:p>
      </w:tc>
    </w:tr>
  </w:tbl>
  <w:p w14:paraId="31D907CC" w14:textId="0849D0C5" w:rsidR="296079D6" w:rsidRDefault="296079D6" w:rsidP="296079D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296079D6">
      <w:trPr>
        <w:trHeight w:val="300"/>
      </w:trPr>
      <w:tc>
        <w:tcPr>
          <w:tcW w:w="3135" w:type="dxa"/>
        </w:tcPr>
        <w:p w14:paraId="687692A0" w14:textId="26235DD5" w:rsidR="296079D6" w:rsidRDefault="296079D6" w:rsidP="296079D6">
          <w:pPr>
            <w:pStyle w:val="Kopfzeile"/>
            <w:ind w:left="-115"/>
            <w:jc w:val="left"/>
          </w:pPr>
        </w:p>
      </w:tc>
      <w:tc>
        <w:tcPr>
          <w:tcW w:w="3135" w:type="dxa"/>
        </w:tcPr>
        <w:p w14:paraId="31FEBFF4" w14:textId="743D0A84" w:rsidR="296079D6" w:rsidRDefault="296079D6" w:rsidP="296079D6">
          <w:pPr>
            <w:pStyle w:val="Kopfzeile"/>
            <w:jc w:val="center"/>
          </w:pPr>
        </w:p>
      </w:tc>
      <w:tc>
        <w:tcPr>
          <w:tcW w:w="3135" w:type="dxa"/>
        </w:tcPr>
        <w:p w14:paraId="66BF4A57" w14:textId="3665E6D3" w:rsidR="296079D6" w:rsidRDefault="296079D6" w:rsidP="296079D6">
          <w:pPr>
            <w:pStyle w:val="Kopfzeile"/>
            <w:ind w:right="-115"/>
            <w:jc w:val="right"/>
          </w:pPr>
        </w:p>
      </w:tc>
    </w:tr>
  </w:tbl>
  <w:p w14:paraId="157512C3" w14:textId="4E034532" w:rsidR="296079D6" w:rsidRDefault="296079D6" w:rsidP="296079D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uzeile"/>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10507C07" w14:textId="77777777" w:rsidTr="296079D6">
      <w:trPr>
        <w:trHeight w:val="300"/>
      </w:trPr>
      <w:tc>
        <w:tcPr>
          <w:tcW w:w="3135" w:type="dxa"/>
        </w:tcPr>
        <w:p w14:paraId="10CFBD3B" w14:textId="7AF655F4" w:rsidR="296079D6" w:rsidRDefault="296079D6" w:rsidP="296079D6">
          <w:pPr>
            <w:pStyle w:val="Kopfzeile"/>
            <w:ind w:left="-115"/>
            <w:jc w:val="left"/>
          </w:pPr>
        </w:p>
      </w:tc>
      <w:tc>
        <w:tcPr>
          <w:tcW w:w="3135" w:type="dxa"/>
        </w:tcPr>
        <w:p w14:paraId="72746E3F" w14:textId="086867DB" w:rsidR="296079D6" w:rsidRDefault="296079D6" w:rsidP="296079D6">
          <w:pPr>
            <w:pStyle w:val="Kopfzeile"/>
            <w:jc w:val="center"/>
          </w:pPr>
        </w:p>
      </w:tc>
      <w:tc>
        <w:tcPr>
          <w:tcW w:w="3135" w:type="dxa"/>
        </w:tcPr>
        <w:p w14:paraId="21F1D28C" w14:textId="1B826CAC" w:rsidR="296079D6" w:rsidRDefault="296079D6" w:rsidP="296079D6">
          <w:pPr>
            <w:pStyle w:val="Kopfzeile"/>
            <w:ind w:right="-115"/>
            <w:jc w:val="right"/>
          </w:pPr>
        </w:p>
      </w:tc>
    </w:tr>
  </w:tbl>
  <w:p w14:paraId="6D27F183" w14:textId="7AC7FD41" w:rsidR="296079D6" w:rsidRDefault="296079D6" w:rsidP="296079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84CAD" w14:textId="77777777" w:rsidR="00BB6071" w:rsidRDefault="00BB6071" w:rsidP="00F716D4">
      <w:r>
        <w:separator/>
      </w:r>
    </w:p>
    <w:p w14:paraId="66E240BE" w14:textId="77777777" w:rsidR="00BB6071" w:rsidRDefault="00BB6071" w:rsidP="00F716D4"/>
  </w:footnote>
  <w:footnote w:type="continuationSeparator" w:id="0">
    <w:p w14:paraId="2F269898" w14:textId="77777777" w:rsidR="00BB6071" w:rsidRDefault="00BB6071" w:rsidP="00F716D4">
      <w:r>
        <w:continuationSeparator/>
      </w:r>
    </w:p>
    <w:p w14:paraId="76B8BD2E" w14:textId="77777777" w:rsidR="00BB6071" w:rsidRDefault="00BB6071" w:rsidP="00F716D4"/>
  </w:footnote>
  <w:footnote w:type="continuationNotice" w:id="1">
    <w:p w14:paraId="04162D7A" w14:textId="77777777" w:rsidR="00BB6071" w:rsidRDefault="00BB6071"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1D07C450" w:rsidR="296079D6" w:rsidRDefault="296079D6" w:rsidP="296079D6">
          <w:pPr>
            <w:pStyle w:val="Kopfzeile"/>
            <w:ind w:left="-115"/>
            <w:jc w:val="left"/>
          </w:pPr>
        </w:p>
      </w:tc>
      <w:tc>
        <w:tcPr>
          <w:tcW w:w="3020" w:type="dxa"/>
        </w:tcPr>
        <w:p w14:paraId="5F6E5D6D" w14:textId="78CCE3A7" w:rsidR="296079D6" w:rsidRDefault="296079D6" w:rsidP="296079D6">
          <w:pPr>
            <w:pStyle w:val="Kopfzeile"/>
            <w:jc w:val="center"/>
          </w:pPr>
        </w:p>
      </w:tc>
      <w:tc>
        <w:tcPr>
          <w:tcW w:w="3020" w:type="dxa"/>
        </w:tcPr>
        <w:p w14:paraId="6E6D04F9" w14:textId="6B14CEDE" w:rsidR="296079D6" w:rsidRDefault="296079D6" w:rsidP="296079D6">
          <w:pPr>
            <w:pStyle w:val="Kopfzeile"/>
            <w:ind w:right="-115"/>
            <w:jc w:val="right"/>
          </w:pPr>
        </w:p>
      </w:tc>
    </w:tr>
  </w:tbl>
  <w:p w14:paraId="6E7E6717" w14:textId="102B89E2" w:rsidR="296079D6" w:rsidRDefault="296079D6" w:rsidP="296079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00CFC632" w:rsidR="004E60D2" w:rsidRPr="004E058E" w:rsidRDefault="004E60D2" w:rsidP="004E60D2">
    <w:pPr>
      <w:spacing w:after="0"/>
      <w:jc w:val="right"/>
      <w:rPr>
        <w:rStyle w:val="normaltextrun"/>
        <w:color w:val="001B4F"/>
        <w:sz w:val="16"/>
        <w:szCs w:val="16"/>
        <w:shd w:val="clear" w:color="auto" w:fill="FFFFFF"/>
      </w:rPr>
    </w:pPr>
    <w:r w:rsidRPr="004E058E">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621832">
      <w:rPr>
        <w:rStyle w:val="normaltextrun"/>
        <w:color w:val="001B4F"/>
        <w:sz w:val="16"/>
        <w:szCs w:val="16"/>
        <w:shd w:val="clear" w:color="auto" w:fill="FFFFFF"/>
      </w:rPr>
      <w:t>23 February 2026</w:t>
    </w:r>
  </w:p>
  <w:p w14:paraId="4AF05B1F" w14:textId="12B51104" w:rsidR="004E60D2" w:rsidRDefault="004E60D2" w:rsidP="00621832">
    <w:pPr>
      <w:jc w:val="right"/>
    </w:pPr>
    <w:r w:rsidRPr="00A13F61">
      <w:rPr>
        <w:rStyle w:val="normaltextrun"/>
        <w:color w:val="001B4F"/>
        <w:sz w:val="16"/>
        <w:szCs w:val="16"/>
        <w:shd w:val="clear" w:color="auto" w:fill="FFFFFF"/>
      </w:rPr>
      <w:t>ESMA</w:t>
    </w:r>
    <w:r w:rsidR="00A13F61" w:rsidRPr="00A13F61">
      <w:rPr>
        <w:rStyle w:val="normaltextrun"/>
        <w:color w:val="001B4F"/>
        <w:sz w:val="16"/>
        <w:szCs w:val="16"/>
        <w:shd w:val="clear" w:color="auto" w:fill="FFFFFF"/>
      </w:rPr>
      <w:t>91-1505572268-4723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4E34CFED" w:rsidR="296079D6" w:rsidRDefault="296079D6" w:rsidP="296079D6">
          <w:pPr>
            <w:pStyle w:val="Kopfzeile"/>
            <w:ind w:left="-115"/>
            <w:jc w:val="left"/>
          </w:pPr>
        </w:p>
      </w:tc>
      <w:tc>
        <w:tcPr>
          <w:tcW w:w="3135" w:type="dxa"/>
        </w:tcPr>
        <w:p w14:paraId="0682432A" w14:textId="50492F17" w:rsidR="296079D6" w:rsidRDefault="296079D6" w:rsidP="296079D6">
          <w:pPr>
            <w:pStyle w:val="Kopfzeile"/>
            <w:jc w:val="center"/>
          </w:pPr>
        </w:p>
      </w:tc>
      <w:tc>
        <w:tcPr>
          <w:tcW w:w="3135" w:type="dxa"/>
        </w:tcPr>
        <w:p w14:paraId="390C9734" w14:textId="5CD98D2D" w:rsidR="296079D6" w:rsidRDefault="296079D6" w:rsidP="296079D6">
          <w:pPr>
            <w:pStyle w:val="Kopfzeile"/>
            <w:ind w:right="-115"/>
            <w:jc w:val="right"/>
          </w:pPr>
        </w:p>
      </w:tc>
    </w:tr>
  </w:tbl>
  <w:p w14:paraId="0B2F4F8F" w14:textId="20D35276" w:rsidR="296079D6" w:rsidRDefault="296079D6" w:rsidP="296079D6">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69B81E0B" w:rsidR="296079D6" w:rsidRDefault="296079D6" w:rsidP="296079D6">
          <w:pPr>
            <w:pStyle w:val="Kopfzeile"/>
            <w:ind w:left="-115"/>
            <w:jc w:val="left"/>
          </w:pPr>
        </w:p>
      </w:tc>
      <w:tc>
        <w:tcPr>
          <w:tcW w:w="3135" w:type="dxa"/>
        </w:tcPr>
        <w:p w14:paraId="52F93C1D" w14:textId="138730E9" w:rsidR="296079D6" w:rsidRDefault="296079D6" w:rsidP="296079D6">
          <w:pPr>
            <w:pStyle w:val="Kopfzeile"/>
            <w:jc w:val="center"/>
          </w:pPr>
        </w:p>
      </w:tc>
      <w:tc>
        <w:tcPr>
          <w:tcW w:w="3135" w:type="dxa"/>
        </w:tcPr>
        <w:p w14:paraId="4FD76FD1" w14:textId="7BFB4000" w:rsidR="296079D6" w:rsidRDefault="296079D6" w:rsidP="296079D6">
          <w:pPr>
            <w:pStyle w:val="Kopfzeile"/>
            <w:ind w:right="-115"/>
            <w:jc w:val="right"/>
          </w:pPr>
        </w:p>
      </w:tc>
    </w:tr>
  </w:tbl>
  <w:p w14:paraId="6902044D" w14:textId="0EB4ACA7" w:rsidR="296079D6" w:rsidRDefault="296079D6" w:rsidP="296079D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5D2380"/>
    <w:multiLevelType w:val="hybridMultilevel"/>
    <w:tmpl w:val="79EE0480"/>
    <w:lvl w:ilvl="0" w:tplc="3BFCB1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596952"/>
    <w:multiLevelType w:val="hybridMultilevel"/>
    <w:tmpl w:val="99A02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ED752C"/>
    <w:multiLevelType w:val="hybridMultilevel"/>
    <w:tmpl w:val="130C0C1E"/>
    <w:lvl w:ilvl="0" w:tplc="B4ACB924">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9501BB7"/>
    <w:multiLevelType w:val="hybridMultilevel"/>
    <w:tmpl w:val="C4E4FE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2EDA211E"/>
    <w:multiLevelType w:val="hybridMultilevel"/>
    <w:tmpl w:val="63288B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6A7ED9"/>
    <w:multiLevelType w:val="hybridMultilevel"/>
    <w:tmpl w:val="3FCCC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3"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4"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2" w15:restartNumberingAfterBreak="0">
    <w:nsid w:val="7FEF56C0"/>
    <w:multiLevelType w:val="hybridMultilevel"/>
    <w:tmpl w:val="3CD65192"/>
    <w:lvl w:ilvl="0" w:tplc="E674947E">
      <w:start w:val="1"/>
      <w:numFmt w:val="decimal"/>
      <w:pStyle w:val="berschrift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9"/>
  </w:num>
  <w:num w:numId="2" w16cid:durableId="1769932826">
    <w:abstractNumId w:val="22"/>
  </w:num>
  <w:num w:numId="3" w16cid:durableId="550074866">
    <w:abstractNumId w:val="14"/>
  </w:num>
  <w:num w:numId="4" w16cid:durableId="1881627233">
    <w:abstractNumId w:val="27"/>
  </w:num>
  <w:num w:numId="5" w16cid:durableId="208225584">
    <w:abstractNumId w:val="0"/>
  </w:num>
  <w:num w:numId="6" w16cid:durableId="1787233265">
    <w:abstractNumId w:val="6"/>
  </w:num>
  <w:num w:numId="7" w16cid:durableId="1846357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5"/>
  </w:num>
  <w:num w:numId="9" w16cid:durableId="1008846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31"/>
  </w:num>
  <w:num w:numId="12" w16cid:durableId="1500659627">
    <w:abstractNumId w:val="34"/>
  </w:num>
  <w:num w:numId="13" w16cid:durableId="1879658227">
    <w:abstractNumId w:val="26"/>
  </w:num>
  <w:num w:numId="14" w16cid:durableId="1495758855">
    <w:abstractNumId w:val="12"/>
  </w:num>
  <w:num w:numId="15" w16cid:durableId="1186556611">
    <w:abstractNumId w:val="1"/>
  </w:num>
  <w:num w:numId="16" w16cid:durableId="679087124">
    <w:abstractNumId w:val="17"/>
  </w:num>
  <w:num w:numId="17" w16cid:durableId="1695498691">
    <w:abstractNumId w:val="18"/>
  </w:num>
  <w:num w:numId="18" w16cid:durableId="1042363640">
    <w:abstractNumId w:val="20"/>
  </w:num>
  <w:num w:numId="19" w16cid:durableId="820345968">
    <w:abstractNumId w:val="29"/>
  </w:num>
  <w:num w:numId="20" w16cid:durableId="1805388212">
    <w:abstractNumId w:val="39"/>
  </w:num>
  <w:num w:numId="21" w16cid:durableId="538709007">
    <w:abstractNumId w:val="28"/>
  </w:num>
  <w:num w:numId="22" w16cid:durableId="104540172">
    <w:abstractNumId w:val="11"/>
  </w:num>
  <w:num w:numId="23" w16cid:durableId="1824349076">
    <w:abstractNumId w:val="33"/>
  </w:num>
  <w:num w:numId="24" w16cid:durableId="672032853">
    <w:abstractNumId w:val="32"/>
  </w:num>
  <w:num w:numId="25" w16cid:durableId="48917541">
    <w:abstractNumId w:val="23"/>
  </w:num>
  <w:num w:numId="26" w16cid:durableId="978925443">
    <w:abstractNumId w:val="36"/>
  </w:num>
  <w:num w:numId="27" w16cid:durableId="1036613928">
    <w:abstractNumId w:val="41"/>
  </w:num>
  <w:num w:numId="28" w16cid:durableId="872039349">
    <w:abstractNumId w:val="8"/>
  </w:num>
  <w:num w:numId="29" w16cid:durableId="924530660">
    <w:abstractNumId w:val="5"/>
  </w:num>
  <w:num w:numId="30" w16cid:durableId="419180233">
    <w:abstractNumId w:val="25"/>
  </w:num>
  <w:num w:numId="31" w16cid:durableId="276761337">
    <w:abstractNumId w:val="24"/>
  </w:num>
  <w:num w:numId="32" w16cid:durableId="1166238383">
    <w:abstractNumId w:val="38"/>
  </w:num>
  <w:num w:numId="33" w16cid:durableId="2076850202">
    <w:abstractNumId w:val="37"/>
  </w:num>
  <w:num w:numId="34" w16cid:durableId="469176496">
    <w:abstractNumId w:val="15"/>
  </w:num>
  <w:num w:numId="35" w16cid:durableId="674843309">
    <w:abstractNumId w:val="21"/>
  </w:num>
  <w:num w:numId="36" w16cid:durableId="1954971501">
    <w:abstractNumId w:val="42"/>
  </w:num>
  <w:num w:numId="37" w16cid:durableId="345836411">
    <w:abstractNumId w:val="2"/>
  </w:num>
  <w:num w:numId="38" w16cid:durableId="1270044773">
    <w:abstractNumId w:val="4"/>
  </w:num>
  <w:num w:numId="39" w16cid:durableId="10304780">
    <w:abstractNumId w:val="10"/>
  </w:num>
  <w:num w:numId="40" w16cid:durableId="1499878771">
    <w:abstractNumId w:val="30"/>
  </w:num>
  <w:num w:numId="41" w16cid:durableId="1297175861">
    <w:abstractNumId w:val="3"/>
  </w:num>
  <w:num w:numId="42" w16cid:durableId="1214149754">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trackRevisions/>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1DBA"/>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381"/>
    <w:rsid w:val="00015B5E"/>
    <w:rsid w:val="00015E9D"/>
    <w:rsid w:val="00015F1D"/>
    <w:rsid w:val="0001774B"/>
    <w:rsid w:val="00020D0F"/>
    <w:rsid w:val="000215EB"/>
    <w:rsid w:val="00021E83"/>
    <w:rsid w:val="00023713"/>
    <w:rsid w:val="00023C4D"/>
    <w:rsid w:val="00025E71"/>
    <w:rsid w:val="00026226"/>
    <w:rsid w:val="00026269"/>
    <w:rsid w:val="00027154"/>
    <w:rsid w:val="00027ECF"/>
    <w:rsid w:val="000303BE"/>
    <w:rsid w:val="000323B5"/>
    <w:rsid w:val="00033A94"/>
    <w:rsid w:val="000344D6"/>
    <w:rsid w:val="00034960"/>
    <w:rsid w:val="00036FAE"/>
    <w:rsid w:val="00041858"/>
    <w:rsid w:val="0004389E"/>
    <w:rsid w:val="00044D96"/>
    <w:rsid w:val="00045CA6"/>
    <w:rsid w:val="000463A6"/>
    <w:rsid w:val="00046CC9"/>
    <w:rsid w:val="00046E91"/>
    <w:rsid w:val="000502FE"/>
    <w:rsid w:val="00050D19"/>
    <w:rsid w:val="0005126D"/>
    <w:rsid w:val="00051992"/>
    <w:rsid w:val="00051E9A"/>
    <w:rsid w:val="000521A7"/>
    <w:rsid w:val="00052F47"/>
    <w:rsid w:val="0005345B"/>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4EF8"/>
    <w:rsid w:val="0007609D"/>
    <w:rsid w:val="00077C67"/>
    <w:rsid w:val="00080976"/>
    <w:rsid w:val="00080D56"/>
    <w:rsid w:val="00081008"/>
    <w:rsid w:val="00081CEB"/>
    <w:rsid w:val="00081E60"/>
    <w:rsid w:val="00082D8E"/>
    <w:rsid w:val="00082E31"/>
    <w:rsid w:val="00083AA3"/>
    <w:rsid w:val="00083FD9"/>
    <w:rsid w:val="00085947"/>
    <w:rsid w:val="000868FE"/>
    <w:rsid w:val="000878D1"/>
    <w:rsid w:val="00090F4B"/>
    <w:rsid w:val="000921AE"/>
    <w:rsid w:val="000921D7"/>
    <w:rsid w:val="000925FF"/>
    <w:rsid w:val="000932E0"/>
    <w:rsid w:val="00094853"/>
    <w:rsid w:val="00094C4C"/>
    <w:rsid w:val="0009521A"/>
    <w:rsid w:val="00096762"/>
    <w:rsid w:val="000969C8"/>
    <w:rsid w:val="0009752D"/>
    <w:rsid w:val="0009771F"/>
    <w:rsid w:val="00097AEE"/>
    <w:rsid w:val="000A014A"/>
    <w:rsid w:val="000A0396"/>
    <w:rsid w:val="000A04A0"/>
    <w:rsid w:val="000A04B6"/>
    <w:rsid w:val="000A0E36"/>
    <w:rsid w:val="000A12E3"/>
    <w:rsid w:val="000A1BD2"/>
    <w:rsid w:val="000A2127"/>
    <w:rsid w:val="000A358F"/>
    <w:rsid w:val="000A3FED"/>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453E"/>
    <w:rsid w:val="000F55B7"/>
    <w:rsid w:val="000F604F"/>
    <w:rsid w:val="000F7399"/>
    <w:rsid w:val="00101BF1"/>
    <w:rsid w:val="001027F1"/>
    <w:rsid w:val="00104E00"/>
    <w:rsid w:val="00104F2E"/>
    <w:rsid w:val="001072DD"/>
    <w:rsid w:val="00107B07"/>
    <w:rsid w:val="001101E8"/>
    <w:rsid w:val="00110D7A"/>
    <w:rsid w:val="00111464"/>
    <w:rsid w:val="0011167D"/>
    <w:rsid w:val="001118E4"/>
    <w:rsid w:val="00112892"/>
    <w:rsid w:val="00112E48"/>
    <w:rsid w:val="001130EA"/>
    <w:rsid w:val="001138E8"/>
    <w:rsid w:val="00113B80"/>
    <w:rsid w:val="00114259"/>
    <w:rsid w:val="001168B2"/>
    <w:rsid w:val="00117C20"/>
    <w:rsid w:val="00120F0E"/>
    <w:rsid w:val="00121A5D"/>
    <w:rsid w:val="00121BED"/>
    <w:rsid w:val="001236B7"/>
    <w:rsid w:val="00123D39"/>
    <w:rsid w:val="001244CD"/>
    <w:rsid w:val="0012566F"/>
    <w:rsid w:val="001262B1"/>
    <w:rsid w:val="00130495"/>
    <w:rsid w:val="00130F41"/>
    <w:rsid w:val="00130FAF"/>
    <w:rsid w:val="00135967"/>
    <w:rsid w:val="00135F2B"/>
    <w:rsid w:val="001372DD"/>
    <w:rsid w:val="0014022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0BF"/>
    <w:rsid w:val="00157BC9"/>
    <w:rsid w:val="00157E79"/>
    <w:rsid w:val="00157EED"/>
    <w:rsid w:val="0016087A"/>
    <w:rsid w:val="00160A5C"/>
    <w:rsid w:val="001613EC"/>
    <w:rsid w:val="0016358A"/>
    <w:rsid w:val="001638D4"/>
    <w:rsid w:val="00164657"/>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012"/>
    <w:rsid w:val="0019017A"/>
    <w:rsid w:val="00190B8C"/>
    <w:rsid w:val="00190FF8"/>
    <w:rsid w:val="00191142"/>
    <w:rsid w:val="0019311A"/>
    <w:rsid w:val="0019508A"/>
    <w:rsid w:val="001960D8"/>
    <w:rsid w:val="00196C83"/>
    <w:rsid w:val="001A05CB"/>
    <w:rsid w:val="001A1642"/>
    <w:rsid w:val="001A371B"/>
    <w:rsid w:val="001A4135"/>
    <w:rsid w:val="001A4766"/>
    <w:rsid w:val="001A6A0D"/>
    <w:rsid w:val="001A6C51"/>
    <w:rsid w:val="001A6FAA"/>
    <w:rsid w:val="001A7D73"/>
    <w:rsid w:val="001B0363"/>
    <w:rsid w:val="001B1355"/>
    <w:rsid w:val="001B2CC7"/>
    <w:rsid w:val="001B2FC9"/>
    <w:rsid w:val="001B3138"/>
    <w:rsid w:val="001B4160"/>
    <w:rsid w:val="001B438A"/>
    <w:rsid w:val="001B4E4B"/>
    <w:rsid w:val="001B50AC"/>
    <w:rsid w:val="001B5E05"/>
    <w:rsid w:val="001B6D68"/>
    <w:rsid w:val="001B6F2E"/>
    <w:rsid w:val="001B74C8"/>
    <w:rsid w:val="001C0344"/>
    <w:rsid w:val="001C0F2A"/>
    <w:rsid w:val="001C1A59"/>
    <w:rsid w:val="001C270F"/>
    <w:rsid w:val="001C3526"/>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57E9"/>
    <w:rsid w:val="001F5C2F"/>
    <w:rsid w:val="001F65EF"/>
    <w:rsid w:val="001F697B"/>
    <w:rsid w:val="002005A6"/>
    <w:rsid w:val="00204CBC"/>
    <w:rsid w:val="002051F1"/>
    <w:rsid w:val="00205AE1"/>
    <w:rsid w:val="002067BA"/>
    <w:rsid w:val="0021058D"/>
    <w:rsid w:val="00211E2F"/>
    <w:rsid w:val="00211E9E"/>
    <w:rsid w:val="00212A74"/>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429"/>
    <w:rsid w:val="00235CE3"/>
    <w:rsid w:val="0023636A"/>
    <w:rsid w:val="002366E2"/>
    <w:rsid w:val="00236F34"/>
    <w:rsid w:val="002372F7"/>
    <w:rsid w:val="00237775"/>
    <w:rsid w:val="00237FA3"/>
    <w:rsid w:val="00240532"/>
    <w:rsid w:val="00240651"/>
    <w:rsid w:val="00240803"/>
    <w:rsid w:val="00241AE4"/>
    <w:rsid w:val="0024426D"/>
    <w:rsid w:val="00244F1D"/>
    <w:rsid w:val="00245004"/>
    <w:rsid w:val="00245FB4"/>
    <w:rsid w:val="00250898"/>
    <w:rsid w:val="00251E11"/>
    <w:rsid w:val="00251EA9"/>
    <w:rsid w:val="00252843"/>
    <w:rsid w:val="002543F8"/>
    <w:rsid w:val="002551A4"/>
    <w:rsid w:val="002559F3"/>
    <w:rsid w:val="00256DFE"/>
    <w:rsid w:val="00261D56"/>
    <w:rsid w:val="00261FD3"/>
    <w:rsid w:val="002624E5"/>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23E"/>
    <w:rsid w:val="00287BBB"/>
    <w:rsid w:val="00287E3B"/>
    <w:rsid w:val="00290638"/>
    <w:rsid w:val="00291763"/>
    <w:rsid w:val="00291D80"/>
    <w:rsid w:val="00292E82"/>
    <w:rsid w:val="00293156"/>
    <w:rsid w:val="00293BE7"/>
    <w:rsid w:val="00293D78"/>
    <w:rsid w:val="002946DC"/>
    <w:rsid w:val="0029493B"/>
    <w:rsid w:val="002A08C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497F"/>
    <w:rsid w:val="002C517D"/>
    <w:rsid w:val="002C53AA"/>
    <w:rsid w:val="002C5B2D"/>
    <w:rsid w:val="002C6AF9"/>
    <w:rsid w:val="002C76B4"/>
    <w:rsid w:val="002C7DFC"/>
    <w:rsid w:val="002D08B8"/>
    <w:rsid w:val="002D14F3"/>
    <w:rsid w:val="002D16E4"/>
    <w:rsid w:val="002D2D9F"/>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4D03"/>
    <w:rsid w:val="002E6C88"/>
    <w:rsid w:val="002E76FC"/>
    <w:rsid w:val="002E7F4B"/>
    <w:rsid w:val="002F0C91"/>
    <w:rsid w:val="002F0E3E"/>
    <w:rsid w:val="002F1683"/>
    <w:rsid w:val="002F1B19"/>
    <w:rsid w:val="002F1FBF"/>
    <w:rsid w:val="002F4139"/>
    <w:rsid w:val="002F73F8"/>
    <w:rsid w:val="002F7A18"/>
    <w:rsid w:val="00300624"/>
    <w:rsid w:val="00300F56"/>
    <w:rsid w:val="00301006"/>
    <w:rsid w:val="00301386"/>
    <w:rsid w:val="00301BB2"/>
    <w:rsid w:val="00301C2B"/>
    <w:rsid w:val="00304A71"/>
    <w:rsid w:val="003064CD"/>
    <w:rsid w:val="003066C8"/>
    <w:rsid w:val="0030739D"/>
    <w:rsid w:val="00307AFB"/>
    <w:rsid w:val="00311184"/>
    <w:rsid w:val="00311E05"/>
    <w:rsid w:val="00312675"/>
    <w:rsid w:val="00313B2A"/>
    <w:rsid w:val="00313F3D"/>
    <w:rsid w:val="00314013"/>
    <w:rsid w:val="00314945"/>
    <w:rsid w:val="00315389"/>
    <w:rsid w:val="00315746"/>
    <w:rsid w:val="003157BE"/>
    <w:rsid w:val="00315E96"/>
    <w:rsid w:val="00316E7D"/>
    <w:rsid w:val="00317FC8"/>
    <w:rsid w:val="003223D7"/>
    <w:rsid w:val="003226DE"/>
    <w:rsid w:val="00323D9F"/>
    <w:rsid w:val="00324C88"/>
    <w:rsid w:val="00324FDB"/>
    <w:rsid w:val="0032543C"/>
    <w:rsid w:val="0032560C"/>
    <w:rsid w:val="00325F48"/>
    <w:rsid w:val="00326A85"/>
    <w:rsid w:val="0033194F"/>
    <w:rsid w:val="00332304"/>
    <w:rsid w:val="00332406"/>
    <w:rsid w:val="00332D8D"/>
    <w:rsid w:val="00336062"/>
    <w:rsid w:val="00336B56"/>
    <w:rsid w:val="00341B25"/>
    <w:rsid w:val="00341EC0"/>
    <w:rsid w:val="0034240C"/>
    <w:rsid w:val="0034374F"/>
    <w:rsid w:val="00344496"/>
    <w:rsid w:val="00345968"/>
    <w:rsid w:val="00347667"/>
    <w:rsid w:val="003507E2"/>
    <w:rsid w:val="00350CE0"/>
    <w:rsid w:val="003522B2"/>
    <w:rsid w:val="00353566"/>
    <w:rsid w:val="0035455E"/>
    <w:rsid w:val="00354A6F"/>
    <w:rsid w:val="00354B48"/>
    <w:rsid w:val="00355789"/>
    <w:rsid w:val="00360353"/>
    <w:rsid w:val="003609B6"/>
    <w:rsid w:val="00361119"/>
    <w:rsid w:val="003613F7"/>
    <w:rsid w:val="003618E4"/>
    <w:rsid w:val="0036390D"/>
    <w:rsid w:val="0036538D"/>
    <w:rsid w:val="00365D12"/>
    <w:rsid w:val="00366A11"/>
    <w:rsid w:val="00366E20"/>
    <w:rsid w:val="0037018D"/>
    <w:rsid w:val="00372299"/>
    <w:rsid w:val="00372F02"/>
    <w:rsid w:val="00373729"/>
    <w:rsid w:val="00373C91"/>
    <w:rsid w:val="0037419B"/>
    <w:rsid w:val="003748F0"/>
    <w:rsid w:val="003755C6"/>
    <w:rsid w:val="00375AEF"/>
    <w:rsid w:val="00376367"/>
    <w:rsid w:val="00376B02"/>
    <w:rsid w:val="0037733A"/>
    <w:rsid w:val="003776DC"/>
    <w:rsid w:val="003779C1"/>
    <w:rsid w:val="00380FEC"/>
    <w:rsid w:val="00381226"/>
    <w:rsid w:val="00381B1B"/>
    <w:rsid w:val="00381FF6"/>
    <w:rsid w:val="0038241C"/>
    <w:rsid w:val="00383D7D"/>
    <w:rsid w:val="00384CCE"/>
    <w:rsid w:val="003865E5"/>
    <w:rsid w:val="003909C3"/>
    <w:rsid w:val="00391DF0"/>
    <w:rsid w:val="003926C1"/>
    <w:rsid w:val="00392900"/>
    <w:rsid w:val="00393357"/>
    <w:rsid w:val="00395008"/>
    <w:rsid w:val="00395E7B"/>
    <w:rsid w:val="00395F4C"/>
    <w:rsid w:val="003A00A8"/>
    <w:rsid w:val="003A296E"/>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1F3"/>
    <w:rsid w:val="003C1C32"/>
    <w:rsid w:val="003C40DA"/>
    <w:rsid w:val="003C42BA"/>
    <w:rsid w:val="003C462F"/>
    <w:rsid w:val="003C4A02"/>
    <w:rsid w:val="003C4F05"/>
    <w:rsid w:val="003C6191"/>
    <w:rsid w:val="003C6E49"/>
    <w:rsid w:val="003D051D"/>
    <w:rsid w:val="003D0CBF"/>
    <w:rsid w:val="003D0DD6"/>
    <w:rsid w:val="003D4B73"/>
    <w:rsid w:val="003D503B"/>
    <w:rsid w:val="003D605E"/>
    <w:rsid w:val="003D61D1"/>
    <w:rsid w:val="003D6780"/>
    <w:rsid w:val="003D6FCB"/>
    <w:rsid w:val="003D7135"/>
    <w:rsid w:val="003E0F84"/>
    <w:rsid w:val="003E1FF3"/>
    <w:rsid w:val="003E3ACA"/>
    <w:rsid w:val="003E50EA"/>
    <w:rsid w:val="003E68C7"/>
    <w:rsid w:val="003E7313"/>
    <w:rsid w:val="003E79B0"/>
    <w:rsid w:val="003F0403"/>
    <w:rsid w:val="003F1094"/>
    <w:rsid w:val="003F2E45"/>
    <w:rsid w:val="003F3EFE"/>
    <w:rsid w:val="003F40B8"/>
    <w:rsid w:val="003F4CB0"/>
    <w:rsid w:val="003F5C06"/>
    <w:rsid w:val="00400195"/>
    <w:rsid w:val="00401999"/>
    <w:rsid w:val="0040254B"/>
    <w:rsid w:val="00403086"/>
    <w:rsid w:val="00403460"/>
    <w:rsid w:val="004040FF"/>
    <w:rsid w:val="00404284"/>
    <w:rsid w:val="004042C4"/>
    <w:rsid w:val="00405D0C"/>
    <w:rsid w:val="00406E90"/>
    <w:rsid w:val="00410240"/>
    <w:rsid w:val="00412253"/>
    <w:rsid w:val="004142ED"/>
    <w:rsid w:val="0041634D"/>
    <w:rsid w:val="00416ABC"/>
    <w:rsid w:val="00417EF7"/>
    <w:rsid w:val="0042141E"/>
    <w:rsid w:val="00421B85"/>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38A"/>
    <w:rsid w:val="0043173B"/>
    <w:rsid w:val="00431B0A"/>
    <w:rsid w:val="00431DA4"/>
    <w:rsid w:val="00432A91"/>
    <w:rsid w:val="004332A4"/>
    <w:rsid w:val="00433BD1"/>
    <w:rsid w:val="004344B8"/>
    <w:rsid w:val="0043453F"/>
    <w:rsid w:val="00434A74"/>
    <w:rsid w:val="004350F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59F"/>
    <w:rsid w:val="00461E35"/>
    <w:rsid w:val="004621DB"/>
    <w:rsid w:val="004634A7"/>
    <w:rsid w:val="00463787"/>
    <w:rsid w:val="004641DE"/>
    <w:rsid w:val="00466926"/>
    <w:rsid w:val="00466FDA"/>
    <w:rsid w:val="004671D0"/>
    <w:rsid w:val="004674D1"/>
    <w:rsid w:val="00470258"/>
    <w:rsid w:val="00470773"/>
    <w:rsid w:val="00471FF9"/>
    <w:rsid w:val="00473E74"/>
    <w:rsid w:val="00473FEF"/>
    <w:rsid w:val="00475B8E"/>
    <w:rsid w:val="0048104E"/>
    <w:rsid w:val="004814BB"/>
    <w:rsid w:val="004815DA"/>
    <w:rsid w:val="00482458"/>
    <w:rsid w:val="004837ED"/>
    <w:rsid w:val="00483942"/>
    <w:rsid w:val="004843CE"/>
    <w:rsid w:val="00484D11"/>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77E"/>
    <w:rsid w:val="00495A6A"/>
    <w:rsid w:val="00495D5E"/>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3CF5"/>
    <w:rsid w:val="004B4681"/>
    <w:rsid w:val="004B59E0"/>
    <w:rsid w:val="004B667B"/>
    <w:rsid w:val="004B71C7"/>
    <w:rsid w:val="004C03AA"/>
    <w:rsid w:val="004C0B9A"/>
    <w:rsid w:val="004C12DB"/>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836"/>
    <w:rsid w:val="004D2D3A"/>
    <w:rsid w:val="004D374D"/>
    <w:rsid w:val="004D3D0F"/>
    <w:rsid w:val="004D3DEC"/>
    <w:rsid w:val="004D42C8"/>
    <w:rsid w:val="004D4F57"/>
    <w:rsid w:val="004D50F6"/>
    <w:rsid w:val="004D5A0D"/>
    <w:rsid w:val="004D7910"/>
    <w:rsid w:val="004D7D22"/>
    <w:rsid w:val="004D7DEA"/>
    <w:rsid w:val="004E058E"/>
    <w:rsid w:val="004E0A28"/>
    <w:rsid w:val="004E1A0F"/>
    <w:rsid w:val="004E2E89"/>
    <w:rsid w:val="004E33C2"/>
    <w:rsid w:val="004E3B9A"/>
    <w:rsid w:val="004E49B0"/>
    <w:rsid w:val="004E60D2"/>
    <w:rsid w:val="004E62DE"/>
    <w:rsid w:val="004E6B05"/>
    <w:rsid w:val="004E7625"/>
    <w:rsid w:val="004E76A1"/>
    <w:rsid w:val="004F05DE"/>
    <w:rsid w:val="004F1A78"/>
    <w:rsid w:val="004F23A3"/>
    <w:rsid w:val="004F6376"/>
    <w:rsid w:val="004F6A93"/>
    <w:rsid w:val="004F6F14"/>
    <w:rsid w:val="004F728D"/>
    <w:rsid w:val="004F76D9"/>
    <w:rsid w:val="004F79A6"/>
    <w:rsid w:val="00501BF5"/>
    <w:rsid w:val="00501D8B"/>
    <w:rsid w:val="00502F7C"/>
    <w:rsid w:val="005039EC"/>
    <w:rsid w:val="00503A3E"/>
    <w:rsid w:val="00503F59"/>
    <w:rsid w:val="005049A7"/>
    <w:rsid w:val="005053B2"/>
    <w:rsid w:val="00506331"/>
    <w:rsid w:val="00507D11"/>
    <w:rsid w:val="0051036F"/>
    <w:rsid w:val="00510662"/>
    <w:rsid w:val="005109B7"/>
    <w:rsid w:val="00510A19"/>
    <w:rsid w:val="00511AAB"/>
    <w:rsid w:val="00511CAD"/>
    <w:rsid w:val="00514D10"/>
    <w:rsid w:val="00516783"/>
    <w:rsid w:val="005171FB"/>
    <w:rsid w:val="00517886"/>
    <w:rsid w:val="00517EF8"/>
    <w:rsid w:val="00520083"/>
    <w:rsid w:val="0052029E"/>
    <w:rsid w:val="0052076A"/>
    <w:rsid w:val="00520A2C"/>
    <w:rsid w:val="00520E25"/>
    <w:rsid w:val="0052183D"/>
    <w:rsid w:val="00522B01"/>
    <w:rsid w:val="00522F44"/>
    <w:rsid w:val="0052360A"/>
    <w:rsid w:val="005242BA"/>
    <w:rsid w:val="005243B8"/>
    <w:rsid w:val="005252DD"/>
    <w:rsid w:val="00526EE1"/>
    <w:rsid w:val="00530A8D"/>
    <w:rsid w:val="00530E18"/>
    <w:rsid w:val="00531C6D"/>
    <w:rsid w:val="00532221"/>
    <w:rsid w:val="00532EF4"/>
    <w:rsid w:val="005347CE"/>
    <w:rsid w:val="00535477"/>
    <w:rsid w:val="00535DEA"/>
    <w:rsid w:val="0053723A"/>
    <w:rsid w:val="00537636"/>
    <w:rsid w:val="00537B1D"/>
    <w:rsid w:val="00537EBB"/>
    <w:rsid w:val="00540191"/>
    <w:rsid w:val="00540A2A"/>
    <w:rsid w:val="00541F27"/>
    <w:rsid w:val="00542297"/>
    <w:rsid w:val="005424B8"/>
    <w:rsid w:val="005424BC"/>
    <w:rsid w:val="00542A28"/>
    <w:rsid w:val="005441D4"/>
    <w:rsid w:val="00545B8D"/>
    <w:rsid w:val="0054672D"/>
    <w:rsid w:val="00547728"/>
    <w:rsid w:val="00550F4E"/>
    <w:rsid w:val="00551E98"/>
    <w:rsid w:val="005532B5"/>
    <w:rsid w:val="00554A05"/>
    <w:rsid w:val="00555148"/>
    <w:rsid w:val="00555849"/>
    <w:rsid w:val="005559A8"/>
    <w:rsid w:val="00557048"/>
    <w:rsid w:val="00557FB5"/>
    <w:rsid w:val="0056012D"/>
    <w:rsid w:val="00561AED"/>
    <w:rsid w:val="005648A8"/>
    <w:rsid w:val="00564DE3"/>
    <w:rsid w:val="00564E44"/>
    <w:rsid w:val="00566C6A"/>
    <w:rsid w:val="00566CE5"/>
    <w:rsid w:val="00566D36"/>
    <w:rsid w:val="00570302"/>
    <w:rsid w:val="0057163A"/>
    <w:rsid w:val="0057174D"/>
    <w:rsid w:val="00573569"/>
    <w:rsid w:val="00573871"/>
    <w:rsid w:val="0057389E"/>
    <w:rsid w:val="00574A6C"/>
    <w:rsid w:val="005765C0"/>
    <w:rsid w:val="005778DE"/>
    <w:rsid w:val="00580B3F"/>
    <w:rsid w:val="00581535"/>
    <w:rsid w:val="005825F2"/>
    <w:rsid w:val="0058344D"/>
    <w:rsid w:val="00583783"/>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649"/>
    <w:rsid w:val="005A4B18"/>
    <w:rsid w:val="005A537E"/>
    <w:rsid w:val="005A6F43"/>
    <w:rsid w:val="005A767D"/>
    <w:rsid w:val="005A775C"/>
    <w:rsid w:val="005B00F1"/>
    <w:rsid w:val="005B0C13"/>
    <w:rsid w:val="005B0CE7"/>
    <w:rsid w:val="005B10E2"/>
    <w:rsid w:val="005B1803"/>
    <w:rsid w:val="005B4079"/>
    <w:rsid w:val="005B428E"/>
    <w:rsid w:val="005B4C28"/>
    <w:rsid w:val="005B5B3C"/>
    <w:rsid w:val="005B64CB"/>
    <w:rsid w:val="005B65C0"/>
    <w:rsid w:val="005B6AAA"/>
    <w:rsid w:val="005B7554"/>
    <w:rsid w:val="005B7C78"/>
    <w:rsid w:val="005C0FB2"/>
    <w:rsid w:val="005C1169"/>
    <w:rsid w:val="005C16E2"/>
    <w:rsid w:val="005C1C37"/>
    <w:rsid w:val="005C24EF"/>
    <w:rsid w:val="005C2796"/>
    <w:rsid w:val="005C2CC0"/>
    <w:rsid w:val="005C2D80"/>
    <w:rsid w:val="005C3C6C"/>
    <w:rsid w:val="005C3F4C"/>
    <w:rsid w:val="005C43AA"/>
    <w:rsid w:val="005C48C8"/>
    <w:rsid w:val="005C4E8F"/>
    <w:rsid w:val="005C56D3"/>
    <w:rsid w:val="005C663C"/>
    <w:rsid w:val="005D0750"/>
    <w:rsid w:val="005D1023"/>
    <w:rsid w:val="005D148F"/>
    <w:rsid w:val="005D2AD2"/>
    <w:rsid w:val="005D3762"/>
    <w:rsid w:val="005D45E1"/>
    <w:rsid w:val="005D4A86"/>
    <w:rsid w:val="005D4F78"/>
    <w:rsid w:val="005D4F98"/>
    <w:rsid w:val="005D5EB1"/>
    <w:rsid w:val="005D6A29"/>
    <w:rsid w:val="005E0481"/>
    <w:rsid w:val="005E10BF"/>
    <w:rsid w:val="005E1834"/>
    <w:rsid w:val="005E49E5"/>
    <w:rsid w:val="005E4A48"/>
    <w:rsid w:val="005E4E00"/>
    <w:rsid w:val="005E5481"/>
    <w:rsid w:val="005E55E4"/>
    <w:rsid w:val="005E6C5F"/>
    <w:rsid w:val="005E7636"/>
    <w:rsid w:val="005F028E"/>
    <w:rsid w:val="005F04B4"/>
    <w:rsid w:val="005F0F43"/>
    <w:rsid w:val="005F11A4"/>
    <w:rsid w:val="005F19F8"/>
    <w:rsid w:val="005F2F2D"/>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16D8"/>
    <w:rsid w:val="0061263A"/>
    <w:rsid w:val="00612C41"/>
    <w:rsid w:val="00613629"/>
    <w:rsid w:val="006145DE"/>
    <w:rsid w:val="0061478E"/>
    <w:rsid w:val="00614F25"/>
    <w:rsid w:val="00616A11"/>
    <w:rsid w:val="00616B9B"/>
    <w:rsid w:val="00617520"/>
    <w:rsid w:val="0062022D"/>
    <w:rsid w:val="00620D7C"/>
    <w:rsid w:val="00621089"/>
    <w:rsid w:val="00621832"/>
    <w:rsid w:val="00621E1F"/>
    <w:rsid w:val="006228B2"/>
    <w:rsid w:val="006228E1"/>
    <w:rsid w:val="00622E32"/>
    <w:rsid w:val="00623688"/>
    <w:rsid w:val="006247E0"/>
    <w:rsid w:val="00625ABA"/>
    <w:rsid w:val="00625F82"/>
    <w:rsid w:val="00627999"/>
    <w:rsid w:val="00630FF7"/>
    <w:rsid w:val="00633433"/>
    <w:rsid w:val="006341B5"/>
    <w:rsid w:val="006346C9"/>
    <w:rsid w:val="00634727"/>
    <w:rsid w:val="00634B64"/>
    <w:rsid w:val="0063578C"/>
    <w:rsid w:val="0063642C"/>
    <w:rsid w:val="0063681E"/>
    <w:rsid w:val="00636FF9"/>
    <w:rsid w:val="00640A46"/>
    <w:rsid w:val="00640DCD"/>
    <w:rsid w:val="00641DC3"/>
    <w:rsid w:val="00642972"/>
    <w:rsid w:val="00644F4D"/>
    <w:rsid w:val="006469B1"/>
    <w:rsid w:val="00646C0D"/>
    <w:rsid w:val="00646C30"/>
    <w:rsid w:val="006476F7"/>
    <w:rsid w:val="0064779E"/>
    <w:rsid w:val="006479FA"/>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1A8"/>
    <w:rsid w:val="00666F74"/>
    <w:rsid w:val="00667FEA"/>
    <w:rsid w:val="006710D2"/>
    <w:rsid w:val="00671A8B"/>
    <w:rsid w:val="00671F53"/>
    <w:rsid w:val="006725A0"/>
    <w:rsid w:val="00674628"/>
    <w:rsid w:val="0067555E"/>
    <w:rsid w:val="006757B5"/>
    <w:rsid w:val="00675EBF"/>
    <w:rsid w:val="006760FC"/>
    <w:rsid w:val="00677FAD"/>
    <w:rsid w:val="006802DE"/>
    <w:rsid w:val="0068032D"/>
    <w:rsid w:val="0068068C"/>
    <w:rsid w:val="00681115"/>
    <w:rsid w:val="006815DF"/>
    <w:rsid w:val="00683920"/>
    <w:rsid w:val="00685147"/>
    <w:rsid w:val="00685653"/>
    <w:rsid w:val="0068590D"/>
    <w:rsid w:val="00685A89"/>
    <w:rsid w:val="006861B3"/>
    <w:rsid w:val="00686FA2"/>
    <w:rsid w:val="006870C5"/>
    <w:rsid w:val="006901CE"/>
    <w:rsid w:val="006906F9"/>
    <w:rsid w:val="00690F0E"/>
    <w:rsid w:val="006911C0"/>
    <w:rsid w:val="00691B7C"/>
    <w:rsid w:val="00691FC2"/>
    <w:rsid w:val="00692ADF"/>
    <w:rsid w:val="00693907"/>
    <w:rsid w:val="00694B73"/>
    <w:rsid w:val="00694DF2"/>
    <w:rsid w:val="00695B5D"/>
    <w:rsid w:val="00695F80"/>
    <w:rsid w:val="006966CD"/>
    <w:rsid w:val="00696735"/>
    <w:rsid w:val="0069780E"/>
    <w:rsid w:val="006A1C0A"/>
    <w:rsid w:val="006A1CFA"/>
    <w:rsid w:val="006A2CA2"/>
    <w:rsid w:val="006A3DEE"/>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2A52"/>
    <w:rsid w:val="006E2FCA"/>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0781C"/>
    <w:rsid w:val="00710519"/>
    <w:rsid w:val="007107E0"/>
    <w:rsid w:val="00710F6E"/>
    <w:rsid w:val="00711663"/>
    <w:rsid w:val="007116B4"/>
    <w:rsid w:val="007121FB"/>
    <w:rsid w:val="00712580"/>
    <w:rsid w:val="007133E4"/>
    <w:rsid w:val="00713788"/>
    <w:rsid w:val="00713940"/>
    <w:rsid w:val="007151A2"/>
    <w:rsid w:val="00716774"/>
    <w:rsid w:val="0071740A"/>
    <w:rsid w:val="007178DD"/>
    <w:rsid w:val="007209DD"/>
    <w:rsid w:val="00722E49"/>
    <w:rsid w:val="0072300F"/>
    <w:rsid w:val="00723A08"/>
    <w:rsid w:val="00723B5C"/>
    <w:rsid w:val="007240A0"/>
    <w:rsid w:val="00724391"/>
    <w:rsid w:val="00724C18"/>
    <w:rsid w:val="00725233"/>
    <w:rsid w:val="00725FB1"/>
    <w:rsid w:val="00726630"/>
    <w:rsid w:val="00727F73"/>
    <w:rsid w:val="00730705"/>
    <w:rsid w:val="00730944"/>
    <w:rsid w:val="00731475"/>
    <w:rsid w:val="0073248E"/>
    <w:rsid w:val="00733EE9"/>
    <w:rsid w:val="00735B8E"/>
    <w:rsid w:val="00736639"/>
    <w:rsid w:val="00736651"/>
    <w:rsid w:val="0073673C"/>
    <w:rsid w:val="00736935"/>
    <w:rsid w:val="0073702F"/>
    <w:rsid w:val="007378EC"/>
    <w:rsid w:val="00737DD9"/>
    <w:rsid w:val="00741FF1"/>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647"/>
    <w:rsid w:val="00766F4D"/>
    <w:rsid w:val="00770268"/>
    <w:rsid w:val="007706B9"/>
    <w:rsid w:val="007707ED"/>
    <w:rsid w:val="00771C3B"/>
    <w:rsid w:val="007726F9"/>
    <w:rsid w:val="00773567"/>
    <w:rsid w:val="00773B94"/>
    <w:rsid w:val="00773C65"/>
    <w:rsid w:val="00775937"/>
    <w:rsid w:val="00777046"/>
    <w:rsid w:val="007770DA"/>
    <w:rsid w:val="007805B9"/>
    <w:rsid w:val="00780C3A"/>
    <w:rsid w:val="007834A1"/>
    <w:rsid w:val="00791EB4"/>
    <w:rsid w:val="0079259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4F6C"/>
    <w:rsid w:val="007A591B"/>
    <w:rsid w:val="007A5C01"/>
    <w:rsid w:val="007A5C2C"/>
    <w:rsid w:val="007A7678"/>
    <w:rsid w:val="007B0CD8"/>
    <w:rsid w:val="007B0DE0"/>
    <w:rsid w:val="007B21DE"/>
    <w:rsid w:val="007B2BB9"/>
    <w:rsid w:val="007B43E8"/>
    <w:rsid w:val="007B4740"/>
    <w:rsid w:val="007B502C"/>
    <w:rsid w:val="007B5F3B"/>
    <w:rsid w:val="007C02B0"/>
    <w:rsid w:val="007C063E"/>
    <w:rsid w:val="007C1901"/>
    <w:rsid w:val="007C3932"/>
    <w:rsid w:val="007C49C0"/>
    <w:rsid w:val="007C4F24"/>
    <w:rsid w:val="007C55C1"/>
    <w:rsid w:val="007C5738"/>
    <w:rsid w:val="007C5772"/>
    <w:rsid w:val="007C5962"/>
    <w:rsid w:val="007C5AC3"/>
    <w:rsid w:val="007C5BD5"/>
    <w:rsid w:val="007C5CE7"/>
    <w:rsid w:val="007C612F"/>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A4D"/>
    <w:rsid w:val="007F0DDA"/>
    <w:rsid w:val="007F1939"/>
    <w:rsid w:val="007F365C"/>
    <w:rsid w:val="007F5066"/>
    <w:rsid w:val="007F621C"/>
    <w:rsid w:val="007F7155"/>
    <w:rsid w:val="00800C28"/>
    <w:rsid w:val="0080245E"/>
    <w:rsid w:val="00802523"/>
    <w:rsid w:val="00802E10"/>
    <w:rsid w:val="00803480"/>
    <w:rsid w:val="0080359C"/>
    <w:rsid w:val="008035B2"/>
    <w:rsid w:val="008037AE"/>
    <w:rsid w:val="008037F6"/>
    <w:rsid w:val="008043F4"/>
    <w:rsid w:val="00804779"/>
    <w:rsid w:val="00804BB4"/>
    <w:rsid w:val="00805D9F"/>
    <w:rsid w:val="00806467"/>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27DAC"/>
    <w:rsid w:val="0083003F"/>
    <w:rsid w:val="00830677"/>
    <w:rsid w:val="00831077"/>
    <w:rsid w:val="00831A4A"/>
    <w:rsid w:val="00832134"/>
    <w:rsid w:val="0083219E"/>
    <w:rsid w:val="008324B3"/>
    <w:rsid w:val="0083497C"/>
    <w:rsid w:val="008352A6"/>
    <w:rsid w:val="00835478"/>
    <w:rsid w:val="00835B5B"/>
    <w:rsid w:val="00835CC2"/>
    <w:rsid w:val="008367AE"/>
    <w:rsid w:val="00836DB2"/>
    <w:rsid w:val="00836E50"/>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A81"/>
    <w:rsid w:val="00863CC1"/>
    <w:rsid w:val="00863ECB"/>
    <w:rsid w:val="00865B01"/>
    <w:rsid w:val="00866D7A"/>
    <w:rsid w:val="00866EE3"/>
    <w:rsid w:val="00871F04"/>
    <w:rsid w:val="008746C1"/>
    <w:rsid w:val="00875DA2"/>
    <w:rsid w:val="00880224"/>
    <w:rsid w:val="0088244C"/>
    <w:rsid w:val="00882C3A"/>
    <w:rsid w:val="00883367"/>
    <w:rsid w:val="00883692"/>
    <w:rsid w:val="00884C47"/>
    <w:rsid w:val="00885E6F"/>
    <w:rsid w:val="008861AC"/>
    <w:rsid w:val="008862B9"/>
    <w:rsid w:val="008868E4"/>
    <w:rsid w:val="00886A60"/>
    <w:rsid w:val="0088759B"/>
    <w:rsid w:val="008909B4"/>
    <w:rsid w:val="00891515"/>
    <w:rsid w:val="008922E8"/>
    <w:rsid w:val="008935E5"/>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B7671"/>
    <w:rsid w:val="008C0320"/>
    <w:rsid w:val="008C072B"/>
    <w:rsid w:val="008C21D4"/>
    <w:rsid w:val="008C2A81"/>
    <w:rsid w:val="008C3863"/>
    <w:rsid w:val="008C3B6B"/>
    <w:rsid w:val="008C4BDC"/>
    <w:rsid w:val="008C50FF"/>
    <w:rsid w:val="008C5435"/>
    <w:rsid w:val="008C6BD1"/>
    <w:rsid w:val="008D2DB5"/>
    <w:rsid w:val="008D3DD7"/>
    <w:rsid w:val="008D3F10"/>
    <w:rsid w:val="008D611D"/>
    <w:rsid w:val="008D6D0B"/>
    <w:rsid w:val="008E113B"/>
    <w:rsid w:val="008E1B6A"/>
    <w:rsid w:val="008E3054"/>
    <w:rsid w:val="008E32FF"/>
    <w:rsid w:val="008E4202"/>
    <w:rsid w:val="008E5625"/>
    <w:rsid w:val="008E5C5B"/>
    <w:rsid w:val="008E6A37"/>
    <w:rsid w:val="008F0354"/>
    <w:rsid w:val="008F085A"/>
    <w:rsid w:val="008F0D87"/>
    <w:rsid w:val="008F1462"/>
    <w:rsid w:val="008F2413"/>
    <w:rsid w:val="008F248D"/>
    <w:rsid w:val="008F4B2C"/>
    <w:rsid w:val="008F4C08"/>
    <w:rsid w:val="008F6851"/>
    <w:rsid w:val="008F7BC4"/>
    <w:rsid w:val="009003B8"/>
    <w:rsid w:val="00900E7A"/>
    <w:rsid w:val="009013B5"/>
    <w:rsid w:val="00903E11"/>
    <w:rsid w:val="00903EBE"/>
    <w:rsid w:val="009041DE"/>
    <w:rsid w:val="0090539A"/>
    <w:rsid w:val="00905D59"/>
    <w:rsid w:val="009062CA"/>
    <w:rsid w:val="00907631"/>
    <w:rsid w:val="00907776"/>
    <w:rsid w:val="00907865"/>
    <w:rsid w:val="00912A7D"/>
    <w:rsid w:val="00913401"/>
    <w:rsid w:val="00913567"/>
    <w:rsid w:val="009137B6"/>
    <w:rsid w:val="009142CB"/>
    <w:rsid w:val="00915EBA"/>
    <w:rsid w:val="00917093"/>
    <w:rsid w:val="0092030E"/>
    <w:rsid w:val="009217B1"/>
    <w:rsid w:val="00921A42"/>
    <w:rsid w:val="009223BB"/>
    <w:rsid w:val="00922491"/>
    <w:rsid w:val="00923BCF"/>
    <w:rsid w:val="00925AEC"/>
    <w:rsid w:val="00926E99"/>
    <w:rsid w:val="0092751A"/>
    <w:rsid w:val="009305C4"/>
    <w:rsid w:val="00930833"/>
    <w:rsid w:val="00930DAA"/>
    <w:rsid w:val="00930FBB"/>
    <w:rsid w:val="00931707"/>
    <w:rsid w:val="00931FAF"/>
    <w:rsid w:val="00932478"/>
    <w:rsid w:val="009360F6"/>
    <w:rsid w:val="009371DC"/>
    <w:rsid w:val="0093759D"/>
    <w:rsid w:val="00940239"/>
    <w:rsid w:val="00942BD6"/>
    <w:rsid w:val="00942DED"/>
    <w:rsid w:val="00944404"/>
    <w:rsid w:val="009452D7"/>
    <w:rsid w:val="00945D12"/>
    <w:rsid w:val="00945FD1"/>
    <w:rsid w:val="00946CCC"/>
    <w:rsid w:val="009503E5"/>
    <w:rsid w:val="00950F71"/>
    <w:rsid w:val="00952F2C"/>
    <w:rsid w:val="009532E3"/>
    <w:rsid w:val="0095351A"/>
    <w:rsid w:val="00953615"/>
    <w:rsid w:val="00954BAF"/>
    <w:rsid w:val="00954E71"/>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0F12"/>
    <w:rsid w:val="00971DA3"/>
    <w:rsid w:val="00972161"/>
    <w:rsid w:val="0097261B"/>
    <w:rsid w:val="00974881"/>
    <w:rsid w:val="0097606C"/>
    <w:rsid w:val="00976269"/>
    <w:rsid w:val="009771D1"/>
    <w:rsid w:val="0098012D"/>
    <w:rsid w:val="00980845"/>
    <w:rsid w:val="00981BD9"/>
    <w:rsid w:val="0098225F"/>
    <w:rsid w:val="009838B0"/>
    <w:rsid w:val="00983A3C"/>
    <w:rsid w:val="00983EFA"/>
    <w:rsid w:val="00984C15"/>
    <w:rsid w:val="00987829"/>
    <w:rsid w:val="00987B0F"/>
    <w:rsid w:val="00987F7A"/>
    <w:rsid w:val="00991276"/>
    <w:rsid w:val="009923E7"/>
    <w:rsid w:val="00992697"/>
    <w:rsid w:val="00992D4E"/>
    <w:rsid w:val="009934BB"/>
    <w:rsid w:val="00994621"/>
    <w:rsid w:val="009947FF"/>
    <w:rsid w:val="0099544B"/>
    <w:rsid w:val="009957B2"/>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047"/>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6434"/>
    <w:rsid w:val="009F7410"/>
    <w:rsid w:val="009F7669"/>
    <w:rsid w:val="009F7F45"/>
    <w:rsid w:val="009F7FD5"/>
    <w:rsid w:val="00A005D4"/>
    <w:rsid w:val="00A0083C"/>
    <w:rsid w:val="00A010A1"/>
    <w:rsid w:val="00A01A90"/>
    <w:rsid w:val="00A02370"/>
    <w:rsid w:val="00A04685"/>
    <w:rsid w:val="00A04C57"/>
    <w:rsid w:val="00A06340"/>
    <w:rsid w:val="00A0684F"/>
    <w:rsid w:val="00A06867"/>
    <w:rsid w:val="00A10148"/>
    <w:rsid w:val="00A1086A"/>
    <w:rsid w:val="00A113FD"/>
    <w:rsid w:val="00A11DDE"/>
    <w:rsid w:val="00A127A7"/>
    <w:rsid w:val="00A129F4"/>
    <w:rsid w:val="00A136F4"/>
    <w:rsid w:val="00A13F61"/>
    <w:rsid w:val="00A14B3F"/>
    <w:rsid w:val="00A160D3"/>
    <w:rsid w:val="00A16DC9"/>
    <w:rsid w:val="00A20225"/>
    <w:rsid w:val="00A24269"/>
    <w:rsid w:val="00A243E4"/>
    <w:rsid w:val="00A24BDF"/>
    <w:rsid w:val="00A25392"/>
    <w:rsid w:val="00A25ED4"/>
    <w:rsid w:val="00A263DF"/>
    <w:rsid w:val="00A26C5C"/>
    <w:rsid w:val="00A3026E"/>
    <w:rsid w:val="00A3075A"/>
    <w:rsid w:val="00A307FB"/>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3D23"/>
    <w:rsid w:val="00A74F9F"/>
    <w:rsid w:val="00A750B3"/>
    <w:rsid w:val="00A75559"/>
    <w:rsid w:val="00A7623D"/>
    <w:rsid w:val="00A8217C"/>
    <w:rsid w:val="00A824A7"/>
    <w:rsid w:val="00A83644"/>
    <w:rsid w:val="00A83C07"/>
    <w:rsid w:val="00A83F40"/>
    <w:rsid w:val="00A84945"/>
    <w:rsid w:val="00A85543"/>
    <w:rsid w:val="00A86EDD"/>
    <w:rsid w:val="00A8728B"/>
    <w:rsid w:val="00A90A9D"/>
    <w:rsid w:val="00A91682"/>
    <w:rsid w:val="00A91B6F"/>
    <w:rsid w:val="00A920E2"/>
    <w:rsid w:val="00A92125"/>
    <w:rsid w:val="00A92E4A"/>
    <w:rsid w:val="00A94348"/>
    <w:rsid w:val="00A958CA"/>
    <w:rsid w:val="00A966B6"/>
    <w:rsid w:val="00A96B46"/>
    <w:rsid w:val="00AA003B"/>
    <w:rsid w:val="00AA016B"/>
    <w:rsid w:val="00AA02BB"/>
    <w:rsid w:val="00AA15DD"/>
    <w:rsid w:val="00AA1C09"/>
    <w:rsid w:val="00AA2F67"/>
    <w:rsid w:val="00AA3569"/>
    <w:rsid w:val="00AA3E02"/>
    <w:rsid w:val="00AA5F4C"/>
    <w:rsid w:val="00AA615C"/>
    <w:rsid w:val="00AA6276"/>
    <w:rsid w:val="00AA6711"/>
    <w:rsid w:val="00AB2AEC"/>
    <w:rsid w:val="00AB2DC1"/>
    <w:rsid w:val="00AB3102"/>
    <w:rsid w:val="00AB3D9A"/>
    <w:rsid w:val="00AB4824"/>
    <w:rsid w:val="00AB4B1D"/>
    <w:rsid w:val="00AB6B5E"/>
    <w:rsid w:val="00AC047F"/>
    <w:rsid w:val="00AC0DB2"/>
    <w:rsid w:val="00AC379A"/>
    <w:rsid w:val="00AC379D"/>
    <w:rsid w:val="00AC3934"/>
    <w:rsid w:val="00AC50C8"/>
    <w:rsid w:val="00AC5581"/>
    <w:rsid w:val="00AC56AD"/>
    <w:rsid w:val="00AC61BE"/>
    <w:rsid w:val="00AC7E2D"/>
    <w:rsid w:val="00AC7E8A"/>
    <w:rsid w:val="00AD0C8A"/>
    <w:rsid w:val="00AD0CB4"/>
    <w:rsid w:val="00AD1A9B"/>
    <w:rsid w:val="00AD1FF2"/>
    <w:rsid w:val="00AD2A21"/>
    <w:rsid w:val="00AD3B43"/>
    <w:rsid w:val="00AD4FF2"/>
    <w:rsid w:val="00AD506C"/>
    <w:rsid w:val="00AD6A14"/>
    <w:rsid w:val="00AD6BE5"/>
    <w:rsid w:val="00AD6D3A"/>
    <w:rsid w:val="00AD783E"/>
    <w:rsid w:val="00AE1393"/>
    <w:rsid w:val="00AE2A0A"/>
    <w:rsid w:val="00AE3BC6"/>
    <w:rsid w:val="00AE4D4F"/>
    <w:rsid w:val="00AE627C"/>
    <w:rsid w:val="00AE62B0"/>
    <w:rsid w:val="00AE68A2"/>
    <w:rsid w:val="00AF0029"/>
    <w:rsid w:val="00AF0354"/>
    <w:rsid w:val="00AF1236"/>
    <w:rsid w:val="00AF1C30"/>
    <w:rsid w:val="00AF3C29"/>
    <w:rsid w:val="00AF40A2"/>
    <w:rsid w:val="00AF4401"/>
    <w:rsid w:val="00AF4463"/>
    <w:rsid w:val="00AF502B"/>
    <w:rsid w:val="00AF53CB"/>
    <w:rsid w:val="00AF65C5"/>
    <w:rsid w:val="00AF6B6F"/>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2B5"/>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4BE"/>
    <w:rsid w:val="00B40A2B"/>
    <w:rsid w:val="00B420CB"/>
    <w:rsid w:val="00B4401C"/>
    <w:rsid w:val="00B44802"/>
    <w:rsid w:val="00B44A96"/>
    <w:rsid w:val="00B455D1"/>
    <w:rsid w:val="00B46135"/>
    <w:rsid w:val="00B46DDD"/>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57BA8"/>
    <w:rsid w:val="00B60D27"/>
    <w:rsid w:val="00B619E4"/>
    <w:rsid w:val="00B61CD3"/>
    <w:rsid w:val="00B61D0B"/>
    <w:rsid w:val="00B6351C"/>
    <w:rsid w:val="00B6439A"/>
    <w:rsid w:val="00B6443B"/>
    <w:rsid w:val="00B6517B"/>
    <w:rsid w:val="00B658A2"/>
    <w:rsid w:val="00B65E71"/>
    <w:rsid w:val="00B66C26"/>
    <w:rsid w:val="00B67829"/>
    <w:rsid w:val="00B71FB3"/>
    <w:rsid w:val="00B73492"/>
    <w:rsid w:val="00B744D6"/>
    <w:rsid w:val="00B7512A"/>
    <w:rsid w:val="00B76548"/>
    <w:rsid w:val="00B76BED"/>
    <w:rsid w:val="00B777B4"/>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1529"/>
    <w:rsid w:val="00BA24F8"/>
    <w:rsid w:val="00BA31AA"/>
    <w:rsid w:val="00BA325D"/>
    <w:rsid w:val="00BA45D8"/>
    <w:rsid w:val="00BA5828"/>
    <w:rsid w:val="00BA64B3"/>
    <w:rsid w:val="00BA754A"/>
    <w:rsid w:val="00BA7820"/>
    <w:rsid w:val="00BA794C"/>
    <w:rsid w:val="00BB09FB"/>
    <w:rsid w:val="00BB1973"/>
    <w:rsid w:val="00BB238D"/>
    <w:rsid w:val="00BB37CC"/>
    <w:rsid w:val="00BB48C4"/>
    <w:rsid w:val="00BB6071"/>
    <w:rsid w:val="00BB6907"/>
    <w:rsid w:val="00BB77B2"/>
    <w:rsid w:val="00BB7A20"/>
    <w:rsid w:val="00BC15B1"/>
    <w:rsid w:val="00BC3C06"/>
    <w:rsid w:val="00BC4E8B"/>
    <w:rsid w:val="00BC5622"/>
    <w:rsid w:val="00BC6060"/>
    <w:rsid w:val="00BC6A9F"/>
    <w:rsid w:val="00BC6CD2"/>
    <w:rsid w:val="00BC7897"/>
    <w:rsid w:val="00BD06D7"/>
    <w:rsid w:val="00BD0F35"/>
    <w:rsid w:val="00BD45A4"/>
    <w:rsid w:val="00BD4A5F"/>
    <w:rsid w:val="00BD59AA"/>
    <w:rsid w:val="00BD65E6"/>
    <w:rsid w:val="00BD6AF7"/>
    <w:rsid w:val="00BD73AA"/>
    <w:rsid w:val="00BE02A2"/>
    <w:rsid w:val="00BE03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2AF"/>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21A6"/>
    <w:rsid w:val="00C33916"/>
    <w:rsid w:val="00C33BCF"/>
    <w:rsid w:val="00C34FE2"/>
    <w:rsid w:val="00C353A0"/>
    <w:rsid w:val="00C368D7"/>
    <w:rsid w:val="00C36FD1"/>
    <w:rsid w:val="00C371A5"/>
    <w:rsid w:val="00C400B0"/>
    <w:rsid w:val="00C413FC"/>
    <w:rsid w:val="00C42424"/>
    <w:rsid w:val="00C43D33"/>
    <w:rsid w:val="00C44407"/>
    <w:rsid w:val="00C456E8"/>
    <w:rsid w:val="00C45CDA"/>
    <w:rsid w:val="00C46630"/>
    <w:rsid w:val="00C47601"/>
    <w:rsid w:val="00C47A2F"/>
    <w:rsid w:val="00C50D18"/>
    <w:rsid w:val="00C51179"/>
    <w:rsid w:val="00C51268"/>
    <w:rsid w:val="00C5282C"/>
    <w:rsid w:val="00C52FBE"/>
    <w:rsid w:val="00C5355E"/>
    <w:rsid w:val="00C535E2"/>
    <w:rsid w:val="00C53FC1"/>
    <w:rsid w:val="00C54034"/>
    <w:rsid w:val="00C551D2"/>
    <w:rsid w:val="00C56438"/>
    <w:rsid w:val="00C570B3"/>
    <w:rsid w:val="00C57114"/>
    <w:rsid w:val="00C6009F"/>
    <w:rsid w:val="00C60417"/>
    <w:rsid w:val="00C6046F"/>
    <w:rsid w:val="00C619AA"/>
    <w:rsid w:val="00C638C2"/>
    <w:rsid w:val="00C641BB"/>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1C2"/>
    <w:rsid w:val="00C9030B"/>
    <w:rsid w:val="00C909C6"/>
    <w:rsid w:val="00C923B7"/>
    <w:rsid w:val="00C94D4C"/>
    <w:rsid w:val="00C9635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128"/>
    <w:rsid w:val="00CB23D8"/>
    <w:rsid w:val="00CB2ED9"/>
    <w:rsid w:val="00CB3216"/>
    <w:rsid w:val="00CB36A5"/>
    <w:rsid w:val="00CB56B4"/>
    <w:rsid w:val="00CB7286"/>
    <w:rsid w:val="00CB7947"/>
    <w:rsid w:val="00CC1783"/>
    <w:rsid w:val="00CC2B8D"/>
    <w:rsid w:val="00CC3B46"/>
    <w:rsid w:val="00CC3D8B"/>
    <w:rsid w:val="00CC4E27"/>
    <w:rsid w:val="00CC570C"/>
    <w:rsid w:val="00CC59BB"/>
    <w:rsid w:val="00CC62B6"/>
    <w:rsid w:val="00CC76AA"/>
    <w:rsid w:val="00CC7CD2"/>
    <w:rsid w:val="00CD05CF"/>
    <w:rsid w:val="00CD1EC1"/>
    <w:rsid w:val="00CD1FAE"/>
    <w:rsid w:val="00CD232F"/>
    <w:rsid w:val="00CD2439"/>
    <w:rsid w:val="00CD279E"/>
    <w:rsid w:val="00CD2F92"/>
    <w:rsid w:val="00CD4EB0"/>
    <w:rsid w:val="00CD512D"/>
    <w:rsid w:val="00CD5831"/>
    <w:rsid w:val="00CD6F6E"/>
    <w:rsid w:val="00CE157F"/>
    <w:rsid w:val="00CE1966"/>
    <w:rsid w:val="00CE1ED4"/>
    <w:rsid w:val="00CE21E9"/>
    <w:rsid w:val="00CE2216"/>
    <w:rsid w:val="00CE2C65"/>
    <w:rsid w:val="00CE3014"/>
    <w:rsid w:val="00CE30E5"/>
    <w:rsid w:val="00CE438D"/>
    <w:rsid w:val="00CE6FC6"/>
    <w:rsid w:val="00CF2056"/>
    <w:rsid w:val="00CF4471"/>
    <w:rsid w:val="00CF51C0"/>
    <w:rsid w:val="00CF59F1"/>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5BDF"/>
    <w:rsid w:val="00D15D06"/>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713"/>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524"/>
    <w:rsid w:val="00D53941"/>
    <w:rsid w:val="00D54050"/>
    <w:rsid w:val="00D56AC0"/>
    <w:rsid w:val="00D6081B"/>
    <w:rsid w:val="00D60960"/>
    <w:rsid w:val="00D6240A"/>
    <w:rsid w:val="00D63093"/>
    <w:rsid w:val="00D63599"/>
    <w:rsid w:val="00D63EBD"/>
    <w:rsid w:val="00D67101"/>
    <w:rsid w:val="00D71AAE"/>
    <w:rsid w:val="00D71B45"/>
    <w:rsid w:val="00D71F8A"/>
    <w:rsid w:val="00D75603"/>
    <w:rsid w:val="00D7560D"/>
    <w:rsid w:val="00D75ED7"/>
    <w:rsid w:val="00D75FEE"/>
    <w:rsid w:val="00D76933"/>
    <w:rsid w:val="00D76D88"/>
    <w:rsid w:val="00D77CC9"/>
    <w:rsid w:val="00D77E5A"/>
    <w:rsid w:val="00D83D4B"/>
    <w:rsid w:val="00D871C6"/>
    <w:rsid w:val="00D91010"/>
    <w:rsid w:val="00D9143D"/>
    <w:rsid w:val="00D920D1"/>
    <w:rsid w:val="00D92FC1"/>
    <w:rsid w:val="00D9439D"/>
    <w:rsid w:val="00D9466D"/>
    <w:rsid w:val="00D9540B"/>
    <w:rsid w:val="00DA0AD3"/>
    <w:rsid w:val="00DA0E75"/>
    <w:rsid w:val="00DA0FA7"/>
    <w:rsid w:val="00DA12B0"/>
    <w:rsid w:val="00DA2BA0"/>
    <w:rsid w:val="00DA39AD"/>
    <w:rsid w:val="00DA3D1F"/>
    <w:rsid w:val="00DA5B13"/>
    <w:rsid w:val="00DA6917"/>
    <w:rsid w:val="00DA6926"/>
    <w:rsid w:val="00DB0965"/>
    <w:rsid w:val="00DB0E47"/>
    <w:rsid w:val="00DB2BDD"/>
    <w:rsid w:val="00DB2C79"/>
    <w:rsid w:val="00DB389F"/>
    <w:rsid w:val="00DB3B20"/>
    <w:rsid w:val="00DB4121"/>
    <w:rsid w:val="00DB46C3"/>
    <w:rsid w:val="00DB5742"/>
    <w:rsid w:val="00DB5EDF"/>
    <w:rsid w:val="00DB6C46"/>
    <w:rsid w:val="00DB72B8"/>
    <w:rsid w:val="00DC16AF"/>
    <w:rsid w:val="00DC2A9A"/>
    <w:rsid w:val="00DC2E2E"/>
    <w:rsid w:val="00DC4D68"/>
    <w:rsid w:val="00DC56E3"/>
    <w:rsid w:val="00DC6463"/>
    <w:rsid w:val="00DC7822"/>
    <w:rsid w:val="00DC7AF1"/>
    <w:rsid w:val="00DD2CDA"/>
    <w:rsid w:val="00DD2D92"/>
    <w:rsid w:val="00DD3026"/>
    <w:rsid w:val="00DD33DC"/>
    <w:rsid w:val="00DD3ABF"/>
    <w:rsid w:val="00DD3BB0"/>
    <w:rsid w:val="00DD5E9E"/>
    <w:rsid w:val="00DD61F5"/>
    <w:rsid w:val="00DD6614"/>
    <w:rsid w:val="00DD7418"/>
    <w:rsid w:val="00DE1235"/>
    <w:rsid w:val="00DE13F7"/>
    <w:rsid w:val="00DE64A6"/>
    <w:rsid w:val="00DE66EB"/>
    <w:rsid w:val="00DE7035"/>
    <w:rsid w:val="00DE74BB"/>
    <w:rsid w:val="00DF12E3"/>
    <w:rsid w:val="00DF2A20"/>
    <w:rsid w:val="00DF3F1D"/>
    <w:rsid w:val="00DF595C"/>
    <w:rsid w:val="00DF7EA7"/>
    <w:rsid w:val="00E0200F"/>
    <w:rsid w:val="00E03FFB"/>
    <w:rsid w:val="00E04548"/>
    <w:rsid w:val="00E0484E"/>
    <w:rsid w:val="00E063F8"/>
    <w:rsid w:val="00E114D6"/>
    <w:rsid w:val="00E1166E"/>
    <w:rsid w:val="00E11DBD"/>
    <w:rsid w:val="00E11FE8"/>
    <w:rsid w:val="00E13211"/>
    <w:rsid w:val="00E15596"/>
    <w:rsid w:val="00E16FB5"/>
    <w:rsid w:val="00E179D6"/>
    <w:rsid w:val="00E21407"/>
    <w:rsid w:val="00E22668"/>
    <w:rsid w:val="00E227D3"/>
    <w:rsid w:val="00E22BFF"/>
    <w:rsid w:val="00E22CB0"/>
    <w:rsid w:val="00E23798"/>
    <w:rsid w:val="00E2585D"/>
    <w:rsid w:val="00E25DBD"/>
    <w:rsid w:val="00E25FA2"/>
    <w:rsid w:val="00E2620E"/>
    <w:rsid w:val="00E2723D"/>
    <w:rsid w:val="00E27C77"/>
    <w:rsid w:val="00E3179E"/>
    <w:rsid w:val="00E32AC9"/>
    <w:rsid w:val="00E354DA"/>
    <w:rsid w:val="00E354F5"/>
    <w:rsid w:val="00E3687E"/>
    <w:rsid w:val="00E40974"/>
    <w:rsid w:val="00E40AAB"/>
    <w:rsid w:val="00E41205"/>
    <w:rsid w:val="00E41F32"/>
    <w:rsid w:val="00E42608"/>
    <w:rsid w:val="00E42810"/>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5F4"/>
    <w:rsid w:val="00E669A1"/>
    <w:rsid w:val="00E679BA"/>
    <w:rsid w:val="00E70243"/>
    <w:rsid w:val="00E70E2E"/>
    <w:rsid w:val="00E72CC6"/>
    <w:rsid w:val="00E73C6C"/>
    <w:rsid w:val="00E73D44"/>
    <w:rsid w:val="00E7494A"/>
    <w:rsid w:val="00E74BE2"/>
    <w:rsid w:val="00E74C66"/>
    <w:rsid w:val="00E75933"/>
    <w:rsid w:val="00E77324"/>
    <w:rsid w:val="00E775DE"/>
    <w:rsid w:val="00E77951"/>
    <w:rsid w:val="00E77A1B"/>
    <w:rsid w:val="00E808BE"/>
    <w:rsid w:val="00E81E36"/>
    <w:rsid w:val="00E81E40"/>
    <w:rsid w:val="00E828B7"/>
    <w:rsid w:val="00E82ECE"/>
    <w:rsid w:val="00E83354"/>
    <w:rsid w:val="00E85D13"/>
    <w:rsid w:val="00E8713B"/>
    <w:rsid w:val="00E90774"/>
    <w:rsid w:val="00E90C61"/>
    <w:rsid w:val="00E92A82"/>
    <w:rsid w:val="00E92AA8"/>
    <w:rsid w:val="00E9344E"/>
    <w:rsid w:val="00E93E39"/>
    <w:rsid w:val="00E94391"/>
    <w:rsid w:val="00E97E2B"/>
    <w:rsid w:val="00EA08CA"/>
    <w:rsid w:val="00EA0C0C"/>
    <w:rsid w:val="00EA1DD0"/>
    <w:rsid w:val="00EA2AEA"/>
    <w:rsid w:val="00EA332B"/>
    <w:rsid w:val="00EA3D36"/>
    <w:rsid w:val="00EA40AA"/>
    <w:rsid w:val="00EA57E2"/>
    <w:rsid w:val="00EA7186"/>
    <w:rsid w:val="00EB018B"/>
    <w:rsid w:val="00EB1003"/>
    <w:rsid w:val="00EB167E"/>
    <w:rsid w:val="00EB24ED"/>
    <w:rsid w:val="00EB2A00"/>
    <w:rsid w:val="00EB309B"/>
    <w:rsid w:val="00EB3AA2"/>
    <w:rsid w:val="00EB4138"/>
    <w:rsid w:val="00EB4763"/>
    <w:rsid w:val="00EB6CB7"/>
    <w:rsid w:val="00EC078B"/>
    <w:rsid w:val="00EC07A0"/>
    <w:rsid w:val="00EC08E4"/>
    <w:rsid w:val="00EC3086"/>
    <w:rsid w:val="00EC3CB4"/>
    <w:rsid w:val="00EC4293"/>
    <w:rsid w:val="00EC443E"/>
    <w:rsid w:val="00EC46B8"/>
    <w:rsid w:val="00EC4D83"/>
    <w:rsid w:val="00EC4EEE"/>
    <w:rsid w:val="00EC634F"/>
    <w:rsid w:val="00EC6848"/>
    <w:rsid w:val="00EC6C6E"/>
    <w:rsid w:val="00EC76F7"/>
    <w:rsid w:val="00EC7B97"/>
    <w:rsid w:val="00ED049C"/>
    <w:rsid w:val="00ED07B7"/>
    <w:rsid w:val="00ED19D7"/>
    <w:rsid w:val="00ED2167"/>
    <w:rsid w:val="00ED351E"/>
    <w:rsid w:val="00ED4B27"/>
    <w:rsid w:val="00ED543C"/>
    <w:rsid w:val="00ED6BA4"/>
    <w:rsid w:val="00ED7B28"/>
    <w:rsid w:val="00ED7DA7"/>
    <w:rsid w:val="00EE0598"/>
    <w:rsid w:val="00EE1CEE"/>
    <w:rsid w:val="00EE246B"/>
    <w:rsid w:val="00EE2F4B"/>
    <w:rsid w:val="00EE311C"/>
    <w:rsid w:val="00EE56FF"/>
    <w:rsid w:val="00EE5886"/>
    <w:rsid w:val="00EE5FBF"/>
    <w:rsid w:val="00EE6472"/>
    <w:rsid w:val="00EE7576"/>
    <w:rsid w:val="00EE76F2"/>
    <w:rsid w:val="00EF053E"/>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46B"/>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020"/>
    <w:rsid w:val="00F24E6F"/>
    <w:rsid w:val="00F26069"/>
    <w:rsid w:val="00F26B7E"/>
    <w:rsid w:val="00F27D7D"/>
    <w:rsid w:val="00F27F4A"/>
    <w:rsid w:val="00F3002B"/>
    <w:rsid w:val="00F30093"/>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0C84"/>
    <w:rsid w:val="00F516C6"/>
    <w:rsid w:val="00F52221"/>
    <w:rsid w:val="00F52B28"/>
    <w:rsid w:val="00F536BB"/>
    <w:rsid w:val="00F53755"/>
    <w:rsid w:val="00F53E59"/>
    <w:rsid w:val="00F5475B"/>
    <w:rsid w:val="00F55945"/>
    <w:rsid w:val="00F574D0"/>
    <w:rsid w:val="00F6031F"/>
    <w:rsid w:val="00F60F17"/>
    <w:rsid w:val="00F61664"/>
    <w:rsid w:val="00F61B99"/>
    <w:rsid w:val="00F61F77"/>
    <w:rsid w:val="00F64C45"/>
    <w:rsid w:val="00F6502B"/>
    <w:rsid w:val="00F65151"/>
    <w:rsid w:val="00F6612A"/>
    <w:rsid w:val="00F66724"/>
    <w:rsid w:val="00F67F04"/>
    <w:rsid w:val="00F70207"/>
    <w:rsid w:val="00F702CB"/>
    <w:rsid w:val="00F71455"/>
    <w:rsid w:val="00F716D4"/>
    <w:rsid w:val="00F71757"/>
    <w:rsid w:val="00F71AAA"/>
    <w:rsid w:val="00F71AC2"/>
    <w:rsid w:val="00F739D4"/>
    <w:rsid w:val="00F74C8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161B"/>
    <w:rsid w:val="00FA2528"/>
    <w:rsid w:val="00FA4100"/>
    <w:rsid w:val="00FA4997"/>
    <w:rsid w:val="00FA5524"/>
    <w:rsid w:val="00FA5535"/>
    <w:rsid w:val="00FA5DC7"/>
    <w:rsid w:val="00FA7206"/>
    <w:rsid w:val="00FA7EFB"/>
    <w:rsid w:val="00FB0816"/>
    <w:rsid w:val="00FB08C2"/>
    <w:rsid w:val="00FB2527"/>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530"/>
    <w:rsid w:val="00FF097B"/>
    <w:rsid w:val="00FF0B6E"/>
    <w:rsid w:val="00FF1C1B"/>
    <w:rsid w:val="00FF2067"/>
    <w:rsid w:val="00FF3BC4"/>
    <w:rsid w:val="00FF4B66"/>
    <w:rsid w:val="00FF5939"/>
    <w:rsid w:val="00FF688E"/>
    <w:rsid w:val="296079D6"/>
    <w:rsid w:val="7E5A43E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iPriority="99"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iPriority="99"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berschrift1">
    <w:name w:val="heading 1"/>
    <w:basedOn w:val="Standard"/>
    <w:next w:val="Standard"/>
    <w:link w:val="berschrift1Zchn"/>
    <w:qFormat/>
    <w:locked/>
    <w:rsid w:val="00BB1973"/>
    <w:pPr>
      <w:keepNext/>
      <w:numPr>
        <w:numId w:val="36"/>
      </w:numPr>
      <w:spacing w:before="240" w:after="60" w:line="360" w:lineRule="auto"/>
      <w:outlineLvl w:val="0"/>
    </w:pPr>
    <w:rPr>
      <w:b/>
      <w:bCs/>
      <w:color w:val="00379F"/>
      <w:kern w:val="32"/>
      <w:sz w:val="28"/>
      <w:szCs w:val="28"/>
    </w:rPr>
  </w:style>
  <w:style w:type="paragraph" w:styleId="berschrift2">
    <w:name w:val="heading 2"/>
    <w:basedOn w:val="Standard"/>
    <w:next w:val="Standard"/>
    <w:link w:val="berschrift2Zchn"/>
    <w:qFormat/>
    <w:locked/>
    <w:rsid w:val="00886A60"/>
    <w:pPr>
      <w:keepNext/>
      <w:keepLines/>
      <w:spacing w:before="200" w:after="120"/>
      <w:outlineLvl w:val="1"/>
    </w:pPr>
    <w:rPr>
      <w:b/>
      <w:bCs/>
      <w:szCs w:val="26"/>
    </w:rPr>
  </w:style>
  <w:style w:type="paragraph" w:styleId="berschrift3">
    <w:name w:val="heading 3"/>
    <w:basedOn w:val="Standard"/>
    <w:next w:val="Standard"/>
    <w:link w:val="berschrift3Zchn"/>
    <w:qFormat/>
    <w:locked/>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rsid w:val="00E9344E"/>
    <w:pPr>
      <w:keepNext/>
      <w:keepLines/>
      <w:numPr>
        <w:numId w:val="12"/>
      </w:numPr>
      <w:spacing w:before="200"/>
      <w:outlineLvl w:val="4"/>
    </w:pPr>
    <w:rPr>
      <w:b/>
    </w:rPr>
  </w:style>
  <w:style w:type="paragraph" w:styleId="berschrift6">
    <w:name w:val="heading 6"/>
    <w:basedOn w:val="Standard"/>
    <w:next w:val="Standard"/>
    <w:link w:val="berschrift6Zchn"/>
    <w:qFormat/>
    <w:locked/>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rsid w:val="00A06867"/>
    <w:pPr>
      <w:tabs>
        <w:tab w:val="num" w:pos="1584"/>
      </w:tabs>
      <w:spacing w:before="240" w:after="60"/>
      <w:ind w:left="1584" w:hanging="1584"/>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locked/>
    <w:rsid w:val="005B64CB"/>
    <w:pPr>
      <w:tabs>
        <w:tab w:val="center" w:pos="4536"/>
        <w:tab w:val="right" w:pos="9072"/>
      </w:tabs>
    </w:pPr>
  </w:style>
  <w:style w:type="paragraph" w:styleId="Fuzeile">
    <w:name w:val="footer"/>
    <w:basedOn w:val="Standard"/>
    <w:link w:val="FuzeileZchn"/>
    <w:uiPriority w:val="99"/>
    <w:locked/>
    <w:rsid w:val="005B64CB"/>
    <w:pPr>
      <w:tabs>
        <w:tab w:val="center" w:pos="4536"/>
        <w:tab w:val="right" w:pos="9072"/>
      </w:tabs>
    </w:pPr>
  </w:style>
  <w:style w:type="table" w:styleId="Tabellenraster">
    <w:name w:val="Table Grid"/>
    <w:basedOn w:val="NormaleTabel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rsid w:val="003E3ACA"/>
    <w:pPr>
      <w:spacing w:line="200" w:lineRule="exact"/>
    </w:pPr>
    <w:rPr>
      <w:color w:val="2D4190"/>
      <w:sz w:val="16"/>
    </w:rPr>
  </w:style>
  <w:style w:type="paragraph" w:customStyle="1" w:styleId="05aTitle">
    <w:name w:val="05a_Title"/>
    <w:basedOn w:val="Standard"/>
    <w:locked/>
    <w:rsid w:val="00791EB4"/>
    <w:pPr>
      <w:spacing w:line="340" w:lineRule="exact"/>
    </w:pPr>
    <w:rPr>
      <w:b/>
      <w:color w:val="000000"/>
      <w:sz w:val="28"/>
    </w:rPr>
  </w:style>
  <w:style w:type="paragraph" w:customStyle="1" w:styleId="02Date">
    <w:name w:val="02_Date"/>
    <w:basedOn w:val="Stand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rd"/>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eitenzahl">
    <w:name w:val="page number"/>
    <w:basedOn w:val="Absatz-Standardschriftar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rsid w:val="001725A5"/>
    <w:pPr>
      <w:spacing w:line="200" w:lineRule="exact"/>
    </w:pPr>
    <w:rPr>
      <w:sz w:val="16"/>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Verzeichnis2">
    <w:name w:val="toc 2"/>
    <w:basedOn w:val="Standard"/>
    <w:next w:val="Stand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rd"/>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zeichen">
    <w:name w:val="annotation reference"/>
    <w:uiPriority w:val="99"/>
    <w:locked/>
    <w:rsid w:val="004B1E61"/>
    <w:rPr>
      <w:sz w:val="16"/>
      <w:szCs w:val="16"/>
    </w:rPr>
  </w:style>
  <w:style w:type="paragraph" w:styleId="Kommentartext">
    <w:name w:val="annotation text"/>
    <w:basedOn w:val="Standard"/>
    <w:link w:val="KommentartextZchn"/>
    <w:uiPriority w:val="99"/>
    <w:locked/>
    <w:rsid w:val="004B1E61"/>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locked/>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locked/>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Paragraphe de liste,Normal Nivel 1,List Paragraph Main,List first level,List Paragraph_Sections"/>
    <w:basedOn w:val="Standard"/>
    <w:link w:val="ListenabsatzZchn"/>
    <w:uiPriority w:val="34"/>
    <w:qFormat/>
    <w:locked/>
    <w:rsid w:val="002A0C82"/>
    <w:pPr>
      <w:ind w:left="720"/>
      <w:contextualSpacing/>
    </w:pPr>
  </w:style>
  <w:style w:type="paragraph" w:styleId="Inhaltsverzeichnisberschrift">
    <w:name w:val="TOC Heading"/>
    <w:basedOn w:val="berschrift1"/>
    <w:next w:val="Standard"/>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rsid w:val="008E1B6A"/>
  </w:style>
  <w:style w:type="paragraph" w:customStyle="1" w:styleId="ManualNumPar1">
    <w:name w:val="Manual NumPar 1"/>
    <w:basedOn w:val="Standard"/>
    <w:next w:val="Standard"/>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Hervorhebung">
    <w:name w:val="Emphasis"/>
    <w:uiPriority w:val="20"/>
    <w:qFormat/>
    <w:locked/>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rd"/>
    <w:next w:val="Standard"/>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Standard"/>
    <w:next w:val="Standard"/>
    <w:uiPriority w:val="99"/>
    <w:locked/>
    <w:rsid w:val="00F377CD"/>
    <w:pPr>
      <w:autoSpaceDE w:val="0"/>
      <w:autoSpaceDN w:val="0"/>
      <w:adjustRightInd w:val="0"/>
    </w:pPr>
    <w:rPr>
      <w:rFonts w:ascii="EUAlbertina" w:eastAsia="Calibri" w:hAnsi="EUAlbertina"/>
      <w:sz w:val="24"/>
      <w:lang w:val="fr-FR"/>
    </w:rPr>
  </w:style>
  <w:style w:type="paragraph" w:styleId="Verzeichnis4">
    <w:name w:val="toc 4"/>
    <w:basedOn w:val="Standard"/>
    <w:next w:val="Standard"/>
    <w:autoRedefine/>
    <w:uiPriority w:val="39"/>
    <w:unhideWhenUsed/>
    <w:locked/>
    <w:rsid w:val="00F377CD"/>
    <w:pPr>
      <w:spacing w:after="100"/>
      <w:ind w:left="660"/>
    </w:pPr>
    <w:rPr>
      <w:rFonts w:ascii="Calibri" w:hAnsi="Calibri"/>
      <w:szCs w:val="22"/>
      <w:lang w:eastAsia="en-GB"/>
    </w:rPr>
  </w:style>
  <w:style w:type="paragraph" w:styleId="Verzeichnis5">
    <w:name w:val="toc 5"/>
    <w:basedOn w:val="Standard"/>
    <w:next w:val="Standard"/>
    <w:autoRedefine/>
    <w:uiPriority w:val="39"/>
    <w:unhideWhenUsed/>
    <w:locked/>
    <w:rsid w:val="00F377CD"/>
    <w:pPr>
      <w:spacing w:after="100"/>
      <w:ind w:left="880"/>
    </w:pPr>
    <w:rPr>
      <w:rFonts w:ascii="Calibri" w:hAnsi="Calibri"/>
      <w:szCs w:val="22"/>
      <w:lang w:eastAsia="en-GB"/>
    </w:rPr>
  </w:style>
  <w:style w:type="paragraph" w:styleId="Verzeichnis6">
    <w:name w:val="toc 6"/>
    <w:basedOn w:val="Standard"/>
    <w:next w:val="Standard"/>
    <w:autoRedefine/>
    <w:uiPriority w:val="39"/>
    <w:unhideWhenUsed/>
    <w:locked/>
    <w:rsid w:val="00F377CD"/>
    <w:pPr>
      <w:spacing w:after="100"/>
      <w:ind w:left="1100"/>
    </w:pPr>
    <w:rPr>
      <w:rFonts w:ascii="Calibri" w:hAnsi="Calibri"/>
      <w:szCs w:val="22"/>
      <w:lang w:eastAsia="en-GB"/>
    </w:rPr>
  </w:style>
  <w:style w:type="paragraph" w:styleId="Verzeichnis7">
    <w:name w:val="toc 7"/>
    <w:basedOn w:val="Standard"/>
    <w:next w:val="Standard"/>
    <w:autoRedefine/>
    <w:uiPriority w:val="39"/>
    <w:unhideWhenUsed/>
    <w:locked/>
    <w:rsid w:val="00F377CD"/>
    <w:pPr>
      <w:spacing w:after="100"/>
      <w:ind w:left="1320"/>
    </w:pPr>
    <w:rPr>
      <w:rFonts w:ascii="Calibri" w:hAnsi="Calibri"/>
      <w:szCs w:val="22"/>
      <w:lang w:eastAsia="en-GB"/>
    </w:rPr>
  </w:style>
  <w:style w:type="paragraph" w:styleId="Verzeichnis8">
    <w:name w:val="toc 8"/>
    <w:basedOn w:val="Standard"/>
    <w:next w:val="Standard"/>
    <w:autoRedefine/>
    <w:uiPriority w:val="39"/>
    <w:unhideWhenUsed/>
    <w:locked/>
    <w:rsid w:val="00F377CD"/>
    <w:pPr>
      <w:spacing w:after="100"/>
      <w:ind w:left="1540"/>
    </w:pPr>
    <w:rPr>
      <w:rFonts w:ascii="Calibri" w:hAnsi="Calibri"/>
      <w:szCs w:val="22"/>
      <w:lang w:eastAsia="en-GB"/>
    </w:rPr>
  </w:style>
  <w:style w:type="paragraph" w:styleId="Verzeichnis9">
    <w:name w:val="toc 9"/>
    <w:basedOn w:val="Standard"/>
    <w:next w:val="Standard"/>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chriftung">
    <w:name w:val="caption"/>
    <w:basedOn w:val="Standard"/>
    <w:next w:val="Stand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struktur">
    <w:name w:val="Document Map"/>
    <w:basedOn w:val="Standard"/>
    <w:link w:val="DokumentstrukturZchn"/>
    <w:locked/>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lock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locked/>
    <w:rsid w:val="00AA016B"/>
    <w:pPr>
      <w:numPr>
        <w:numId w:val="7"/>
      </w:numPr>
      <w:spacing w:after="240"/>
    </w:pPr>
    <w:rPr>
      <w:rFonts w:ascii="Times New Roman" w:hAnsi="Times New Roman"/>
      <w:sz w:val="24"/>
      <w:lang w:eastAsia="en-GB"/>
    </w:rPr>
  </w:style>
  <w:style w:type="character" w:customStyle="1" w:styleId="TextkrperZchn">
    <w:name w:val="Textkörper Zchn"/>
    <w:link w:val="Textkrper"/>
    <w:rsid w:val="00AA016B"/>
    <w:rPr>
      <w:rFonts w:eastAsiaTheme="minorEastAsia" w:cs="Arial"/>
      <w:color w:val="1A1A1A" w:themeColor="background1" w:themeShade="1A"/>
      <w:sz w:val="24"/>
    </w:rPr>
  </w:style>
  <w:style w:type="paragraph" w:customStyle="1" w:styleId="ListParagraph1">
    <w:name w:val="List Paragraph1"/>
    <w:basedOn w:val="Standard"/>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ett">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rFonts w:eastAsiaTheme="minorEastAsia" w:cs="Arial"/>
      <w:b/>
      <w:bCs/>
      <w:color w:val="1A1A1A" w:themeColor="background1" w:themeShade="1A"/>
      <w:sz w:val="22"/>
      <w:szCs w:val="22"/>
      <w:lang w:eastAsia="en-US"/>
    </w:rPr>
  </w:style>
  <w:style w:type="character" w:customStyle="1" w:styleId="berschrift8Zchn">
    <w:name w:val="Überschrift 8 Zchn"/>
    <w:link w:val="berschrift8"/>
    <w:rsid w:val="002D6E1A"/>
    <w:rPr>
      <w:rFonts w:eastAsiaTheme="minorEastAsia" w:cs="Arial"/>
      <w:i/>
      <w:iCs/>
      <w:color w:val="1A1A1A" w:themeColor="background1" w:themeShade="1A"/>
      <w:sz w:val="22"/>
      <w:lang w:eastAsia="en-US"/>
    </w:rPr>
  </w:style>
  <w:style w:type="numbering" w:customStyle="1" w:styleId="NoList1">
    <w:name w:val="No List1"/>
    <w:next w:val="KeineListe"/>
    <w:uiPriority w:val="99"/>
    <w:semiHidden/>
    <w:unhideWhenUsed/>
    <w:locked/>
    <w:rsid w:val="002D6E1A"/>
  </w:style>
  <w:style w:type="character" w:styleId="BesuchterLink">
    <w:name w:val="FollowedHyperlink"/>
    <w:unhideWhenUsed/>
    <w:lock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locked/>
    <w:rsid w:val="002D6E1A"/>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locked/>
    <w:rsid w:val="002D6E1A"/>
    <w:pPr>
      <w:numPr>
        <w:numId w:val="8"/>
      </w:numPr>
      <w:spacing w:before="120" w:after="120"/>
      <w:ind w:left="360" w:hanging="360"/>
    </w:pPr>
    <w:rPr>
      <w:rFonts w:ascii="Times New Roman" w:hAnsi="Times New Roman"/>
      <w:sz w:val="24"/>
    </w:r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link w:val="Listenabsatz"/>
    <w:uiPriority w:val="34"/>
    <w:locked/>
    <w:rsid w:val="002D6E1A"/>
    <w:rPr>
      <w:rFonts w:ascii="Georgia" w:hAnsi="Georgia"/>
      <w:sz w:val="22"/>
      <w:szCs w:val="24"/>
      <w:lang w:eastAsia="de-DE"/>
    </w:rPr>
  </w:style>
  <w:style w:type="paragraph" w:customStyle="1" w:styleId="04anumbering0">
    <w:name w:val="04anumbering"/>
    <w:basedOn w:val="Standard"/>
    <w:locked/>
    <w:rsid w:val="002D6E1A"/>
    <w:pPr>
      <w:tabs>
        <w:tab w:val="num" w:pos="360"/>
      </w:tabs>
    </w:pPr>
    <w:rPr>
      <w:rFonts w:eastAsia="Calibri"/>
      <w:lang w:eastAsia="en-GB"/>
    </w:rPr>
  </w:style>
  <w:style w:type="paragraph" w:customStyle="1" w:styleId="Tiret1">
    <w:name w:val="Tiret 1"/>
    <w:basedOn w:val="Standard"/>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locked/>
    <w:rsid w:val="002D6E1A"/>
    <w:pPr>
      <w:ind w:left="708"/>
      <w:contextualSpacing w:val="0"/>
    </w:pPr>
    <w:rPr>
      <w:b/>
      <w:u w:val="single"/>
    </w:rPr>
  </w:style>
  <w:style w:type="paragraph" w:customStyle="1" w:styleId="Bullet">
    <w:name w:val="Bullet"/>
    <w:basedOn w:val="Standard"/>
    <w:locked/>
    <w:rsid w:val="002D6E1A"/>
    <w:pPr>
      <w:numPr>
        <w:numId w:val="10"/>
      </w:numPr>
      <w:tabs>
        <w:tab w:val="left" w:pos="708"/>
      </w:tabs>
      <w:spacing w:before="120" w:after="120"/>
    </w:pPr>
    <w:rPr>
      <w:lang w:eastAsia="en-GB"/>
    </w:rPr>
  </w:style>
  <w:style w:type="character" w:styleId="Endnotenzeichen">
    <w:name w:val="endnote reference"/>
    <w:unhideWhenUsed/>
    <w:locked/>
    <w:rsid w:val="002D6E1A"/>
    <w:rPr>
      <w:vertAlign w:val="superscript"/>
    </w:rPr>
  </w:style>
  <w:style w:type="character" w:styleId="Platzhalt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eTabel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rsid w:val="00952F2C"/>
  </w:style>
  <w:style w:type="paragraph" w:customStyle="1" w:styleId="aStyle">
    <w:name w:val="a) Style"/>
    <w:basedOn w:val="Standard"/>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berschrift5Zchn">
    <w:name w:val="Überschrift 5 Zchn"/>
    <w:aliases w:val="Questions Zchn"/>
    <w:link w:val="berschrift5"/>
    <w:uiPriority w:val="9"/>
    <w:rsid w:val="00E9344E"/>
    <w:rPr>
      <w:rFonts w:ascii="Arial" w:eastAsiaTheme="minorEastAsia" w:hAnsi="Arial" w:cs="Arial"/>
      <w:b/>
      <w:color w:val="1A1A1A" w:themeColor="background1" w:themeShade="1A"/>
      <w:sz w:val="22"/>
      <w:lang w:eastAsia="en-US"/>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rd"/>
    <w:locked/>
    <w:rsid w:val="000D2D0B"/>
    <w:pPr>
      <w:spacing w:line="340" w:lineRule="exact"/>
      <w:ind w:left="397" w:hanging="397"/>
    </w:pPr>
    <w:rPr>
      <w:b/>
      <w:caps/>
      <w:color w:val="2D4190"/>
      <w:sz w:val="28"/>
      <w:lang w:val="de-DE"/>
    </w:rPr>
  </w:style>
  <w:style w:type="paragraph" w:customStyle="1" w:styleId="04RunningText">
    <w:name w:val="04_Running Text"/>
    <w:basedOn w:val="Standard"/>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berschrift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berschrift1"/>
    <w:next w:val="Standard"/>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rsid w:val="000D2D0B"/>
    <w:pPr>
      <w:tabs>
        <w:tab w:val="num" w:pos="284"/>
      </w:tabs>
      <w:ind w:left="284" w:hanging="284"/>
    </w:pPr>
    <w:rPr>
      <w:rFonts w:eastAsia="Calibri"/>
      <w:lang w:eastAsia="en-GB"/>
    </w:rPr>
  </w:style>
  <w:style w:type="paragraph" w:customStyle="1" w:styleId="Listenabsatz1">
    <w:name w:val="Listenabsatz1"/>
    <w:basedOn w:val="Standard"/>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Standard"/>
    <w:locked/>
    <w:rsid w:val="000D2D0B"/>
    <w:pPr>
      <w:spacing w:line="260" w:lineRule="atLeast"/>
      <w:ind w:left="720"/>
      <w:contextualSpacing/>
    </w:pPr>
    <w:rPr>
      <w:rFonts w:ascii="Verdana" w:hAnsi="Verdana"/>
      <w:kern w:val="10"/>
      <w:lang w:val="de-DE"/>
    </w:rPr>
  </w:style>
  <w:style w:type="paragraph" w:customStyle="1" w:styleId="Considrant">
    <w:name w:val="Considérant"/>
    <w:basedOn w:val="Standard"/>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Standard"/>
    <w:next w:val="Standard"/>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Standard"/>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Standard"/>
    <w:rsid w:val="000D2D0B"/>
  </w:style>
  <w:style w:type="paragraph" w:customStyle="1" w:styleId="Sbuchead">
    <w:name w:val="Sbuchead"/>
    <w:basedOn w:val="Standard"/>
    <w:locked/>
    <w:rsid w:val="000D2D0B"/>
    <w:pPr>
      <w:spacing w:after="360"/>
    </w:pPr>
    <w:rPr>
      <w:rFonts w:ascii="Times New Roman" w:hAnsi="Times New Roman"/>
      <w:b/>
      <w:caps/>
      <w:sz w:val="24"/>
      <w:lang w:eastAsia="en-GB"/>
    </w:rPr>
  </w:style>
  <w:style w:type="paragraph" w:customStyle="1" w:styleId="Applicationdirecte">
    <w:name w:val="Application directe"/>
    <w:basedOn w:val="Standard"/>
    <w:next w:val="Fait"/>
    <w:locked/>
    <w:rsid w:val="000D2D0B"/>
    <w:pPr>
      <w:spacing w:before="480" w:after="120"/>
    </w:pPr>
    <w:rPr>
      <w:rFonts w:ascii="Times New Roman" w:hAnsi="Times New Roman"/>
      <w:sz w:val="24"/>
    </w:rPr>
  </w:style>
  <w:style w:type="paragraph" w:customStyle="1" w:styleId="Fait">
    <w:name w:val="Fait à"/>
    <w:basedOn w:val="Standard"/>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Standard"/>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Standard"/>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Standard"/>
    <w:next w:val="Stand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rsid w:val="000D2D0B"/>
    <w:pPr>
      <w:spacing w:before="360" w:after="360"/>
      <w:jc w:val="center"/>
    </w:pPr>
    <w:rPr>
      <w:rFonts w:ascii="Times New Roman" w:hAnsi="Times New Roman"/>
      <w:b/>
      <w:sz w:val="24"/>
    </w:rPr>
  </w:style>
  <w:style w:type="paragraph" w:customStyle="1" w:styleId="Typedudocument">
    <w:name w:val="Type du document"/>
    <w:basedOn w:val="Standard"/>
    <w:next w:val="Titreobjet"/>
    <w:locked/>
    <w:rsid w:val="000D2D0B"/>
    <w:pPr>
      <w:spacing w:before="360"/>
      <w:jc w:val="center"/>
    </w:pPr>
    <w:rPr>
      <w:rFonts w:ascii="Times New Roman" w:hAnsi="Times New Roman"/>
      <w:b/>
      <w:sz w:val="24"/>
    </w:rPr>
  </w:style>
  <w:style w:type="paragraph" w:customStyle="1" w:styleId="HeaderLandscape">
    <w:name w:val="HeaderLandscape"/>
    <w:basedOn w:val="Standard"/>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Standard"/>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Standard"/>
    <w:locked/>
    <w:rsid w:val="000D2D0B"/>
    <w:pPr>
      <w:spacing w:before="120" w:after="120"/>
      <w:ind w:left="850"/>
    </w:pPr>
    <w:rPr>
      <w:rFonts w:ascii="Times New Roman" w:hAnsi="Times New Roman"/>
      <w:sz w:val="24"/>
    </w:rPr>
  </w:style>
  <w:style w:type="paragraph" w:customStyle="1" w:styleId="Text2">
    <w:name w:val="Text 2"/>
    <w:basedOn w:val="Standard"/>
    <w:locked/>
    <w:rsid w:val="000D2D0B"/>
    <w:pPr>
      <w:spacing w:before="120" w:after="120"/>
      <w:ind w:left="1417"/>
    </w:pPr>
    <w:rPr>
      <w:rFonts w:ascii="Times New Roman" w:hAnsi="Times New Roman"/>
      <w:sz w:val="24"/>
    </w:rPr>
  </w:style>
  <w:style w:type="paragraph" w:customStyle="1" w:styleId="Text3">
    <w:name w:val="Text 3"/>
    <w:basedOn w:val="Standard"/>
    <w:locked/>
    <w:rsid w:val="000D2D0B"/>
    <w:pPr>
      <w:spacing w:before="120" w:after="120"/>
      <w:ind w:left="1984"/>
    </w:pPr>
    <w:rPr>
      <w:rFonts w:ascii="Times New Roman" w:hAnsi="Times New Roman"/>
      <w:sz w:val="24"/>
    </w:rPr>
  </w:style>
  <w:style w:type="paragraph" w:customStyle="1" w:styleId="Text4">
    <w:name w:val="Text 4"/>
    <w:basedOn w:val="Standard"/>
    <w:locked/>
    <w:rsid w:val="000D2D0B"/>
    <w:pPr>
      <w:spacing w:before="120" w:after="120"/>
      <w:ind w:left="2551"/>
    </w:pPr>
    <w:rPr>
      <w:rFonts w:ascii="Times New Roman" w:hAnsi="Times New Roman"/>
      <w:sz w:val="24"/>
    </w:rPr>
  </w:style>
  <w:style w:type="paragraph" w:customStyle="1" w:styleId="NormalCentered">
    <w:name w:val="Normal Centered"/>
    <w:basedOn w:val="Standard"/>
    <w:rsid w:val="000D2D0B"/>
    <w:pPr>
      <w:spacing w:before="120" w:after="120"/>
      <w:jc w:val="center"/>
    </w:pPr>
    <w:rPr>
      <w:rFonts w:ascii="Times New Roman" w:hAnsi="Times New Roman"/>
      <w:sz w:val="24"/>
    </w:rPr>
  </w:style>
  <w:style w:type="paragraph" w:customStyle="1" w:styleId="NormalLeft">
    <w:name w:val="Normal Left"/>
    <w:basedOn w:val="Standard"/>
    <w:rsid w:val="000D2D0B"/>
    <w:pPr>
      <w:spacing w:before="120" w:after="120"/>
    </w:pPr>
    <w:rPr>
      <w:rFonts w:ascii="Times New Roman" w:hAnsi="Times New Roman"/>
      <w:sz w:val="24"/>
    </w:rPr>
  </w:style>
  <w:style w:type="paragraph" w:customStyle="1" w:styleId="NormalRight">
    <w:name w:val="Normal Right"/>
    <w:basedOn w:val="Standard"/>
    <w:rsid w:val="000D2D0B"/>
    <w:pPr>
      <w:spacing w:before="120" w:after="120"/>
      <w:jc w:val="right"/>
    </w:pPr>
    <w:rPr>
      <w:rFonts w:ascii="Times New Roman" w:hAnsi="Times New Roman"/>
      <w:sz w:val="24"/>
    </w:rPr>
  </w:style>
  <w:style w:type="paragraph" w:customStyle="1" w:styleId="QuotedText">
    <w:name w:val="Quoted Text"/>
    <w:basedOn w:val="Standard"/>
    <w:locked/>
    <w:rsid w:val="000D2D0B"/>
    <w:pPr>
      <w:spacing w:before="120" w:after="120"/>
      <w:ind w:left="1417"/>
    </w:pPr>
    <w:rPr>
      <w:rFonts w:ascii="Times New Roman" w:hAnsi="Times New Roman"/>
      <w:sz w:val="24"/>
    </w:rPr>
  </w:style>
  <w:style w:type="paragraph" w:customStyle="1" w:styleId="Point0">
    <w:name w:val="Point 0"/>
    <w:basedOn w:val="Standard"/>
    <w:locked/>
    <w:rsid w:val="000D2D0B"/>
    <w:pPr>
      <w:spacing w:before="120" w:after="120"/>
      <w:ind w:left="850" w:hanging="850"/>
    </w:pPr>
    <w:rPr>
      <w:rFonts w:ascii="Times New Roman" w:hAnsi="Times New Roman"/>
      <w:sz w:val="24"/>
    </w:rPr>
  </w:style>
  <w:style w:type="paragraph" w:customStyle="1" w:styleId="Point1">
    <w:name w:val="Point 1"/>
    <w:basedOn w:val="Standard"/>
    <w:locked/>
    <w:rsid w:val="000D2D0B"/>
    <w:pPr>
      <w:spacing w:before="120" w:after="120"/>
      <w:ind w:left="1417" w:hanging="567"/>
    </w:pPr>
    <w:rPr>
      <w:rFonts w:ascii="Times New Roman" w:hAnsi="Times New Roman"/>
      <w:sz w:val="24"/>
    </w:rPr>
  </w:style>
  <w:style w:type="paragraph" w:customStyle="1" w:styleId="Point2">
    <w:name w:val="Point 2"/>
    <w:basedOn w:val="Standard"/>
    <w:locked/>
    <w:rsid w:val="000D2D0B"/>
    <w:pPr>
      <w:spacing w:before="120" w:after="120"/>
      <w:ind w:left="1984" w:hanging="567"/>
    </w:pPr>
    <w:rPr>
      <w:rFonts w:ascii="Times New Roman" w:hAnsi="Times New Roman"/>
      <w:sz w:val="24"/>
    </w:rPr>
  </w:style>
  <w:style w:type="paragraph" w:customStyle="1" w:styleId="Point3">
    <w:name w:val="Point 3"/>
    <w:basedOn w:val="Standard"/>
    <w:locked/>
    <w:rsid w:val="000D2D0B"/>
    <w:pPr>
      <w:spacing w:before="120" w:after="120"/>
      <w:ind w:left="2551" w:hanging="567"/>
    </w:pPr>
    <w:rPr>
      <w:rFonts w:ascii="Times New Roman" w:hAnsi="Times New Roman"/>
      <w:sz w:val="24"/>
    </w:rPr>
  </w:style>
  <w:style w:type="paragraph" w:customStyle="1" w:styleId="Point4">
    <w:name w:val="Point 4"/>
    <w:basedOn w:val="Standard"/>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Standard"/>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Standard"/>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Standard"/>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Standard"/>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Standard"/>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Standard"/>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Standard"/>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Standard"/>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Standard"/>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Standard"/>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Standard"/>
    <w:next w:val="Text1"/>
    <w:locked/>
    <w:rsid w:val="000D2D0B"/>
    <w:pPr>
      <w:numPr>
        <w:numId w:val="20"/>
      </w:numPr>
      <w:spacing w:before="120" w:after="120"/>
    </w:pPr>
    <w:rPr>
      <w:rFonts w:ascii="Times New Roman" w:hAnsi="Times New Roman"/>
      <w:sz w:val="24"/>
    </w:rPr>
  </w:style>
  <w:style w:type="paragraph" w:customStyle="1" w:styleId="NumPar2">
    <w:name w:val="NumPar 2"/>
    <w:basedOn w:val="Standard"/>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Standard"/>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Standard"/>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Standard"/>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Standard"/>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Standard"/>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Standard"/>
    <w:locked/>
    <w:rsid w:val="000D2D0B"/>
    <w:pPr>
      <w:spacing w:before="120" w:after="120"/>
      <w:ind w:left="1417" w:hanging="567"/>
    </w:pPr>
    <w:rPr>
      <w:rFonts w:ascii="Times New Roman" w:hAnsi="Times New Roman"/>
      <w:sz w:val="24"/>
    </w:rPr>
  </w:style>
  <w:style w:type="paragraph" w:customStyle="1" w:styleId="ManualHeading1">
    <w:name w:val="Manual Heading 1"/>
    <w:basedOn w:val="Standard"/>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Standard"/>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Standard"/>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Standard"/>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Standard"/>
    <w:next w:val="Standard"/>
    <w:locked/>
    <w:rsid w:val="000D2D0B"/>
    <w:pPr>
      <w:keepNext/>
      <w:spacing w:before="120" w:after="360"/>
      <w:jc w:val="center"/>
    </w:pPr>
    <w:rPr>
      <w:rFonts w:ascii="Times New Roman" w:hAnsi="Times New Roman"/>
      <w:b/>
      <w:sz w:val="32"/>
    </w:rPr>
  </w:style>
  <w:style w:type="paragraph" w:customStyle="1" w:styleId="PartTitle">
    <w:name w:val="PartTitle"/>
    <w:basedOn w:val="Standard"/>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Standard"/>
    <w:next w:val="berschrift1"/>
    <w:locked/>
    <w:rsid w:val="000D2D0B"/>
    <w:pPr>
      <w:keepNext/>
      <w:spacing w:before="120" w:after="360"/>
      <w:jc w:val="center"/>
    </w:pPr>
    <w:rPr>
      <w:rFonts w:ascii="Times New Roman" w:hAnsi="Times New Roman"/>
      <w:b/>
      <w:smallCaps/>
      <w:sz w:val="28"/>
    </w:rPr>
  </w:style>
  <w:style w:type="paragraph" w:customStyle="1" w:styleId="TableTitle">
    <w:name w:val="Table Title"/>
    <w:basedOn w:val="Standard"/>
    <w:next w:val="Standard"/>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rd"/>
    <w:locked/>
    <w:rsid w:val="000D2D0B"/>
    <w:pPr>
      <w:numPr>
        <w:numId w:val="27"/>
      </w:numPr>
      <w:spacing w:before="120" w:after="120"/>
    </w:pPr>
    <w:rPr>
      <w:rFonts w:ascii="Times New Roman" w:hAnsi="Times New Roman"/>
      <w:sz w:val="24"/>
    </w:rPr>
  </w:style>
  <w:style w:type="paragraph" w:customStyle="1" w:styleId="Point1number">
    <w:name w:val="Point 1 (number)"/>
    <w:basedOn w:val="Standard"/>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Standard"/>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Standard"/>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Standard"/>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Standard"/>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Standard"/>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Standard"/>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Standard"/>
    <w:locked/>
    <w:rsid w:val="000D2D0B"/>
    <w:pPr>
      <w:numPr>
        <w:ilvl w:val="8"/>
        <w:numId w:val="27"/>
      </w:numPr>
      <w:spacing w:before="120" w:after="120"/>
    </w:pPr>
    <w:rPr>
      <w:rFonts w:ascii="Times New Roman" w:hAnsi="Times New Roman"/>
      <w:sz w:val="24"/>
    </w:rPr>
  </w:style>
  <w:style w:type="paragraph" w:customStyle="1" w:styleId="Bullet0">
    <w:name w:val="Bullet 0"/>
    <w:basedOn w:val="Standard"/>
    <w:locked/>
    <w:rsid w:val="000D2D0B"/>
    <w:pPr>
      <w:numPr>
        <w:numId w:val="21"/>
      </w:numPr>
      <w:spacing w:before="120" w:after="120"/>
    </w:pPr>
    <w:rPr>
      <w:rFonts w:ascii="Times New Roman" w:hAnsi="Times New Roman"/>
      <w:sz w:val="24"/>
    </w:rPr>
  </w:style>
  <w:style w:type="paragraph" w:customStyle="1" w:styleId="Bullet1">
    <w:name w:val="Bullet 1"/>
    <w:basedOn w:val="Standard"/>
    <w:locked/>
    <w:rsid w:val="000D2D0B"/>
    <w:pPr>
      <w:numPr>
        <w:numId w:val="22"/>
      </w:numPr>
      <w:spacing w:before="120" w:after="120"/>
    </w:pPr>
    <w:rPr>
      <w:rFonts w:ascii="Times New Roman" w:hAnsi="Times New Roman"/>
      <w:sz w:val="24"/>
    </w:rPr>
  </w:style>
  <w:style w:type="paragraph" w:customStyle="1" w:styleId="Bullet2">
    <w:name w:val="Bullet 2"/>
    <w:basedOn w:val="Standard"/>
    <w:locked/>
    <w:rsid w:val="000D2D0B"/>
    <w:pPr>
      <w:numPr>
        <w:numId w:val="23"/>
      </w:numPr>
      <w:spacing w:before="120" w:after="120"/>
    </w:pPr>
    <w:rPr>
      <w:rFonts w:ascii="Times New Roman" w:hAnsi="Times New Roman"/>
      <w:sz w:val="24"/>
    </w:rPr>
  </w:style>
  <w:style w:type="paragraph" w:customStyle="1" w:styleId="Bullet3">
    <w:name w:val="Bullet 3"/>
    <w:basedOn w:val="Standard"/>
    <w:locked/>
    <w:rsid w:val="000D2D0B"/>
    <w:pPr>
      <w:numPr>
        <w:numId w:val="24"/>
      </w:numPr>
      <w:spacing w:before="120" w:after="120"/>
    </w:pPr>
    <w:rPr>
      <w:rFonts w:ascii="Times New Roman" w:hAnsi="Times New Roman"/>
      <w:sz w:val="24"/>
    </w:rPr>
  </w:style>
  <w:style w:type="paragraph" w:customStyle="1" w:styleId="Bullet4">
    <w:name w:val="Bullet 4"/>
    <w:basedOn w:val="Standard"/>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Standard"/>
    <w:next w:val="Standard"/>
    <w:locked/>
    <w:rsid w:val="000D2D0B"/>
    <w:pPr>
      <w:spacing w:before="120" w:after="120"/>
      <w:jc w:val="center"/>
    </w:pPr>
    <w:rPr>
      <w:rFonts w:ascii="Times New Roman" w:hAnsi="Times New Roman"/>
      <w:b/>
      <w:sz w:val="24"/>
      <w:u w:val="single"/>
    </w:rPr>
  </w:style>
  <w:style w:type="paragraph" w:customStyle="1" w:styleId="Annexetitre">
    <w:name w:val="Annexe titre"/>
    <w:basedOn w:val="Standard"/>
    <w:next w:val="Standard"/>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Standard"/>
    <w:next w:val="Standard"/>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Standard"/>
    <w:next w:val="Standard"/>
    <w:locked/>
    <w:rsid w:val="000D2D0B"/>
    <w:pPr>
      <w:keepNext/>
      <w:spacing w:before="480" w:after="120"/>
    </w:pPr>
    <w:rPr>
      <w:rFonts w:ascii="Times New Roman" w:hAnsi="Times New Roman"/>
      <w:sz w:val="24"/>
      <w:u w:val="single"/>
    </w:rPr>
  </w:style>
  <w:style w:type="paragraph" w:customStyle="1" w:styleId="Confidence">
    <w:name w:val="Confidence"/>
    <w:basedOn w:val="Standard"/>
    <w:next w:val="Standard"/>
    <w:locked/>
    <w:rsid w:val="000D2D0B"/>
    <w:pPr>
      <w:spacing w:before="360" w:after="120"/>
      <w:jc w:val="center"/>
    </w:pPr>
    <w:rPr>
      <w:rFonts w:ascii="Times New Roman" w:hAnsi="Times New Roman"/>
      <w:sz w:val="24"/>
    </w:rPr>
  </w:style>
  <w:style w:type="paragraph" w:customStyle="1" w:styleId="Confidentialit">
    <w:name w:val="Confidentialité"/>
    <w:basedOn w:val="Standard"/>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Standard"/>
    <w:next w:val="Standard"/>
    <w:locked/>
    <w:rsid w:val="000D2D0B"/>
    <w:pPr>
      <w:spacing w:after="240"/>
    </w:pPr>
    <w:rPr>
      <w:rFonts w:ascii="Times New Roman" w:hAnsi="Times New Roman"/>
      <w:sz w:val="24"/>
    </w:rPr>
  </w:style>
  <w:style w:type="paragraph" w:customStyle="1" w:styleId="Datedadoption">
    <w:name w:val="Date d'adoption"/>
    <w:basedOn w:val="Standard"/>
    <w:next w:val="Titreobjet"/>
    <w:locked/>
    <w:rsid w:val="000D2D0B"/>
    <w:pPr>
      <w:spacing w:before="360"/>
      <w:jc w:val="center"/>
    </w:pPr>
    <w:rPr>
      <w:rFonts w:ascii="Times New Roman" w:hAnsi="Times New Roman"/>
      <w:b/>
      <w:sz w:val="24"/>
    </w:rPr>
  </w:style>
  <w:style w:type="paragraph" w:customStyle="1" w:styleId="Emission">
    <w:name w:val="Emission"/>
    <w:basedOn w:val="Standard"/>
    <w:next w:val="Rfrenceinstitutionnelle"/>
    <w:locked/>
    <w:rsid w:val="000D2D0B"/>
    <w:pPr>
      <w:ind w:left="5103"/>
    </w:pPr>
    <w:rPr>
      <w:rFonts w:ascii="Times New Roman" w:hAnsi="Times New Roman"/>
      <w:sz w:val="24"/>
    </w:rPr>
  </w:style>
  <w:style w:type="paragraph" w:customStyle="1" w:styleId="Exposdesmotifstitre">
    <w:name w:val="Exposé des motifs titre"/>
    <w:basedOn w:val="Standard"/>
    <w:next w:val="Standard"/>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Standard"/>
    <w:next w:val="Standard"/>
    <w:locked/>
    <w:rsid w:val="000D2D0B"/>
    <w:pPr>
      <w:keepNext/>
      <w:spacing w:before="600" w:after="120"/>
    </w:pPr>
    <w:rPr>
      <w:rFonts w:ascii="Times New Roman" w:hAnsi="Times New Roman"/>
      <w:sz w:val="24"/>
    </w:rPr>
  </w:style>
  <w:style w:type="paragraph" w:customStyle="1" w:styleId="Langue">
    <w:name w:val="Langue"/>
    <w:basedOn w:val="Standard"/>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Standard"/>
    <w:locked/>
    <w:rsid w:val="000D2D0B"/>
    <w:pPr>
      <w:spacing w:before="120" w:after="120"/>
      <w:ind w:left="709" w:hanging="709"/>
    </w:pPr>
    <w:rPr>
      <w:rFonts w:ascii="Times New Roman" w:hAnsi="Times New Roman"/>
      <w:sz w:val="24"/>
    </w:rPr>
  </w:style>
  <w:style w:type="paragraph" w:customStyle="1" w:styleId="Nomdelinstitution">
    <w:name w:val="Nom de l'institution"/>
    <w:basedOn w:val="Standard"/>
    <w:next w:val="Emission"/>
    <w:locked/>
    <w:rsid w:val="000D2D0B"/>
    <w:rPr>
      <w:sz w:val="24"/>
    </w:rPr>
  </w:style>
  <w:style w:type="paragraph" w:customStyle="1" w:styleId="Rfrenceinstitutionnelle">
    <w:name w:val="Référence institutionnelle"/>
    <w:basedOn w:val="Standard"/>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Standard"/>
    <w:next w:val="Statut"/>
    <w:locked/>
    <w:rsid w:val="000D2D0B"/>
    <w:pPr>
      <w:ind w:left="5103"/>
    </w:pPr>
    <w:rPr>
      <w:rFonts w:ascii="Times New Roman" w:hAnsi="Times New Roman"/>
      <w:sz w:val="24"/>
    </w:rPr>
  </w:style>
  <w:style w:type="paragraph" w:customStyle="1" w:styleId="Rfrenceinterne">
    <w:name w:val="Référence interne"/>
    <w:basedOn w:val="Standard"/>
    <w:next w:val="Rfrenceinterinstitutionnelle"/>
    <w:locked/>
    <w:rsid w:val="000D2D0B"/>
    <w:pPr>
      <w:ind w:left="5103"/>
    </w:pPr>
    <w:rPr>
      <w:rFonts w:ascii="Times New Roman" w:hAnsi="Times New Roman"/>
      <w:sz w:val="24"/>
    </w:rPr>
  </w:style>
  <w:style w:type="paragraph" w:customStyle="1" w:styleId="Sous-titreobjet">
    <w:name w:val="Sous-titre objet"/>
    <w:basedOn w:val="Standard"/>
    <w:locked/>
    <w:rsid w:val="000D2D0B"/>
    <w:pPr>
      <w:jc w:val="center"/>
    </w:pPr>
    <w:rPr>
      <w:rFonts w:ascii="Times New Roman" w:hAnsi="Times New Roman"/>
      <w:b/>
      <w:sz w:val="24"/>
    </w:rPr>
  </w:style>
  <w:style w:type="paragraph" w:customStyle="1" w:styleId="Statut">
    <w:name w:val="Statut"/>
    <w:basedOn w:val="Standard"/>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rd"/>
    <w:next w:val="Standard"/>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Standard"/>
    <w:next w:val="Standard"/>
    <w:locked/>
    <w:rsid w:val="000D2D0B"/>
    <w:pPr>
      <w:spacing w:before="120" w:after="120"/>
    </w:pPr>
    <w:rPr>
      <w:rFonts w:ascii="Times New Roman" w:hAnsi="Times New Roman"/>
      <w:i/>
      <w:caps/>
      <w:sz w:val="24"/>
    </w:rPr>
  </w:style>
  <w:style w:type="paragraph" w:customStyle="1" w:styleId="Pagedecouverture">
    <w:name w:val="Page de couverture"/>
    <w:basedOn w:val="Standard"/>
    <w:next w:val="Standard"/>
    <w:locked/>
    <w:rsid w:val="000D2D0B"/>
    <w:pPr>
      <w:spacing w:before="120" w:after="120"/>
    </w:pPr>
    <w:rPr>
      <w:rFonts w:ascii="Times New Roman" w:hAnsi="Times New Roman"/>
      <w:sz w:val="24"/>
    </w:rPr>
  </w:style>
  <w:style w:type="paragraph" w:customStyle="1" w:styleId="Supertitre">
    <w:name w:val="Supertitre"/>
    <w:basedOn w:val="Standard"/>
    <w:next w:val="Standard"/>
    <w:locked/>
    <w:rsid w:val="000D2D0B"/>
    <w:pPr>
      <w:spacing w:after="600"/>
      <w:jc w:val="center"/>
    </w:pPr>
    <w:rPr>
      <w:rFonts w:ascii="Times New Roman" w:hAnsi="Times New Roman"/>
      <w:b/>
      <w:sz w:val="24"/>
    </w:rPr>
  </w:style>
  <w:style w:type="paragraph" w:customStyle="1" w:styleId="Languesfaisantfoi">
    <w:name w:val="Langues faisant foi"/>
    <w:basedOn w:val="Standard"/>
    <w:next w:val="Standard"/>
    <w:locked/>
    <w:rsid w:val="000D2D0B"/>
    <w:pPr>
      <w:spacing w:before="360"/>
      <w:jc w:val="center"/>
    </w:pPr>
    <w:rPr>
      <w:rFonts w:ascii="Times New Roman" w:hAnsi="Times New Roman"/>
      <w:sz w:val="24"/>
    </w:rPr>
  </w:style>
  <w:style w:type="paragraph" w:customStyle="1" w:styleId="Rfrencecroise">
    <w:name w:val="Référence croisée"/>
    <w:basedOn w:val="Standard"/>
    <w:locked/>
    <w:rsid w:val="000D2D0B"/>
    <w:pPr>
      <w:jc w:val="center"/>
    </w:pPr>
    <w:rPr>
      <w:rFonts w:ascii="Times New Roman" w:hAnsi="Times New Roman"/>
      <w:sz w:val="24"/>
    </w:rPr>
  </w:style>
  <w:style w:type="paragraph" w:customStyle="1" w:styleId="Fichefinanciretitre">
    <w:name w:val="Fiche financière titre"/>
    <w:basedOn w:val="Standard"/>
    <w:next w:val="Standard"/>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rd"/>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Standard"/>
    <w:locked/>
    <w:rsid w:val="000D2D0B"/>
    <w:pPr>
      <w:spacing w:after="240"/>
    </w:pPr>
  </w:style>
  <w:style w:type="paragraph" w:customStyle="1" w:styleId="Accompagnant">
    <w:name w:val="Accompagnant"/>
    <w:basedOn w:val="Standard"/>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Standard"/>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Standard"/>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rd"/>
    <w:next w:val="Standard"/>
    <w:locked/>
    <w:rsid w:val="000D2D0B"/>
    <w:pPr>
      <w:spacing w:before="360"/>
      <w:jc w:val="center"/>
    </w:pPr>
    <w:rPr>
      <w:rFonts w:ascii="Times New Roman" w:hAnsi="Times New Roman"/>
      <w:sz w:val="24"/>
    </w:rPr>
  </w:style>
  <w:style w:type="paragraph" w:styleId="Listennummer2">
    <w:name w:val="List Number 2"/>
    <w:basedOn w:val="Standard"/>
    <w:locked/>
    <w:rsid w:val="000D2D0B"/>
    <w:pPr>
      <w:tabs>
        <w:tab w:val="num" w:pos="643"/>
      </w:tabs>
      <w:spacing w:before="120" w:after="120"/>
      <w:ind w:left="643" w:hanging="360"/>
    </w:pPr>
    <w:rPr>
      <w:rFonts w:ascii="Times New Roman" w:hAnsi="Times New Roman"/>
      <w:sz w:val="24"/>
    </w:rPr>
  </w:style>
  <w:style w:type="paragraph" w:styleId="Listennummer3">
    <w:name w:val="List Number 3"/>
    <w:basedOn w:val="Standard"/>
    <w:locked/>
    <w:rsid w:val="000D2D0B"/>
    <w:pPr>
      <w:tabs>
        <w:tab w:val="num" w:pos="926"/>
      </w:tabs>
      <w:spacing w:before="120" w:after="120"/>
      <w:ind w:left="926" w:hanging="360"/>
    </w:pPr>
    <w:rPr>
      <w:rFonts w:ascii="Times New Roman" w:hAnsi="Times New Roman"/>
      <w:sz w:val="24"/>
    </w:rPr>
  </w:style>
  <w:style w:type="paragraph" w:styleId="Listennummer4">
    <w:name w:val="List Number 4"/>
    <w:basedOn w:val="Standard"/>
    <w:locked/>
    <w:rsid w:val="000D2D0B"/>
    <w:pPr>
      <w:tabs>
        <w:tab w:val="num" w:pos="1209"/>
        <w:tab w:val="num" w:pos="1417"/>
      </w:tabs>
      <w:spacing w:before="120" w:after="120"/>
      <w:ind w:left="1209" w:hanging="360"/>
    </w:pPr>
    <w:rPr>
      <w:rFonts w:ascii="Times New Roman" w:hAnsi="Times New Roman"/>
      <w:sz w:val="24"/>
    </w:rPr>
  </w:style>
  <w:style w:type="paragraph" w:styleId="Aufzhlungszeichen">
    <w:name w:val="List Bullet"/>
    <w:basedOn w:val="Standard"/>
    <w:locked/>
    <w:rsid w:val="000D2D0B"/>
    <w:pPr>
      <w:numPr>
        <w:numId w:val="13"/>
      </w:numPr>
      <w:tabs>
        <w:tab w:val="num" w:pos="360"/>
      </w:tabs>
      <w:spacing w:before="120" w:after="120"/>
      <w:ind w:left="360" w:hanging="360"/>
    </w:pPr>
    <w:rPr>
      <w:rFonts w:ascii="Times New Roman" w:hAnsi="Times New Roman"/>
      <w:sz w:val="24"/>
    </w:rPr>
  </w:style>
  <w:style w:type="paragraph" w:styleId="Aufzhlungszeichen2">
    <w:name w:val="List Bullet 2"/>
    <w:basedOn w:val="Standard"/>
    <w:locked/>
    <w:rsid w:val="000D2D0B"/>
    <w:pPr>
      <w:tabs>
        <w:tab w:val="num" w:pos="643"/>
        <w:tab w:val="num" w:pos="851"/>
      </w:tabs>
      <w:spacing w:before="120" w:after="120"/>
      <w:ind w:left="643" w:hanging="360"/>
    </w:pPr>
    <w:rPr>
      <w:rFonts w:ascii="Times New Roman" w:hAnsi="Times New Roman"/>
      <w:sz w:val="24"/>
    </w:rPr>
  </w:style>
  <w:style w:type="paragraph" w:styleId="Aufzhlungszeichen3">
    <w:name w:val="List Bullet 3"/>
    <w:basedOn w:val="Standard"/>
    <w:locked/>
    <w:rsid w:val="000D2D0B"/>
    <w:pPr>
      <w:numPr>
        <w:numId w:val="15"/>
      </w:numPr>
      <w:tabs>
        <w:tab w:val="num" w:pos="926"/>
      </w:tabs>
      <w:spacing w:before="120" w:after="120"/>
      <w:ind w:left="926"/>
    </w:pPr>
    <w:rPr>
      <w:rFonts w:ascii="Times New Roman" w:hAnsi="Times New Roman"/>
      <w:sz w:val="24"/>
    </w:rPr>
  </w:style>
  <w:style w:type="paragraph" w:styleId="Aufzhlungszeichen4">
    <w:name w:val="List Bullet 4"/>
    <w:basedOn w:val="Standard"/>
    <w:locked/>
    <w:rsid w:val="000D2D0B"/>
    <w:pPr>
      <w:numPr>
        <w:numId w:val="16"/>
      </w:numPr>
      <w:tabs>
        <w:tab w:val="num" w:pos="1209"/>
      </w:tabs>
      <w:spacing w:before="120" w:after="120"/>
      <w:ind w:left="1209"/>
    </w:pPr>
    <w:rPr>
      <w:rFonts w:ascii="Times New Roman" w:hAnsi="Times New Roman"/>
      <w:sz w:val="24"/>
    </w:rPr>
  </w:style>
  <w:style w:type="paragraph" w:styleId="Abbildungsverzeichnis">
    <w:name w:val="table of figures"/>
    <w:basedOn w:val="Standard"/>
    <w:next w:val="Standard"/>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locked/>
    <w:rsid w:val="000D2D0B"/>
    <w:pPr>
      <w:ind w:left="720"/>
      <w:contextualSpacing/>
    </w:pPr>
    <w:rPr>
      <w:rFonts w:ascii="Cambria" w:hAnsi="Cambria"/>
      <w:sz w:val="24"/>
      <w:lang w:val="en-US"/>
    </w:rPr>
  </w:style>
  <w:style w:type="paragraph" w:customStyle="1" w:styleId="Listeavsnitt1">
    <w:name w:val="Listeavsnitt1"/>
    <w:basedOn w:val="Standard"/>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rd"/>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Standard"/>
    <w:uiPriority w:val="99"/>
    <w:locked/>
    <w:rsid w:val="000D2D0B"/>
    <w:pPr>
      <w:ind w:left="720"/>
      <w:contextualSpacing/>
    </w:pPr>
    <w:rPr>
      <w:rFonts w:ascii="Cambria" w:hAnsi="Cambria"/>
      <w:sz w:val="24"/>
      <w:lang w:val="en-US"/>
    </w:rPr>
  </w:style>
  <w:style w:type="paragraph" w:customStyle="1" w:styleId="ListParagraph2">
    <w:name w:val="List Paragraph2"/>
    <w:basedOn w:val="Standard"/>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berschrift1"/>
    <w:next w:val="Standard"/>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Stand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rd"/>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el">
    <w:name w:val="Title"/>
    <w:basedOn w:val="Standard"/>
    <w:next w:val="Standard"/>
    <w:link w:val="TitelZch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locked/>
    <w:rsid w:val="000D2D0B"/>
    <w:pPr>
      <w:spacing w:before="320" w:line="260" w:lineRule="exact"/>
    </w:pPr>
    <w:rPr>
      <w:rFonts w:ascii="Myriad Pro Light" w:hAnsi="Myriad Pro Light"/>
      <w:b/>
      <w:sz w:val="21"/>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sid w:val="003A6E9A"/>
    <w:rPr>
      <w:b/>
      <w:i w:val="0"/>
      <w:iCs/>
      <w:sz w:val="20"/>
    </w:rPr>
  </w:style>
  <w:style w:type="paragraph" w:customStyle="1" w:styleId="NEW-Paragraph-Level1">
    <w:name w:val="NEW-Paragraph-Level1"/>
    <w:basedOn w:val="Standard"/>
    <w:locked/>
    <w:rsid w:val="003A6E9A"/>
    <w:pPr>
      <w:tabs>
        <w:tab w:val="num" w:pos="284"/>
      </w:tabs>
      <w:ind w:left="284" w:hanging="284"/>
    </w:pPr>
  </w:style>
  <w:style w:type="paragraph" w:customStyle="1" w:styleId="NEW-Paragraph-level2">
    <w:name w:val="NEW-Paragraph-level2"/>
    <w:basedOn w:val="Standard"/>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Standard"/>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Standard"/>
    <w:locked/>
    <w:rsid w:val="003A6E9A"/>
    <w:pPr>
      <w:keepNext/>
      <w:numPr>
        <w:numId w:val="29"/>
      </w:numPr>
      <w:spacing w:before="240"/>
      <w:outlineLvl w:val="0"/>
    </w:pPr>
    <w:rPr>
      <w:b/>
      <w:bCs/>
      <w:kern w:val="32"/>
      <w:sz w:val="28"/>
      <w:szCs w:val="28"/>
    </w:rPr>
  </w:style>
  <w:style w:type="paragraph" w:customStyle="1" w:styleId="NEW-Level1">
    <w:name w:val="NEW-Level1"/>
    <w:basedOn w:val="Standard"/>
    <w:locked/>
    <w:rsid w:val="003A6E9A"/>
    <w:pPr>
      <w:keepNext/>
      <w:numPr>
        <w:ilvl w:val="1"/>
        <w:numId w:val="29"/>
      </w:numPr>
      <w:spacing w:before="240"/>
      <w:outlineLvl w:val="0"/>
    </w:pPr>
    <w:rPr>
      <w:b/>
      <w:bCs/>
      <w:kern w:val="32"/>
      <w:sz w:val="24"/>
      <w:szCs w:val="32"/>
    </w:rPr>
  </w:style>
  <w:style w:type="paragraph" w:customStyle="1" w:styleId="NEW-Level2">
    <w:name w:val="NEW-Level2"/>
    <w:basedOn w:val="Standard"/>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Standard"/>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Standard"/>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Standard"/>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locked/>
    <w:rsid w:val="00EF0769"/>
    <w:pPr>
      <w:numPr>
        <w:numId w:val="31"/>
      </w:numPr>
      <w:spacing w:before="250"/>
    </w:pPr>
    <w:rPr>
      <w:rFonts w:cstheme="minorBidi"/>
      <w:b/>
    </w:rPr>
  </w:style>
  <w:style w:type="character" w:customStyle="1" w:styleId="CPQuestionsChar">
    <w:name w:val="CP_Questions Char"/>
    <w:basedOn w:val="Absatz-Standardschriftar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iveHervorhebung">
    <w:name w:val="Intense Emphasis"/>
    <w:basedOn w:val="Absatz-Standardschriftart"/>
    <w:uiPriority w:val="21"/>
    <w:qFormat/>
    <w:locked/>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berschrift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Standard"/>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Standard"/>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Standard"/>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Standard"/>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Standard"/>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Standard"/>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Standard"/>
    <w:next w:val="Standard"/>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Absatz-Standardschriftar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Fett"/>
    <w:uiPriority w:val="1"/>
    <w:qFormat/>
    <w:rsid w:val="00F87468"/>
    <w:rPr>
      <w:b w:val="0"/>
      <w:bCs/>
      <w:caps/>
      <w:smallCaps w:val="0"/>
      <w:color w:val="F79646" w:themeColor="accent6"/>
      <w:sz w:val="22"/>
    </w:rPr>
  </w:style>
  <w:style w:type="paragraph" w:styleId="Untertitel">
    <w:name w:val="Subtitle"/>
    <w:basedOn w:val="Standard"/>
    <w:next w:val="Standard"/>
    <w:link w:val="UntertitelZchn"/>
    <w:uiPriority w:val="11"/>
    <w:qFormat/>
    <w:locked/>
    <w:rsid w:val="00E70E2E"/>
    <w:pPr>
      <w:numPr>
        <w:ilvl w:val="1"/>
      </w:numPr>
    </w:pPr>
    <w:rPr>
      <w:rFonts w:eastAsiaTheme="majorEastAsia"/>
      <w:b/>
      <w:bCs/>
      <w:sz w:val="28"/>
    </w:rPr>
  </w:style>
  <w:style w:type="character" w:customStyle="1" w:styleId="UntertitelZchn">
    <w:name w:val="Untertitel Zchn"/>
    <w:basedOn w:val="Absatz-Standardschriftart"/>
    <w:link w:val="Untertitel"/>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Standard"/>
    <w:link w:val="HeaderFootChar"/>
    <w:qFormat/>
    <w:rsid w:val="00F716D4"/>
    <w:pPr>
      <w:spacing w:after="0"/>
      <w:jc w:val="right"/>
    </w:pPr>
    <w:rPr>
      <w:color w:val="001B4F"/>
      <w:sz w:val="16"/>
      <w:szCs w:val="16"/>
    </w:rPr>
  </w:style>
  <w:style w:type="character" w:styleId="NichtaufgelsteErwhnung">
    <w:name w:val="Unresolved Mention"/>
    <w:basedOn w:val="Absatz-Standardschriftart"/>
    <w:uiPriority w:val="99"/>
    <w:semiHidden/>
    <w:unhideWhenUsed/>
    <w:rsid w:val="0034374F"/>
    <w:rPr>
      <w:color w:val="605E5C"/>
      <w:shd w:val="clear" w:color="auto" w:fill="E1DFDD"/>
    </w:rPr>
  </w:style>
  <w:style w:type="character" w:customStyle="1" w:styleId="HeaderFootChar">
    <w:name w:val="HeaderFoot Char"/>
    <w:basedOn w:val="Absatz-Standardschriftar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Standard"/>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Absatz-Standardschriftar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Absatz-Standardschriftart"/>
    <w:rsid w:val="004E60D2"/>
  </w:style>
  <w:style w:type="character" w:styleId="Erwhnung">
    <w:name w:val="Mention"/>
    <w:basedOn w:val="Absatz-Standardschriftart"/>
    <w:uiPriority w:val="99"/>
    <w:unhideWhenUsed/>
    <w:rsid w:val="00D377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esma.europa.eu/about-esma/data-protectio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jp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CP Policy Document" ma:contentTypeID="0x0101002536E5CA04E63B45B37CD642F35CBCC80100346EDC87F9FE834AB7EEAA787CE140FC" ma:contentTypeVersion="35" ma:contentTypeDescription="" ma:contentTypeScope="" ma:versionID="e9ce02f900eb64d2f0d7169a308f0898">
  <xsd:schema xmlns:xsd="http://www.w3.org/2001/XMLSchema" xmlns:xs="http://www.w3.org/2001/XMLSchema" xmlns:p="http://schemas.microsoft.com/office/2006/metadata/properties" xmlns:ns2="d0fb0f98-34f9-4d57-9559-eb8efd17aa5e" xmlns:ns3="d667209d-b9a4-40b6-9e60-58adc13a6cfb" targetNamespace="http://schemas.microsoft.com/office/2006/metadata/properties" ma:root="true" ma:fieldsID="8e80d928a4eb712c6b33e00518fa8101" ns2:_="" ns3:_="">
    <xsd:import namespace="d0fb0f98-34f9-4d57-9559-eb8efd17aa5e"/>
    <xsd:import namespace="d667209d-b9a4-40b6-9e60-58adc13a6cfb"/>
    <xsd:element name="properties">
      <xsd:complexType>
        <xsd:sequence>
          <xsd:element name="documentManagement">
            <xsd:complexType>
              <xsd:all>
                <xsd:element ref="ns2:Year"/>
                <xsd:element ref="ns2:MeetingDate" minOccurs="0"/>
                <xsd:element ref="ns2:TaxCatchAll" minOccurs="0"/>
                <xsd:element ref="ns2:b1af2f151fee4e71ab04d3be0acf309a"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simpleType>
    </xsd:element>
    <xsd:element name="MeetingDate" ma:index="8" nillable="true" ma:displayName="Meeting Date" ma:format="DateTime" ma:internalName="MeetingDate" ma:readOnly="false">
      <xsd:simpleType>
        <xsd:restriction base="dms:DateTime"/>
      </xsd:simpleType>
    </xsd:element>
    <xsd:element name="TaxCatchAll" ma:index="9" nillable="true" ma:displayName="Taxonomy Catch All Column" ma:hidden="true" ma:list="{0c2a3ff9-455c-4741-8eeb-29e4f0a20ffa}"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b1af2f151fee4e71ab04d3be0acf309a" ma:index="17" nillable="true" ma:taxonomy="true" ma:internalName="b1af2f151fee4e71ab04d3be0acf309a" ma:taxonomyFieldName="TeamName" ma:displayName="Team Name" ma:readOnly="false" ma:fieldId="{b1af2f15-1fee-4e71-ab04-d3be0acf309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c2a3ff9-455c-4741-8eeb-29e4f0a20ffa}"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9" nillable="true" ma:taxonomy="true" ma:internalName="ac4f39f6cc8445948be69a6c278de6ef" ma:taxonomyFieldName="Topic" ma:displayName="Topic" ma:readOnly="false" ma:fieldId="{ac4f39f6-cc84-4594-8be6-9a6c278de6ef}" ma:sspId="d4b01e31-ead0-4f68-a8e9-2aaca35f2e62"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20" nillable="true" ma:taxonomy="true" ma:internalName="h6d3aedb91e548d9a7a4b474e9cdf7ee" ma:taxonomyFieldName="SubTopic" ma:displayName="Sub Topic" ma:readOnly="false" ma:fieldId="{16d3aedb-91e5-48d9-a7a4-b474e9cdf7ee}" ma:sspId="d4b01e31-ead0-4f68-a8e9-2aaca35f2e62"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21" ma:taxonomy="true" ma:internalName="c0a75b1bac544bb79ff9701b7c8df79e" ma:taxonomyFieldName="DocumentType" ma:displayName="Document Type" ma:readOnly="false" ma:fieldId="{c0a75b1b-ac54-4bb7-9ff9-701b7c8df79e}"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2" ma:taxonomy="true" ma:internalName="ocd626d180d94eeaae0a33d4a9b513ce" ma:taxonomyFieldName="ConfidentialityLevel" ma:displayName="Confidentiality Level" ma:readOnly="false" ma:default="5;#Restricted|187aa7e6-627f-4951-b138-6ff841dc883d" ma:fieldId="{8cd626d1-80d9-4eea-ae0a-33d4a9b513c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3" nillable="true" ma:taxonomy="true" ma:internalName="c4c347a134a6410b9867f4d35258a852" ma:taxonomyFieldName="EsmaAudience" ma:displayName="Audience" ma:readOnly="false" ma:fieldId="{c4c347a1-34a6-410b-9867-f4d35258a852}"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7209d-b9a4-40b6-9e60-58adc13a6cf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Flow_SignoffStatus" ma:index="4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2026</Year>
    <TaxCatchAll xmlns="d0fb0f98-34f9-4d57-9559-eb8efd17aa5e">
      <Value>61</Value>
      <Value>10</Value>
      <Value>17</Value>
      <Value>645</Value>
      <Value>469</Value>
    </TaxCatchAll>
    <_dlc_DocId xmlns="d0fb0f98-34f9-4d57-9559-eb8efd17aa5e">ESMA91-1505572268-4723</_dlc_DocId>
    <_dlc_DocIdUrl xmlns="d0fb0f98-34f9-4d57-9559-eb8efd17aa5e">
      <Url>https://securitiesandmarketsauth.sharepoint.com/sites/sherpa-ccp/_layouts/15/DocIdRedir.aspx?ID=ESMA91-1505572268-4723</Url>
      <Description>ESMA91-1505572268-4723</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c4f39f6cc8445948be69a6c278de6ef xmlns="d0fb0f98-34f9-4d57-9559-eb8efd17aa5e">
      <Terms xmlns="http://schemas.microsoft.com/office/infopath/2007/PartnerControls">
        <TermInfo xmlns="http://schemas.microsoft.com/office/infopath/2007/PartnerControls">
          <TermName xmlns="http://schemas.microsoft.com/office/infopath/2007/PartnerControls">EMIR 3</TermName>
          <TermId xmlns="http://schemas.microsoft.com/office/infopath/2007/PartnerControls">f931d6ea-49c1-471a-b933-589830532ca3</TermId>
        </TermInfo>
      </Terms>
    </ac4f39f6cc8445948be69a6c278de6ef>
    <ocd626d180d94eeaae0a33d4a9b513c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cd626d180d94eeaae0a33d4a9b513ce>
    <h6d3aedb91e548d9a7a4b474e9cdf7ee xmlns="d0fb0f98-34f9-4d57-9559-eb8efd17aa5e">
      <Terms xmlns="http://schemas.microsoft.com/office/infopath/2007/PartnerControls">
        <TermInfo xmlns="http://schemas.microsoft.com/office/infopath/2007/PartnerControls">
          <TermName xmlns="http://schemas.microsoft.com/office/infopath/2007/PartnerControls">RTS 153</TermName>
          <TermId xmlns="http://schemas.microsoft.com/office/infopath/2007/PartnerControls">a51dd9b2-9e17-4703-9a7c-7aa18e1d70b8</TermId>
        </TermInfo>
      </Terms>
    </h6d3aedb91e548d9a7a4b474e9cdf7ee>
    <lcf76f155ced4ddcb4097134ff3c332f xmlns="d667209d-b9a4-40b6-9e60-58adc13a6cfb">
      <Terms xmlns="http://schemas.microsoft.com/office/infopath/2007/PartnerControls"/>
    </lcf76f155ced4ddcb4097134ff3c332f>
    <_Flow_SignoffStatus xmlns="d667209d-b9a4-40b6-9e60-58adc13a6cfb" xsi:nil="true"/>
    <b1af2f151fee4e71ab04d3be0acf309a xmlns="d0fb0f98-34f9-4d57-9559-eb8efd17aa5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cfa1e806-4441-4d82-a168-2bc2f7f5a273</TermId>
        </TermInfo>
      </Terms>
    </b1af2f151fee4e71ab04d3be0acf309a>
    <c0a75b1bac544bb79ff9701b7c8df79e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c0a75b1bac544bb79ff9701b7c8df79e>
    <c4c347a134a6410b9867f4d35258a852 xmlns="d0fb0f98-34f9-4d57-9559-eb8efd17aa5e">
      <Terms xmlns="http://schemas.microsoft.com/office/infopath/2007/PartnerControls"/>
    </c4c347a134a6410b9867f4d35258a852>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2.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230282C5-32BF-4D56-B930-335C7103D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67209d-b9a4-40b6-9e60-58adc13a6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d667209d-b9a4-40b6-9e60-58adc13a6cfb"/>
  </ds:schemaRefs>
</ds:datastoreItem>
</file>

<file path=customXml/itemProps6.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3694</Words>
  <Characters>20581</Characters>
  <Application>Microsoft Office Word</Application>
  <DocSecurity>0</DocSecurity>
  <Lines>388</Lines>
  <Paragraphs>172</Paragraphs>
  <ScaleCrop>false</ScaleCrop>
  <Company>ESMA</Company>
  <LinksUpToDate>false</LinksUpToDate>
  <CharactersWithSpaces>24103</CharactersWithSpaces>
  <SharedDoc>false</SharedDoc>
  <HLinks>
    <vt:vector size="36"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ariant>
        <vt:i4>1441901</vt:i4>
      </vt:variant>
      <vt:variant>
        <vt:i4>3</vt:i4>
      </vt:variant>
      <vt:variant>
        <vt:i4>0</vt:i4>
      </vt:variant>
      <vt:variant>
        <vt:i4>5</vt:i4>
      </vt:variant>
      <vt:variant>
        <vt:lpwstr>mailto:R907273@rwe-ag.com</vt:lpwstr>
      </vt:variant>
      <vt:variant>
        <vt:lpwstr/>
      </vt:variant>
      <vt:variant>
        <vt:i4>1441901</vt:i4>
      </vt:variant>
      <vt:variant>
        <vt:i4>0</vt:i4>
      </vt:variant>
      <vt:variant>
        <vt:i4>0</vt:i4>
      </vt:variant>
      <vt:variant>
        <vt:i4>5</vt:i4>
      </vt:variant>
      <vt:variant>
        <vt:lpwstr>mailto:R907273@rwe-ag.com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Premm, Roberta Luisa</cp:lastModifiedBy>
  <cp:revision>117</cp:revision>
  <cp:lastPrinted>2015-02-18T20:01:00Z</cp:lastPrinted>
  <dcterms:created xsi:type="dcterms:W3CDTF">2026-02-24T14:47:00Z</dcterms:created>
  <dcterms:modified xsi:type="dcterms:W3CDTF">2026-04-29T09:48:00Z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0x0101002536E5CA04E63B45B37CD642F35CBCC80100346EDC87F9FE834AB7EEAA787CE140FC</vt:lpwstr>
  </property>
  <property fmtid="{D5CDD505-2E9C-101B-9397-08002B2CF9AE}" pid="3" name="_dlc_DocIdItemGuid">
    <vt:lpwstr>f1f531c7-559a-4e19-b4ae-15d6e2a84815</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SubTopic">
    <vt:lpwstr>645;#RTS 153|a51dd9b2-9e17-4703-9a7c-7aa18e1d70b8</vt:lpwstr>
  </property>
  <property fmtid="{D5CDD505-2E9C-101B-9397-08002B2CF9AE}" pid="20" name="MSIP_Label_05ae7051-b702-462d-8e81-9ac0b6085f00_Extended_MSFT_Method">
    <vt:lpwstr>Standard</vt:lpwstr>
  </property>
  <property fmtid="{D5CDD505-2E9C-101B-9397-08002B2CF9AE}" pid="21" name="MSIP_Label_05ae7051-b702-462d-8e81-9ac0b6085f00_Removed">
    <vt:lpwstr>False</vt:lpwstr>
  </property>
  <property fmtid="{D5CDD505-2E9C-101B-9397-08002B2CF9AE}" pid="22" name="MSIP_Label_05ae7051-b702-462d-8e81-9ac0b6085f00_ActionId">
    <vt:lpwstr>a2cf8dee-15b1-4b34-8492-7a43b92a8920</vt:lpwstr>
  </property>
  <property fmtid="{D5CDD505-2E9C-101B-9397-08002B2CF9AE}" pid="23" name="MSIP_Label_05ae7051-b702-462d-8e81-9ac0b6085f00_Name">
    <vt:lpwstr>Regular</vt:lpwstr>
  </property>
  <property fmtid="{D5CDD505-2E9C-101B-9397-08002B2CF9AE}" pid="24" name="MSIP_Label_05ae7051-b702-462d-8e81-9ac0b6085f00_SetDate">
    <vt:lpwstr>2025-06-21T04:45:36Z</vt:lpwstr>
  </property>
  <property fmtid="{D5CDD505-2E9C-101B-9397-08002B2CF9AE}" pid="25" name="MSIP_Label_05ae7051-b702-462d-8e81-9ac0b6085f00_SiteId">
    <vt:lpwstr>e406f268-4ae7-4c80-8994-02493da00c03</vt:lpwstr>
  </property>
  <property fmtid="{D5CDD505-2E9C-101B-9397-08002B2CF9AE}" pid="26" name="MSIP_Label_05ae7051-b702-462d-8e81-9ac0b6085f00_Enabled">
    <vt:lpwstr>True</vt:lpwstr>
  </property>
  <property fmtid="{D5CDD505-2E9C-101B-9397-08002B2CF9AE}" pid="27" name="Sensitivity">
    <vt:lpwstr>Regular</vt:lpwstr>
  </property>
  <property fmtid="{D5CDD505-2E9C-101B-9397-08002B2CF9AE}" pid="28" name="docLang">
    <vt:lpwstr>en</vt:lpwstr>
  </property>
</Properties>
</file>