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9E29EE3" w:rsidR="004E60D2" w:rsidRPr="00252134" w:rsidRDefault="007C5962" w:rsidP="004E60D2">
      <w:pPr>
        <w:pStyle w:val="Subtitle"/>
        <w:spacing w:after="0"/>
        <w:rPr>
          <w:b w:val="0"/>
          <w:bCs w:val="0"/>
        </w:rPr>
        <w:sectPr w:rsidR="004E60D2" w:rsidRPr="00252134" w:rsidSect="004E60D2">
          <w:headerReference w:type="default" r:id="rId13"/>
          <w:footerReference w:type="default" r:id="rId14"/>
          <w:headerReference w:type="first" r:id="rId15"/>
          <w:footerReference w:type="first" r:id="rId16"/>
          <w:pgSz w:w="11906" w:h="16838" w:code="9"/>
          <w:pgMar w:top="1418" w:right="1418" w:bottom="1418" w:left="1418" w:header="862" w:footer="862" w:gutter="0"/>
          <w:pgNumType w:start="0"/>
          <w:cols w:space="708"/>
          <w:titlePg/>
          <w:docGrid w:linePitch="360"/>
        </w:sectPr>
      </w:pPr>
      <w:r>
        <w:t>Consultation Paper on d</w:t>
      </w:r>
      <w:r w:rsidRPr="007C5962">
        <w:t xml:space="preserve">raft RTS </w:t>
      </w:r>
      <w:r w:rsidR="00F71757" w:rsidRPr="00F71757">
        <w:t>amending Commission Delegated Regulation (RTS) 153/2013 in relation to public guarantees, public bank guarantees and commercial bank guarantees as collateral and in relation to certain aspects of investment policy and highly secure arrangements for the deposit of financial instruments</w:t>
      </w:r>
      <w:r w:rsidRPr="007C5962">
        <w:t xml:space="preserve"> </w:t>
      </w:r>
      <w:r w:rsidRPr="00840209">
        <w:rPr>
          <w:b w:val="0"/>
          <w:bCs w:val="0"/>
          <w:noProof/>
        </w:rPr>
        <w:t xml:space="preserve"> </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1CEE37B1">
                <wp:simplePos x="0" y="0"/>
                <wp:positionH relativeFrom="page">
                  <wp:align>right</wp:align>
                </wp:positionH>
                <wp:positionV relativeFrom="paragraph">
                  <wp:posOffset>1171575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13B62" id="Freeform: Shape 1" o:spid="_x0000_s1026" style="position:absolute;margin-left:544.9pt;margin-top:92.25pt;width:596.1pt;height:769.8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JVJyAT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8"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24F4AE66"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ListParagraph"/>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73868228" w:rsidR="00E70E2E" w:rsidRDefault="00E70E2E" w:rsidP="00E70E2E">
      <w:pPr>
        <w:rPr>
          <w:b/>
        </w:rPr>
      </w:pPr>
      <w:r w:rsidRPr="00517886">
        <w:t xml:space="preserve">ESMA will consider all comments received by </w:t>
      </w:r>
      <w:r w:rsidR="00366A11">
        <w:rPr>
          <w:b/>
        </w:rPr>
        <w:t>30 April</w:t>
      </w:r>
      <w:r w:rsidR="009013B5">
        <w:rPr>
          <w:b/>
        </w:rPr>
        <w:t xml:space="preserve"> 2026</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3E37C3D0"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F74C84">
        <w:t>COLL</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661D9C21"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F74C84">
        <w:t>COLL</w:t>
      </w:r>
      <w:r w:rsidRPr="00863BFD">
        <w:t>_nameofrespondent</w:t>
      </w:r>
      <w:proofErr w:type="spellEnd"/>
      <w:r w:rsidRPr="00863BFD">
        <w:t xml:space="preserve">. </w:t>
      </w:r>
    </w:p>
    <w:p w14:paraId="115A7ABF" w14:textId="3BB0FDD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350CE0">
        <w:t>COLL</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0"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1"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2"/>
          <w:headerReference w:type="default" r:id="rId23"/>
          <w:footerReference w:type="default"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vAlign w:val="center"/>
              </w:tcPr>
              <w:p w14:paraId="633DB1B6" w14:textId="4779CEEB" w:rsidR="00C2682A" w:rsidRPr="00104E00" w:rsidRDefault="00D06C22" w:rsidP="00104E00">
                <w:pPr>
                  <w:jc w:val="left"/>
                  <w:rPr>
                    <w:rStyle w:val="PlaceholderText"/>
                  </w:rPr>
                </w:pPr>
                <w:r>
                  <w:rPr>
                    <w:rStyle w:val="PlaceholderText"/>
                  </w:rPr>
                  <w:t>World Federation of Exchanges</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7FAD825D"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D06C22">
                  <w:t>Other Financial service providers</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vAlign w:val="center"/>
              </w:tcPr>
              <w:p w14:paraId="4BD68813" w14:textId="3302E3D6" w:rsidR="00C2682A" w:rsidRPr="00104E00" w:rsidRDefault="00D06C22"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vAlign w:val="center"/>
              </w:tcPr>
              <w:p w14:paraId="204E7C89" w14:textId="7C8FAC80" w:rsidR="00C2682A" w:rsidRPr="00104E00" w:rsidRDefault="00D06C22" w:rsidP="00104E00">
                <w:pPr>
                  <w:jc w:val="left"/>
                </w:pPr>
                <w:r>
                  <w:t>International</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7FEBD42E" w:rsidR="00693907" w:rsidRPr="00B15006" w:rsidRDefault="0042141E" w:rsidP="00693907">
      <w:pPr>
        <w:pStyle w:val="Questionstyle"/>
      </w:pPr>
      <w:r w:rsidRPr="0042141E">
        <w:t>Do</w:t>
      </w:r>
      <w:r w:rsidR="001C3526">
        <w:t xml:space="preserve"> </w:t>
      </w:r>
      <w:r w:rsidR="001C3526" w:rsidRPr="001C3526">
        <w:t>you agree that the existing provision on concentration limits should apply to guarantees and as such Article 42 should be amended to provide legal clarity on this?</w:t>
      </w:r>
      <w:r w:rsidR="00693907" w:rsidRPr="00B15006">
        <w:t xml:space="preserve"> </w:t>
      </w:r>
    </w:p>
    <w:p w14:paraId="1E634CEC" w14:textId="509E79DC" w:rsidR="00693907" w:rsidRDefault="00693907" w:rsidP="00693907">
      <w:r>
        <w:t>&lt;ESMA_QUESTION_</w:t>
      </w:r>
      <w:r w:rsidR="00B744D6">
        <w:t>COLL</w:t>
      </w:r>
      <w:r>
        <w:t>_1&gt;</w:t>
      </w:r>
    </w:p>
    <w:p w14:paraId="2B1ECF7E" w14:textId="77777777" w:rsidR="00D06C22" w:rsidRPr="00526A30" w:rsidRDefault="00D06C22" w:rsidP="00D06C22">
      <w:pPr>
        <w:rPr>
          <w:rFonts w:ascii="Segoe UI" w:eastAsia="Times New Roman" w:hAnsi="Segoe UI" w:cs="Segoe UI"/>
          <w:sz w:val="18"/>
          <w:szCs w:val="18"/>
        </w:rPr>
      </w:pPr>
      <w:r w:rsidRPr="00526A30">
        <w:rPr>
          <w:rFonts w:ascii="Segoe UI" w:eastAsia="Times New Roman" w:hAnsi="Segoe UI" w:cs="Segoe UI"/>
          <w:sz w:val="18"/>
          <w:szCs w:val="18"/>
        </w:rPr>
        <w:t>The WFE agrees that guarantees should be explicitly subject to Article 42 concentration limit requirements to provide legal clarity.</w:t>
      </w:r>
    </w:p>
    <w:p w14:paraId="580ADD4E" w14:textId="77777777" w:rsidR="00D06C22" w:rsidRDefault="00D06C22" w:rsidP="00D06C22">
      <w:pPr>
        <w:rPr>
          <w:rFonts w:ascii="Segoe UI" w:eastAsia="Times New Roman" w:hAnsi="Segoe UI" w:cs="Segoe UI"/>
          <w:sz w:val="18"/>
          <w:szCs w:val="18"/>
        </w:rPr>
      </w:pPr>
      <w:r w:rsidRPr="00526A30">
        <w:rPr>
          <w:rFonts w:ascii="Segoe UI" w:eastAsia="Times New Roman" w:hAnsi="Segoe UI" w:cs="Segoe UI"/>
          <w:sz w:val="18"/>
          <w:szCs w:val="18"/>
        </w:rPr>
        <w:t>Guarantees create counterparty exposure to the guarantor institution and therefore should fall clearly within concentration risk monitoring and limit setting frameworks.</w:t>
      </w:r>
    </w:p>
    <w:p w14:paraId="7D4640BC" w14:textId="4AD0283A" w:rsidR="00693907" w:rsidRDefault="00693907" w:rsidP="00693907">
      <w:r>
        <w:t>&lt;ESMA_QUESTION_</w:t>
      </w:r>
      <w:r w:rsidR="00B744D6">
        <w:t>COLL</w:t>
      </w:r>
      <w:r>
        <w:t>_1&gt;</w:t>
      </w:r>
    </w:p>
    <w:p w14:paraId="0B2E60F7" w14:textId="77777777" w:rsidR="00693907" w:rsidRDefault="00693907" w:rsidP="00693907"/>
    <w:p w14:paraId="0D4A902B" w14:textId="67C691EF" w:rsidR="00693907" w:rsidRPr="00C57036" w:rsidRDefault="007C5CE7" w:rsidP="00693907">
      <w:pPr>
        <w:pStyle w:val="Questionstyle"/>
      </w:pPr>
      <w:r w:rsidRPr="007C5CE7">
        <w:t>Do</w:t>
      </w:r>
      <w:r w:rsidR="002C497F">
        <w:t xml:space="preserve"> </w:t>
      </w:r>
      <w:r w:rsidR="002C497F" w:rsidRPr="002C497F">
        <w:t xml:space="preserve">you agree with the inclusion of the level of collateralisation of the guarantee as a criterion for the CCP to consider when establishing concentration limits? </w:t>
      </w:r>
      <w:r w:rsidR="00693907" w:rsidRPr="00C57036">
        <w:t xml:space="preserve">   </w:t>
      </w:r>
    </w:p>
    <w:p w14:paraId="00896A16" w14:textId="79A6D7D2" w:rsidR="00693907" w:rsidRDefault="00693907" w:rsidP="00693907">
      <w:r>
        <w:t>&lt;ESMA_QUESTION_</w:t>
      </w:r>
      <w:r w:rsidR="008D6D0B">
        <w:t>COLL</w:t>
      </w:r>
      <w:r>
        <w:t>_2&gt;</w:t>
      </w:r>
    </w:p>
    <w:p w14:paraId="2009AA2D" w14:textId="77777777" w:rsidR="00D06C22" w:rsidRDefault="00D06C22" w:rsidP="00D06C22">
      <w:pPr>
        <w:rPr>
          <w:rFonts w:ascii="Segoe UI" w:eastAsia="Times New Roman" w:hAnsi="Segoe UI" w:cs="Segoe UI"/>
          <w:sz w:val="18"/>
          <w:szCs w:val="18"/>
        </w:rPr>
      </w:pPr>
      <w:r>
        <w:rPr>
          <w:rFonts w:ascii="Segoe UI" w:eastAsia="Times New Roman" w:hAnsi="Segoe UI" w:cs="Segoe UI"/>
          <w:sz w:val="18"/>
          <w:szCs w:val="18"/>
        </w:rPr>
        <w:t>The WFE agrees</w:t>
      </w:r>
      <w:r w:rsidRPr="00526A30">
        <w:rPr>
          <w:rFonts w:ascii="Segoe UI" w:eastAsia="Times New Roman" w:hAnsi="Segoe UI" w:cs="Segoe UI"/>
          <w:sz w:val="18"/>
          <w:szCs w:val="18"/>
        </w:rPr>
        <w:t xml:space="preserve"> that the level of collateralisation of a guarantee can be a relevant consideration when establishing concentration limits. However, it should not be treated as a substitute for a holistic risk assessment.</w:t>
      </w:r>
      <w:r>
        <w:rPr>
          <w:rFonts w:ascii="Segoe UI" w:eastAsia="Times New Roman" w:hAnsi="Segoe UI" w:cs="Segoe UI"/>
          <w:sz w:val="18"/>
          <w:szCs w:val="18"/>
        </w:rPr>
        <w:t xml:space="preserve"> </w:t>
      </w:r>
      <w:r w:rsidRPr="00526A30">
        <w:rPr>
          <w:rFonts w:ascii="Segoe UI" w:eastAsia="Times New Roman" w:hAnsi="Segoe UI" w:cs="Segoe UI"/>
          <w:sz w:val="18"/>
          <w:szCs w:val="18"/>
        </w:rPr>
        <w:t>Collateralisation does not eliminate wrong way risk, legal risk or liquidity risk. Limits should therefore reflect aggregate exposure to each guarantor irrespective of the nominal collateralisation level.</w:t>
      </w:r>
    </w:p>
    <w:p w14:paraId="456D2494" w14:textId="7C8052C1" w:rsidR="00693907" w:rsidRDefault="00693907" w:rsidP="00693907">
      <w:r>
        <w:t>&lt;ESMA_QUESTION_</w:t>
      </w:r>
      <w:r w:rsidR="008D6D0B">
        <w:t>COLL</w:t>
      </w:r>
      <w:r>
        <w:t>_2&gt;</w:t>
      </w:r>
    </w:p>
    <w:p w14:paraId="07210AC9" w14:textId="77777777" w:rsidR="00693907" w:rsidRDefault="00693907" w:rsidP="00693907"/>
    <w:p w14:paraId="19A7880E" w14:textId="433F68E8" w:rsidR="00693907" w:rsidRPr="00EB5987" w:rsidRDefault="006901CE" w:rsidP="00693907">
      <w:pPr>
        <w:pStyle w:val="Questionstyle"/>
      </w:pPr>
      <w:proofErr w:type="gramStart"/>
      <w:r w:rsidRPr="006901CE">
        <w:lastRenderedPageBreak/>
        <w:t>Do</w:t>
      </w:r>
      <w:r w:rsidR="005039EC">
        <w:t xml:space="preserve"> </w:t>
      </w:r>
      <w:r>
        <w:t xml:space="preserve"> </w:t>
      </w:r>
      <w:r w:rsidR="005039EC" w:rsidRPr="005039EC">
        <w:t>you</w:t>
      </w:r>
      <w:proofErr w:type="gramEnd"/>
      <w:r w:rsidR="005039EC" w:rsidRPr="005039EC">
        <w:t xml:space="preserve"> agree with the inclusion of the new criteria (e) in paragraph 3 of Article 42, so that the CCP can consider the activity of the non-financial client when setting concentration limits?</w:t>
      </w:r>
      <w:r w:rsidR="00693907" w:rsidRPr="00EB5987">
        <w:t xml:space="preserve">    </w:t>
      </w:r>
    </w:p>
    <w:p w14:paraId="4B1B3C0E" w14:textId="4203ECA6" w:rsidR="00693907" w:rsidRDefault="00693907" w:rsidP="00693907">
      <w:r>
        <w:t>&lt;ESMA_QUESTION_</w:t>
      </w:r>
      <w:r w:rsidR="008D6D0B">
        <w:t>COLL</w:t>
      </w:r>
      <w:r>
        <w:t>_3&gt;</w:t>
      </w:r>
    </w:p>
    <w:p w14:paraId="338FF1B3" w14:textId="77777777" w:rsidR="00D06C22" w:rsidRDefault="00D06C22" w:rsidP="00D06C22">
      <w:pPr>
        <w:rPr>
          <w:rFonts w:ascii="Segoe UI" w:eastAsia="Times New Roman" w:hAnsi="Segoe UI" w:cs="Segoe UI"/>
          <w:sz w:val="18"/>
          <w:szCs w:val="18"/>
        </w:rPr>
      </w:pPr>
      <w:r w:rsidRPr="00526A30">
        <w:rPr>
          <w:rFonts w:ascii="Segoe UI" w:eastAsia="Times New Roman" w:hAnsi="Segoe UI" w:cs="Segoe UI"/>
          <w:sz w:val="18"/>
          <w:szCs w:val="18"/>
        </w:rPr>
        <w:t xml:space="preserve">The WFE </w:t>
      </w:r>
      <w:r>
        <w:rPr>
          <w:rFonts w:ascii="Segoe UI" w:eastAsia="Times New Roman" w:hAnsi="Segoe UI" w:cs="Segoe UI"/>
          <w:sz w:val="18"/>
          <w:szCs w:val="18"/>
        </w:rPr>
        <w:t>agrees with</w:t>
      </w:r>
      <w:r w:rsidRPr="00526A30">
        <w:rPr>
          <w:rFonts w:ascii="Segoe UI" w:eastAsia="Times New Roman" w:hAnsi="Segoe UI" w:cs="Segoe UI"/>
          <w:sz w:val="18"/>
          <w:szCs w:val="18"/>
        </w:rPr>
        <w:t xml:space="preserve"> ESMA’s </w:t>
      </w:r>
      <w:r>
        <w:rPr>
          <w:rFonts w:ascii="Segoe UI" w:eastAsia="Times New Roman" w:hAnsi="Segoe UI" w:cs="Segoe UI"/>
          <w:sz w:val="18"/>
          <w:szCs w:val="18"/>
        </w:rPr>
        <w:t>plan</w:t>
      </w:r>
      <w:r w:rsidRPr="00526A30">
        <w:rPr>
          <w:rFonts w:ascii="Segoe UI" w:eastAsia="Times New Roman" w:hAnsi="Segoe UI" w:cs="Segoe UI"/>
          <w:sz w:val="18"/>
          <w:szCs w:val="18"/>
        </w:rPr>
        <w:t xml:space="preserve"> </w:t>
      </w:r>
      <w:r>
        <w:rPr>
          <w:rFonts w:ascii="Segoe UI" w:eastAsia="Times New Roman" w:hAnsi="Segoe UI" w:cs="Segoe UI"/>
          <w:sz w:val="18"/>
          <w:szCs w:val="18"/>
        </w:rPr>
        <w:t>to</w:t>
      </w:r>
      <w:r w:rsidRPr="00526A30">
        <w:rPr>
          <w:rFonts w:ascii="Segoe UI" w:eastAsia="Times New Roman" w:hAnsi="Segoe UI" w:cs="Segoe UI"/>
          <w:sz w:val="18"/>
          <w:szCs w:val="18"/>
        </w:rPr>
        <w:t xml:space="preserve"> allow CCPs to consider the underlying activity of non-financial clients when setting concentration limits, particularly in commodity markets where hedging activity may be directly linked to production or physical exposure.</w:t>
      </w:r>
      <w:r>
        <w:rPr>
          <w:rFonts w:ascii="Segoe UI" w:eastAsia="Times New Roman" w:hAnsi="Segoe UI" w:cs="Segoe UI"/>
          <w:sz w:val="18"/>
          <w:szCs w:val="18"/>
        </w:rPr>
        <w:t xml:space="preserve"> </w:t>
      </w:r>
      <w:r w:rsidRPr="00526A30">
        <w:rPr>
          <w:rFonts w:ascii="Segoe UI" w:eastAsia="Times New Roman" w:hAnsi="Segoe UI" w:cs="Segoe UI"/>
          <w:sz w:val="18"/>
          <w:szCs w:val="18"/>
        </w:rPr>
        <w:t xml:space="preserve">We support this as an optional risk sensitive factor rather than a mandatory requirement. </w:t>
      </w:r>
    </w:p>
    <w:p w14:paraId="7EF07F00" w14:textId="43ADDCB7" w:rsidR="00693907" w:rsidRDefault="00693907" w:rsidP="00693907">
      <w:r>
        <w:t>&lt;ESMA_QUESTION_</w:t>
      </w:r>
      <w:r w:rsidR="00135967">
        <w:t>COLL</w:t>
      </w:r>
      <w:r>
        <w:t>_3&gt;</w:t>
      </w:r>
    </w:p>
    <w:p w14:paraId="6B4516C3" w14:textId="77777777" w:rsidR="00693907" w:rsidRDefault="00693907" w:rsidP="00693907"/>
    <w:p w14:paraId="5487291B" w14:textId="0684972D" w:rsidR="00693907" w:rsidRPr="007966CD" w:rsidRDefault="00191142" w:rsidP="00693907">
      <w:pPr>
        <w:pStyle w:val="Questionstyle"/>
      </w:pPr>
      <w:r w:rsidRPr="00191142">
        <w:t>Shall there be specific concentration limits established for guarantees provided by non-clearing members, given these exposures are not considered in the Stress Test?</w:t>
      </w:r>
      <w:r w:rsidR="00693907" w:rsidRPr="007966CD">
        <w:t xml:space="preserve">   </w:t>
      </w:r>
    </w:p>
    <w:p w14:paraId="6040CACC" w14:textId="2C012C7C" w:rsidR="00693907" w:rsidRDefault="00693907" w:rsidP="00693907">
      <w:r>
        <w:t>&lt;ESMA_QUESTION_</w:t>
      </w:r>
      <w:r w:rsidR="00E665F4">
        <w:t>COLL</w:t>
      </w:r>
      <w:r>
        <w:t>_4&gt;</w:t>
      </w:r>
    </w:p>
    <w:p w14:paraId="3B82EC3B" w14:textId="3E03E404" w:rsidR="00D06C22" w:rsidRDefault="00D06C22" w:rsidP="00D06C22">
      <w:pPr>
        <w:rPr>
          <w:rFonts w:ascii="Segoe UI" w:eastAsia="Times New Roman" w:hAnsi="Segoe UI" w:cs="Segoe UI"/>
          <w:sz w:val="18"/>
          <w:szCs w:val="18"/>
        </w:rPr>
      </w:pPr>
      <w:r w:rsidRPr="00E11BBA">
        <w:rPr>
          <w:rFonts w:ascii="Segoe UI" w:eastAsia="Times New Roman" w:hAnsi="Segoe UI" w:cs="Segoe UI"/>
          <w:sz w:val="18"/>
          <w:szCs w:val="18"/>
        </w:rPr>
        <w:t xml:space="preserve">The WFE considers that concentration risk arising from guarantees provided by non-clearing members should be appropriately managed, but that </w:t>
      </w:r>
      <w:r>
        <w:rPr>
          <w:rFonts w:ascii="Segoe UI" w:eastAsia="Times New Roman" w:hAnsi="Segoe UI" w:cs="Segoe UI"/>
          <w:sz w:val="18"/>
          <w:szCs w:val="18"/>
        </w:rPr>
        <w:t>specific concentration limits</w:t>
      </w:r>
      <w:r w:rsidRPr="002A3401">
        <w:rPr>
          <w:rFonts w:ascii="Segoe UI" w:eastAsia="Times New Roman" w:hAnsi="Segoe UI" w:cs="Segoe UI"/>
          <w:sz w:val="18"/>
          <w:szCs w:val="18"/>
        </w:rPr>
        <w:t xml:space="preserve"> should not be </w:t>
      </w:r>
      <w:proofErr w:type="gramStart"/>
      <w:r w:rsidRPr="002A3401">
        <w:rPr>
          <w:rFonts w:ascii="Segoe UI" w:eastAsia="Times New Roman" w:hAnsi="Segoe UI" w:cs="Segoe UI"/>
          <w:sz w:val="18"/>
          <w:szCs w:val="18"/>
        </w:rPr>
        <w:t>hard-coded</w:t>
      </w:r>
      <w:proofErr w:type="gramEnd"/>
      <w:r w:rsidRPr="002A3401">
        <w:rPr>
          <w:rFonts w:ascii="Segoe UI" w:eastAsia="Times New Roman" w:hAnsi="Segoe UI" w:cs="Segoe UI"/>
          <w:sz w:val="18"/>
          <w:szCs w:val="18"/>
        </w:rPr>
        <w:t xml:space="preserve"> in regulation. Instead, CCPs should </w:t>
      </w:r>
      <w:r w:rsidRPr="00996290">
        <w:rPr>
          <w:rFonts w:ascii="Segoe UI" w:eastAsia="Times New Roman" w:hAnsi="Segoe UI" w:cs="Segoe UI"/>
          <w:sz w:val="18"/>
          <w:szCs w:val="18"/>
        </w:rPr>
        <w:t xml:space="preserve">retain responsibility for calibrating concentration limits within </w:t>
      </w:r>
      <w:r w:rsidRPr="002A3401">
        <w:rPr>
          <w:rFonts w:ascii="Segoe UI" w:eastAsia="Times New Roman" w:hAnsi="Segoe UI" w:cs="Segoe UI"/>
          <w:sz w:val="18"/>
          <w:szCs w:val="18"/>
        </w:rPr>
        <w:t>robust, risk-based concentration framework</w:t>
      </w:r>
      <w:r>
        <w:rPr>
          <w:rFonts w:ascii="Segoe UI" w:eastAsia="Times New Roman" w:hAnsi="Segoe UI" w:cs="Segoe UI"/>
          <w:sz w:val="18"/>
          <w:szCs w:val="18"/>
        </w:rPr>
        <w:t>s</w:t>
      </w:r>
      <w:r w:rsidRPr="002A3401">
        <w:rPr>
          <w:rFonts w:ascii="Segoe UI" w:eastAsia="Times New Roman" w:hAnsi="Segoe UI" w:cs="Segoe UI"/>
          <w:sz w:val="18"/>
          <w:szCs w:val="18"/>
        </w:rPr>
        <w:t xml:space="preserve"> that reflects the nature of the guarantor, the scale of the exposure, and the stage of market development.</w:t>
      </w:r>
      <w:r>
        <w:rPr>
          <w:rFonts w:ascii="Segoe UI" w:eastAsia="Times New Roman" w:hAnsi="Segoe UI" w:cs="Segoe UI"/>
          <w:sz w:val="18"/>
          <w:szCs w:val="18"/>
        </w:rPr>
        <w:t xml:space="preserve">  </w:t>
      </w:r>
      <w:r w:rsidRPr="00232320">
        <w:rPr>
          <w:rFonts w:ascii="Segoe UI" w:eastAsia="Times New Roman" w:hAnsi="Segoe UI" w:cs="Segoe UI"/>
          <w:sz w:val="18"/>
          <w:szCs w:val="18"/>
        </w:rPr>
        <w:t xml:space="preserve">Such an approach would be consistent with the treatment of other collateral asset classes, where concentration limits are calibrated by CCPs in accordance with their own risk frameworks rather than fixed in regulation. Prescribing hard thresholds for guarantees would represent an unjustified departure from this established principle. This concern is especially acute during the initial phase of a </w:t>
      </w:r>
      <w:proofErr w:type="gramStart"/>
      <w:r w:rsidRPr="00232320">
        <w:rPr>
          <w:rFonts w:ascii="Segoe UI" w:eastAsia="Times New Roman" w:hAnsi="Segoe UI" w:cs="Segoe UI"/>
          <w:sz w:val="18"/>
          <w:szCs w:val="18"/>
        </w:rPr>
        <w:t>guarantee</w:t>
      </w:r>
      <w:proofErr w:type="gramEnd"/>
      <w:r w:rsidRPr="00232320">
        <w:rPr>
          <w:rFonts w:ascii="Segoe UI" w:eastAsia="Times New Roman" w:hAnsi="Segoe UI" w:cs="Segoe UI"/>
          <w:sz w:val="18"/>
          <w:szCs w:val="18"/>
        </w:rPr>
        <w:t xml:space="preserve"> programme, when the pool of accepted issuers may naturally be limited. Overly restrictive fixed limits at this stage could impede market adoption and reduce the resilience and diversification benefits that the collateral framework is intended to deliver, without a commensurate reduction in risk. </w:t>
      </w:r>
    </w:p>
    <w:p w14:paraId="21B5D78D" w14:textId="364F4532" w:rsidR="00D06C22" w:rsidRDefault="00D06C22" w:rsidP="00D06C22">
      <w:pPr>
        <w:rPr>
          <w:rFonts w:ascii="Segoe UI" w:eastAsia="Times New Roman" w:hAnsi="Segoe UI" w:cs="Segoe UI"/>
          <w:sz w:val="18"/>
          <w:szCs w:val="18"/>
        </w:rPr>
      </w:pPr>
      <w:r>
        <w:rPr>
          <w:rFonts w:ascii="Segoe UI" w:eastAsia="Times New Roman" w:hAnsi="Segoe UI" w:cs="Segoe UI"/>
          <w:sz w:val="18"/>
          <w:szCs w:val="18"/>
        </w:rPr>
        <w:t>W</w:t>
      </w:r>
      <w:r w:rsidRPr="00FD0F46">
        <w:rPr>
          <w:rFonts w:ascii="Segoe UI" w:eastAsia="Times New Roman" w:hAnsi="Segoe UI" w:cs="Segoe UI"/>
          <w:sz w:val="18"/>
          <w:szCs w:val="18"/>
        </w:rPr>
        <w:t xml:space="preserve">here exposures to non-clearing guarantors are not captured within stress testing frameworks, additional safeguards are warranted to prevent the build-up of unassessed concentrations. </w:t>
      </w:r>
      <w:r>
        <w:rPr>
          <w:rFonts w:ascii="Segoe UI" w:eastAsia="Times New Roman" w:hAnsi="Segoe UI" w:cs="Segoe UI"/>
          <w:sz w:val="18"/>
          <w:szCs w:val="18"/>
        </w:rPr>
        <w:t>However, t</w:t>
      </w:r>
      <w:r w:rsidRPr="00E849F4">
        <w:rPr>
          <w:rFonts w:ascii="Segoe UI" w:eastAsia="Times New Roman" w:hAnsi="Segoe UI" w:cs="Segoe UI"/>
          <w:sz w:val="18"/>
          <w:szCs w:val="18"/>
        </w:rPr>
        <w:t xml:space="preserve">he </w:t>
      </w:r>
      <w:r>
        <w:rPr>
          <w:rFonts w:ascii="Segoe UI" w:eastAsia="Times New Roman" w:hAnsi="Segoe UI" w:cs="Segoe UI"/>
          <w:sz w:val="18"/>
          <w:szCs w:val="18"/>
        </w:rPr>
        <w:t xml:space="preserve">regulatory </w:t>
      </w:r>
      <w:r w:rsidRPr="00E849F4">
        <w:rPr>
          <w:rFonts w:ascii="Segoe UI" w:eastAsia="Times New Roman" w:hAnsi="Segoe UI" w:cs="Segoe UI"/>
          <w:sz w:val="18"/>
          <w:szCs w:val="18"/>
        </w:rPr>
        <w:t>framework should ensure that concentration risks are effectively constrained and consistently addressed across CCPs</w:t>
      </w:r>
      <w:r>
        <w:rPr>
          <w:rFonts w:ascii="Segoe UI" w:eastAsia="Times New Roman" w:hAnsi="Segoe UI" w:cs="Segoe UI"/>
          <w:sz w:val="18"/>
          <w:szCs w:val="18"/>
        </w:rPr>
        <w:t xml:space="preserve"> </w:t>
      </w:r>
      <w:r w:rsidRPr="00E849F4">
        <w:rPr>
          <w:rFonts w:ascii="Segoe UI" w:eastAsia="Times New Roman" w:hAnsi="Segoe UI" w:cs="Segoe UI"/>
          <w:sz w:val="18"/>
          <w:szCs w:val="18"/>
        </w:rPr>
        <w:t>while preserving sufficient flexibility for CCPs to manage risks dynamically and support market development.</w:t>
      </w:r>
      <w:r>
        <w:rPr>
          <w:rFonts w:ascii="Segoe UI" w:eastAsia="Times New Roman" w:hAnsi="Segoe UI" w:cs="Segoe UI"/>
          <w:sz w:val="18"/>
          <w:szCs w:val="18"/>
        </w:rPr>
        <w:t xml:space="preserve"> </w:t>
      </w:r>
      <w:r w:rsidRPr="00232320">
        <w:rPr>
          <w:rFonts w:ascii="Segoe UI" w:eastAsia="Times New Roman" w:hAnsi="Segoe UI" w:cs="Segoe UI"/>
          <w:sz w:val="18"/>
          <w:szCs w:val="18"/>
        </w:rPr>
        <w:t>CCPs are well placed to manage concentration risk dynamically, taking account of issuer credit quality, collateral diversification, and evolving market conditions, and should be given the regulatory space to do so.</w:t>
      </w:r>
      <w:r>
        <w:rPr>
          <w:rFonts w:ascii="Segoe UI" w:eastAsia="Times New Roman" w:hAnsi="Segoe UI" w:cs="Segoe UI"/>
          <w:sz w:val="18"/>
          <w:szCs w:val="18"/>
        </w:rPr>
        <w:t xml:space="preserve"> </w:t>
      </w:r>
    </w:p>
    <w:p w14:paraId="1DC927ED" w14:textId="51C783DD" w:rsidR="00D06C22" w:rsidRPr="00526A30" w:rsidRDefault="00D06C22" w:rsidP="00D06C22">
      <w:pPr>
        <w:rPr>
          <w:rFonts w:ascii="Segoe UI" w:eastAsia="Times New Roman" w:hAnsi="Segoe UI" w:cs="Segoe UI"/>
          <w:sz w:val="18"/>
          <w:szCs w:val="18"/>
        </w:rPr>
      </w:pPr>
      <w:r w:rsidRPr="50690CB5">
        <w:rPr>
          <w:rFonts w:ascii="Segoe UI" w:eastAsia="Times New Roman" w:hAnsi="Segoe UI" w:cs="Segoe UI"/>
          <w:sz w:val="18"/>
          <w:szCs w:val="18"/>
        </w:rPr>
        <w:t>Although not framed as a standalone question, we note ESMA’s references to haircuts as a potential tool. Member feedback indicates that haircuts should not be required for uncollaterali</w:t>
      </w:r>
      <w:r>
        <w:rPr>
          <w:rFonts w:ascii="Segoe UI" w:eastAsia="Times New Roman" w:hAnsi="Segoe UI" w:cs="Segoe UI"/>
          <w:sz w:val="18"/>
          <w:szCs w:val="18"/>
        </w:rPr>
        <w:t>s</w:t>
      </w:r>
      <w:r w:rsidRPr="50690CB5">
        <w:rPr>
          <w:rFonts w:ascii="Segoe UI" w:eastAsia="Times New Roman" w:hAnsi="Segoe UI" w:cs="Segoe UI"/>
          <w:sz w:val="18"/>
          <w:szCs w:val="18"/>
        </w:rPr>
        <w:t>ed guarantees posted as collateral</w:t>
      </w:r>
      <w:r>
        <w:rPr>
          <w:rFonts w:ascii="Segoe UI" w:eastAsia="Times New Roman" w:hAnsi="Segoe UI" w:cs="Segoe UI"/>
          <w:sz w:val="18"/>
          <w:szCs w:val="18"/>
        </w:rPr>
        <w:t xml:space="preserve">, as they are not necessarily the appropriate tool to </w:t>
      </w:r>
      <w:r w:rsidRPr="50690CB5">
        <w:rPr>
          <w:rFonts w:ascii="Segoe UI" w:eastAsia="Times New Roman" w:hAnsi="Segoe UI" w:cs="Segoe UI"/>
          <w:sz w:val="18"/>
          <w:szCs w:val="18"/>
        </w:rPr>
        <w:t>adequately address the core risks of uncollateralised guarantees (particularly where the instrument is not supported by robust contractual, operational and concentration safeguards)</w:t>
      </w:r>
      <w:r>
        <w:rPr>
          <w:rFonts w:ascii="Segoe UI" w:eastAsia="Times New Roman" w:hAnsi="Segoe UI" w:cs="Segoe UI"/>
          <w:sz w:val="18"/>
          <w:szCs w:val="18"/>
        </w:rPr>
        <w:t>.</w:t>
      </w:r>
    </w:p>
    <w:p w14:paraId="20DEFAD6" w14:textId="1A1E5D8B" w:rsidR="00D06C22" w:rsidRDefault="00D06C22" w:rsidP="00D06C22">
      <w:pPr>
        <w:rPr>
          <w:rFonts w:ascii="Segoe UI" w:eastAsia="Times New Roman" w:hAnsi="Segoe UI" w:cs="Segoe UI"/>
          <w:sz w:val="18"/>
          <w:szCs w:val="18"/>
        </w:rPr>
      </w:pPr>
      <w:r>
        <w:rPr>
          <w:rFonts w:ascii="Segoe UI" w:eastAsia="Times New Roman" w:hAnsi="Segoe UI" w:cs="Segoe UI"/>
          <w:sz w:val="18"/>
          <w:szCs w:val="18"/>
        </w:rPr>
        <w:t>T</w:t>
      </w:r>
      <w:r w:rsidRPr="00034EDD">
        <w:rPr>
          <w:rFonts w:ascii="Segoe UI" w:eastAsia="Times New Roman" w:hAnsi="Segoe UI" w:cs="Segoe UI"/>
          <w:sz w:val="18"/>
          <w:szCs w:val="18"/>
        </w:rPr>
        <w:t xml:space="preserve">hese risks can be mitigated through appropriate contractual design and operational arrangements. </w:t>
      </w:r>
      <w:proofErr w:type="gramStart"/>
      <w:r w:rsidRPr="00034EDD">
        <w:rPr>
          <w:rFonts w:ascii="Segoe UI" w:eastAsia="Times New Roman" w:hAnsi="Segoe UI" w:cs="Segoe UI"/>
          <w:sz w:val="18"/>
          <w:szCs w:val="18"/>
        </w:rPr>
        <w:t>In particular, where</w:t>
      </w:r>
      <w:proofErr w:type="gramEnd"/>
      <w:r w:rsidRPr="00034EDD">
        <w:rPr>
          <w:rFonts w:ascii="Segoe UI" w:eastAsia="Times New Roman" w:hAnsi="Segoe UI" w:cs="Segoe UI"/>
          <w:sz w:val="18"/>
          <w:szCs w:val="18"/>
        </w:rPr>
        <w:t xml:space="preserve"> guarantees are structured as irrevocable, unconditional and on-demand obligations, and where CCPs are able to call </w:t>
      </w:r>
      <w:r w:rsidRPr="00034EDD">
        <w:rPr>
          <w:rFonts w:ascii="Segoe UI" w:eastAsia="Times New Roman" w:hAnsi="Segoe UI" w:cs="Segoe UI"/>
          <w:sz w:val="18"/>
          <w:szCs w:val="18"/>
        </w:rPr>
        <w:lastRenderedPageBreak/>
        <w:t>and convert them into cash rapidly, the risk of deterioration in value during stress can be significantly reduced. In practice, CCPs may seek to ensure that such instruments can be enforced and monetised within tight operational timeframes, consistent with their liquidity risk management frameworks.</w:t>
      </w:r>
    </w:p>
    <w:p w14:paraId="2549A7DB" w14:textId="77777777" w:rsidR="00D06C22" w:rsidRDefault="00D06C22" w:rsidP="00D06C22">
      <w:pPr>
        <w:rPr>
          <w:rFonts w:ascii="Segoe UI" w:eastAsia="Times New Roman" w:hAnsi="Segoe UI" w:cs="Segoe UI"/>
          <w:sz w:val="18"/>
          <w:szCs w:val="18"/>
        </w:rPr>
      </w:pPr>
      <w:r w:rsidRPr="0031726B">
        <w:rPr>
          <w:rFonts w:ascii="Segoe UI" w:eastAsia="Times New Roman" w:hAnsi="Segoe UI" w:cs="Segoe UI"/>
          <w:sz w:val="18"/>
          <w:szCs w:val="18"/>
        </w:rPr>
        <w:t xml:space="preserve">The WFE would also caution against categorical restrictions preventing a bank that issues </w:t>
      </w:r>
      <w:proofErr w:type="gramStart"/>
      <w:r w:rsidRPr="0031726B">
        <w:rPr>
          <w:rFonts w:ascii="Segoe UI" w:eastAsia="Times New Roman" w:hAnsi="Segoe UI" w:cs="Segoe UI"/>
          <w:sz w:val="18"/>
          <w:szCs w:val="18"/>
        </w:rPr>
        <w:t>guarantees</w:t>
      </w:r>
      <w:proofErr w:type="gramEnd"/>
      <w:r w:rsidRPr="0031726B">
        <w:rPr>
          <w:rFonts w:ascii="Segoe UI" w:eastAsia="Times New Roman" w:hAnsi="Segoe UI" w:cs="Segoe UI"/>
          <w:sz w:val="18"/>
          <w:szCs w:val="18"/>
        </w:rPr>
        <w:t xml:space="preserve"> from also acting in other capacities for the CCP, </w:t>
      </w:r>
      <w:r>
        <w:rPr>
          <w:rFonts w:ascii="Segoe UI" w:eastAsia="Times New Roman" w:hAnsi="Segoe UI" w:cs="Segoe UI"/>
          <w:sz w:val="18"/>
          <w:szCs w:val="18"/>
        </w:rPr>
        <w:t>that may constitute services critical to the functioning of the CCP</w:t>
      </w:r>
      <w:r w:rsidRPr="0031726B">
        <w:rPr>
          <w:rFonts w:ascii="Segoe UI" w:eastAsia="Times New Roman" w:hAnsi="Segoe UI" w:cs="Segoe UI"/>
          <w:sz w:val="18"/>
          <w:szCs w:val="18"/>
        </w:rPr>
        <w:t>. Such exposures are better managed through an overall concentration and counterparty risk framework than through blanket prohibitions.</w:t>
      </w:r>
      <w:r>
        <w:rPr>
          <w:rFonts w:ascii="Segoe UI" w:eastAsia="Times New Roman" w:hAnsi="Segoe UI" w:cs="Segoe UI"/>
          <w:sz w:val="18"/>
          <w:szCs w:val="18"/>
        </w:rPr>
        <w:t xml:space="preserve"> </w:t>
      </w:r>
      <w:r w:rsidRPr="00C85014">
        <w:rPr>
          <w:rFonts w:ascii="Segoe UI" w:eastAsia="Times New Roman" w:hAnsi="Segoe UI" w:cs="Segoe UI"/>
          <w:sz w:val="18"/>
          <w:szCs w:val="18"/>
        </w:rPr>
        <w:t xml:space="preserve">In particular, the WFE notes that the institutions most likely to be caught by such a prohibition </w:t>
      </w:r>
      <w:r>
        <w:rPr>
          <w:rFonts w:ascii="Segoe UI" w:eastAsia="Times New Roman" w:hAnsi="Segoe UI" w:cs="Segoe UI"/>
          <w:sz w:val="18"/>
          <w:szCs w:val="18"/>
        </w:rPr>
        <w:t>-</w:t>
      </w:r>
      <w:r w:rsidRPr="00C85014">
        <w:rPr>
          <w:rFonts w:ascii="Segoe UI" w:eastAsia="Times New Roman" w:hAnsi="Segoe UI" w:cs="Segoe UI"/>
          <w:sz w:val="18"/>
          <w:szCs w:val="18"/>
        </w:rPr>
        <w:t xml:space="preserve"> large, systemically important financial institutions that provide a broad range of services to CCPs </w:t>
      </w:r>
      <w:r>
        <w:rPr>
          <w:rFonts w:ascii="Segoe UI" w:eastAsia="Times New Roman" w:hAnsi="Segoe UI" w:cs="Segoe UI"/>
          <w:sz w:val="18"/>
          <w:szCs w:val="18"/>
        </w:rPr>
        <w:t>-</w:t>
      </w:r>
      <w:r w:rsidRPr="00C85014">
        <w:rPr>
          <w:rFonts w:ascii="Segoe UI" w:eastAsia="Times New Roman" w:hAnsi="Segoe UI" w:cs="Segoe UI"/>
          <w:sz w:val="18"/>
          <w:szCs w:val="18"/>
        </w:rPr>
        <w:t xml:space="preserve"> are typically those with the strongest credit ratings and therefore the most creditworthy </w:t>
      </w:r>
      <w:proofErr w:type="gramStart"/>
      <w:r w:rsidRPr="00C85014">
        <w:rPr>
          <w:rFonts w:ascii="Segoe UI" w:eastAsia="Times New Roman" w:hAnsi="Segoe UI" w:cs="Segoe UI"/>
          <w:sz w:val="18"/>
          <w:szCs w:val="18"/>
        </w:rPr>
        <w:t>guarantee</w:t>
      </w:r>
      <w:proofErr w:type="gramEnd"/>
      <w:r w:rsidRPr="00C85014">
        <w:rPr>
          <w:rFonts w:ascii="Segoe UI" w:eastAsia="Times New Roman" w:hAnsi="Segoe UI" w:cs="Segoe UI"/>
          <w:sz w:val="18"/>
          <w:szCs w:val="18"/>
        </w:rPr>
        <w:t xml:space="preserve"> issuers. Prohibiting CCPs from accepting guarantees from these institutions would not reduce risk; it would perversely direct CCPs toward accepting guarantees from institutions with weaker credit profiles, contrary to sound risk management principles. A risk-sensitive, exposure-based approach, drawing on CCPs’ existing concentration risk and wrong-way risk frameworks, would achieve the regulatory objective without this unintended consequence.</w:t>
      </w:r>
    </w:p>
    <w:p w14:paraId="0AB70AFF" w14:textId="7279ACFE" w:rsidR="00693907" w:rsidRDefault="00693907" w:rsidP="00693907">
      <w:r>
        <w:t>&lt;ESMA_QUESTION_</w:t>
      </w:r>
      <w:r w:rsidR="00E665F4">
        <w:t>COLL</w:t>
      </w:r>
      <w:r>
        <w:t>_4&gt;</w:t>
      </w:r>
    </w:p>
    <w:p w14:paraId="2B2D8140" w14:textId="77777777" w:rsidR="00693907" w:rsidRDefault="00693907" w:rsidP="00693907"/>
    <w:p w14:paraId="0BC438F6" w14:textId="3D7F0085" w:rsidR="00693907" w:rsidRPr="007966CD" w:rsidRDefault="00625ABA" w:rsidP="00693907">
      <w:pPr>
        <w:pStyle w:val="Questionstyle"/>
      </w:pPr>
      <w:r w:rsidRPr="00625ABA">
        <w:t xml:space="preserve">Is ESMA’s </w:t>
      </w:r>
      <w:proofErr w:type="gramStart"/>
      <w:r w:rsidRPr="00625ABA">
        <w:t>understanding</w:t>
      </w:r>
      <w:proofErr w:type="gramEnd"/>
      <w:r w:rsidRPr="00625ABA">
        <w:t xml:space="preserve"> correct? Are there other essential features of the guarantees that should be highlighted?</w:t>
      </w:r>
      <w:r w:rsidR="00693907" w:rsidRPr="007966CD">
        <w:t xml:space="preserve">   </w:t>
      </w:r>
    </w:p>
    <w:p w14:paraId="01C9FE80" w14:textId="0C467029" w:rsidR="00693907" w:rsidRDefault="00693907" w:rsidP="00693907">
      <w:r>
        <w:t>&lt;ESMA_QUESTION_</w:t>
      </w:r>
      <w:r w:rsidR="00863ECB">
        <w:t>COLL</w:t>
      </w:r>
      <w:r>
        <w:t>_5&gt;</w:t>
      </w:r>
    </w:p>
    <w:p w14:paraId="76BD4261" w14:textId="4E03CF8A" w:rsidR="00D06C22" w:rsidRDefault="00D06C22" w:rsidP="00D06C22">
      <w:pPr>
        <w:rPr>
          <w:rFonts w:ascii="Segoe UI" w:eastAsia="Times New Roman" w:hAnsi="Segoe UI" w:cs="Segoe UI"/>
          <w:sz w:val="18"/>
          <w:szCs w:val="18"/>
        </w:rPr>
      </w:pPr>
      <w:r w:rsidRPr="00AE407B">
        <w:rPr>
          <w:rFonts w:ascii="Segoe UI" w:eastAsia="Times New Roman" w:hAnsi="Segoe UI" w:cs="Segoe UI"/>
          <w:sz w:val="18"/>
          <w:szCs w:val="18"/>
        </w:rPr>
        <w:t>Guarantee documentation should unambiguously specify the identity of the beneficiary, draw conditions, transferability where relevant, expiry and renewal mechanics, and the operational process for validating and calling the instrument, so that there is no uncertainty at the point of default management.</w:t>
      </w:r>
    </w:p>
    <w:p w14:paraId="3A7A123C" w14:textId="033DBF8C" w:rsidR="00D06C22" w:rsidRDefault="00D06C22" w:rsidP="00D06C22">
      <w:pPr>
        <w:rPr>
          <w:rFonts w:ascii="Segoe UI" w:eastAsia="Times New Roman" w:hAnsi="Segoe UI" w:cs="Segoe UI"/>
          <w:sz w:val="18"/>
          <w:szCs w:val="18"/>
        </w:rPr>
      </w:pPr>
      <w:r w:rsidRPr="00066903">
        <w:rPr>
          <w:rFonts w:ascii="Segoe UI" w:eastAsia="Times New Roman" w:hAnsi="Segoe UI" w:cs="Segoe UI"/>
          <w:sz w:val="18"/>
          <w:szCs w:val="18"/>
        </w:rPr>
        <w:t>Operational arrangements may also involve additional banking roles, such as advising or confirming banks, and CCPs should be able to structure these arrangements in a manner that supports validation, operational reliability and legal certainty.</w:t>
      </w:r>
    </w:p>
    <w:p w14:paraId="781A6202" w14:textId="77777777" w:rsidR="00D06C22" w:rsidRDefault="00D06C22" w:rsidP="00D06C22">
      <w:pPr>
        <w:rPr>
          <w:rFonts w:ascii="Segoe UI" w:eastAsia="Times New Roman" w:hAnsi="Segoe UI" w:cs="Segoe UI"/>
          <w:sz w:val="18"/>
          <w:szCs w:val="18"/>
        </w:rPr>
      </w:pPr>
      <w:r w:rsidRPr="0F17FB44">
        <w:rPr>
          <w:rFonts w:ascii="Segoe UI" w:eastAsia="Times New Roman" w:hAnsi="Segoe UI" w:cs="Segoe UI"/>
          <w:sz w:val="18"/>
          <w:szCs w:val="18"/>
        </w:rPr>
        <w:t xml:space="preserve">In terms of the proposed security purpose of the guarantee, the focus should not solely lie on the default of the clearing member </w:t>
      </w:r>
      <w:r w:rsidRPr="0F17FB44">
        <w:rPr>
          <w:rFonts w:ascii="Segoe UI" w:eastAsia="Times New Roman" w:hAnsi="Segoe UI" w:cs="Segoe UI"/>
          <w:sz w:val="18"/>
          <w:szCs w:val="18"/>
          <w:lang w:val="en-AU"/>
        </w:rPr>
        <w:t xml:space="preserve">vis-à-vis the CCP. From a clearing member perspective, there would be little use of accepting guarantees as collateral, which the clearing member cannot satisfy in case of a client default. Hence, the clearing member would have </w:t>
      </w:r>
      <w:proofErr w:type="gramStart"/>
      <w:r w:rsidRPr="0F17FB44">
        <w:rPr>
          <w:rFonts w:ascii="Segoe UI" w:eastAsia="Times New Roman" w:hAnsi="Segoe UI" w:cs="Segoe UI"/>
          <w:sz w:val="18"/>
          <w:szCs w:val="18"/>
          <w:lang w:val="en-AU"/>
        </w:rPr>
        <w:t>ask</w:t>
      </w:r>
      <w:proofErr w:type="gramEnd"/>
      <w:r w:rsidRPr="0F17FB44">
        <w:rPr>
          <w:rFonts w:ascii="Segoe UI" w:eastAsia="Times New Roman" w:hAnsi="Segoe UI" w:cs="Segoe UI"/>
          <w:sz w:val="18"/>
          <w:szCs w:val="18"/>
          <w:lang w:val="en-AU"/>
        </w:rPr>
        <w:t xml:space="preserve"> for separate collateral to covers its exposure to the client. Restricting the ability of clearing members to execute the guarantee with the indirect “</w:t>
      </w:r>
      <w:r w:rsidRPr="0F17FB44">
        <w:rPr>
          <w:rFonts w:ascii="Segoe UI" w:eastAsia="Times New Roman" w:hAnsi="Segoe UI" w:cs="Segoe UI"/>
          <w:i/>
          <w:iCs/>
          <w:sz w:val="18"/>
          <w:szCs w:val="18"/>
          <w:lang w:val="en-AU"/>
        </w:rPr>
        <w:t>transfer clause</w:t>
      </w:r>
      <w:r w:rsidRPr="0F17FB44">
        <w:rPr>
          <w:rFonts w:ascii="Segoe UI" w:eastAsia="Times New Roman" w:hAnsi="Segoe UI" w:cs="Segoe UI"/>
          <w:sz w:val="18"/>
          <w:szCs w:val="18"/>
          <w:lang w:val="en-AU"/>
        </w:rPr>
        <w:t xml:space="preserve">” adds an additional layer of legal complexity. Instead, clearing members should be able to execute a guarantee in case of a client default without the transfer of the beneficiary </w:t>
      </w:r>
      <w:proofErr w:type="gramStart"/>
      <w:r w:rsidRPr="0F17FB44">
        <w:rPr>
          <w:rFonts w:ascii="Segoe UI" w:eastAsia="Times New Roman" w:hAnsi="Segoe UI" w:cs="Segoe UI"/>
          <w:sz w:val="18"/>
          <w:szCs w:val="18"/>
          <w:lang w:val="en-AU"/>
        </w:rPr>
        <w:t>as long as</w:t>
      </w:r>
      <w:proofErr w:type="gramEnd"/>
      <w:r w:rsidRPr="0F17FB44">
        <w:rPr>
          <w:rFonts w:ascii="Segoe UI" w:eastAsia="Times New Roman" w:hAnsi="Segoe UI" w:cs="Segoe UI"/>
          <w:sz w:val="18"/>
          <w:szCs w:val="18"/>
          <w:lang w:val="en-AU"/>
        </w:rPr>
        <w:t xml:space="preserve"> the clearing member has settled the CCP’s claims towards the client.</w:t>
      </w:r>
    </w:p>
    <w:p w14:paraId="3CE960DF" w14:textId="78A656CA" w:rsidR="00693907" w:rsidRDefault="00693907" w:rsidP="00693907">
      <w:r>
        <w:t>&lt;ESMA_QUESTION_</w:t>
      </w:r>
      <w:r w:rsidR="00863ECB">
        <w:t>COLL</w:t>
      </w:r>
      <w:r>
        <w:t>_5&gt;</w:t>
      </w:r>
    </w:p>
    <w:p w14:paraId="6036296B" w14:textId="77777777" w:rsidR="00693907" w:rsidRDefault="00693907" w:rsidP="00693907"/>
    <w:p w14:paraId="18DFE8FB" w14:textId="3C691446" w:rsidR="00693907" w:rsidRDefault="00EC4293" w:rsidP="00693907">
      <w:pPr>
        <w:pStyle w:val="Questionstyle"/>
      </w:pPr>
      <w:r w:rsidRPr="00EC4293">
        <w:t>Do</w:t>
      </w:r>
      <w:r w:rsidR="00AC379A">
        <w:t xml:space="preserve"> </w:t>
      </w:r>
      <w:r w:rsidR="00AC379A" w:rsidRPr="00AC379A">
        <w:t>you agree with the conditions proposed by ESMA? Please provide your views specifically for each condition (a), (b), (c) and (d).</w:t>
      </w:r>
    </w:p>
    <w:p w14:paraId="60F9A95E" w14:textId="24CFF6A7" w:rsidR="00693907" w:rsidRDefault="00693907" w:rsidP="00693907">
      <w:r>
        <w:lastRenderedPageBreak/>
        <w:t>&lt;ESMA_QUESTION_</w:t>
      </w:r>
      <w:r w:rsidR="00863ECB">
        <w:t>COLL</w:t>
      </w:r>
      <w:r>
        <w:t>_6&gt;</w:t>
      </w:r>
    </w:p>
    <w:p w14:paraId="5BEFB6EB" w14:textId="581DA5DC" w:rsidR="00D06C22" w:rsidRPr="00526A30" w:rsidRDefault="00D06C22" w:rsidP="00D06C22">
      <w:pPr>
        <w:rPr>
          <w:rFonts w:ascii="Segoe UI" w:eastAsia="Times New Roman" w:hAnsi="Segoe UI" w:cs="Segoe UI"/>
          <w:sz w:val="18"/>
          <w:szCs w:val="18"/>
        </w:rPr>
      </w:pPr>
      <w:r w:rsidRPr="00526A30">
        <w:rPr>
          <w:rFonts w:ascii="Segoe UI" w:eastAsia="Times New Roman" w:hAnsi="Segoe UI" w:cs="Segoe UI"/>
          <w:sz w:val="18"/>
          <w:szCs w:val="18"/>
        </w:rPr>
        <w:t>The WFE</w:t>
      </w:r>
      <w:r>
        <w:rPr>
          <w:rFonts w:ascii="Segoe UI" w:eastAsia="Times New Roman" w:hAnsi="Segoe UI" w:cs="Segoe UI"/>
          <w:sz w:val="18"/>
          <w:szCs w:val="18"/>
        </w:rPr>
        <w:t xml:space="preserve"> broadly</w:t>
      </w:r>
      <w:r w:rsidRPr="00526A30">
        <w:rPr>
          <w:rFonts w:ascii="Segoe UI" w:eastAsia="Times New Roman" w:hAnsi="Segoe UI" w:cs="Segoe UI"/>
          <w:sz w:val="18"/>
          <w:szCs w:val="18"/>
        </w:rPr>
        <w:t xml:space="preserve"> supports</w:t>
      </w:r>
      <w:r>
        <w:rPr>
          <w:rFonts w:ascii="Segoe UI" w:eastAsia="Times New Roman" w:hAnsi="Segoe UI" w:cs="Segoe UI"/>
          <w:sz w:val="18"/>
          <w:szCs w:val="18"/>
        </w:rPr>
        <w:t xml:space="preserve"> the</w:t>
      </w:r>
      <w:r w:rsidRPr="00526A30">
        <w:rPr>
          <w:rFonts w:ascii="Segoe UI" w:eastAsia="Times New Roman" w:hAnsi="Segoe UI" w:cs="Segoe UI"/>
          <w:sz w:val="18"/>
          <w:szCs w:val="18"/>
        </w:rPr>
        <w:t xml:space="preserve"> conditions proposed by ESMA, including:</w:t>
      </w:r>
    </w:p>
    <w:p w14:paraId="16494697" w14:textId="77777777" w:rsidR="00D06C22" w:rsidRPr="00526A30" w:rsidRDefault="00D06C22" w:rsidP="00D06C22">
      <w:pPr>
        <w:numPr>
          <w:ilvl w:val="0"/>
          <w:numId w:val="37"/>
        </w:numPr>
        <w:spacing w:after="0" w:line="240" w:lineRule="auto"/>
        <w:jc w:val="left"/>
        <w:rPr>
          <w:rFonts w:ascii="Segoe UI" w:eastAsia="Times New Roman" w:hAnsi="Segoe UI" w:cs="Segoe UI"/>
          <w:sz w:val="18"/>
          <w:szCs w:val="18"/>
        </w:rPr>
      </w:pPr>
      <w:r w:rsidRPr="00526A30">
        <w:rPr>
          <w:rFonts w:ascii="Segoe UI" w:eastAsia="Times New Roman" w:hAnsi="Segoe UI" w:cs="Segoe UI"/>
          <w:sz w:val="18"/>
          <w:szCs w:val="18"/>
        </w:rPr>
        <w:t>Identification of the client principal.</w:t>
      </w:r>
    </w:p>
    <w:p w14:paraId="1425D3F1" w14:textId="77777777" w:rsidR="00D06C22" w:rsidRPr="00526A30" w:rsidRDefault="00D06C22" w:rsidP="00D06C22">
      <w:pPr>
        <w:numPr>
          <w:ilvl w:val="0"/>
          <w:numId w:val="37"/>
        </w:numPr>
        <w:spacing w:after="0" w:line="240" w:lineRule="auto"/>
        <w:jc w:val="left"/>
        <w:rPr>
          <w:rFonts w:ascii="Segoe UI" w:eastAsia="Times New Roman" w:hAnsi="Segoe UI" w:cs="Segoe UI"/>
          <w:sz w:val="18"/>
          <w:szCs w:val="18"/>
        </w:rPr>
      </w:pPr>
      <w:r w:rsidRPr="00526A30">
        <w:rPr>
          <w:rFonts w:ascii="Segoe UI" w:eastAsia="Times New Roman" w:hAnsi="Segoe UI" w:cs="Segoe UI"/>
          <w:sz w:val="18"/>
          <w:szCs w:val="18"/>
        </w:rPr>
        <w:t>Restrictions on issuance by affiliates or the clearing member.</w:t>
      </w:r>
    </w:p>
    <w:p w14:paraId="0A408A2A" w14:textId="77777777" w:rsidR="00D06C22" w:rsidRDefault="00D06C22" w:rsidP="00D06C22">
      <w:pPr>
        <w:numPr>
          <w:ilvl w:val="0"/>
          <w:numId w:val="37"/>
        </w:numPr>
        <w:spacing w:after="0" w:line="240" w:lineRule="auto"/>
        <w:jc w:val="left"/>
        <w:rPr>
          <w:rFonts w:ascii="Segoe UI" w:eastAsia="Times New Roman" w:hAnsi="Segoe UI" w:cs="Segoe UI"/>
          <w:sz w:val="18"/>
          <w:szCs w:val="18"/>
        </w:rPr>
      </w:pPr>
      <w:r w:rsidRPr="00526A30">
        <w:rPr>
          <w:rFonts w:ascii="Segoe UI" w:eastAsia="Times New Roman" w:hAnsi="Segoe UI" w:cs="Segoe UI"/>
          <w:sz w:val="18"/>
          <w:szCs w:val="18"/>
        </w:rPr>
        <w:t>Clear linkage between the guarantee and the relevant position exposure.</w:t>
      </w:r>
    </w:p>
    <w:p w14:paraId="690116EA" w14:textId="77777777" w:rsidR="00D06C22" w:rsidRDefault="00D06C22" w:rsidP="00D06C22">
      <w:pPr>
        <w:rPr>
          <w:rFonts w:ascii="Segoe UI" w:eastAsia="Times New Roman" w:hAnsi="Segoe UI" w:cs="Segoe UI"/>
          <w:sz w:val="18"/>
          <w:szCs w:val="18"/>
        </w:rPr>
      </w:pPr>
    </w:p>
    <w:p w14:paraId="471DDCCE" w14:textId="2C1F5B3C" w:rsidR="00D06C22" w:rsidRDefault="00D06C22" w:rsidP="00D06C22">
      <w:pPr>
        <w:rPr>
          <w:rFonts w:ascii="Segoe UI" w:eastAsia="Times New Roman" w:hAnsi="Segoe UI" w:cs="Segoe UI"/>
          <w:sz w:val="18"/>
          <w:szCs w:val="18"/>
        </w:rPr>
      </w:pPr>
      <w:r>
        <w:rPr>
          <w:rFonts w:ascii="Segoe UI" w:eastAsia="Times New Roman" w:hAnsi="Segoe UI" w:cs="Segoe UI"/>
          <w:sz w:val="18"/>
          <w:szCs w:val="18"/>
        </w:rPr>
        <w:t>The WFE also supports the</w:t>
      </w:r>
      <w:r w:rsidRPr="00BA4163">
        <w:rPr>
          <w:rFonts w:ascii="Segoe UI" w:eastAsia="Times New Roman" w:hAnsi="Segoe UI" w:cs="Segoe UI"/>
          <w:sz w:val="18"/>
          <w:szCs w:val="18"/>
        </w:rPr>
        <w:t xml:space="preserve"> identification of the beneficiary structure, </w:t>
      </w:r>
      <w:r>
        <w:rPr>
          <w:rFonts w:ascii="Segoe UI" w:eastAsia="Times New Roman" w:hAnsi="Segoe UI" w:cs="Segoe UI"/>
          <w:sz w:val="18"/>
          <w:szCs w:val="18"/>
        </w:rPr>
        <w:t>but advocates for</w:t>
      </w:r>
      <w:r w:rsidRPr="00BA4163">
        <w:rPr>
          <w:rFonts w:ascii="Segoe UI" w:eastAsia="Times New Roman" w:hAnsi="Segoe UI" w:cs="Segoe UI"/>
          <w:sz w:val="18"/>
          <w:szCs w:val="18"/>
        </w:rPr>
        <w:t xml:space="preserve"> preserving </w:t>
      </w:r>
      <w:r>
        <w:rPr>
          <w:rFonts w:ascii="Segoe UI" w:eastAsia="Times New Roman" w:hAnsi="Segoe UI" w:cs="Segoe UI"/>
          <w:sz w:val="18"/>
          <w:szCs w:val="18"/>
        </w:rPr>
        <w:t xml:space="preserve">the </w:t>
      </w:r>
      <w:r w:rsidRPr="00BA4163">
        <w:rPr>
          <w:rFonts w:ascii="Segoe UI" w:eastAsia="Times New Roman" w:hAnsi="Segoe UI" w:cs="Segoe UI"/>
          <w:sz w:val="18"/>
          <w:szCs w:val="18"/>
        </w:rPr>
        <w:t xml:space="preserve">flexibility </w:t>
      </w:r>
      <w:r>
        <w:rPr>
          <w:rFonts w:ascii="Segoe UI" w:eastAsia="Times New Roman" w:hAnsi="Segoe UI" w:cs="Segoe UI"/>
          <w:sz w:val="18"/>
          <w:szCs w:val="18"/>
        </w:rPr>
        <w:t>of</w:t>
      </w:r>
      <w:r w:rsidRPr="00BA4163">
        <w:rPr>
          <w:rFonts w:ascii="Segoe UI" w:eastAsia="Times New Roman" w:hAnsi="Segoe UI" w:cs="Segoe UI"/>
          <w:sz w:val="18"/>
          <w:szCs w:val="18"/>
        </w:rPr>
        <w:t xml:space="preserve"> CCPs and market participants to use arrangements that are legally robust and operationally effective.</w:t>
      </w:r>
      <w:r>
        <w:rPr>
          <w:rFonts w:ascii="Segoe UI" w:eastAsia="Times New Roman" w:hAnsi="Segoe UI" w:cs="Segoe UI"/>
          <w:sz w:val="18"/>
          <w:szCs w:val="18"/>
        </w:rPr>
        <w:t xml:space="preserve"> </w:t>
      </w:r>
      <w:r w:rsidRPr="0042032D">
        <w:rPr>
          <w:rFonts w:ascii="Segoe UI" w:eastAsia="Times New Roman" w:hAnsi="Segoe UI" w:cs="Segoe UI"/>
          <w:sz w:val="18"/>
          <w:szCs w:val="18"/>
        </w:rPr>
        <w:t>The WFE would caution against overly prescriptive requirements as to beneficiary structure, as the appropriate design may vary across markets and may affect the capital and balance-sheet treatment for clearing members and clients.</w:t>
      </w:r>
      <w:r>
        <w:rPr>
          <w:rFonts w:ascii="Segoe UI" w:eastAsia="Times New Roman" w:hAnsi="Segoe UI" w:cs="Segoe UI"/>
          <w:sz w:val="18"/>
          <w:szCs w:val="18"/>
        </w:rPr>
        <w:t xml:space="preserve"> </w:t>
      </w:r>
      <w:r w:rsidRPr="694C2A80">
        <w:rPr>
          <w:rFonts w:ascii="Segoe UI" w:eastAsia="Times New Roman" w:hAnsi="Segoe UI" w:cs="Segoe UI"/>
          <w:sz w:val="18"/>
          <w:szCs w:val="18"/>
        </w:rPr>
        <w:t>It is also necessary to keep this in mind when addressing the obligation to post the guarantee to an individually segregated account in the name of the non-financial client</w:t>
      </w:r>
      <w:r>
        <w:rPr>
          <w:rFonts w:ascii="Segoe UI" w:eastAsia="Times New Roman" w:hAnsi="Segoe UI" w:cs="Segoe UI"/>
          <w:sz w:val="18"/>
          <w:szCs w:val="18"/>
        </w:rPr>
        <w:t>. CCPs should be able</w:t>
      </w:r>
      <w:r w:rsidRPr="694C2A80">
        <w:rPr>
          <w:rFonts w:ascii="Segoe UI" w:eastAsia="Times New Roman" w:hAnsi="Segoe UI" w:cs="Segoe UI"/>
          <w:sz w:val="18"/>
          <w:szCs w:val="18"/>
        </w:rPr>
        <w:t xml:space="preserve"> </w:t>
      </w:r>
      <w:r w:rsidRPr="694C2A80" w:rsidDel="007E427C">
        <w:rPr>
          <w:rFonts w:ascii="Segoe UI" w:eastAsia="Times New Roman" w:hAnsi="Segoe UI" w:cs="Segoe UI"/>
          <w:sz w:val="18"/>
          <w:szCs w:val="18"/>
        </w:rPr>
        <w:t>to</w:t>
      </w:r>
      <w:r>
        <w:rPr>
          <w:rFonts w:ascii="Segoe UI" w:eastAsia="Times New Roman" w:hAnsi="Segoe UI" w:cs="Segoe UI"/>
          <w:sz w:val="18"/>
          <w:szCs w:val="18"/>
        </w:rPr>
        <w:t xml:space="preserve"> consider</w:t>
      </w:r>
      <w:r w:rsidRPr="694C2A80">
        <w:rPr>
          <w:rFonts w:ascii="Segoe UI" w:eastAsia="Times New Roman" w:hAnsi="Segoe UI" w:cs="Segoe UI"/>
          <w:sz w:val="18"/>
          <w:szCs w:val="18"/>
        </w:rPr>
        <w:t xml:space="preserve"> whether the aims and benefits of segregated accounts could be ensured in alternative operational ways (for further explanation see answer to Q7)</w:t>
      </w:r>
    </w:p>
    <w:p w14:paraId="7F9D76D7" w14:textId="6A350469" w:rsidR="00D06C22" w:rsidRDefault="00D06C22" w:rsidP="00D06C22">
      <w:pPr>
        <w:rPr>
          <w:rFonts w:ascii="Segoe UI" w:eastAsia="Times New Roman" w:hAnsi="Segoe UI" w:cs="Segoe UI"/>
          <w:sz w:val="18"/>
          <w:szCs w:val="18"/>
        </w:rPr>
      </w:pPr>
      <w:r w:rsidRPr="0054513A">
        <w:rPr>
          <w:rFonts w:ascii="Segoe UI" w:eastAsia="Times New Roman" w:hAnsi="Segoe UI" w:cs="Segoe UI"/>
          <w:sz w:val="18"/>
          <w:szCs w:val="18"/>
        </w:rPr>
        <w:t xml:space="preserve">In particular, the WFE considers that regulation should permit both structures in which the CCP is the sole beneficiary and structures in which the CCP and the clearing member are named as joint beneficiaries, provided the CCP’s interests are protected in each case. Restricting beneficiary structures to a single model would have material capital consequences: structures in which the CCP is the sole beneficiary can be significantly more capital-intensive for clearing members, as members may be required to hold additional capital against guarantees posted by underlying clients where the CCP is the only named beneficiary. This could cause clearing members to limit or withdraw the offering of guarantees to clients, or to pass on the associated costs, reducing the practical usability of guarantees for the </w:t>
      </w:r>
      <w:r>
        <w:rPr>
          <w:rFonts w:ascii="Segoe UI" w:eastAsia="Times New Roman" w:hAnsi="Segoe UI" w:cs="Segoe UI"/>
          <w:sz w:val="18"/>
          <w:szCs w:val="18"/>
        </w:rPr>
        <w:t>n</w:t>
      </w:r>
      <w:r w:rsidRPr="00DE3DC8">
        <w:rPr>
          <w:rFonts w:ascii="Segoe UI" w:eastAsia="Times New Roman" w:hAnsi="Segoe UI" w:cs="Segoe UI"/>
          <w:sz w:val="18"/>
          <w:szCs w:val="18"/>
        </w:rPr>
        <w:t>on-financial counterpart</w:t>
      </w:r>
      <w:r>
        <w:rPr>
          <w:rFonts w:ascii="Segoe UI" w:eastAsia="Times New Roman" w:hAnsi="Segoe UI" w:cs="Segoe UI"/>
          <w:sz w:val="18"/>
          <w:szCs w:val="18"/>
        </w:rPr>
        <w:t>y</w:t>
      </w:r>
      <w:r w:rsidRPr="00DE3DC8">
        <w:rPr>
          <w:rFonts w:ascii="Segoe UI" w:eastAsia="Times New Roman" w:hAnsi="Segoe UI" w:cs="Segoe UI"/>
          <w:sz w:val="18"/>
          <w:szCs w:val="18"/>
        </w:rPr>
        <w:t xml:space="preserve"> (NFC)</w:t>
      </w:r>
      <w:r>
        <w:rPr>
          <w:rFonts w:ascii="Segoe UI" w:eastAsia="Times New Roman" w:hAnsi="Segoe UI" w:cs="Segoe UI"/>
          <w:sz w:val="18"/>
          <w:szCs w:val="18"/>
        </w:rPr>
        <w:t xml:space="preserve"> </w:t>
      </w:r>
      <w:r w:rsidRPr="0054513A">
        <w:rPr>
          <w:rFonts w:ascii="Segoe UI" w:eastAsia="Times New Roman" w:hAnsi="Segoe UI" w:cs="Segoe UI"/>
          <w:sz w:val="18"/>
          <w:szCs w:val="18"/>
        </w:rPr>
        <w:t>clients</w:t>
      </w:r>
      <w:r>
        <w:rPr>
          <w:rFonts w:ascii="Segoe UI" w:eastAsia="Times New Roman" w:hAnsi="Segoe UI" w:cs="Segoe UI"/>
          <w:sz w:val="18"/>
          <w:szCs w:val="18"/>
        </w:rPr>
        <w:t xml:space="preserve"> that</w:t>
      </w:r>
      <w:r w:rsidRPr="0054513A">
        <w:rPr>
          <w:rFonts w:ascii="Segoe UI" w:eastAsia="Times New Roman" w:hAnsi="Segoe UI" w:cs="Segoe UI"/>
          <w:sz w:val="18"/>
          <w:szCs w:val="18"/>
        </w:rPr>
        <w:t xml:space="preserve"> EMIR 3 is designed to support.</w:t>
      </w:r>
    </w:p>
    <w:p w14:paraId="2D95A673" w14:textId="0EF72F14" w:rsidR="00D06C22" w:rsidRDefault="00D06C22" w:rsidP="00D06C22">
      <w:pPr>
        <w:rPr>
          <w:rFonts w:ascii="Segoe UI" w:eastAsia="Times New Roman" w:hAnsi="Segoe UI" w:cs="Segoe UI"/>
          <w:sz w:val="18"/>
          <w:szCs w:val="18"/>
        </w:rPr>
      </w:pPr>
      <w:r w:rsidRPr="00C46E07">
        <w:rPr>
          <w:rFonts w:ascii="Segoe UI" w:eastAsia="Times New Roman" w:hAnsi="Segoe UI" w:cs="Segoe UI"/>
          <w:sz w:val="18"/>
          <w:szCs w:val="18"/>
        </w:rPr>
        <w:t>The risk of competitive disadvantage relative to participants clearing at non-EU CCPs, where greater structural flexibility is available</w:t>
      </w:r>
      <w:r>
        <w:rPr>
          <w:rFonts w:ascii="Segoe UI" w:eastAsia="Times New Roman" w:hAnsi="Segoe UI" w:cs="Segoe UI"/>
          <w:sz w:val="18"/>
          <w:szCs w:val="18"/>
        </w:rPr>
        <w:t xml:space="preserve"> (or may be necessary)</w:t>
      </w:r>
      <w:r w:rsidRPr="00C46E07">
        <w:rPr>
          <w:rFonts w:ascii="Segoe UI" w:eastAsia="Times New Roman" w:hAnsi="Segoe UI" w:cs="Segoe UI"/>
          <w:sz w:val="18"/>
          <w:szCs w:val="18"/>
        </w:rPr>
        <w:t>, further underscores the case for a principles-based approach that accommodates both beneficiary structures.</w:t>
      </w:r>
      <w:r>
        <w:rPr>
          <w:rFonts w:ascii="Segoe UI" w:eastAsia="Times New Roman" w:hAnsi="Segoe UI" w:cs="Segoe UI"/>
          <w:sz w:val="18"/>
          <w:szCs w:val="18"/>
        </w:rPr>
        <w:t xml:space="preserve">  </w:t>
      </w:r>
      <w:proofErr w:type="gramStart"/>
      <w:r>
        <w:rPr>
          <w:rFonts w:ascii="Segoe UI" w:eastAsia="Times New Roman" w:hAnsi="Segoe UI" w:cs="Segoe UI"/>
          <w:sz w:val="18"/>
          <w:szCs w:val="18"/>
        </w:rPr>
        <w:t>In particular, t</w:t>
      </w:r>
      <w:r w:rsidRPr="00C10D86">
        <w:rPr>
          <w:rFonts w:ascii="Segoe UI" w:eastAsia="Times New Roman" w:hAnsi="Segoe UI" w:cs="Segoe UI"/>
          <w:sz w:val="18"/>
          <w:szCs w:val="18"/>
        </w:rPr>
        <w:t>here</w:t>
      </w:r>
      <w:proofErr w:type="gramEnd"/>
      <w:r w:rsidRPr="00C10D86">
        <w:rPr>
          <w:rFonts w:ascii="Segoe UI" w:eastAsia="Times New Roman" w:hAnsi="Segoe UI" w:cs="Segoe UI"/>
          <w:sz w:val="18"/>
          <w:szCs w:val="18"/>
        </w:rPr>
        <w:t xml:space="preserve"> is also a specific legal constraint affecting US market participants that ESMA should consider. CFTC Regulation 1.43, which governs letters of credit as collateral for</w:t>
      </w:r>
      <w:r>
        <w:rPr>
          <w:rFonts w:ascii="Segoe UI" w:eastAsia="Times New Roman" w:hAnsi="Segoe UI" w:cs="Segoe UI"/>
          <w:sz w:val="18"/>
          <w:szCs w:val="18"/>
        </w:rPr>
        <w:t xml:space="preserve"> futures commission merchants</w:t>
      </w:r>
      <w:r w:rsidRPr="00C10D86">
        <w:rPr>
          <w:rFonts w:ascii="Segoe UI" w:eastAsia="Times New Roman" w:hAnsi="Segoe UI" w:cs="Segoe UI"/>
          <w:sz w:val="18"/>
          <w:szCs w:val="18"/>
        </w:rPr>
        <w:t xml:space="preserve"> </w:t>
      </w:r>
      <w:r>
        <w:rPr>
          <w:rFonts w:ascii="Segoe UI" w:eastAsia="Times New Roman" w:hAnsi="Segoe UI" w:cs="Segoe UI"/>
          <w:sz w:val="18"/>
          <w:szCs w:val="18"/>
        </w:rPr>
        <w:t>(</w:t>
      </w:r>
      <w:r w:rsidRPr="00C10D86">
        <w:rPr>
          <w:rFonts w:ascii="Segoe UI" w:eastAsia="Times New Roman" w:hAnsi="Segoe UI" w:cs="Segoe UI"/>
          <w:sz w:val="18"/>
          <w:szCs w:val="18"/>
        </w:rPr>
        <w:t>FCMs</w:t>
      </w:r>
      <w:r>
        <w:rPr>
          <w:rFonts w:ascii="Segoe UI" w:eastAsia="Times New Roman" w:hAnsi="Segoe UI" w:cs="Segoe UI"/>
          <w:sz w:val="18"/>
          <w:szCs w:val="18"/>
        </w:rPr>
        <w:t>)</w:t>
      </w:r>
      <w:r w:rsidRPr="00C10D86">
        <w:rPr>
          <w:rFonts w:ascii="Segoe UI" w:eastAsia="Times New Roman" w:hAnsi="Segoe UI" w:cs="Segoe UI"/>
          <w:sz w:val="18"/>
          <w:szCs w:val="18"/>
        </w:rPr>
        <w:t>, imposes conditions that effectively require FCMs</w:t>
      </w:r>
      <w:r>
        <w:rPr>
          <w:rFonts w:ascii="Segoe UI" w:eastAsia="Times New Roman" w:hAnsi="Segoe UI" w:cs="Segoe UI"/>
          <w:sz w:val="18"/>
          <w:szCs w:val="18"/>
        </w:rPr>
        <w:t xml:space="preserve">, </w:t>
      </w:r>
      <w:r w:rsidRPr="00C10D86">
        <w:rPr>
          <w:rFonts w:ascii="Segoe UI" w:eastAsia="Times New Roman" w:hAnsi="Segoe UI" w:cs="Segoe UI"/>
          <w:sz w:val="18"/>
          <w:szCs w:val="18"/>
        </w:rPr>
        <w:t>their bankruptcy trustee</w:t>
      </w:r>
      <w:r>
        <w:rPr>
          <w:rFonts w:ascii="Segoe UI" w:eastAsia="Times New Roman" w:hAnsi="Segoe UI" w:cs="Segoe UI"/>
          <w:sz w:val="18"/>
          <w:szCs w:val="18"/>
        </w:rPr>
        <w:t>,</w:t>
      </w:r>
      <w:r w:rsidRPr="00C10D86">
        <w:rPr>
          <w:rFonts w:ascii="Segoe UI" w:eastAsia="Times New Roman" w:hAnsi="Segoe UI" w:cs="Segoe UI"/>
          <w:sz w:val="18"/>
          <w:szCs w:val="18"/>
        </w:rPr>
        <w:t xml:space="preserve"> or the FDIC</w:t>
      </w:r>
      <w:r>
        <w:rPr>
          <w:rFonts w:ascii="Segoe UI" w:eastAsia="Times New Roman" w:hAnsi="Segoe UI" w:cs="Segoe UI"/>
          <w:sz w:val="18"/>
          <w:szCs w:val="18"/>
        </w:rPr>
        <w:t>,</w:t>
      </w:r>
      <w:r w:rsidRPr="00C10D86">
        <w:rPr>
          <w:rFonts w:ascii="Segoe UI" w:eastAsia="Times New Roman" w:hAnsi="Segoe UI" w:cs="Segoe UI"/>
          <w:sz w:val="18"/>
          <w:szCs w:val="18"/>
        </w:rPr>
        <w:t xml:space="preserve"> to be able to draw on the letter of credit</w:t>
      </w:r>
      <w:r>
        <w:rPr>
          <w:rFonts w:ascii="Segoe UI" w:eastAsia="Times New Roman" w:hAnsi="Segoe UI" w:cs="Segoe UI"/>
          <w:sz w:val="18"/>
          <w:szCs w:val="18"/>
        </w:rPr>
        <w:t xml:space="preserve"> (LC)</w:t>
      </w:r>
      <w:r w:rsidRPr="00C10D86">
        <w:rPr>
          <w:rFonts w:ascii="Segoe UI" w:eastAsia="Times New Roman" w:hAnsi="Segoe UI" w:cs="Segoe UI"/>
          <w:sz w:val="18"/>
          <w:szCs w:val="18"/>
        </w:rPr>
        <w:t>. A structure in which the CCP is the sole beneficiary would prevent this, making it legally impossible for clients clearing through FCMs to use guarantees as collateral under the proposed framework. This is not a matter of commercial preference but of regulatory incompatibility, and further underscores why joint beneficiary structures must remain a permissible option.</w:t>
      </w:r>
    </w:p>
    <w:p w14:paraId="611F43C5" w14:textId="77777777" w:rsidR="00D06C22" w:rsidRDefault="00D06C22" w:rsidP="00D06C22">
      <w:pPr>
        <w:rPr>
          <w:rFonts w:ascii="Segoe UI" w:eastAsia="Times New Roman" w:hAnsi="Segoe UI" w:cs="Segoe UI"/>
          <w:sz w:val="18"/>
          <w:szCs w:val="18"/>
        </w:rPr>
      </w:pPr>
      <w:r w:rsidRPr="00F70A39">
        <w:rPr>
          <w:rFonts w:ascii="Segoe UI" w:eastAsia="Times New Roman" w:hAnsi="Segoe UI" w:cs="Segoe UI"/>
          <w:sz w:val="18"/>
          <w:szCs w:val="18"/>
        </w:rPr>
        <w:t>The WFE notes that established CCPs in other jurisdictions already successfully operate with a range of beneficiary structures,</w:t>
      </w:r>
      <w:r>
        <w:rPr>
          <w:rFonts w:ascii="Segoe UI" w:eastAsia="Times New Roman" w:hAnsi="Segoe UI" w:cs="Segoe UI"/>
          <w:sz w:val="18"/>
          <w:szCs w:val="18"/>
        </w:rPr>
        <w:t xml:space="preserve"> including</w:t>
      </w:r>
      <w:r w:rsidRPr="00F70A39">
        <w:rPr>
          <w:rFonts w:ascii="Segoe UI" w:eastAsia="Times New Roman" w:hAnsi="Segoe UI" w:cs="Segoe UI"/>
          <w:sz w:val="18"/>
          <w:szCs w:val="18"/>
        </w:rPr>
        <w:t xml:space="preserve"> support</w:t>
      </w:r>
      <w:r>
        <w:rPr>
          <w:rFonts w:ascii="Segoe UI" w:eastAsia="Times New Roman" w:hAnsi="Segoe UI" w:cs="Segoe UI"/>
          <w:sz w:val="18"/>
          <w:szCs w:val="18"/>
        </w:rPr>
        <w:t>ing</w:t>
      </w:r>
      <w:r w:rsidRPr="00F70A39">
        <w:rPr>
          <w:rFonts w:ascii="Segoe UI" w:eastAsia="Times New Roman" w:hAnsi="Segoe UI" w:cs="Segoe UI"/>
          <w:sz w:val="18"/>
          <w:szCs w:val="18"/>
        </w:rPr>
        <w:t xml:space="preserve"> both a pass-through with transfer facility structure (in which the CCP and clearing member are named beneficiaries) and a non-pass-through structure (in which the LC is posted by the clearing member directly). The availability of both structures reflects the diversity of legal frameworks and clearing member requirements across markets. ESMA should similarly preserve sufficient flexibility to accommodate differing legal structures, including the ability for CCPs to accept guarantees posted directly by clearing members as well as by underlying clients.</w:t>
      </w:r>
    </w:p>
    <w:p w14:paraId="01EF6C30" w14:textId="7CB1BA35" w:rsidR="00693907" w:rsidRDefault="00693907" w:rsidP="00693907">
      <w:r>
        <w:t>&lt;ESMA_QUESTION_</w:t>
      </w:r>
      <w:r w:rsidR="00863ECB">
        <w:t>COLL</w:t>
      </w:r>
      <w:r>
        <w:t>_6&gt;</w:t>
      </w:r>
    </w:p>
    <w:p w14:paraId="59161C1E" w14:textId="77777777" w:rsidR="00693907" w:rsidRDefault="00693907" w:rsidP="00693907"/>
    <w:p w14:paraId="40418AF6" w14:textId="7D335F7B" w:rsidR="00693907" w:rsidRDefault="00930833" w:rsidP="00693907">
      <w:pPr>
        <w:pStyle w:val="Questionstyle"/>
      </w:pPr>
      <w:r w:rsidRPr="00930833">
        <w:lastRenderedPageBreak/>
        <w:t>In relation to condition (c), do you agree with ESMA proposal? If not, is it in your opinion legally and practically feasible that guarantees are posted to an omnibus account?</w:t>
      </w:r>
      <w:r w:rsidR="00693907" w:rsidRPr="00F31533">
        <w:t xml:space="preserve"> </w:t>
      </w:r>
    </w:p>
    <w:p w14:paraId="2D7CC49A" w14:textId="5D077D19" w:rsidR="00693907" w:rsidRDefault="00693907" w:rsidP="00693907">
      <w:r>
        <w:t>&lt;ESMA_QUESTION_</w:t>
      </w:r>
      <w:r w:rsidR="00EE246B">
        <w:t>COLL</w:t>
      </w:r>
      <w:r>
        <w:t>_7&gt;</w:t>
      </w:r>
    </w:p>
    <w:p w14:paraId="654CAD29" w14:textId="23464676" w:rsidR="00D06C22" w:rsidRDefault="00D06C22" w:rsidP="00D06C22">
      <w:pPr>
        <w:rPr>
          <w:rFonts w:ascii="Segoe UI" w:eastAsia="Times New Roman" w:hAnsi="Segoe UI" w:cs="Segoe UI"/>
          <w:sz w:val="18"/>
          <w:szCs w:val="18"/>
        </w:rPr>
      </w:pPr>
      <w:r w:rsidRPr="00BE1DC6">
        <w:rPr>
          <w:rFonts w:ascii="Segoe UI" w:eastAsia="Times New Roman" w:hAnsi="Segoe UI" w:cs="Segoe UI"/>
          <w:sz w:val="18"/>
          <w:szCs w:val="18"/>
        </w:rPr>
        <w:t>We do not support a requirement that guarantees be limited to individually segregated accounts</w:t>
      </w:r>
      <w:r>
        <w:rPr>
          <w:rFonts w:ascii="Segoe UI" w:eastAsia="Times New Roman" w:hAnsi="Segoe UI" w:cs="Segoe UI"/>
          <w:sz w:val="18"/>
          <w:szCs w:val="18"/>
        </w:rPr>
        <w:t xml:space="preserve"> (ISAs)</w:t>
      </w:r>
      <w:r w:rsidRPr="00BE1DC6">
        <w:rPr>
          <w:rFonts w:ascii="Segoe UI" w:eastAsia="Times New Roman" w:hAnsi="Segoe UI" w:cs="Segoe UI"/>
          <w:sz w:val="18"/>
          <w:szCs w:val="18"/>
        </w:rPr>
        <w:t>. Such an approach would treat this form of collateral differently from other collateral types, increase operational complexity and clearing costs for end-users, and may be inconsistent with legal and account structures used in other jurisdictions, including for certain US market participants. CCPs and clients should retain flexibility to determine the appropriate account structure, subject to the relevant legal and risk-management framework.</w:t>
      </w:r>
    </w:p>
    <w:p w14:paraId="7B6250F2" w14:textId="0D12BF6C" w:rsidR="00D06C22" w:rsidRPr="001830EA" w:rsidRDefault="00D06C22" w:rsidP="00D06C22">
      <w:pPr>
        <w:rPr>
          <w:rFonts w:ascii="Segoe UI" w:eastAsia="Times New Roman" w:hAnsi="Segoe UI" w:cs="Segoe UI"/>
          <w:sz w:val="18"/>
          <w:szCs w:val="18"/>
        </w:rPr>
      </w:pPr>
      <w:r w:rsidRPr="001830EA">
        <w:rPr>
          <w:rFonts w:ascii="Segoe UI" w:eastAsia="Times New Roman" w:hAnsi="Segoe UI" w:cs="Segoe UI"/>
          <w:sz w:val="18"/>
          <w:szCs w:val="18"/>
        </w:rPr>
        <w:t xml:space="preserve">The WFE considers that this requirement also lacks a clear legal basis and is in direct tension with the stated objectives of EMIR 3. Recital 55 of EMIR 3 explicitly acknowledges that the purpose of expanding eligible collateral to include guarantees is to facilitate clearing access for non-financial counterparties that do not hold </w:t>
      </w:r>
      <w:proofErr w:type="gramStart"/>
      <w:r w:rsidRPr="001830EA">
        <w:rPr>
          <w:rFonts w:ascii="Segoe UI" w:eastAsia="Times New Roman" w:hAnsi="Segoe UI" w:cs="Segoe UI"/>
          <w:sz w:val="18"/>
          <w:szCs w:val="18"/>
        </w:rPr>
        <w:t>sufficient amounts of</w:t>
      </w:r>
      <w:proofErr w:type="gramEnd"/>
      <w:r w:rsidRPr="001830EA">
        <w:rPr>
          <w:rFonts w:ascii="Segoe UI" w:eastAsia="Times New Roman" w:hAnsi="Segoe UI" w:cs="Segoe UI"/>
          <w:sz w:val="18"/>
          <w:szCs w:val="18"/>
        </w:rPr>
        <w:t xml:space="preserve"> highly liquid assets. A mandatory ISA requirement would directly frustrate this objective in two material respects.</w:t>
      </w:r>
    </w:p>
    <w:p w14:paraId="7332BEEA" w14:textId="526879BA" w:rsidR="00D06C22" w:rsidRPr="001830EA" w:rsidRDefault="00D06C22" w:rsidP="00D06C22">
      <w:pPr>
        <w:rPr>
          <w:rFonts w:ascii="Segoe UI" w:eastAsia="Times New Roman" w:hAnsi="Segoe UI" w:cs="Segoe UI"/>
          <w:sz w:val="18"/>
          <w:szCs w:val="18"/>
        </w:rPr>
      </w:pPr>
      <w:r w:rsidRPr="001830EA">
        <w:rPr>
          <w:rFonts w:ascii="Segoe UI" w:eastAsia="Times New Roman" w:hAnsi="Segoe UI" w:cs="Segoe UI"/>
          <w:sz w:val="18"/>
          <w:szCs w:val="18"/>
        </w:rPr>
        <w:t xml:space="preserve">First, ISAs are legally unavailable to a significant class of NFC clients. The segregation regime under US law and CFTC rules to which FCMs are subject is incompatible with individual client-level segregation. Accordingly, ISAs cannot be offered to NFC clients clearing through FCMs, whether by the FCM or the relevant CCP. The practical effect of the proposed requirement would be to systematically exclude this class of NFC client from using guarantees as collateral altogether </w:t>
      </w:r>
      <w:r>
        <w:rPr>
          <w:rFonts w:ascii="Segoe UI" w:eastAsia="Times New Roman" w:hAnsi="Segoe UI" w:cs="Segoe UI"/>
          <w:sz w:val="18"/>
          <w:szCs w:val="18"/>
        </w:rPr>
        <w:t>-</w:t>
      </w:r>
      <w:r w:rsidRPr="001830EA">
        <w:rPr>
          <w:rFonts w:ascii="Segoe UI" w:eastAsia="Times New Roman" w:hAnsi="Segoe UI" w:cs="Segoe UI"/>
          <w:sz w:val="18"/>
          <w:szCs w:val="18"/>
        </w:rPr>
        <w:t xml:space="preserve"> the very outcome EMIR 3 sought to prevent.</w:t>
      </w:r>
    </w:p>
    <w:p w14:paraId="49E35C24" w14:textId="5A4634E7" w:rsidR="00D06C22" w:rsidRDefault="00D06C22" w:rsidP="00D06C22">
      <w:pPr>
        <w:rPr>
          <w:rFonts w:ascii="Segoe UI" w:eastAsia="Times New Roman" w:hAnsi="Segoe UI" w:cs="Segoe UI"/>
          <w:sz w:val="18"/>
          <w:szCs w:val="18"/>
        </w:rPr>
      </w:pPr>
      <w:r w:rsidRPr="001830EA">
        <w:rPr>
          <w:rFonts w:ascii="Segoe UI" w:eastAsia="Times New Roman" w:hAnsi="Segoe UI" w:cs="Segoe UI"/>
          <w:sz w:val="18"/>
          <w:szCs w:val="18"/>
        </w:rPr>
        <w:t xml:space="preserve">Second, even for NFC clients that can in principle access ISAs, such accounts are rarely used in practice due to materially higher operational, legal and administrative costs compared with omnibus accounts. Critically, ISAs cannot be established at short notice, which limits their utility precisely in stressed market conditions </w:t>
      </w:r>
      <w:r>
        <w:rPr>
          <w:rFonts w:ascii="Segoe UI" w:eastAsia="Times New Roman" w:hAnsi="Segoe UI" w:cs="Segoe UI"/>
          <w:sz w:val="18"/>
          <w:szCs w:val="18"/>
        </w:rPr>
        <w:t>-</w:t>
      </w:r>
      <w:r w:rsidRPr="001830EA">
        <w:rPr>
          <w:rFonts w:ascii="Segoe UI" w:eastAsia="Times New Roman" w:hAnsi="Segoe UI" w:cs="Segoe UI"/>
          <w:sz w:val="18"/>
          <w:szCs w:val="18"/>
        </w:rPr>
        <w:t xml:space="preserve"> the circumstances in which liquidity relief from </w:t>
      </w:r>
      <w:proofErr w:type="gramStart"/>
      <w:r w:rsidRPr="001830EA">
        <w:rPr>
          <w:rFonts w:ascii="Segoe UI" w:eastAsia="Times New Roman" w:hAnsi="Segoe UI" w:cs="Segoe UI"/>
          <w:sz w:val="18"/>
          <w:szCs w:val="18"/>
        </w:rPr>
        <w:t>guarantee</w:t>
      </w:r>
      <w:proofErr w:type="gramEnd"/>
      <w:r w:rsidRPr="001830EA">
        <w:rPr>
          <w:rFonts w:ascii="Segoe UI" w:eastAsia="Times New Roman" w:hAnsi="Segoe UI" w:cs="Segoe UI"/>
          <w:sz w:val="18"/>
          <w:szCs w:val="18"/>
        </w:rPr>
        <w:t xml:space="preserve"> collateral would be most needed. Mandating their use would therefore reduce the economic attractiveness of guarantees as a collateral option and undermine the broadening of the eligible collateral base that EMIR 3 sought to achieve.</w:t>
      </w:r>
    </w:p>
    <w:p w14:paraId="29BB7C4D" w14:textId="7DA912E1" w:rsidR="00D06C22" w:rsidRPr="00D06C22" w:rsidRDefault="00D06C22" w:rsidP="00D06C22">
      <w:pPr>
        <w:rPr>
          <w:rFonts w:ascii="Aptos" w:eastAsia="Aptos" w:hAnsi="Aptos" w:cs="Aptos"/>
          <w:sz w:val="24"/>
          <w:szCs w:val="24"/>
        </w:rPr>
      </w:pPr>
      <w:r w:rsidRPr="50690CB5">
        <w:rPr>
          <w:rFonts w:ascii="Segoe UI" w:eastAsia="Times New Roman" w:hAnsi="Segoe UI" w:cs="Segoe UI"/>
          <w:sz w:val="18"/>
          <w:szCs w:val="18"/>
        </w:rPr>
        <w:t xml:space="preserve">The WFE also notes that the rationale offered in Recital 4 of the draft RTS </w:t>
      </w:r>
      <w:r>
        <w:rPr>
          <w:rFonts w:ascii="Segoe UI" w:eastAsia="Times New Roman" w:hAnsi="Segoe UI" w:cs="Segoe UI"/>
          <w:sz w:val="18"/>
          <w:szCs w:val="18"/>
        </w:rPr>
        <w:t>-</w:t>
      </w:r>
      <w:r w:rsidRPr="50690CB5">
        <w:rPr>
          <w:rFonts w:ascii="Segoe UI" w:eastAsia="Times New Roman" w:hAnsi="Segoe UI" w:cs="Segoe UI"/>
          <w:sz w:val="18"/>
          <w:szCs w:val="18"/>
        </w:rPr>
        <w:t xml:space="preserve"> that the non-fungible nature of guarantees requires them to be posted to ISAs </w:t>
      </w:r>
      <w:r>
        <w:rPr>
          <w:rFonts w:ascii="Segoe UI" w:eastAsia="Times New Roman" w:hAnsi="Segoe UI" w:cs="Segoe UI"/>
          <w:sz w:val="18"/>
          <w:szCs w:val="18"/>
        </w:rPr>
        <w:t>-</w:t>
      </w:r>
      <w:r w:rsidRPr="50690CB5">
        <w:rPr>
          <w:rFonts w:ascii="Segoe UI" w:eastAsia="Times New Roman" w:hAnsi="Segoe UI" w:cs="Segoe UI"/>
          <w:sz w:val="18"/>
          <w:szCs w:val="18"/>
        </w:rPr>
        <w:t xml:space="preserve"> conflates two distinct questions. The fungibility of an instrument at the point of posting is legally separate from the question of what account structure should govern its use. EMIR already permits a range of non-fungible instruments (such as bonds from different issuers) to be held in omnibus </w:t>
      </w:r>
      <w:proofErr w:type="gramStart"/>
      <w:r w:rsidRPr="50690CB5">
        <w:rPr>
          <w:rFonts w:ascii="Segoe UI" w:eastAsia="Times New Roman" w:hAnsi="Segoe UI" w:cs="Segoe UI"/>
          <w:sz w:val="18"/>
          <w:szCs w:val="18"/>
        </w:rPr>
        <w:t>accounts, and</w:t>
      </w:r>
      <w:proofErr w:type="gramEnd"/>
      <w:r w:rsidRPr="50690CB5">
        <w:rPr>
          <w:rFonts w:ascii="Segoe UI" w:eastAsia="Times New Roman" w:hAnsi="Segoe UI" w:cs="Segoe UI"/>
          <w:sz w:val="18"/>
          <w:szCs w:val="18"/>
        </w:rPr>
        <w:t xml:space="preserve"> does not require non-fungibility to be the determining criterion for account structure. Bank guarantees </w:t>
      </w:r>
      <w:r w:rsidRPr="50690CB5">
        <w:rPr>
          <w:rFonts w:ascii="Segoe UI" w:eastAsia="Segoe UI" w:hAnsi="Segoe UI" w:cs="Segoe UI"/>
          <w:sz w:val="18"/>
          <w:szCs w:val="18"/>
        </w:rPr>
        <w:t xml:space="preserve">held in an omnibus account would be available to CCPs on the same basis in a default as any other collateral in that account, without being confined to the circumstances of the named client’s default, as is the case for existing types of collateral. It should be noted in this regard that </w:t>
      </w:r>
      <w:r>
        <w:rPr>
          <w:rFonts w:ascii="Segoe UI" w:eastAsia="Segoe UI" w:hAnsi="Segoe UI" w:cs="Segoe UI"/>
          <w:sz w:val="18"/>
          <w:szCs w:val="18"/>
        </w:rPr>
        <w:t xml:space="preserve">an </w:t>
      </w:r>
      <w:r w:rsidRPr="0049197A">
        <w:rPr>
          <w:rFonts w:ascii="Segoe UI" w:eastAsia="Segoe UI" w:hAnsi="Segoe UI" w:cs="Segoe UI"/>
          <w:sz w:val="18"/>
          <w:szCs w:val="18"/>
        </w:rPr>
        <w:t>LC posted by a client as collateral is drawn by the CCP only in the event of a clearing member default, and not upon the default of the individual client posting the LC. Where an underlying client defaults but the clearing member remains solvent and continues to meet its obligations, the CCP would not draw on the LC. In the event of a clearing member default, the LC would be accessed as part of the overall default management close</w:t>
      </w:r>
      <w:r>
        <w:noBreakHyphen/>
      </w:r>
      <w:r w:rsidRPr="0049197A">
        <w:rPr>
          <w:rFonts w:ascii="Segoe UI" w:eastAsia="Segoe UI" w:hAnsi="Segoe UI" w:cs="Segoe UI"/>
          <w:sz w:val="18"/>
          <w:szCs w:val="18"/>
        </w:rPr>
        <w:t>out process, alongside all other collateral attributable to clients whose positions are not successfully ported. In this context use of LCs by the CCP to manage a default should not be restricted.</w:t>
      </w:r>
    </w:p>
    <w:p w14:paraId="189C65ED" w14:textId="77777777" w:rsidR="00D06C22" w:rsidRDefault="00D06C22" w:rsidP="00D06C22">
      <w:pPr>
        <w:rPr>
          <w:rFonts w:ascii="Segoe UI" w:eastAsia="Times New Roman" w:hAnsi="Segoe UI" w:cs="Segoe UI"/>
          <w:sz w:val="18"/>
          <w:szCs w:val="18"/>
        </w:rPr>
      </w:pPr>
      <w:r w:rsidRPr="50690CB5">
        <w:rPr>
          <w:rFonts w:ascii="Segoe UI" w:eastAsia="Times New Roman" w:hAnsi="Segoe UI" w:cs="Segoe UI"/>
          <w:sz w:val="18"/>
          <w:szCs w:val="18"/>
        </w:rPr>
        <w:t xml:space="preserve">The identifiability requirements already embedded in the draft RTS (requiring guarantees to be issued to cover a specific NFC client) would be sufficient to ensure appropriate attribution without mandating ISAs. The decision on account </w:t>
      </w:r>
      <w:r w:rsidRPr="50690CB5">
        <w:rPr>
          <w:rFonts w:ascii="Segoe UI" w:eastAsia="Times New Roman" w:hAnsi="Segoe UI" w:cs="Segoe UI"/>
          <w:sz w:val="18"/>
          <w:szCs w:val="18"/>
        </w:rPr>
        <w:lastRenderedPageBreak/>
        <w:t xml:space="preserve">structure should rest with NFC clients posting such collateral, consistent with the treatment of all other highly liquid collateral accepted by CCPs. </w:t>
      </w:r>
    </w:p>
    <w:p w14:paraId="5B1E788E" w14:textId="02745B68" w:rsidR="00693907" w:rsidRDefault="00693907" w:rsidP="00693907">
      <w:r>
        <w:t>&lt;ESMA_QUESTION_</w:t>
      </w:r>
      <w:r w:rsidR="00EE246B">
        <w:t>COLL</w:t>
      </w:r>
      <w:r>
        <w:t>_7&gt;</w:t>
      </w:r>
    </w:p>
    <w:p w14:paraId="3B03B9E0" w14:textId="77777777" w:rsidR="00693907" w:rsidRDefault="00693907" w:rsidP="00693907"/>
    <w:p w14:paraId="18FE9B7F" w14:textId="11DAFFAC" w:rsidR="00693907" w:rsidRDefault="0038241C" w:rsidP="00693907">
      <w:pPr>
        <w:pStyle w:val="Questionstyle"/>
      </w:pPr>
      <w:r w:rsidRPr="0038241C">
        <w:t>Is there any other condition you consider would be necessary in relation to the extension of the use of guarantees to guarantee non-financial clients? E.g. should it be mandated that CCPs have in place a mechanism to identify the default of a non-financial client?</w:t>
      </w:r>
      <w:r w:rsidR="00693907">
        <w:t xml:space="preserve"> </w:t>
      </w:r>
    </w:p>
    <w:p w14:paraId="7AA017CC" w14:textId="7608FAED" w:rsidR="00693907" w:rsidRDefault="00693907" w:rsidP="00693907">
      <w:r>
        <w:t>&lt;ESMA_QUESTION_</w:t>
      </w:r>
      <w:r w:rsidR="004C12DB">
        <w:t>COLL</w:t>
      </w:r>
      <w:r>
        <w:t>_8&gt;</w:t>
      </w:r>
    </w:p>
    <w:p w14:paraId="4902C9AE" w14:textId="77777777" w:rsidR="00D06C22" w:rsidRPr="00526A30" w:rsidRDefault="00D06C22" w:rsidP="00D06C22">
      <w:pPr>
        <w:rPr>
          <w:rFonts w:ascii="Segoe UI" w:eastAsia="Times New Roman" w:hAnsi="Segoe UI" w:cs="Segoe UI"/>
          <w:sz w:val="18"/>
          <w:szCs w:val="18"/>
        </w:rPr>
      </w:pPr>
      <w:r>
        <w:rPr>
          <w:rFonts w:ascii="Segoe UI" w:eastAsia="Times New Roman" w:hAnsi="Segoe UI" w:cs="Segoe UI"/>
          <w:sz w:val="18"/>
          <w:szCs w:val="18"/>
        </w:rPr>
        <w:t>The WFE recommends</w:t>
      </w:r>
      <w:r w:rsidRPr="00526A30">
        <w:rPr>
          <w:rFonts w:ascii="Segoe UI" w:eastAsia="Times New Roman" w:hAnsi="Segoe UI" w:cs="Segoe UI"/>
          <w:sz w:val="18"/>
          <w:szCs w:val="18"/>
        </w:rPr>
        <w:t xml:space="preserve"> additional safeguards</w:t>
      </w:r>
      <w:r>
        <w:rPr>
          <w:rFonts w:ascii="Segoe UI" w:eastAsia="Times New Roman" w:hAnsi="Segoe UI" w:cs="Segoe UI"/>
          <w:sz w:val="18"/>
          <w:szCs w:val="18"/>
        </w:rPr>
        <w:t xml:space="preserve"> be left to the discretion of the CCP given their knowledge of the specific markets they clear, and the clients involved. </w:t>
      </w:r>
      <w:r w:rsidRPr="694C2A80">
        <w:rPr>
          <w:rFonts w:ascii="Segoe UI" w:eastAsia="Times New Roman" w:hAnsi="Segoe UI" w:cs="Segoe UI"/>
          <w:sz w:val="18"/>
          <w:szCs w:val="18"/>
        </w:rPr>
        <w:t xml:space="preserve">We would also urge ESMA to refrain from transferring the responsibility to monitor client defaults to CPPs, since this would result in </w:t>
      </w:r>
      <w:r w:rsidRPr="0F17FB44">
        <w:rPr>
          <w:rFonts w:ascii="Segoe UI" w:eastAsia="Times New Roman" w:hAnsi="Segoe UI" w:cs="Segoe UI"/>
          <w:sz w:val="18"/>
          <w:szCs w:val="18"/>
        </w:rPr>
        <w:t>an</w:t>
      </w:r>
      <w:r w:rsidRPr="694C2A80">
        <w:rPr>
          <w:rFonts w:ascii="Segoe UI" w:eastAsia="Times New Roman" w:hAnsi="Segoe UI" w:cs="Segoe UI"/>
          <w:sz w:val="18"/>
          <w:szCs w:val="18"/>
        </w:rPr>
        <w:t xml:space="preserve"> unnecessary duplication of the control process, which already ensures the monitoring and identification of potential client defaults via the clearing members.</w:t>
      </w:r>
    </w:p>
    <w:p w14:paraId="11DE980E" w14:textId="6F37CCA9" w:rsidR="00693907" w:rsidRDefault="00693907" w:rsidP="00693907">
      <w:r>
        <w:t>&lt;ESMA_QUESTION_</w:t>
      </w:r>
      <w:r w:rsidR="004C12DB">
        <w:t>COLL</w:t>
      </w:r>
      <w:r>
        <w:t>_8&gt;</w:t>
      </w:r>
    </w:p>
    <w:p w14:paraId="73AF06AE" w14:textId="77777777" w:rsidR="00970F12" w:rsidRDefault="00970F12" w:rsidP="00693907"/>
    <w:p w14:paraId="5D69E955" w14:textId="104F9CA1" w:rsidR="00970F12" w:rsidRDefault="00970F12" w:rsidP="00970F12">
      <w:pPr>
        <w:pStyle w:val="Questionstyle"/>
      </w:pPr>
      <w:r w:rsidRPr="004344B8">
        <w:t>Do</w:t>
      </w:r>
      <w:r>
        <w:t xml:space="preserve"> </w:t>
      </w:r>
      <w:r w:rsidR="00EA1DD0" w:rsidRPr="00EA1DD0">
        <w:t>you agree with ESMA’s proposal to require that there are a credit rating and reliable financial data on the guarantor available for the CCP to use in its internal assessment?</w:t>
      </w:r>
    </w:p>
    <w:p w14:paraId="432959FD" w14:textId="5BAAE542" w:rsidR="00970F12" w:rsidRDefault="00970F12" w:rsidP="00970F12">
      <w:r>
        <w:t>&lt;ESMA_QUESTION_</w:t>
      </w:r>
      <w:r w:rsidR="008E4202">
        <w:t>COLL</w:t>
      </w:r>
      <w:r>
        <w:t>_</w:t>
      </w:r>
      <w:r w:rsidR="008E4202">
        <w:t>9</w:t>
      </w:r>
      <w:r>
        <w:t>&gt;</w:t>
      </w:r>
    </w:p>
    <w:p w14:paraId="773F8033" w14:textId="77777777" w:rsidR="00D06C22" w:rsidRDefault="00D06C22" w:rsidP="00D06C22">
      <w:pPr>
        <w:rPr>
          <w:rFonts w:ascii="Segoe UI" w:eastAsia="Times New Roman" w:hAnsi="Segoe UI" w:cs="Segoe UI"/>
          <w:sz w:val="18"/>
          <w:szCs w:val="18"/>
        </w:rPr>
      </w:pPr>
      <w:r w:rsidRPr="694C2A80">
        <w:rPr>
          <w:rFonts w:ascii="Segoe UI" w:eastAsia="Times New Roman" w:hAnsi="Segoe UI" w:cs="Segoe UI"/>
          <w:sz w:val="18"/>
          <w:szCs w:val="18"/>
        </w:rPr>
        <w:t>Due to the operating reality and distinguishable variety of guarantor types, access to credit ratings and reliable financial information remain</w:t>
      </w:r>
      <w:r>
        <w:rPr>
          <w:rFonts w:ascii="Segoe UI" w:eastAsia="Times New Roman" w:hAnsi="Segoe UI" w:cs="Segoe UI"/>
          <w:sz w:val="18"/>
          <w:szCs w:val="18"/>
        </w:rPr>
        <w:t>s</w:t>
      </w:r>
      <w:r w:rsidRPr="694C2A80">
        <w:rPr>
          <w:rFonts w:ascii="Segoe UI" w:eastAsia="Times New Roman" w:hAnsi="Segoe UI" w:cs="Segoe UI"/>
          <w:sz w:val="18"/>
          <w:szCs w:val="18"/>
        </w:rPr>
        <w:t xml:space="preserve"> crucial </w:t>
      </w:r>
      <w:proofErr w:type="gramStart"/>
      <w:r w:rsidRPr="694C2A80">
        <w:rPr>
          <w:rFonts w:ascii="Segoe UI" w:eastAsia="Times New Roman" w:hAnsi="Segoe UI" w:cs="Segoe UI"/>
          <w:sz w:val="18"/>
          <w:szCs w:val="18"/>
        </w:rPr>
        <w:t>in order to</w:t>
      </w:r>
      <w:proofErr w:type="gramEnd"/>
      <w:r w:rsidRPr="694C2A80">
        <w:rPr>
          <w:rFonts w:ascii="Segoe UI" w:eastAsia="Times New Roman" w:hAnsi="Segoe UI" w:cs="Segoe UI"/>
          <w:sz w:val="18"/>
          <w:szCs w:val="18"/>
        </w:rPr>
        <w:t xml:space="preserve"> allow CPPs to evaluate the creditworthiness of guarantors. It is particularly </w:t>
      </w:r>
      <w:r>
        <w:rPr>
          <w:rFonts w:ascii="Segoe UI" w:eastAsia="Times New Roman" w:hAnsi="Segoe UI" w:cs="Segoe UI"/>
          <w:sz w:val="18"/>
          <w:szCs w:val="18"/>
        </w:rPr>
        <w:t xml:space="preserve">true that, </w:t>
      </w:r>
      <w:r w:rsidRPr="694C2A80">
        <w:rPr>
          <w:rFonts w:ascii="Segoe UI" w:eastAsia="Times New Roman" w:hAnsi="Segoe UI" w:cs="Segoe UI"/>
          <w:sz w:val="18"/>
          <w:szCs w:val="18"/>
        </w:rPr>
        <w:t>in the case of public guarantors</w:t>
      </w:r>
      <w:r>
        <w:rPr>
          <w:rFonts w:ascii="Segoe UI" w:eastAsia="Times New Roman" w:hAnsi="Segoe UI" w:cs="Segoe UI"/>
          <w:sz w:val="18"/>
          <w:szCs w:val="18"/>
        </w:rPr>
        <w:t xml:space="preserve"> (</w:t>
      </w:r>
      <w:r w:rsidRPr="694C2A80">
        <w:rPr>
          <w:rFonts w:ascii="Segoe UI" w:eastAsia="Times New Roman" w:hAnsi="Segoe UI" w:cs="Segoe UI"/>
          <w:sz w:val="18"/>
          <w:szCs w:val="18"/>
        </w:rPr>
        <w:t>which often lack independent credit ratings</w:t>
      </w:r>
      <w:r>
        <w:rPr>
          <w:rFonts w:ascii="Segoe UI" w:eastAsia="Times New Roman" w:hAnsi="Segoe UI" w:cs="Segoe UI"/>
          <w:sz w:val="18"/>
          <w:szCs w:val="18"/>
        </w:rPr>
        <w:t>)</w:t>
      </w:r>
      <w:r w:rsidRPr="694C2A80">
        <w:rPr>
          <w:rFonts w:ascii="Segoe UI" w:eastAsia="Times New Roman" w:hAnsi="Segoe UI" w:cs="Segoe UI"/>
          <w:sz w:val="18"/>
          <w:szCs w:val="18"/>
        </w:rPr>
        <w:t xml:space="preserve">, the RTS must ensure that </w:t>
      </w:r>
      <w:r>
        <w:rPr>
          <w:rFonts w:ascii="Segoe UI" w:eastAsia="Times New Roman" w:hAnsi="Segoe UI" w:cs="Segoe UI"/>
          <w:sz w:val="18"/>
          <w:szCs w:val="18"/>
        </w:rPr>
        <w:t>such</w:t>
      </w:r>
      <w:r w:rsidRPr="694C2A80">
        <w:rPr>
          <w:rFonts w:ascii="Segoe UI" w:eastAsia="Times New Roman" w:hAnsi="Segoe UI" w:cs="Segoe UI"/>
          <w:sz w:val="18"/>
          <w:szCs w:val="18"/>
        </w:rPr>
        <w:t xml:space="preserve"> guarantors provide sufficient financial evidence (e.g. disclosures or external credit ratings) that they meet the CPP’s risk management criteria.</w:t>
      </w:r>
    </w:p>
    <w:p w14:paraId="2FB2642C" w14:textId="5A842994" w:rsidR="00970F12" w:rsidRDefault="00970F12" w:rsidP="00970F12">
      <w:r>
        <w:t>&lt;ESMA_QUESTION_</w:t>
      </w:r>
      <w:r w:rsidR="008E4202">
        <w:t>COLL</w:t>
      </w:r>
      <w:r>
        <w:t>_</w:t>
      </w:r>
      <w:r w:rsidR="008E4202">
        <w:t>9</w:t>
      </w:r>
      <w:r>
        <w:t>&gt;</w:t>
      </w:r>
    </w:p>
    <w:p w14:paraId="47C1564C" w14:textId="77777777" w:rsidR="00970F12" w:rsidRDefault="00970F12" w:rsidP="00693907"/>
    <w:p w14:paraId="2964373E" w14:textId="6323EC60" w:rsidR="005E4A48" w:rsidRDefault="005E4A48" w:rsidP="005E4A48">
      <w:pPr>
        <w:pStyle w:val="Questionstyle"/>
      </w:pPr>
      <w:r w:rsidRPr="004344B8">
        <w:t>Do</w:t>
      </w:r>
      <w:r w:rsidR="00E77951">
        <w:t xml:space="preserve"> </w:t>
      </w:r>
      <w:r w:rsidR="003A00A8" w:rsidRPr="003A00A8">
        <w:t>you consider that the direct access of a public guarantor to real-time gross settlement systems such as T2 should be a requirement for public guarantors? Please provide evidence or reasoning to support your response.</w:t>
      </w:r>
    </w:p>
    <w:p w14:paraId="04A80332" w14:textId="40679483" w:rsidR="005E4A48" w:rsidRDefault="005E4A48" w:rsidP="005E4A48">
      <w:r>
        <w:t>&lt;ESMA_QUESTION_</w:t>
      </w:r>
      <w:r w:rsidR="0037419B">
        <w:t>COLL</w:t>
      </w:r>
      <w:r>
        <w:t>_</w:t>
      </w:r>
      <w:r w:rsidR="0037419B">
        <w:t>10</w:t>
      </w:r>
      <w:r>
        <w:t>&gt;</w:t>
      </w:r>
    </w:p>
    <w:p w14:paraId="71F112ED" w14:textId="77777777" w:rsidR="00D06C22" w:rsidRDefault="00D06C22" w:rsidP="00D06C22">
      <w:pPr>
        <w:rPr>
          <w:rFonts w:ascii="Segoe UI" w:eastAsia="Times New Roman" w:hAnsi="Segoe UI" w:cs="Segoe UI"/>
          <w:sz w:val="18"/>
          <w:szCs w:val="18"/>
        </w:rPr>
      </w:pPr>
      <w:r>
        <w:rPr>
          <w:rFonts w:ascii="Segoe UI" w:eastAsia="Times New Roman" w:hAnsi="Segoe UI" w:cs="Segoe UI"/>
          <w:sz w:val="18"/>
          <w:szCs w:val="18"/>
        </w:rPr>
        <w:lastRenderedPageBreak/>
        <w:t>We agree that the</w:t>
      </w:r>
      <w:r w:rsidRPr="694C2A80">
        <w:rPr>
          <w:rFonts w:ascii="Segoe UI" w:eastAsia="Times New Roman" w:hAnsi="Segoe UI" w:cs="Segoe UI"/>
          <w:sz w:val="18"/>
          <w:szCs w:val="18"/>
        </w:rPr>
        <w:t xml:space="preserve"> question of whether the guarantor can demonstrably honour the guarantee within the CCP’s liquidation period under stressed conditions, including through robust payment agent arrangements without legal or operational impediments</w:t>
      </w:r>
      <w:r>
        <w:rPr>
          <w:rFonts w:ascii="Segoe UI" w:eastAsia="Times New Roman" w:hAnsi="Segoe UI" w:cs="Segoe UI"/>
          <w:sz w:val="18"/>
          <w:szCs w:val="18"/>
        </w:rPr>
        <w:t>,</w:t>
      </w:r>
      <w:r w:rsidRPr="694C2A80">
        <w:rPr>
          <w:rFonts w:ascii="Segoe UI" w:eastAsia="Times New Roman" w:hAnsi="Segoe UI" w:cs="Segoe UI"/>
          <w:sz w:val="18"/>
          <w:szCs w:val="18"/>
        </w:rPr>
        <w:t xml:space="preserve"> should remain central</w:t>
      </w:r>
      <w:r>
        <w:rPr>
          <w:rFonts w:ascii="Segoe UI" w:eastAsia="Times New Roman" w:hAnsi="Segoe UI" w:cs="Segoe UI"/>
          <w:sz w:val="18"/>
          <w:szCs w:val="18"/>
        </w:rPr>
        <w:t xml:space="preserve">. However, </w:t>
      </w:r>
      <w:r w:rsidRPr="694C2A80">
        <w:rPr>
          <w:rFonts w:ascii="Segoe UI" w:eastAsia="Times New Roman" w:hAnsi="Segoe UI" w:cs="Segoe UI"/>
          <w:sz w:val="18"/>
          <w:szCs w:val="18"/>
        </w:rPr>
        <w:t>we also support ESMA’s proposal to require public guarantors to have direct access to real-time gros settlement systems such as T2. This directly tackles the settlement and liquidity timing risks posed by a potential default scenario</w:t>
      </w:r>
      <w:r>
        <w:rPr>
          <w:rFonts w:ascii="Segoe UI" w:eastAsia="Times New Roman" w:hAnsi="Segoe UI" w:cs="Segoe UI"/>
          <w:sz w:val="18"/>
          <w:szCs w:val="18"/>
        </w:rPr>
        <w:t>,</w:t>
      </w:r>
      <w:r w:rsidRPr="694C2A80">
        <w:rPr>
          <w:rFonts w:ascii="Segoe UI" w:eastAsia="Times New Roman" w:hAnsi="Segoe UI" w:cs="Segoe UI"/>
          <w:sz w:val="18"/>
          <w:szCs w:val="18"/>
        </w:rPr>
        <w:t xml:space="preserve"> and ensures that a swift, irrevocable payment mechanism is already in place.</w:t>
      </w:r>
    </w:p>
    <w:p w14:paraId="5CF44F01" w14:textId="5CA565F5" w:rsidR="005E4A48" w:rsidRDefault="005E4A48" w:rsidP="005E4A48">
      <w:r>
        <w:t>&lt;ESMA_QUESTION_</w:t>
      </w:r>
      <w:r w:rsidR="0037419B">
        <w:t>COLL</w:t>
      </w:r>
      <w:r>
        <w:t>_</w:t>
      </w:r>
      <w:r w:rsidR="0037419B">
        <w:t>10</w:t>
      </w:r>
      <w:r>
        <w:t>&gt;</w:t>
      </w:r>
    </w:p>
    <w:p w14:paraId="10E37C90" w14:textId="77777777" w:rsidR="005E4A48" w:rsidRDefault="005E4A48" w:rsidP="00693907"/>
    <w:p w14:paraId="71E277F2" w14:textId="4AE639BC" w:rsidR="005E4A48" w:rsidRDefault="005E4A48" w:rsidP="005E4A48">
      <w:pPr>
        <w:pStyle w:val="Questionstyle"/>
      </w:pPr>
      <w:r w:rsidRPr="004344B8">
        <w:t>Do</w:t>
      </w:r>
      <w:r>
        <w:t xml:space="preserve"> </w:t>
      </w:r>
      <w:r w:rsidR="00502F7C" w:rsidRPr="00502F7C">
        <w:t>you agree that public guarantees should be accompanied by a legal opinion confirming the effective representation of the guarantor, the validity of the guarantee and its enforceability?</w:t>
      </w:r>
    </w:p>
    <w:p w14:paraId="182071EF" w14:textId="6E70C2AB" w:rsidR="005E4A48" w:rsidRDefault="005E4A48" w:rsidP="005E4A48">
      <w:r>
        <w:t>&lt;ESMA_QUESTION_</w:t>
      </w:r>
      <w:r w:rsidR="004641DE">
        <w:t>COLL</w:t>
      </w:r>
      <w:r>
        <w:t>_</w:t>
      </w:r>
      <w:r w:rsidR="004641DE">
        <w:t>11</w:t>
      </w:r>
      <w:r>
        <w:t>&gt;</w:t>
      </w:r>
    </w:p>
    <w:p w14:paraId="2ED405C7" w14:textId="77777777" w:rsidR="00D06C22" w:rsidRDefault="00D06C22" w:rsidP="00D06C22">
      <w:pPr>
        <w:rPr>
          <w:rFonts w:ascii="Segoe UI" w:eastAsia="Times New Roman" w:hAnsi="Segoe UI" w:cs="Segoe UI"/>
          <w:sz w:val="18"/>
          <w:szCs w:val="18"/>
        </w:rPr>
      </w:pPr>
      <w:r w:rsidRPr="694C2A80">
        <w:rPr>
          <w:rFonts w:ascii="Segoe UI" w:eastAsia="Times New Roman" w:hAnsi="Segoe UI" w:cs="Segoe UI"/>
          <w:sz w:val="18"/>
          <w:szCs w:val="18"/>
        </w:rPr>
        <w:t>We agree that public guarantees should be accompanied by an independent legal opinion, since public guarantors are subject to heterogenous legal frameworks, and often operate under administrative constraints that inhibit the assessment of their legal capacity. This in turn creates a significant level of uncertainty for C</w:t>
      </w:r>
      <w:r>
        <w:rPr>
          <w:rFonts w:ascii="Segoe UI" w:eastAsia="Times New Roman" w:hAnsi="Segoe UI" w:cs="Segoe UI"/>
          <w:sz w:val="18"/>
          <w:szCs w:val="18"/>
        </w:rPr>
        <w:t>C</w:t>
      </w:r>
      <w:r w:rsidRPr="694C2A80">
        <w:rPr>
          <w:rFonts w:ascii="Segoe UI" w:eastAsia="Times New Roman" w:hAnsi="Segoe UI" w:cs="Segoe UI"/>
          <w:sz w:val="18"/>
          <w:szCs w:val="18"/>
        </w:rPr>
        <w:t>Ps when determining whether all necessary approvals have been obtained. Such a requirement thus proves both necessary and proportionate.</w:t>
      </w:r>
    </w:p>
    <w:p w14:paraId="622D948A" w14:textId="50AF4799" w:rsidR="005E4A48" w:rsidRDefault="005E4A48" w:rsidP="005E4A48">
      <w:r>
        <w:t>&lt;ESMA_QUESTION_</w:t>
      </w:r>
      <w:r w:rsidR="004641DE">
        <w:t>COLL</w:t>
      </w:r>
      <w:r>
        <w:t>_</w:t>
      </w:r>
      <w:r w:rsidR="004641DE">
        <w:t>11</w:t>
      </w:r>
      <w:r>
        <w:t>&gt;</w:t>
      </w:r>
    </w:p>
    <w:p w14:paraId="281801E2" w14:textId="77777777" w:rsidR="005E4A48" w:rsidRDefault="005E4A48" w:rsidP="00693907"/>
    <w:p w14:paraId="1922BA8F" w14:textId="0E442475" w:rsidR="005E4A48" w:rsidRDefault="005E4A48" w:rsidP="005E4A48">
      <w:pPr>
        <w:pStyle w:val="Questionstyle"/>
      </w:pPr>
      <w:r w:rsidRPr="004344B8">
        <w:t xml:space="preserve">Do </w:t>
      </w:r>
      <w:r w:rsidR="004B3CF5" w:rsidRPr="004B3CF5">
        <w:t>you agree that the conditions for commercial bank guarantees should explicitly foresee that the guarantor is a credit institution as defined in CRR?</w:t>
      </w:r>
    </w:p>
    <w:p w14:paraId="645BB6CB" w14:textId="03D6F764" w:rsidR="005E4A48" w:rsidRDefault="005E4A48" w:rsidP="005E4A48">
      <w:r>
        <w:t>&lt;ESMA_QUESTION_</w:t>
      </w:r>
      <w:r w:rsidR="0070781C">
        <w:t>COLL</w:t>
      </w:r>
      <w:r>
        <w:t>_</w:t>
      </w:r>
      <w:r w:rsidR="0070781C">
        <w:t>12</w:t>
      </w:r>
      <w:r>
        <w:t>&gt;</w:t>
      </w:r>
    </w:p>
    <w:p w14:paraId="6B13F6F3" w14:textId="77777777" w:rsidR="00D06C22" w:rsidRDefault="00D06C22" w:rsidP="00D06C22">
      <w:pPr>
        <w:rPr>
          <w:rFonts w:ascii="Segoe UI" w:eastAsia="Times New Roman" w:hAnsi="Segoe UI" w:cs="Segoe UI"/>
          <w:sz w:val="18"/>
          <w:szCs w:val="18"/>
        </w:rPr>
      </w:pPr>
      <w:r w:rsidRPr="694C2A80">
        <w:rPr>
          <w:rFonts w:ascii="Segoe UI" w:eastAsia="Times New Roman" w:hAnsi="Segoe UI" w:cs="Segoe UI"/>
          <w:sz w:val="18"/>
          <w:szCs w:val="18"/>
        </w:rPr>
        <w:t>Yes, limiting the pool of eligible guarantors to credit institutions regulated by the CRR actively ensures legal certainty, since C</w:t>
      </w:r>
      <w:r>
        <w:rPr>
          <w:rFonts w:ascii="Segoe UI" w:eastAsia="Times New Roman" w:hAnsi="Segoe UI" w:cs="Segoe UI"/>
          <w:sz w:val="18"/>
          <w:szCs w:val="18"/>
        </w:rPr>
        <w:t>C</w:t>
      </w:r>
      <w:r w:rsidRPr="694C2A80">
        <w:rPr>
          <w:rFonts w:ascii="Segoe UI" w:eastAsia="Times New Roman" w:hAnsi="Segoe UI" w:cs="Segoe UI"/>
          <w:sz w:val="18"/>
          <w:szCs w:val="18"/>
        </w:rPr>
        <w:t>Ps will only be able to rely on institutions which are already operating under an established supervisory framework and subject to clear and harmonised prudential requirements.</w:t>
      </w:r>
    </w:p>
    <w:p w14:paraId="36FF8389" w14:textId="245D9198" w:rsidR="005E4A48" w:rsidRDefault="005E4A48" w:rsidP="005E4A48">
      <w:r>
        <w:t>&lt;ESMA_QUESTION_</w:t>
      </w:r>
      <w:r w:rsidR="0070781C">
        <w:t>COLL</w:t>
      </w:r>
      <w:r>
        <w:t>_</w:t>
      </w:r>
      <w:r w:rsidR="0070781C">
        <w:t>12</w:t>
      </w:r>
      <w:r>
        <w:t>&gt;</w:t>
      </w:r>
    </w:p>
    <w:p w14:paraId="1D796774" w14:textId="77777777" w:rsidR="005E4A48" w:rsidRDefault="005E4A48" w:rsidP="00693907"/>
    <w:p w14:paraId="3F18CDD5" w14:textId="07197B4B" w:rsidR="005E4A48" w:rsidRDefault="005E4A48" w:rsidP="005E4A48">
      <w:pPr>
        <w:pStyle w:val="Questionstyle"/>
      </w:pPr>
      <w:r w:rsidRPr="004344B8">
        <w:t xml:space="preserve">Do </w:t>
      </w:r>
      <w:r w:rsidR="00AC7E2D" w:rsidRPr="00AC7E2D">
        <w:t>you agree that the possibility for CCP to accept uncollateralised bank guarantees should be specified in Section two of Annex I of RTS 153/2013?</w:t>
      </w:r>
    </w:p>
    <w:p w14:paraId="359D42A4" w14:textId="5A277687" w:rsidR="005E4A48" w:rsidRDefault="005E4A48" w:rsidP="005E4A48">
      <w:r>
        <w:t>&lt;ESMA_QUESTION_</w:t>
      </w:r>
      <w:r w:rsidR="003618E4">
        <w:t>COLL</w:t>
      </w:r>
      <w:r>
        <w:t>_</w:t>
      </w:r>
      <w:r w:rsidR="003618E4">
        <w:t>13</w:t>
      </w:r>
      <w:r>
        <w:t>&gt;</w:t>
      </w:r>
    </w:p>
    <w:p w14:paraId="249DDE40" w14:textId="77777777" w:rsidR="00D06C22" w:rsidRDefault="00D06C22" w:rsidP="005E4A48">
      <w:pPr>
        <w:rPr>
          <w:rFonts w:ascii="Segoe UI" w:eastAsia="Times New Roman" w:hAnsi="Segoe UI" w:cs="Segoe UI"/>
          <w:sz w:val="18"/>
          <w:szCs w:val="18"/>
        </w:rPr>
      </w:pPr>
      <w:r w:rsidRPr="00526A30">
        <w:rPr>
          <w:rFonts w:ascii="Segoe UI" w:eastAsia="Times New Roman" w:hAnsi="Segoe UI" w:cs="Segoe UI"/>
          <w:sz w:val="18"/>
          <w:szCs w:val="18"/>
        </w:rPr>
        <w:t xml:space="preserve">We support clarifying in the RTS that uncollateralised bank guarantees may be accepted, consistent with the Level 1 text. </w:t>
      </w:r>
    </w:p>
    <w:p w14:paraId="733C2664" w14:textId="00890BFF" w:rsidR="005E4A48" w:rsidRDefault="005E4A48" w:rsidP="005E4A48">
      <w:r>
        <w:t>&lt;ESMA_QUESTION_</w:t>
      </w:r>
      <w:r w:rsidR="0070781C">
        <w:t>COLL</w:t>
      </w:r>
      <w:r>
        <w:t>_</w:t>
      </w:r>
      <w:r w:rsidR="0070781C">
        <w:t>13</w:t>
      </w:r>
      <w:r>
        <w:t>&gt;</w:t>
      </w:r>
    </w:p>
    <w:p w14:paraId="7AC8814A" w14:textId="77777777" w:rsidR="005E4A48" w:rsidRDefault="005E4A48" w:rsidP="00693907"/>
    <w:p w14:paraId="29F2BAAB" w14:textId="173468ED" w:rsidR="005E4A48" w:rsidRDefault="005E4A48" w:rsidP="005E4A48">
      <w:pPr>
        <w:pStyle w:val="Questionstyle"/>
      </w:pPr>
      <w:r w:rsidRPr="004344B8">
        <w:t xml:space="preserve">Do </w:t>
      </w:r>
      <w:r w:rsidR="002A08CC" w:rsidRPr="002A08CC">
        <w:t>you agree with ESMA that the conditions applicable to commercial bank guarantees should also be applicable to public bank guarantees? Please specify in your answer whether any addition condition should be considered.</w:t>
      </w:r>
    </w:p>
    <w:p w14:paraId="5FEFF315" w14:textId="077F0047" w:rsidR="005E4A48" w:rsidRDefault="005E4A48" w:rsidP="005E4A48">
      <w:r>
        <w:t>&lt;ESMA_QUESTION_</w:t>
      </w:r>
      <w:r w:rsidR="00313B2A">
        <w:t>COLL</w:t>
      </w:r>
      <w:r>
        <w:t>_</w:t>
      </w:r>
      <w:r w:rsidR="00313B2A">
        <w:t>14</w:t>
      </w:r>
      <w:r>
        <w:t>&gt;</w:t>
      </w:r>
    </w:p>
    <w:p w14:paraId="0DC83FF4" w14:textId="77777777" w:rsidR="00D06C22" w:rsidRDefault="00D06C22" w:rsidP="00D06C22">
      <w:pPr>
        <w:rPr>
          <w:rFonts w:ascii="Segoe UI" w:eastAsia="Times New Roman" w:hAnsi="Segoe UI" w:cs="Segoe UI"/>
          <w:sz w:val="18"/>
          <w:szCs w:val="18"/>
        </w:rPr>
      </w:pPr>
      <w:r w:rsidRPr="694C2A80">
        <w:rPr>
          <w:rFonts w:ascii="Segoe UI" w:eastAsia="Times New Roman" w:hAnsi="Segoe UI" w:cs="Segoe UI"/>
          <w:sz w:val="18"/>
          <w:szCs w:val="18"/>
        </w:rPr>
        <w:t>However, we would like to stress that the common baseline of requirements should also take specific public bank risks into account, as they differ from commercial banks in terms of their governance structures, legal basis and scope of permitted activities.</w:t>
      </w:r>
      <w:r>
        <w:rPr>
          <w:rFonts w:ascii="Segoe UI" w:eastAsia="Times New Roman" w:hAnsi="Segoe UI" w:cs="Segoe UI"/>
          <w:sz w:val="18"/>
          <w:szCs w:val="18"/>
        </w:rPr>
        <w:t xml:space="preserve"> Accordingly, we recommend further conditions for public bank guarantees regarding the legal enforceability of the guarantee under public law frameworks, the reliability and timeliness of payments and the availability of sufficient financial information to allow the CCP to perform a risk assessment.</w:t>
      </w:r>
    </w:p>
    <w:p w14:paraId="195B3B53" w14:textId="35E0DC42" w:rsidR="005E4A48" w:rsidRDefault="005E4A48" w:rsidP="005E4A48">
      <w:r>
        <w:t>&lt;ESMA_QUESTION_</w:t>
      </w:r>
      <w:r w:rsidR="00313B2A">
        <w:t>COLL</w:t>
      </w:r>
      <w:r>
        <w:t>_</w:t>
      </w:r>
      <w:r w:rsidR="00313B2A">
        <w:t>14</w:t>
      </w:r>
      <w:r>
        <w:t>&gt;</w:t>
      </w:r>
    </w:p>
    <w:p w14:paraId="53CE4543" w14:textId="77777777" w:rsidR="005E4A48" w:rsidRDefault="005E4A48" w:rsidP="00693907"/>
    <w:p w14:paraId="55038FDB" w14:textId="7ECBE4B4" w:rsidR="005E4A48" w:rsidRDefault="005E4A48" w:rsidP="005E4A48">
      <w:pPr>
        <w:pStyle w:val="Questionstyle"/>
      </w:pPr>
      <w:r w:rsidRPr="004344B8">
        <w:t>Do</w:t>
      </w:r>
      <w:r w:rsidR="001F57E9" w:rsidRPr="001F57E9">
        <w:t xml:space="preserve"> you agree with the proposed way to address the lack of definition of “public bank”?</w:t>
      </w:r>
      <w:r w:rsidR="001F57E9">
        <w:t xml:space="preserve"> </w:t>
      </w:r>
      <w:r w:rsidRPr="004344B8">
        <w:t xml:space="preserve"> </w:t>
      </w:r>
    </w:p>
    <w:p w14:paraId="04B2A90B" w14:textId="18F9E43B" w:rsidR="005E4A48" w:rsidRDefault="005E4A48" w:rsidP="005E4A48">
      <w:r>
        <w:t>&lt;ESMA_QUESTION_</w:t>
      </w:r>
      <w:r w:rsidR="00830677">
        <w:t>COLL</w:t>
      </w:r>
      <w:r>
        <w:t>_</w:t>
      </w:r>
      <w:r w:rsidR="00830677">
        <w:t>15</w:t>
      </w:r>
      <w:r>
        <w:t>&gt;</w:t>
      </w:r>
    </w:p>
    <w:p w14:paraId="6A0F2DB3" w14:textId="77777777" w:rsidR="00D06C22" w:rsidRPr="00526A30" w:rsidRDefault="00D06C22" w:rsidP="00D06C22">
      <w:pPr>
        <w:rPr>
          <w:rFonts w:ascii="Segoe UI" w:eastAsia="Times New Roman" w:hAnsi="Segoe UI" w:cs="Segoe UI"/>
          <w:sz w:val="18"/>
          <w:szCs w:val="18"/>
        </w:rPr>
      </w:pPr>
      <w:r>
        <w:rPr>
          <w:rFonts w:ascii="Segoe UI" w:eastAsia="Times New Roman" w:hAnsi="Segoe UI" w:cs="Segoe UI"/>
          <w:sz w:val="18"/>
          <w:szCs w:val="18"/>
        </w:rPr>
        <w:t>The WFE</w:t>
      </w:r>
      <w:r w:rsidRPr="00526A30">
        <w:rPr>
          <w:rFonts w:ascii="Segoe UI" w:eastAsia="Times New Roman" w:hAnsi="Segoe UI" w:cs="Segoe UI"/>
          <w:sz w:val="18"/>
          <w:szCs w:val="18"/>
        </w:rPr>
        <w:t xml:space="preserve"> broadly support</w:t>
      </w:r>
      <w:r>
        <w:rPr>
          <w:rFonts w:ascii="Segoe UI" w:eastAsia="Times New Roman" w:hAnsi="Segoe UI" w:cs="Segoe UI"/>
          <w:sz w:val="18"/>
          <w:szCs w:val="18"/>
        </w:rPr>
        <w:t>s</w:t>
      </w:r>
      <w:r w:rsidRPr="00526A30">
        <w:rPr>
          <w:rFonts w:ascii="Segoe UI" w:eastAsia="Times New Roman" w:hAnsi="Segoe UI" w:cs="Segoe UI"/>
          <w:sz w:val="18"/>
          <w:szCs w:val="18"/>
        </w:rPr>
        <w:t xml:space="preserve"> ESMA’s approach to defining public banks based on public ownership or control, excluding MDBs and central banks. </w:t>
      </w:r>
      <w:r w:rsidRPr="694C2A80">
        <w:rPr>
          <w:rFonts w:ascii="Segoe UI" w:eastAsia="Times New Roman" w:hAnsi="Segoe UI" w:cs="Segoe UI"/>
          <w:sz w:val="18"/>
          <w:szCs w:val="18"/>
        </w:rPr>
        <w:t>While the definition should primarily be clear and legally unambiguous, it is also important to include a reference to the heterogeneity of public banks, as their specific legal basis and ownership structures may significantly impact their risk profile and ultimately, the feasibility of their guarantees. Based on this, we also believe it is important for C</w:t>
      </w:r>
      <w:r>
        <w:rPr>
          <w:rFonts w:ascii="Segoe UI" w:eastAsia="Times New Roman" w:hAnsi="Segoe UI" w:cs="Segoe UI"/>
          <w:sz w:val="18"/>
          <w:szCs w:val="18"/>
        </w:rPr>
        <w:t>C</w:t>
      </w:r>
      <w:r w:rsidRPr="694C2A80">
        <w:rPr>
          <w:rFonts w:ascii="Segoe UI" w:eastAsia="Times New Roman" w:hAnsi="Segoe UI" w:cs="Segoe UI"/>
          <w:sz w:val="18"/>
          <w:szCs w:val="18"/>
        </w:rPr>
        <w:t>Ps to preserve the ability to internally assess</w:t>
      </w:r>
      <w:r>
        <w:rPr>
          <w:rFonts w:ascii="Segoe UI" w:eastAsia="Times New Roman" w:hAnsi="Segoe UI" w:cs="Segoe UI"/>
          <w:sz w:val="18"/>
          <w:szCs w:val="18"/>
        </w:rPr>
        <w:t xml:space="preserve"> </w:t>
      </w:r>
      <w:r w:rsidRPr="694C2A80">
        <w:rPr>
          <w:rFonts w:ascii="Segoe UI" w:eastAsia="Times New Roman" w:hAnsi="Segoe UI" w:cs="Segoe UI"/>
          <w:sz w:val="18"/>
          <w:szCs w:val="18"/>
        </w:rPr>
        <w:t>whether a specific public bank meets the requirements for accepting its guarantee as collateral.</w:t>
      </w:r>
    </w:p>
    <w:p w14:paraId="3C2CF56F" w14:textId="05A819D9" w:rsidR="005E4A48" w:rsidRDefault="005E4A48" w:rsidP="005E4A48">
      <w:r>
        <w:t>&lt;ESMA_QUESTION_</w:t>
      </w:r>
      <w:r w:rsidR="00830677">
        <w:t>COLL</w:t>
      </w:r>
      <w:r>
        <w:t>_</w:t>
      </w:r>
      <w:r w:rsidR="00830677">
        <w:t>15</w:t>
      </w:r>
      <w:r>
        <w:t>&gt;</w:t>
      </w:r>
    </w:p>
    <w:p w14:paraId="7946BE06" w14:textId="77777777" w:rsidR="005E4A48" w:rsidRDefault="005E4A48" w:rsidP="00693907"/>
    <w:p w14:paraId="072A90DC" w14:textId="0B8479CF" w:rsidR="005E4A48" w:rsidRDefault="005E4A48" w:rsidP="005E4A48">
      <w:pPr>
        <w:pStyle w:val="Questionstyle"/>
      </w:pPr>
      <w:r w:rsidRPr="004344B8">
        <w:t xml:space="preserve">Do </w:t>
      </w:r>
      <w:r w:rsidR="00827DAC" w:rsidRPr="00827DAC">
        <w:t>you agree with the proposed change concerning the conditions under which debt instruments can be considered highly liquid, bearing minimal credit and market risk (and hence considered as eligible financial instruments for the purpose of CCP investment policy)?</w:t>
      </w:r>
    </w:p>
    <w:p w14:paraId="0703E9DE" w14:textId="6C3C21CC" w:rsidR="005E4A48" w:rsidRDefault="005E4A48" w:rsidP="005E4A48">
      <w:r>
        <w:t>&lt;ESMA_QUESTION_</w:t>
      </w:r>
      <w:r w:rsidR="00830677">
        <w:t>COLL</w:t>
      </w:r>
      <w:r>
        <w:t>_</w:t>
      </w:r>
      <w:r w:rsidR="00830677">
        <w:t>16</w:t>
      </w:r>
      <w:r>
        <w:t>&gt;</w:t>
      </w:r>
    </w:p>
    <w:p w14:paraId="1AC3127A" w14:textId="77777777" w:rsidR="00D06C22" w:rsidRDefault="00D06C22" w:rsidP="00D06C22">
      <w:pPr>
        <w:rPr>
          <w:rFonts w:ascii="Segoe UI" w:eastAsia="Times New Roman" w:hAnsi="Segoe UI" w:cs="Segoe UI"/>
          <w:sz w:val="18"/>
          <w:szCs w:val="18"/>
        </w:rPr>
      </w:pPr>
      <w:r w:rsidRPr="00526A30">
        <w:rPr>
          <w:rFonts w:ascii="Segoe UI" w:eastAsia="Times New Roman" w:hAnsi="Segoe UI" w:cs="Segoe UI"/>
          <w:sz w:val="18"/>
          <w:szCs w:val="18"/>
        </w:rPr>
        <w:t>We support the inclusion of EU, BIS and IMF issuance or guarantees among instruments that may be considered highly liquid and minimal risk, subject to existing Annex II safeguards. This promotes prudent diversification consistent with Article 47 EMIR.</w:t>
      </w:r>
      <w:r>
        <w:rPr>
          <w:rFonts w:ascii="Segoe UI" w:eastAsia="Times New Roman" w:hAnsi="Segoe UI" w:cs="Segoe UI"/>
          <w:sz w:val="18"/>
          <w:szCs w:val="18"/>
        </w:rPr>
        <w:t xml:space="preserve"> </w:t>
      </w:r>
      <w:r w:rsidRPr="694C2A80">
        <w:rPr>
          <w:rFonts w:ascii="Segoe UI" w:eastAsia="Times New Roman" w:hAnsi="Segoe UI" w:cs="Segoe UI"/>
          <w:sz w:val="18"/>
          <w:szCs w:val="18"/>
        </w:rPr>
        <w:t>In addition, ESMA could use this opportunity to bring outdated</w:t>
      </w:r>
      <w:r>
        <w:rPr>
          <w:rFonts w:ascii="Segoe UI" w:eastAsia="Times New Roman" w:hAnsi="Segoe UI" w:cs="Segoe UI"/>
          <w:sz w:val="18"/>
          <w:szCs w:val="18"/>
        </w:rPr>
        <w:t xml:space="preserve"> CCP</w:t>
      </w:r>
      <w:r w:rsidRPr="694C2A80">
        <w:rPr>
          <w:rFonts w:ascii="Segoe UI" w:eastAsia="Times New Roman" w:hAnsi="Segoe UI" w:cs="Segoe UI"/>
          <w:sz w:val="18"/>
          <w:szCs w:val="18"/>
        </w:rPr>
        <w:t xml:space="preserve"> investment policy rules up to date. This could be done by implementing the following proposals, which reflect the currently evolving market conditions: </w:t>
      </w:r>
    </w:p>
    <w:p w14:paraId="48A892E9" w14:textId="77777777" w:rsidR="00D06C22" w:rsidRDefault="00D06C22" w:rsidP="00D06C22">
      <w:pPr>
        <w:rPr>
          <w:rFonts w:ascii="Segoe UI" w:eastAsia="Times New Roman" w:hAnsi="Segoe UI" w:cs="Segoe UI"/>
          <w:sz w:val="18"/>
          <w:szCs w:val="18"/>
        </w:rPr>
      </w:pPr>
    </w:p>
    <w:p w14:paraId="0618BE27" w14:textId="77777777" w:rsidR="00D06C22" w:rsidRDefault="00D06C22" w:rsidP="00D06C22">
      <w:pPr>
        <w:pStyle w:val="ListParagraph"/>
        <w:numPr>
          <w:ilvl w:val="0"/>
          <w:numId w:val="38"/>
        </w:numPr>
        <w:spacing w:after="160" w:line="259" w:lineRule="auto"/>
        <w:jc w:val="left"/>
        <w:rPr>
          <w:rFonts w:ascii="Segoe UI" w:eastAsia="Times New Roman" w:hAnsi="Segoe UI" w:cs="Segoe UI"/>
          <w:sz w:val="18"/>
          <w:szCs w:val="18"/>
        </w:rPr>
      </w:pPr>
      <w:r w:rsidRPr="694C2A80">
        <w:rPr>
          <w:rFonts w:ascii="Segoe UI" w:eastAsia="Times New Roman" w:hAnsi="Segoe UI" w:cs="Segoe UI"/>
          <w:sz w:val="18"/>
          <w:szCs w:val="18"/>
        </w:rPr>
        <w:lastRenderedPageBreak/>
        <w:t>Increasing C</w:t>
      </w:r>
      <w:r>
        <w:rPr>
          <w:rFonts w:ascii="Segoe UI" w:eastAsia="Times New Roman" w:hAnsi="Segoe UI" w:cs="Segoe UI"/>
          <w:sz w:val="18"/>
          <w:szCs w:val="18"/>
        </w:rPr>
        <w:t>C</w:t>
      </w:r>
      <w:r w:rsidRPr="694C2A80">
        <w:rPr>
          <w:rFonts w:ascii="Segoe UI" w:eastAsia="Times New Roman" w:hAnsi="Segoe UI" w:cs="Segoe UI"/>
          <w:sz w:val="18"/>
          <w:szCs w:val="18"/>
        </w:rPr>
        <w:t xml:space="preserve">P flexibility by extending the required average time-to-maturity of their portfolios </w:t>
      </w:r>
    </w:p>
    <w:p w14:paraId="7E4398E9" w14:textId="77777777" w:rsidR="00D06C22" w:rsidRDefault="00D06C22" w:rsidP="00D06C22">
      <w:pPr>
        <w:pStyle w:val="ListParagraph"/>
        <w:numPr>
          <w:ilvl w:val="0"/>
          <w:numId w:val="38"/>
        </w:numPr>
        <w:spacing w:after="160" w:line="259" w:lineRule="auto"/>
        <w:jc w:val="left"/>
        <w:rPr>
          <w:rFonts w:ascii="Segoe UI" w:eastAsia="Times New Roman" w:hAnsi="Segoe UI" w:cs="Segoe UI"/>
          <w:sz w:val="18"/>
          <w:szCs w:val="18"/>
        </w:rPr>
      </w:pPr>
      <w:r w:rsidRPr="0F17FB44">
        <w:rPr>
          <w:rFonts w:ascii="Segoe UI" w:eastAsia="Times New Roman" w:hAnsi="Segoe UI" w:cs="Segoe UI"/>
          <w:sz w:val="18"/>
          <w:szCs w:val="18"/>
        </w:rPr>
        <w:t>Amending Art. 45(2), since requiring CCPs to collateralize 95% of overnight cash held with institutions other than central banks may force CCPs into withdrawing their central bank deposits to counterbalance unsecured investments</w:t>
      </w:r>
      <w:r>
        <w:rPr>
          <w:rFonts w:ascii="Segoe UI" w:eastAsia="Times New Roman" w:hAnsi="Segoe UI" w:cs="Segoe UI"/>
          <w:sz w:val="18"/>
          <w:szCs w:val="18"/>
        </w:rPr>
        <w:t xml:space="preserve"> </w:t>
      </w:r>
      <w:r w:rsidRPr="6274A6AB">
        <w:rPr>
          <w:rFonts w:ascii="Segoe UI" w:eastAsia="Times New Roman" w:hAnsi="Segoe UI" w:cs="Segoe UI"/>
          <w:sz w:val="18"/>
          <w:szCs w:val="18"/>
        </w:rPr>
        <w:t xml:space="preserve">in other </w:t>
      </w:r>
      <w:r>
        <w:rPr>
          <w:rFonts w:ascii="Segoe UI" w:eastAsia="Times New Roman" w:hAnsi="Segoe UI" w:cs="Segoe UI"/>
          <w:sz w:val="18"/>
          <w:szCs w:val="18"/>
        </w:rPr>
        <w:t>currencies</w:t>
      </w:r>
      <w:r w:rsidRPr="0F17FB44">
        <w:rPr>
          <w:rFonts w:ascii="Segoe UI" w:eastAsia="Times New Roman" w:hAnsi="Segoe UI" w:cs="Segoe UI"/>
          <w:sz w:val="18"/>
          <w:szCs w:val="18"/>
        </w:rPr>
        <w:t>. This effectively undermines security by shifting funds away from the most secure form of deposits (central bank deposits).</w:t>
      </w:r>
    </w:p>
    <w:p w14:paraId="024E0C13" w14:textId="77777777" w:rsidR="00D06C22" w:rsidRDefault="00D06C22" w:rsidP="00D06C22">
      <w:pPr>
        <w:pStyle w:val="ListParagraph"/>
        <w:numPr>
          <w:ilvl w:val="0"/>
          <w:numId w:val="38"/>
        </w:numPr>
        <w:spacing w:after="160" w:line="259" w:lineRule="auto"/>
        <w:jc w:val="left"/>
        <w:rPr>
          <w:rFonts w:ascii="Segoe UI" w:eastAsia="Times New Roman" w:hAnsi="Segoe UI" w:cs="Segoe UI"/>
          <w:sz w:val="18"/>
          <w:szCs w:val="18"/>
        </w:rPr>
      </w:pPr>
      <w:r w:rsidRPr="694C2A80">
        <w:rPr>
          <w:rFonts w:ascii="Segoe UI" w:eastAsia="Times New Roman" w:hAnsi="Segoe UI" w:cs="Segoe UI"/>
          <w:sz w:val="18"/>
          <w:szCs w:val="18"/>
        </w:rPr>
        <w:t>Including derivative contracts to the list of permissible financial instruments which C</w:t>
      </w:r>
      <w:r>
        <w:rPr>
          <w:rFonts w:ascii="Segoe UI" w:eastAsia="Times New Roman" w:hAnsi="Segoe UI" w:cs="Segoe UI"/>
          <w:sz w:val="18"/>
          <w:szCs w:val="18"/>
        </w:rPr>
        <w:t>C</w:t>
      </w:r>
      <w:r w:rsidRPr="694C2A80">
        <w:rPr>
          <w:rFonts w:ascii="Segoe UI" w:eastAsia="Times New Roman" w:hAnsi="Segoe UI" w:cs="Segoe UI"/>
          <w:sz w:val="18"/>
          <w:szCs w:val="18"/>
        </w:rPr>
        <w:t>Ps can use to hedge interest rate risks,</w:t>
      </w:r>
    </w:p>
    <w:p w14:paraId="0731D7E6" w14:textId="77777777" w:rsidR="00D06C22" w:rsidRDefault="00D06C22" w:rsidP="00D06C22">
      <w:pPr>
        <w:pStyle w:val="ListParagraph"/>
        <w:numPr>
          <w:ilvl w:val="0"/>
          <w:numId w:val="38"/>
        </w:numPr>
        <w:spacing w:after="160" w:line="259" w:lineRule="auto"/>
        <w:jc w:val="left"/>
        <w:rPr>
          <w:rFonts w:ascii="Segoe UI" w:eastAsia="Times New Roman" w:hAnsi="Segoe UI" w:cs="Segoe UI"/>
          <w:sz w:val="18"/>
          <w:szCs w:val="18"/>
        </w:rPr>
      </w:pPr>
      <w:r w:rsidRPr="694C2A80">
        <w:rPr>
          <w:rFonts w:ascii="Segoe UI" w:eastAsia="Times New Roman" w:hAnsi="Segoe UI" w:cs="Segoe UI"/>
          <w:sz w:val="18"/>
          <w:szCs w:val="18"/>
        </w:rPr>
        <w:t>Adding state bodies other than central banks as entities falling under highly secured arrangements for the deposit of financial instruments and cash, and</w:t>
      </w:r>
    </w:p>
    <w:p w14:paraId="1E343F5E" w14:textId="77777777" w:rsidR="00D06C22" w:rsidRDefault="00D06C22" w:rsidP="00D06C22">
      <w:pPr>
        <w:pStyle w:val="ListParagraph"/>
        <w:numPr>
          <w:ilvl w:val="0"/>
          <w:numId w:val="38"/>
        </w:numPr>
        <w:spacing w:after="160" w:line="259" w:lineRule="auto"/>
        <w:jc w:val="left"/>
        <w:rPr>
          <w:rFonts w:ascii="Segoe UI" w:eastAsia="Times New Roman" w:hAnsi="Segoe UI" w:cs="Segoe UI"/>
          <w:sz w:val="18"/>
          <w:szCs w:val="18"/>
        </w:rPr>
      </w:pPr>
      <w:r w:rsidRPr="694C2A80">
        <w:rPr>
          <w:rFonts w:ascii="Segoe UI" w:eastAsia="Times New Roman" w:hAnsi="Segoe UI" w:cs="Segoe UI"/>
          <w:sz w:val="18"/>
          <w:szCs w:val="18"/>
        </w:rPr>
        <w:t>Adding a clarification regarding a C</w:t>
      </w:r>
      <w:r>
        <w:rPr>
          <w:rFonts w:ascii="Segoe UI" w:eastAsia="Times New Roman" w:hAnsi="Segoe UI" w:cs="Segoe UI"/>
          <w:sz w:val="18"/>
          <w:szCs w:val="18"/>
        </w:rPr>
        <w:t>C</w:t>
      </w:r>
      <w:r w:rsidRPr="694C2A80">
        <w:rPr>
          <w:rFonts w:ascii="Segoe UI" w:eastAsia="Times New Roman" w:hAnsi="Segoe UI" w:cs="Segoe UI"/>
          <w:sz w:val="18"/>
          <w:szCs w:val="18"/>
        </w:rPr>
        <w:t>P’s ability to invest in short-dated financial instruments such as covered bonds and commercial papers</w:t>
      </w:r>
      <w:r>
        <w:rPr>
          <w:rFonts w:ascii="Segoe UI" w:eastAsia="Times New Roman" w:hAnsi="Segoe UI" w:cs="Segoe UI"/>
          <w:sz w:val="18"/>
          <w:szCs w:val="18"/>
        </w:rPr>
        <w:t xml:space="preserve"> </w:t>
      </w:r>
      <w:proofErr w:type="gramStart"/>
      <w:r>
        <w:rPr>
          <w:rFonts w:ascii="Segoe UI" w:eastAsia="Times New Roman" w:hAnsi="Segoe UI" w:cs="Segoe UI"/>
          <w:sz w:val="18"/>
          <w:szCs w:val="18"/>
        </w:rPr>
        <w:t>as long as</w:t>
      </w:r>
      <w:proofErr w:type="gramEnd"/>
      <w:r>
        <w:rPr>
          <w:rFonts w:ascii="Segoe UI" w:eastAsia="Times New Roman" w:hAnsi="Segoe UI" w:cs="Segoe UI"/>
          <w:sz w:val="18"/>
          <w:szCs w:val="18"/>
        </w:rPr>
        <w:t xml:space="preserve"> they fulfil the existing conditions</w:t>
      </w:r>
      <w:r w:rsidRPr="694C2A80">
        <w:rPr>
          <w:rFonts w:ascii="Segoe UI" w:eastAsia="Times New Roman" w:hAnsi="Segoe UI" w:cs="Segoe UI"/>
          <w:sz w:val="18"/>
          <w:szCs w:val="18"/>
        </w:rPr>
        <w:t>.</w:t>
      </w:r>
    </w:p>
    <w:p w14:paraId="0B4C738C" w14:textId="6290A124" w:rsidR="005E4A48" w:rsidRDefault="005E4A48" w:rsidP="005E4A48">
      <w:r>
        <w:t>&lt;ESMA_QUESTION_</w:t>
      </w:r>
      <w:r w:rsidR="00830677">
        <w:t>COLL</w:t>
      </w:r>
      <w:r>
        <w:t>_</w:t>
      </w:r>
      <w:r w:rsidR="00830677">
        <w:t>16</w:t>
      </w:r>
      <w:r>
        <w:t>&gt;</w:t>
      </w:r>
    </w:p>
    <w:p w14:paraId="10DA205F" w14:textId="77777777" w:rsidR="005E4A48" w:rsidRDefault="005E4A48" w:rsidP="00693907"/>
    <w:p w14:paraId="148436C5" w14:textId="4EBE401D" w:rsidR="005E4A48" w:rsidRDefault="005E4A48" w:rsidP="005E4A48">
      <w:pPr>
        <w:pStyle w:val="Questionstyle"/>
      </w:pPr>
      <w:r w:rsidRPr="004344B8">
        <w:t xml:space="preserve">Do </w:t>
      </w:r>
      <w:r w:rsidR="009D0047" w:rsidRPr="009D0047">
        <w:t>you agree with the proposed change concerning the highly secure arrangements for the deposit of financial instruments posted as margins or as default fund contributions?</w:t>
      </w:r>
    </w:p>
    <w:p w14:paraId="2F35E308" w14:textId="1A75FCCA" w:rsidR="005E4A48" w:rsidRDefault="005E4A48" w:rsidP="005E4A48">
      <w:r>
        <w:t>&lt;ESMA_QUESTION_</w:t>
      </w:r>
      <w:r w:rsidR="0072300F">
        <w:t>COLL</w:t>
      </w:r>
      <w:r>
        <w:t>_</w:t>
      </w:r>
      <w:r w:rsidR="0072300F">
        <w:t>17</w:t>
      </w:r>
      <w:r>
        <w:t>&gt;</w:t>
      </w:r>
    </w:p>
    <w:p w14:paraId="6294B3DF" w14:textId="77777777" w:rsidR="00D06C22" w:rsidRPr="00526A30" w:rsidRDefault="00D06C22" w:rsidP="00D06C22">
      <w:pPr>
        <w:rPr>
          <w:rFonts w:ascii="Segoe UI" w:eastAsia="Times New Roman" w:hAnsi="Segoe UI" w:cs="Segoe UI"/>
          <w:sz w:val="18"/>
          <w:szCs w:val="18"/>
        </w:rPr>
      </w:pPr>
      <w:r w:rsidRPr="00526A30">
        <w:rPr>
          <w:rFonts w:ascii="Segoe UI" w:eastAsia="Times New Roman" w:hAnsi="Segoe UI" w:cs="Segoe UI"/>
          <w:sz w:val="18"/>
          <w:szCs w:val="18"/>
        </w:rPr>
        <w:t xml:space="preserve">We support the proposal permitting deposit of emission allowances in the Union Registry where such allowances are accepted as collateral and cannot be held in a securities settlement system. </w:t>
      </w:r>
    </w:p>
    <w:p w14:paraId="3B14B204" w14:textId="18ED8F55" w:rsidR="005E4A48" w:rsidRDefault="005E4A48" w:rsidP="005E4A48">
      <w:r>
        <w:t>&lt;ESMA_QUESTION_</w:t>
      </w:r>
      <w:r w:rsidR="0072300F">
        <w:t>COLL</w:t>
      </w:r>
      <w:r>
        <w:t>_</w:t>
      </w:r>
      <w:r w:rsidR="0072300F">
        <w:t>17</w:t>
      </w:r>
      <w:r>
        <w:t>&gt;</w:t>
      </w:r>
    </w:p>
    <w:p w14:paraId="1575BAA1" w14:textId="77777777" w:rsidR="005E4A48" w:rsidRDefault="005E4A48" w:rsidP="00693907"/>
    <w:p w14:paraId="237BFC19" w14:textId="77777777" w:rsidR="00693907" w:rsidRDefault="00693907" w:rsidP="00693907"/>
    <w:p w14:paraId="1EC367CD" w14:textId="67C1E71A" w:rsidR="00E619AB" w:rsidRPr="00B25E0D" w:rsidRDefault="00E619AB" w:rsidP="00693907"/>
    <w:sectPr w:rsidR="00E619AB" w:rsidRPr="00B25E0D" w:rsidSect="00A8728B">
      <w:headerReference w:type="default" r:id="rId27"/>
      <w:footerReference w:type="default" r:id="rId2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3184" w14:textId="77777777" w:rsidR="004B0C3C" w:rsidRDefault="004B0C3C" w:rsidP="00F716D4">
      <w:r>
        <w:separator/>
      </w:r>
    </w:p>
    <w:p w14:paraId="31E49648" w14:textId="77777777" w:rsidR="004B0C3C" w:rsidRDefault="004B0C3C" w:rsidP="00F716D4"/>
  </w:endnote>
  <w:endnote w:type="continuationSeparator" w:id="0">
    <w:p w14:paraId="4B6465A4" w14:textId="77777777" w:rsidR="004B0C3C" w:rsidRDefault="004B0C3C" w:rsidP="00F716D4">
      <w:r>
        <w:continuationSeparator/>
      </w:r>
    </w:p>
    <w:p w14:paraId="659C186C" w14:textId="77777777" w:rsidR="004B0C3C" w:rsidRDefault="004B0C3C" w:rsidP="00F716D4"/>
  </w:endnote>
  <w:endnote w:type="continuationNotice" w:id="1">
    <w:p w14:paraId="32B156A2" w14:textId="77777777" w:rsidR="004B0C3C" w:rsidRDefault="004B0C3C"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panose1 w:val="020B0600040502020204"/>
    <w:charset w:val="80"/>
    <w:family w:val="swiss"/>
    <w:pitch w:val="default"/>
  </w:font>
  <w:font w:name="EUAlbertina">
    <w:altName w:val="Cambria"/>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iberation Serif">
    <w:altName w:val="Times New Roman"/>
    <w:panose1 w:val="020B0604020202020204"/>
    <w:charset w:val="00"/>
    <w:family w:val="roman"/>
    <w:pitch w:val="variable"/>
  </w:font>
  <w:font w:name="Myriad Pro Light">
    <w:altName w:val="Corbel"/>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3ADDE" w14:textId="77777777" w:rsidR="004B0C3C" w:rsidRDefault="004B0C3C" w:rsidP="00F716D4">
      <w:r>
        <w:separator/>
      </w:r>
    </w:p>
    <w:p w14:paraId="22921CCE" w14:textId="77777777" w:rsidR="004B0C3C" w:rsidRDefault="004B0C3C" w:rsidP="00F716D4"/>
  </w:footnote>
  <w:footnote w:type="continuationSeparator" w:id="0">
    <w:p w14:paraId="5A670470" w14:textId="77777777" w:rsidR="004B0C3C" w:rsidRDefault="004B0C3C" w:rsidP="00F716D4">
      <w:r>
        <w:continuationSeparator/>
      </w:r>
    </w:p>
    <w:p w14:paraId="3D2227E9" w14:textId="77777777" w:rsidR="004B0C3C" w:rsidRDefault="004B0C3C" w:rsidP="00F716D4"/>
  </w:footnote>
  <w:footnote w:type="continuationNotice" w:id="1">
    <w:p w14:paraId="61C2DE81" w14:textId="77777777" w:rsidR="004B0C3C" w:rsidRDefault="004B0C3C"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00CFC632" w:rsidR="004E60D2" w:rsidRPr="004E058E" w:rsidRDefault="004E60D2" w:rsidP="004E60D2">
    <w:pPr>
      <w:spacing w:after="0"/>
      <w:jc w:val="right"/>
      <w:rPr>
        <w:rStyle w:val="normaltextrun"/>
        <w:color w:val="001B4F"/>
        <w:sz w:val="16"/>
        <w:szCs w:val="16"/>
        <w:shd w:val="clear" w:color="auto" w:fill="FFFFFF"/>
      </w:rPr>
    </w:pPr>
    <w:r w:rsidRPr="004E058E">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21832">
      <w:rPr>
        <w:rStyle w:val="normaltextrun"/>
        <w:color w:val="001B4F"/>
        <w:sz w:val="16"/>
        <w:szCs w:val="16"/>
        <w:shd w:val="clear" w:color="auto" w:fill="FFFFFF"/>
      </w:rPr>
      <w:t>23 February 2026</w:t>
    </w:r>
  </w:p>
  <w:p w14:paraId="4AF05B1F" w14:textId="12B51104" w:rsidR="004E60D2" w:rsidRDefault="004E60D2" w:rsidP="00621832">
    <w:pPr>
      <w:jc w:val="right"/>
    </w:pPr>
    <w:r w:rsidRPr="00A13F61">
      <w:rPr>
        <w:rStyle w:val="normaltextrun"/>
        <w:color w:val="001B4F"/>
        <w:sz w:val="16"/>
        <w:szCs w:val="16"/>
        <w:shd w:val="clear" w:color="auto" w:fill="FFFFFF"/>
      </w:rPr>
      <w:t>ESMA</w:t>
    </w:r>
    <w:r w:rsidR="00A13F61" w:rsidRPr="00A13F61">
      <w:rPr>
        <w:rStyle w:val="normaltextrun"/>
        <w:color w:val="001B4F"/>
        <w:sz w:val="16"/>
        <w:szCs w:val="16"/>
        <w:shd w:val="clear" w:color="auto" w:fill="FFFFFF"/>
      </w:rPr>
      <w:t>91-1505572268-4723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5E3539"/>
    <w:multiLevelType w:val="multilevel"/>
    <w:tmpl w:val="FB20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DBBB0FB"/>
    <w:multiLevelType w:val="hybridMultilevel"/>
    <w:tmpl w:val="A7946F68"/>
    <w:lvl w:ilvl="0" w:tplc="7FCE75F4">
      <w:start w:val="1"/>
      <w:numFmt w:val="bullet"/>
      <w:lvlText w:val=""/>
      <w:lvlJc w:val="left"/>
      <w:pPr>
        <w:ind w:left="720" w:hanging="360"/>
      </w:pPr>
      <w:rPr>
        <w:rFonts w:ascii="Symbol" w:hAnsi="Symbol" w:hint="default"/>
      </w:rPr>
    </w:lvl>
    <w:lvl w:ilvl="1" w:tplc="79368006">
      <w:start w:val="1"/>
      <w:numFmt w:val="bullet"/>
      <w:lvlText w:val="o"/>
      <w:lvlJc w:val="left"/>
      <w:pPr>
        <w:ind w:left="1440" w:hanging="360"/>
      </w:pPr>
      <w:rPr>
        <w:rFonts w:ascii="Courier New" w:hAnsi="Courier New" w:hint="default"/>
      </w:rPr>
    </w:lvl>
    <w:lvl w:ilvl="2" w:tplc="F1260068">
      <w:start w:val="1"/>
      <w:numFmt w:val="bullet"/>
      <w:lvlText w:val=""/>
      <w:lvlJc w:val="left"/>
      <w:pPr>
        <w:ind w:left="2160" w:hanging="360"/>
      </w:pPr>
      <w:rPr>
        <w:rFonts w:ascii="Wingdings" w:hAnsi="Wingdings" w:hint="default"/>
      </w:rPr>
    </w:lvl>
    <w:lvl w:ilvl="3" w:tplc="FADEE118">
      <w:start w:val="1"/>
      <w:numFmt w:val="bullet"/>
      <w:lvlText w:val=""/>
      <w:lvlJc w:val="left"/>
      <w:pPr>
        <w:ind w:left="2880" w:hanging="360"/>
      </w:pPr>
      <w:rPr>
        <w:rFonts w:ascii="Symbol" w:hAnsi="Symbol" w:hint="default"/>
      </w:rPr>
    </w:lvl>
    <w:lvl w:ilvl="4" w:tplc="F670F21C">
      <w:start w:val="1"/>
      <w:numFmt w:val="bullet"/>
      <w:lvlText w:val="o"/>
      <w:lvlJc w:val="left"/>
      <w:pPr>
        <w:ind w:left="3600" w:hanging="360"/>
      </w:pPr>
      <w:rPr>
        <w:rFonts w:ascii="Courier New" w:hAnsi="Courier New" w:hint="default"/>
      </w:rPr>
    </w:lvl>
    <w:lvl w:ilvl="5" w:tplc="CCB4B7B2">
      <w:start w:val="1"/>
      <w:numFmt w:val="bullet"/>
      <w:lvlText w:val=""/>
      <w:lvlJc w:val="left"/>
      <w:pPr>
        <w:ind w:left="4320" w:hanging="360"/>
      </w:pPr>
      <w:rPr>
        <w:rFonts w:ascii="Wingdings" w:hAnsi="Wingdings" w:hint="default"/>
      </w:rPr>
    </w:lvl>
    <w:lvl w:ilvl="6" w:tplc="B2A4CD4E">
      <w:start w:val="1"/>
      <w:numFmt w:val="bullet"/>
      <w:lvlText w:val=""/>
      <w:lvlJc w:val="left"/>
      <w:pPr>
        <w:ind w:left="5040" w:hanging="360"/>
      </w:pPr>
      <w:rPr>
        <w:rFonts w:ascii="Symbol" w:hAnsi="Symbol" w:hint="default"/>
      </w:rPr>
    </w:lvl>
    <w:lvl w:ilvl="7" w:tplc="D328598C">
      <w:start w:val="1"/>
      <w:numFmt w:val="bullet"/>
      <w:lvlText w:val="o"/>
      <w:lvlJc w:val="left"/>
      <w:pPr>
        <w:ind w:left="5760" w:hanging="360"/>
      </w:pPr>
      <w:rPr>
        <w:rFonts w:ascii="Courier New" w:hAnsi="Courier New" w:hint="default"/>
      </w:rPr>
    </w:lvl>
    <w:lvl w:ilvl="8" w:tplc="E2FC9282">
      <w:start w:val="1"/>
      <w:numFmt w:val="bullet"/>
      <w:lvlText w:val=""/>
      <w:lvlJc w:val="left"/>
      <w:pPr>
        <w:ind w:left="6480" w:hanging="360"/>
      </w:pPr>
      <w:rPr>
        <w:rFonts w:ascii="Wingdings" w:hAnsi="Wingdings"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10"/>
  </w:num>
  <w:num w:numId="4" w16cid:durableId="1881627233">
    <w:abstractNumId w:val="23"/>
  </w:num>
  <w:num w:numId="5" w16cid:durableId="208225584">
    <w:abstractNumId w:val="0"/>
  </w:num>
  <w:num w:numId="6" w16cid:durableId="1787233265">
    <w:abstractNumId w:val="4"/>
  </w:num>
  <w:num w:numId="7"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29"/>
  </w:num>
  <w:num w:numId="13" w16cid:durableId="1879658227">
    <w:abstractNumId w:val="22"/>
  </w:num>
  <w:num w:numId="14" w16cid:durableId="1495758855">
    <w:abstractNumId w:val="9"/>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5"/>
  </w:num>
  <w:num w:numId="20" w16cid:durableId="1805388212">
    <w:abstractNumId w:val="35"/>
  </w:num>
  <w:num w:numId="21" w16cid:durableId="538709007">
    <w:abstractNumId w:val="24"/>
  </w:num>
  <w:num w:numId="22" w16cid:durableId="104540172">
    <w:abstractNumId w:val="8"/>
  </w:num>
  <w:num w:numId="23" w16cid:durableId="1824349076">
    <w:abstractNumId w:val="28"/>
  </w:num>
  <w:num w:numId="24" w16cid:durableId="672032853">
    <w:abstractNumId w:val="27"/>
  </w:num>
  <w:num w:numId="25" w16cid:durableId="48917541">
    <w:abstractNumId w:val="19"/>
  </w:num>
  <w:num w:numId="26" w16cid:durableId="978925443">
    <w:abstractNumId w:val="31"/>
  </w:num>
  <w:num w:numId="27" w16cid:durableId="1036613928">
    <w:abstractNumId w:val="37"/>
  </w:num>
  <w:num w:numId="28" w16cid:durableId="872039349">
    <w:abstractNumId w:val="6"/>
  </w:num>
  <w:num w:numId="29" w16cid:durableId="924530660">
    <w:abstractNumId w:val="3"/>
  </w:num>
  <w:num w:numId="30" w16cid:durableId="419180233">
    <w:abstractNumId w:val="21"/>
  </w:num>
  <w:num w:numId="31" w16cid:durableId="276761337">
    <w:abstractNumId w:val="20"/>
  </w:num>
  <w:num w:numId="32" w16cid:durableId="1166238383">
    <w:abstractNumId w:val="34"/>
  </w:num>
  <w:num w:numId="33" w16cid:durableId="2076850202">
    <w:abstractNumId w:val="33"/>
  </w:num>
  <w:num w:numId="34" w16cid:durableId="469176496">
    <w:abstractNumId w:val="11"/>
  </w:num>
  <w:num w:numId="35" w16cid:durableId="674843309">
    <w:abstractNumId w:val="17"/>
  </w:num>
  <w:num w:numId="36" w16cid:durableId="1954971501">
    <w:abstractNumId w:val="38"/>
  </w:num>
  <w:num w:numId="37" w16cid:durableId="867331710">
    <w:abstractNumId w:val="2"/>
  </w:num>
  <w:num w:numId="38" w16cid:durableId="15083091">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1DBA"/>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4D96"/>
    <w:rsid w:val="00045CA6"/>
    <w:rsid w:val="000463A6"/>
    <w:rsid w:val="00046CC9"/>
    <w:rsid w:val="00046E91"/>
    <w:rsid w:val="000502FE"/>
    <w:rsid w:val="0005126D"/>
    <w:rsid w:val="00051992"/>
    <w:rsid w:val="00051E9A"/>
    <w:rsid w:val="000521A7"/>
    <w:rsid w:val="00052F47"/>
    <w:rsid w:val="0005345B"/>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FED"/>
    <w:rsid w:val="000A43CC"/>
    <w:rsid w:val="000A7314"/>
    <w:rsid w:val="000A7B53"/>
    <w:rsid w:val="000A7B64"/>
    <w:rsid w:val="000B275C"/>
    <w:rsid w:val="000B2C3D"/>
    <w:rsid w:val="000B55C0"/>
    <w:rsid w:val="000B5DF2"/>
    <w:rsid w:val="000C06C9"/>
    <w:rsid w:val="000C1917"/>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967"/>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1142"/>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3526"/>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57E9"/>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8C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497F"/>
    <w:rsid w:val="002C53AA"/>
    <w:rsid w:val="002C5B2D"/>
    <w:rsid w:val="002C6AF9"/>
    <w:rsid w:val="002C7DFC"/>
    <w:rsid w:val="002D08B8"/>
    <w:rsid w:val="002D14F3"/>
    <w:rsid w:val="002D16E4"/>
    <w:rsid w:val="002D2D9F"/>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B2A"/>
    <w:rsid w:val="00313F3D"/>
    <w:rsid w:val="00314013"/>
    <w:rsid w:val="00314945"/>
    <w:rsid w:val="00315389"/>
    <w:rsid w:val="00315746"/>
    <w:rsid w:val="003157BE"/>
    <w:rsid w:val="00315E96"/>
    <w:rsid w:val="00316E7D"/>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0CE0"/>
    <w:rsid w:val="003522B2"/>
    <w:rsid w:val="0035455E"/>
    <w:rsid w:val="00354A6F"/>
    <w:rsid w:val="00354B48"/>
    <w:rsid w:val="00355789"/>
    <w:rsid w:val="003609B6"/>
    <w:rsid w:val="00361119"/>
    <w:rsid w:val="003618E4"/>
    <w:rsid w:val="0036538D"/>
    <w:rsid w:val="00365D12"/>
    <w:rsid w:val="00366A11"/>
    <w:rsid w:val="00366E20"/>
    <w:rsid w:val="0037018D"/>
    <w:rsid w:val="00372299"/>
    <w:rsid w:val="00372F02"/>
    <w:rsid w:val="00373729"/>
    <w:rsid w:val="00373C91"/>
    <w:rsid w:val="0037419B"/>
    <w:rsid w:val="003748F0"/>
    <w:rsid w:val="003755C6"/>
    <w:rsid w:val="00375AEF"/>
    <w:rsid w:val="00376367"/>
    <w:rsid w:val="00376B02"/>
    <w:rsid w:val="0037733A"/>
    <w:rsid w:val="003776DC"/>
    <w:rsid w:val="003779C1"/>
    <w:rsid w:val="00380FEC"/>
    <w:rsid w:val="00381226"/>
    <w:rsid w:val="00381B1B"/>
    <w:rsid w:val="00381FF6"/>
    <w:rsid w:val="0038241C"/>
    <w:rsid w:val="00383D7D"/>
    <w:rsid w:val="00384CCE"/>
    <w:rsid w:val="003865E5"/>
    <w:rsid w:val="003926C1"/>
    <w:rsid w:val="00392900"/>
    <w:rsid w:val="00393357"/>
    <w:rsid w:val="00395008"/>
    <w:rsid w:val="00395E7B"/>
    <w:rsid w:val="00395F4C"/>
    <w:rsid w:val="003A00A8"/>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141E"/>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38A"/>
    <w:rsid w:val="0043173B"/>
    <w:rsid w:val="00431B0A"/>
    <w:rsid w:val="00431DA4"/>
    <w:rsid w:val="00432A91"/>
    <w:rsid w:val="004332A4"/>
    <w:rsid w:val="004344B8"/>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41DE"/>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C3C"/>
    <w:rsid w:val="004B0F1C"/>
    <w:rsid w:val="004B1E61"/>
    <w:rsid w:val="004B21AB"/>
    <w:rsid w:val="004B3CF5"/>
    <w:rsid w:val="004B59E0"/>
    <w:rsid w:val="004B667B"/>
    <w:rsid w:val="004B71C7"/>
    <w:rsid w:val="004C03AA"/>
    <w:rsid w:val="004C0B9A"/>
    <w:rsid w:val="004C12DB"/>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58E"/>
    <w:rsid w:val="004E0A28"/>
    <w:rsid w:val="004E1A0F"/>
    <w:rsid w:val="004E2E89"/>
    <w:rsid w:val="004E33C2"/>
    <w:rsid w:val="004E3B9A"/>
    <w:rsid w:val="004E49B0"/>
    <w:rsid w:val="004E60D2"/>
    <w:rsid w:val="004E62DE"/>
    <w:rsid w:val="004E6B05"/>
    <w:rsid w:val="004E76A1"/>
    <w:rsid w:val="004F05DE"/>
    <w:rsid w:val="004F1A78"/>
    <w:rsid w:val="004F6376"/>
    <w:rsid w:val="004F6A93"/>
    <w:rsid w:val="004F6F14"/>
    <w:rsid w:val="004F728D"/>
    <w:rsid w:val="004F76D9"/>
    <w:rsid w:val="004F79A6"/>
    <w:rsid w:val="00501BF5"/>
    <w:rsid w:val="00501D8B"/>
    <w:rsid w:val="00502F7C"/>
    <w:rsid w:val="005039EC"/>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8"/>
    <w:rsid w:val="005424BC"/>
    <w:rsid w:val="00542A28"/>
    <w:rsid w:val="005441D4"/>
    <w:rsid w:val="00545B8D"/>
    <w:rsid w:val="0054672D"/>
    <w:rsid w:val="00547728"/>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1535"/>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A48"/>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832"/>
    <w:rsid w:val="00621E1F"/>
    <w:rsid w:val="006228B2"/>
    <w:rsid w:val="006228E1"/>
    <w:rsid w:val="00622E32"/>
    <w:rsid w:val="00623688"/>
    <w:rsid w:val="006247E0"/>
    <w:rsid w:val="00625ABA"/>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15DF"/>
    <w:rsid w:val="00683920"/>
    <w:rsid w:val="00685147"/>
    <w:rsid w:val="00685653"/>
    <w:rsid w:val="0068590D"/>
    <w:rsid w:val="00685A89"/>
    <w:rsid w:val="006861B3"/>
    <w:rsid w:val="00686FA2"/>
    <w:rsid w:val="006870C5"/>
    <w:rsid w:val="006901CE"/>
    <w:rsid w:val="006906F9"/>
    <w:rsid w:val="00690F0E"/>
    <w:rsid w:val="006911C0"/>
    <w:rsid w:val="00691B7C"/>
    <w:rsid w:val="00692ADF"/>
    <w:rsid w:val="00693907"/>
    <w:rsid w:val="00694B73"/>
    <w:rsid w:val="00694DF2"/>
    <w:rsid w:val="00695F80"/>
    <w:rsid w:val="006966CD"/>
    <w:rsid w:val="00696735"/>
    <w:rsid w:val="0069780E"/>
    <w:rsid w:val="006A2CA2"/>
    <w:rsid w:val="006A3DEE"/>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0781C"/>
    <w:rsid w:val="00710519"/>
    <w:rsid w:val="007107E0"/>
    <w:rsid w:val="00710F6E"/>
    <w:rsid w:val="00711663"/>
    <w:rsid w:val="007116B4"/>
    <w:rsid w:val="007121FB"/>
    <w:rsid w:val="00712580"/>
    <w:rsid w:val="007133E4"/>
    <w:rsid w:val="00713788"/>
    <w:rsid w:val="00713940"/>
    <w:rsid w:val="007151A2"/>
    <w:rsid w:val="00716774"/>
    <w:rsid w:val="0071740A"/>
    <w:rsid w:val="007209DD"/>
    <w:rsid w:val="00722E49"/>
    <w:rsid w:val="0072300F"/>
    <w:rsid w:val="00723A08"/>
    <w:rsid w:val="00723B5C"/>
    <w:rsid w:val="00724391"/>
    <w:rsid w:val="00724C18"/>
    <w:rsid w:val="00725233"/>
    <w:rsid w:val="00725FB1"/>
    <w:rsid w:val="00726630"/>
    <w:rsid w:val="00727F73"/>
    <w:rsid w:val="00730705"/>
    <w:rsid w:val="00730944"/>
    <w:rsid w:val="00731475"/>
    <w:rsid w:val="0073248E"/>
    <w:rsid w:val="00733EE9"/>
    <w:rsid w:val="00735B8E"/>
    <w:rsid w:val="00736651"/>
    <w:rsid w:val="0073673C"/>
    <w:rsid w:val="00736935"/>
    <w:rsid w:val="0073702F"/>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647"/>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3932"/>
    <w:rsid w:val="007C49C0"/>
    <w:rsid w:val="007C55C1"/>
    <w:rsid w:val="007C5738"/>
    <w:rsid w:val="007C5772"/>
    <w:rsid w:val="007C5962"/>
    <w:rsid w:val="007C5AC3"/>
    <w:rsid w:val="007C5BD5"/>
    <w:rsid w:val="007C5CE7"/>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27DAC"/>
    <w:rsid w:val="0083003F"/>
    <w:rsid w:val="00830677"/>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A81"/>
    <w:rsid w:val="00863CC1"/>
    <w:rsid w:val="00863ECB"/>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D6D0B"/>
    <w:rsid w:val="008E1B6A"/>
    <w:rsid w:val="008E3054"/>
    <w:rsid w:val="008E32FF"/>
    <w:rsid w:val="008E4202"/>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13B5"/>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0833"/>
    <w:rsid w:val="00931FAF"/>
    <w:rsid w:val="00932478"/>
    <w:rsid w:val="009360F6"/>
    <w:rsid w:val="009371DC"/>
    <w:rsid w:val="0093759D"/>
    <w:rsid w:val="00940239"/>
    <w:rsid w:val="00942BD6"/>
    <w:rsid w:val="00942DED"/>
    <w:rsid w:val="0094381A"/>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0F1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957B2"/>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047"/>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3F61"/>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79A"/>
    <w:rsid w:val="00AC3934"/>
    <w:rsid w:val="00AC50C8"/>
    <w:rsid w:val="00AC5581"/>
    <w:rsid w:val="00AC56AD"/>
    <w:rsid w:val="00AC61BE"/>
    <w:rsid w:val="00AC7E2D"/>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0A2"/>
    <w:rsid w:val="00AF4401"/>
    <w:rsid w:val="00AF4463"/>
    <w:rsid w:val="00AF502B"/>
    <w:rsid w:val="00AF53CB"/>
    <w:rsid w:val="00AF65C5"/>
    <w:rsid w:val="00AF6B6F"/>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44D6"/>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21A6"/>
    <w:rsid w:val="00C33916"/>
    <w:rsid w:val="00C33BCF"/>
    <w:rsid w:val="00C34FE2"/>
    <w:rsid w:val="00C353A0"/>
    <w:rsid w:val="00C368D7"/>
    <w:rsid w:val="00C36FD1"/>
    <w:rsid w:val="00C371A5"/>
    <w:rsid w:val="00C400B0"/>
    <w:rsid w:val="00C413FC"/>
    <w:rsid w:val="00C42424"/>
    <w:rsid w:val="00C43D33"/>
    <w:rsid w:val="00C44407"/>
    <w:rsid w:val="00C456E8"/>
    <w:rsid w:val="00C45CDA"/>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19AA"/>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1C2"/>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2B8D"/>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9F1"/>
    <w:rsid w:val="00CF5B2A"/>
    <w:rsid w:val="00CF5F57"/>
    <w:rsid w:val="00CF64A7"/>
    <w:rsid w:val="00CF6730"/>
    <w:rsid w:val="00CF70E5"/>
    <w:rsid w:val="00CF7CEC"/>
    <w:rsid w:val="00D00B0F"/>
    <w:rsid w:val="00D01BF4"/>
    <w:rsid w:val="00D0272C"/>
    <w:rsid w:val="00D045CE"/>
    <w:rsid w:val="00D05082"/>
    <w:rsid w:val="00D06163"/>
    <w:rsid w:val="00D06937"/>
    <w:rsid w:val="00D06C22"/>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0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2C79"/>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200F"/>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5F4"/>
    <w:rsid w:val="00E669A1"/>
    <w:rsid w:val="00E679BA"/>
    <w:rsid w:val="00E70243"/>
    <w:rsid w:val="00E70E2E"/>
    <w:rsid w:val="00E72CC6"/>
    <w:rsid w:val="00E73C6C"/>
    <w:rsid w:val="00E73D44"/>
    <w:rsid w:val="00E7494A"/>
    <w:rsid w:val="00E74BE2"/>
    <w:rsid w:val="00E74C66"/>
    <w:rsid w:val="00E75933"/>
    <w:rsid w:val="00E77951"/>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1DD0"/>
    <w:rsid w:val="00EA2AEA"/>
    <w:rsid w:val="00EA332B"/>
    <w:rsid w:val="00EA3D36"/>
    <w:rsid w:val="00EA40AA"/>
    <w:rsid w:val="00EA57E2"/>
    <w:rsid w:val="00EA7186"/>
    <w:rsid w:val="00EB018B"/>
    <w:rsid w:val="00EB1003"/>
    <w:rsid w:val="00EB167E"/>
    <w:rsid w:val="00EB24ED"/>
    <w:rsid w:val="00EB2A00"/>
    <w:rsid w:val="00EB309B"/>
    <w:rsid w:val="00EB3AA2"/>
    <w:rsid w:val="00EB4138"/>
    <w:rsid w:val="00EB4763"/>
    <w:rsid w:val="00EB6CB7"/>
    <w:rsid w:val="00EC078B"/>
    <w:rsid w:val="00EC07A0"/>
    <w:rsid w:val="00EC08E4"/>
    <w:rsid w:val="00EC3086"/>
    <w:rsid w:val="00EC3CB4"/>
    <w:rsid w:val="00EC4293"/>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46B"/>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757"/>
    <w:rsid w:val="00F71AC2"/>
    <w:rsid w:val="00F739D4"/>
    <w:rsid w:val="00F74C8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2026</Year>
    <TaxCatchAll xmlns="d0fb0f98-34f9-4d57-9559-eb8efd17aa5e">
      <Value>61</Value>
      <Value>10</Value>
      <Value>17</Value>
      <Value>645</Value>
      <Value>469</Value>
    </TaxCatchAll>
    <_dlc_DocId xmlns="d0fb0f98-34f9-4d57-9559-eb8efd17aa5e">ESMA91-1505572268-4723</_dlc_DocId>
    <_dlc_DocIdUrl xmlns="d0fb0f98-34f9-4d57-9559-eb8efd17aa5e">
      <Url>https://securitiesandmarketsauth.sharepoint.com/sites/sherpa-ccp/_layouts/15/DocIdRedir.aspx?ID=ESMA91-1505572268-4723</Url>
      <Description>ESMA91-1505572268-4723</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RTS 153</TermName>
          <TermId xmlns="http://schemas.microsoft.com/office/infopath/2007/PartnerControls">a51dd9b2-9e17-4703-9a7c-7aa18e1d70b8</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4.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e9ce02f900eb64d2f0d7169a308f0898">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8e80d928a4eb712c6b33e00518fa8101"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customXml/itemProps4.xml><?xml version="1.0" encoding="utf-8"?>
<ds:datastoreItem xmlns:ds="http://schemas.openxmlformats.org/officeDocument/2006/customXml" ds:itemID="{230282C5-32BF-4D56-B930-335C7103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6.xml><?xml version="1.0" encoding="utf-8"?>
<ds:datastoreItem xmlns:ds="http://schemas.openxmlformats.org/officeDocument/2006/customXml" ds:itemID="{583B3ABB-1E22-43DF-B118-E1D48363CC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3895</Words>
  <Characters>22207</Characters>
  <Application>Microsoft Office Word</Application>
  <DocSecurity>0</DocSecurity>
  <Lines>185</Lines>
  <Paragraphs>52</Paragraphs>
  <ScaleCrop>false</ScaleCrop>
  <Company>ESMA</Company>
  <LinksUpToDate>false</LinksUpToDate>
  <CharactersWithSpaces>26050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Charlie Ryder</cp:lastModifiedBy>
  <cp:revision>3</cp:revision>
  <cp:lastPrinted>2015-02-18T20:01:00Z</cp:lastPrinted>
  <dcterms:created xsi:type="dcterms:W3CDTF">2026-04-27T15:21:00Z</dcterms:created>
  <dcterms:modified xsi:type="dcterms:W3CDTF">2026-04-27T15:26:00Z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f1f531c7-559a-4e19-b4ae-15d6e2a84815</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645;#RTS 153|a51dd9b2-9e17-4703-9a7c-7aa18e1d70b8</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a2cf8dee-15b1-4b34-8492-7a43b92a8920</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2025-06-21T04:45:36Z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y fmtid="{D5CDD505-2E9C-101B-9397-08002B2CF9AE}" pid="28" name="docLang">
    <vt:lpwstr>en</vt:lpwstr>
  </property>
</Properties>
</file>