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r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re"/>
          </w:pPr>
        </w:p>
        <w:p w14:paraId="01438AE1" w14:textId="052010EB" w:rsidR="00563C1F" w:rsidRDefault="00EC6066" w:rsidP="00F72D28">
          <w:pPr>
            <w:pStyle w:val="Titre"/>
          </w:pPr>
          <w:r>
            <w:t xml:space="preserve">Reply </w:t>
          </w:r>
          <w:r w:rsidR="00DD03DC">
            <w:t>F</w:t>
          </w:r>
          <w:r>
            <w:t>orm</w:t>
          </w:r>
        </w:p>
        <w:p w14:paraId="031F2108" w14:textId="25611ECB" w:rsidR="007E7997" w:rsidRPr="00C01571" w:rsidRDefault="00D77369" w:rsidP="00D77369">
          <w:pPr>
            <w:pStyle w:val="Sous-titr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us-titr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phedeliste"/>
            <w:rPr>
              <w:lang w:val="en-GB"/>
            </w:rPr>
          </w:pPr>
          <w:r w:rsidRPr="00DB2FD6">
            <w:rPr>
              <w:lang w:val="en-GB"/>
            </w:rPr>
            <w:t>respond to the question stated;</w:t>
          </w:r>
        </w:p>
        <w:p w14:paraId="72FD40F6" w14:textId="77777777" w:rsidR="002533FC" w:rsidRPr="00DB2FD6" w:rsidRDefault="002533FC" w:rsidP="00EC6066">
          <w:pPr>
            <w:pStyle w:val="Paragraphedeliste"/>
            <w:rPr>
              <w:lang w:val="en-GB"/>
            </w:rPr>
          </w:pPr>
          <w:r w:rsidRPr="00DB2FD6">
            <w:rPr>
              <w:lang w:val="en-GB"/>
            </w:rPr>
            <w:t>indicate the specific question to which the comment relates;</w:t>
          </w:r>
        </w:p>
        <w:p w14:paraId="78B206B7" w14:textId="77777777" w:rsidR="002533FC" w:rsidRPr="00E13D25" w:rsidRDefault="002533FC" w:rsidP="00EC6066">
          <w:pPr>
            <w:pStyle w:val="Paragraphedeliste"/>
          </w:pPr>
          <w:r w:rsidRPr="00E13D25">
            <w:t>contain a clear rationale; and</w:t>
          </w:r>
        </w:p>
        <w:p w14:paraId="60B8834E" w14:textId="77777777" w:rsidR="002533FC" w:rsidRPr="00DB2FD6" w:rsidRDefault="002533FC" w:rsidP="00EC6066">
          <w:pPr>
            <w:pStyle w:val="Paragraphedeliste"/>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26459D" w:rsidRDefault="00EC6066" w:rsidP="00EC6066">
          <w:pPr>
            <w:pStyle w:val="Sous-titr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Lienhypertexte"/>
              </w:rPr>
              <w:t>www.esma.europa.eu</w:t>
            </w:r>
          </w:hyperlink>
          <w:r w:rsidRPr="005B6B12">
            <w:t xml:space="preserve"> under the heading </w:t>
          </w:r>
          <w:r w:rsidRPr="00025A7F">
            <w:rPr>
              <w:rStyle w:val="Lienhypertexte"/>
            </w:rPr>
            <w:t>‘</w:t>
          </w:r>
          <w:hyperlink r:id="rId17" w:history="1">
            <w:r>
              <w:rPr>
                <w:rStyle w:val="Lienhypertexte"/>
              </w:rPr>
              <w:t>Data protection</w:t>
            </w:r>
          </w:hyperlink>
          <w:r>
            <w:rPr>
              <w:rStyle w:val="Lienhypertexte"/>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12B57419" w:rsidR="00635BCA" w:rsidRPr="00557BD2" w:rsidRDefault="001B55D4" w:rsidP="00D21C35">
                <w:r>
                  <w:t>Middlenext</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71BD6E67" w:rsidR="00B17279" w:rsidRDefault="001B55D4" w:rsidP="00B17279">
                <w:r>
                  <w:t>Business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401478327" w:edGrp="everyone" w:displacedByCustomXml="prev"/>
            <w:tc>
              <w:tcPr>
                <w:tcW w:w="4531" w:type="dxa"/>
              </w:tcPr>
              <w:p w14:paraId="10359AFE" w14:textId="64F02D02" w:rsidR="00B17279" w:rsidRDefault="001B55D4"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0C4D5652" w:rsidR="00B17279" w:rsidRPr="00557BD2" w:rsidRDefault="001B55D4" w:rsidP="00B17279">
                <w:r>
                  <w:t>France</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Titre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25069686" w14:textId="77777777" w:rsidR="00AA5BF0" w:rsidRPr="004F51D4" w:rsidRDefault="009C431D" w:rsidP="00AA5BF0">
      <w:pPr>
        <w:spacing w:after="200" w:line="320" w:lineRule="exact"/>
        <w:jc w:val="left"/>
        <w:rPr>
          <w:rFonts w:asciiTheme="majorHAnsi" w:eastAsia="Calibri" w:hAnsiTheme="majorHAnsi" w:cstheme="majorHAnsi"/>
          <w:color w:val="000000"/>
          <w:szCs w:val="22"/>
        </w:rPr>
      </w:pPr>
      <w:permStart w:id="627510576" w:edGrp="everyone"/>
      <w:r w:rsidRPr="004F51D4">
        <w:rPr>
          <w:rFonts w:asciiTheme="majorHAnsi" w:eastAsia="Calibri" w:hAnsiTheme="majorHAnsi" w:cstheme="majorHAnsi"/>
          <w:color w:val="000000"/>
          <w:szCs w:val="22"/>
        </w:rPr>
        <w:t xml:space="preserve">We </w:t>
      </w:r>
      <w:r w:rsidR="00FA6F87" w:rsidRPr="004F51D4">
        <w:rPr>
          <w:rFonts w:asciiTheme="majorHAnsi" w:eastAsia="Calibri" w:hAnsiTheme="majorHAnsi" w:cstheme="majorHAnsi"/>
          <w:color w:val="000000"/>
          <w:szCs w:val="22"/>
        </w:rPr>
        <w:t xml:space="preserve">do support </w:t>
      </w:r>
      <w:r w:rsidR="00712376" w:rsidRPr="004F51D4">
        <w:rPr>
          <w:rFonts w:asciiTheme="majorHAnsi" w:eastAsia="Calibri" w:hAnsiTheme="majorHAnsi" w:cstheme="majorHAnsi"/>
          <w:color w:val="000000"/>
          <w:szCs w:val="22"/>
        </w:rPr>
        <w:t>maintaining the legitimate interest described in point b) of Guideline 1</w:t>
      </w:r>
      <w:r w:rsidR="005B58F4" w:rsidRPr="004F51D4">
        <w:rPr>
          <w:rFonts w:asciiTheme="majorHAnsi" w:eastAsia="Calibri" w:hAnsiTheme="majorHAnsi" w:cstheme="majorHAnsi"/>
          <w:color w:val="000000"/>
          <w:szCs w:val="22"/>
        </w:rPr>
        <w:t xml:space="preserve"> as it represents an essential and balanced component of the </w:t>
      </w:r>
      <w:r w:rsidR="001A5D69" w:rsidRPr="004F51D4">
        <w:rPr>
          <w:rFonts w:asciiTheme="majorHAnsi" w:eastAsia="Calibri" w:hAnsiTheme="majorHAnsi" w:cstheme="majorHAnsi"/>
          <w:color w:val="000000"/>
          <w:szCs w:val="22"/>
        </w:rPr>
        <w:t xml:space="preserve">deferral regime provided in the MAR regulation. </w:t>
      </w:r>
      <w:r w:rsidR="00AA5BF0" w:rsidRPr="004F51D4">
        <w:rPr>
          <w:rFonts w:asciiTheme="majorHAnsi" w:eastAsia="Calibri" w:hAnsiTheme="majorHAnsi" w:cstheme="majorHAnsi"/>
          <w:color w:val="000000"/>
          <w:szCs w:val="22"/>
        </w:rPr>
        <w:t xml:space="preserve"> </w:t>
      </w:r>
      <w:r w:rsidR="00AA5BF0" w:rsidRPr="004F51D4">
        <w:rPr>
          <w:rFonts w:asciiTheme="majorHAnsi" w:eastAsia="Calibri" w:hAnsiTheme="majorHAnsi" w:cstheme="majorHAnsi"/>
          <w:color w:val="000000"/>
          <w:szCs w:val="22"/>
        </w:rPr>
        <w:br/>
      </w:r>
      <w:r w:rsidR="00AA5BF0" w:rsidRPr="004F51D4">
        <w:rPr>
          <w:rFonts w:asciiTheme="majorHAnsi" w:eastAsia="Calibri" w:hAnsiTheme="majorHAnsi" w:cstheme="majorHAnsi"/>
          <w:color w:val="000000"/>
          <w:szCs w:val="22"/>
        </w:rPr>
        <w:br/>
        <w:t>In situations involving a serious and imminent threat to the issuer’s financial viability, immediate disclosure could trigger irreversible consequences (loss of confidence, withdrawal of financing, early debt calls), thereby jeopardizing the implementation of restructuring solutions that might otherwise still be feasible. Deferral allows, within a strictly regulated framework, for the preservation of the conditions necessary for an effective recovery.</w:t>
      </w:r>
    </w:p>
    <w:p w14:paraId="44C10061" w14:textId="5B68B3C1" w:rsidR="004F51D4" w:rsidRPr="004F51D4" w:rsidRDefault="004F51D4" w:rsidP="004F51D4">
      <w:pPr>
        <w:spacing w:after="200" w:line="320" w:lineRule="exact"/>
        <w:jc w:val="left"/>
        <w:rPr>
          <w:rFonts w:asciiTheme="majorHAnsi" w:eastAsia="Calibri" w:hAnsiTheme="majorHAnsi" w:cstheme="majorHAnsi"/>
          <w:color w:val="000000"/>
          <w:szCs w:val="22"/>
        </w:rPr>
      </w:pPr>
      <w:r w:rsidRPr="004F51D4">
        <w:rPr>
          <w:rFonts w:asciiTheme="majorHAnsi" w:eastAsia="Calibri" w:hAnsiTheme="majorHAnsi" w:cstheme="majorHAnsi"/>
          <w:color w:val="000000"/>
          <w:szCs w:val="22"/>
        </w:rPr>
        <w:t>The current legal framework limits the risk of abuse: the delay is contingent upon maintaining confidentiality, avoiding public deception, and the issuer’s ability to justify, ex post, the legitimacy of its decision. These safeguards ensure sufficient protection of market integrity, while preventing excessive and self-fulfilling market reactions.</w:t>
      </w:r>
    </w:p>
    <w:p w14:paraId="3B386C85" w14:textId="181B3C2F" w:rsidR="004F51D4" w:rsidRDefault="004F51D4" w:rsidP="004F51D4">
      <w:pPr>
        <w:spacing w:after="200" w:line="320" w:lineRule="exact"/>
        <w:jc w:val="left"/>
        <w:rPr>
          <w:rFonts w:asciiTheme="majorHAnsi" w:eastAsia="Calibri" w:hAnsiTheme="majorHAnsi" w:cstheme="majorHAnsi"/>
          <w:color w:val="000000"/>
          <w:szCs w:val="22"/>
        </w:rPr>
      </w:pPr>
      <w:r w:rsidRPr="004F51D4">
        <w:rPr>
          <w:rFonts w:asciiTheme="majorHAnsi" w:eastAsia="Calibri" w:hAnsiTheme="majorHAnsi" w:cstheme="majorHAnsi"/>
          <w:color w:val="000000"/>
          <w:szCs w:val="22"/>
        </w:rPr>
        <w:t xml:space="preserve">Maintaining this legitimate interest is particularly important for </w:t>
      </w:r>
      <w:r w:rsidR="00975394">
        <w:rPr>
          <w:rFonts w:asciiTheme="majorHAnsi" w:eastAsia="Calibri" w:hAnsiTheme="majorHAnsi" w:cstheme="majorHAnsi"/>
          <w:color w:val="000000"/>
          <w:szCs w:val="22"/>
        </w:rPr>
        <w:t xml:space="preserve">small and </w:t>
      </w:r>
      <w:r w:rsidR="00664ED1">
        <w:rPr>
          <w:rFonts w:asciiTheme="majorHAnsi" w:eastAsia="Calibri" w:hAnsiTheme="majorHAnsi" w:cstheme="majorHAnsi"/>
          <w:color w:val="000000"/>
          <w:szCs w:val="22"/>
        </w:rPr>
        <w:t>mid-caps</w:t>
      </w:r>
      <w:r w:rsidRPr="004F51D4">
        <w:rPr>
          <w:rFonts w:asciiTheme="majorHAnsi" w:eastAsia="Calibri" w:hAnsiTheme="majorHAnsi" w:cstheme="majorHAnsi"/>
          <w:color w:val="000000"/>
          <w:szCs w:val="22"/>
        </w:rPr>
        <w:t xml:space="preserve">, whose financial structure and access to financing are more sensitive to information volatility. More </w:t>
      </w:r>
      <w:r w:rsidRPr="004F51D4">
        <w:rPr>
          <w:rFonts w:asciiTheme="majorHAnsi" w:eastAsia="Calibri" w:hAnsiTheme="majorHAnsi" w:cstheme="majorHAnsi"/>
          <w:color w:val="000000"/>
          <w:szCs w:val="22"/>
        </w:rPr>
        <w:lastRenderedPageBreak/>
        <w:t>controlled communication, following a stabilization phase, contributes to information that is more useful and intelligible to the market.</w:t>
      </w:r>
    </w:p>
    <w:p w14:paraId="227B0C79" w14:textId="4C0DC84B" w:rsidR="00E7274F" w:rsidRDefault="00E7274F" w:rsidP="004F51D4">
      <w:pPr>
        <w:spacing w:after="200" w:line="320" w:lineRule="exact"/>
        <w:jc w:val="left"/>
        <w:rPr>
          <w:rFonts w:asciiTheme="majorHAnsi" w:eastAsia="Calibri" w:hAnsiTheme="majorHAnsi" w:cstheme="majorHAnsi"/>
          <w:color w:val="000000"/>
          <w:szCs w:val="22"/>
        </w:rPr>
      </w:pPr>
      <w:r>
        <w:rPr>
          <w:rFonts w:asciiTheme="majorHAnsi" w:eastAsia="Calibri" w:hAnsiTheme="majorHAnsi" w:cstheme="majorHAnsi"/>
          <w:color w:val="000000"/>
          <w:szCs w:val="22"/>
        </w:rPr>
        <w:t xml:space="preserve">In addition, we do want to express that some undertakings choose to </w:t>
      </w:r>
      <w:r w:rsidR="001B40D3">
        <w:rPr>
          <w:rFonts w:asciiTheme="majorHAnsi" w:eastAsia="Calibri" w:hAnsiTheme="majorHAnsi" w:cstheme="majorHAnsi"/>
          <w:color w:val="000000"/>
          <w:szCs w:val="22"/>
        </w:rPr>
        <w:t>disclose undergoing legal procedures</w:t>
      </w:r>
      <w:r w:rsidR="000D3294">
        <w:rPr>
          <w:rFonts w:asciiTheme="majorHAnsi" w:eastAsia="Calibri" w:hAnsiTheme="majorHAnsi" w:cstheme="majorHAnsi"/>
          <w:color w:val="000000"/>
          <w:szCs w:val="22"/>
        </w:rPr>
        <w:t xml:space="preserve"> and negotiations to publicly disc</w:t>
      </w:r>
      <w:r w:rsidR="00EF2D7A">
        <w:rPr>
          <w:rFonts w:asciiTheme="majorHAnsi" w:eastAsia="Calibri" w:hAnsiTheme="majorHAnsi" w:cstheme="majorHAnsi"/>
          <w:color w:val="000000"/>
          <w:szCs w:val="22"/>
        </w:rPr>
        <w:t xml:space="preserve">lose that this serious matter is under top-management </w:t>
      </w:r>
      <w:r w:rsidR="00B80906">
        <w:rPr>
          <w:rFonts w:asciiTheme="majorHAnsi" w:eastAsia="Calibri" w:hAnsiTheme="majorHAnsi" w:cstheme="majorHAnsi"/>
          <w:color w:val="000000"/>
          <w:szCs w:val="22"/>
        </w:rPr>
        <w:t>supervision and that all the actions</w:t>
      </w:r>
      <w:r w:rsidR="004C76C2">
        <w:rPr>
          <w:rFonts w:asciiTheme="majorHAnsi" w:eastAsia="Calibri" w:hAnsiTheme="majorHAnsi" w:cstheme="majorHAnsi"/>
          <w:color w:val="000000"/>
          <w:szCs w:val="22"/>
        </w:rPr>
        <w:t xml:space="preserve"> possible are considered. Keeping the flexibility whether to disclose it or not is key </w:t>
      </w:r>
      <w:r w:rsidR="00975394">
        <w:rPr>
          <w:rFonts w:asciiTheme="majorHAnsi" w:eastAsia="Calibri" w:hAnsiTheme="majorHAnsi" w:cstheme="majorHAnsi"/>
          <w:color w:val="000000"/>
          <w:szCs w:val="22"/>
        </w:rPr>
        <w:t xml:space="preserve">for small and mid-caps. </w:t>
      </w:r>
      <w:r w:rsidR="00B80906">
        <w:rPr>
          <w:rFonts w:asciiTheme="majorHAnsi" w:eastAsia="Calibri" w:hAnsiTheme="majorHAnsi" w:cstheme="majorHAnsi"/>
          <w:color w:val="000000"/>
          <w:szCs w:val="22"/>
        </w:rPr>
        <w:t xml:space="preserve"> </w:t>
      </w:r>
    </w:p>
    <w:p w14:paraId="414DB13C" w14:textId="3C9C8DE1" w:rsidR="00675B81" w:rsidRDefault="00B35CB9" w:rsidP="004F51D4">
      <w:pPr>
        <w:spacing w:after="200" w:line="320" w:lineRule="exact"/>
        <w:jc w:val="left"/>
        <w:rPr>
          <w:rFonts w:asciiTheme="majorHAnsi" w:eastAsia="Calibri" w:hAnsiTheme="majorHAnsi" w:cstheme="majorHAnsi"/>
          <w:color w:val="000000"/>
          <w:szCs w:val="22"/>
        </w:rPr>
      </w:pPr>
      <w:r>
        <w:rPr>
          <w:rFonts w:asciiTheme="majorHAnsi" w:eastAsia="Calibri" w:hAnsiTheme="majorHAnsi" w:cstheme="majorHAnsi"/>
          <w:color w:val="000000"/>
          <w:szCs w:val="22"/>
        </w:rPr>
        <w:t>We also do want to</w:t>
      </w:r>
      <w:r w:rsidR="00675B81">
        <w:rPr>
          <w:rFonts w:asciiTheme="majorHAnsi" w:eastAsia="Calibri" w:hAnsiTheme="majorHAnsi" w:cstheme="majorHAnsi"/>
          <w:color w:val="000000"/>
          <w:szCs w:val="22"/>
        </w:rPr>
        <w:t xml:space="preserve"> highlight the </w:t>
      </w:r>
      <w:r w:rsidR="00E23D2F">
        <w:rPr>
          <w:rFonts w:asciiTheme="majorHAnsi" w:eastAsia="Calibri" w:hAnsiTheme="majorHAnsi" w:cstheme="majorHAnsi"/>
          <w:color w:val="000000"/>
          <w:szCs w:val="22"/>
        </w:rPr>
        <w:t xml:space="preserve">fact that </w:t>
      </w:r>
      <w:r w:rsidR="008A0D6B">
        <w:rPr>
          <w:rFonts w:asciiTheme="majorHAnsi" w:eastAsia="Calibri" w:hAnsiTheme="majorHAnsi" w:cstheme="majorHAnsi"/>
          <w:color w:val="000000"/>
          <w:szCs w:val="22"/>
        </w:rPr>
        <w:t>crystal-clear</w:t>
      </w:r>
      <w:r w:rsidR="00E23D2F">
        <w:rPr>
          <w:rFonts w:asciiTheme="majorHAnsi" w:eastAsia="Calibri" w:hAnsiTheme="majorHAnsi" w:cstheme="majorHAnsi"/>
          <w:color w:val="000000"/>
          <w:szCs w:val="22"/>
        </w:rPr>
        <w:t xml:space="preserve"> guidelines will be required so that CEOs and Boards</w:t>
      </w:r>
      <w:r w:rsidR="008A0D6B">
        <w:rPr>
          <w:rFonts w:asciiTheme="majorHAnsi" w:eastAsia="Calibri" w:hAnsiTheme="majorHAnsi" w:cstheme="majorHAnsi"/>
          <w:color w:val="000000"/>
          <w:szCs w:val="22"/>
        </w:rPr>
        <w:t xml:space="preserve"> fully</w:t>
      </w:r>
      <w:r w:rsidR="00E23D2F">
        <w:rPr>
          <w:rFonts w:asciiTheme="majorHAnsi" w:eastAsia="Calibri" w:hAnsiTheme="majorHAnsi" w:cstheme="majorHAnsi"/>
          <w:color w:val="000000"/>
          <w:szCs w:val="22"/>
        </w:rPr>
        <w:t xml:space="preserve"> </w:t>
      </w:r>
      <w:r w:rsidR="00131BD5">
        <w:rPr>
          <w:rFonts w:asciiTheme="majorHAnsi" w:eastAsia="Calibri" w:hAnsiTheme="majorHAnsi" w:cstheme="majorHAnsi"/>
          <w:color w:val="000000"/>
          <w:szCs w:val="22"/>
        </w:rPr>
        <w:t>understand:</w:t>
      </w:r>
    </w:p>
    <w:p w14:paraId="65661F3D" w14:textId="47434867" w:rsidR="008A0D6B" w:rsidRDefault="00F57FE7" w:rsidP="00A32C3D">
      <w:pPr>
        <w:pStyle w:val="Paragraphedeliste"/>
      </w:pPr>
      <w:r>
        <w:t xml:space="preserve">Whether they are </w:t>
      </w:r>
      <w:r w:rsidR="009F75EF">
        <w:t xml:space="preserve">in </w:t>
      </w:r>
      <w:r>
        <w:t>what is considered as protra</w:t>
      </w:r>
      <w:r w:rsidR="009F75EF">
        <w:t>cted process, or not (does the simplification apply or not)</w:t>
      </w:r>
    </w:p>
    <w:p w14:paraId="7E264E8B" w14:textId="420D0F9F" w:rsidR="009F75EF" w:rsidRDefault="00131BD5" w:rsidP="00A32C3D">
      <w:pPr>
        <w:pStyle w:val="Paragraphedeliste"/>
      </w:pPr>
      <w:r>
        <w:t xml:space="preserve">That is do not have any implication on the Insider list requirements, and </w:t>
      </w:r>
      <w:r w:rsidR="00F5037E">
        <w:t>even if there is no public disclose, they still have to open and manage an Insider list related to the protracted process</w:t>
      </w:r>
    </w:p>
    <w:p w14:paraId="3111A860" w14:textId="3CA919C4" w:rsidR="009B1E21" w:rsidRDefault="009B1E21" w:rsidP="009B1E21"/>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22CCB387" w14:textId="0AB7A3FE" w:rsidR="00182BBC" w:rsidRPr="00454F5C" w:rsidRDefault="00193CB8" w:rsidP="0067395E">
      <w:pPr>
        <w:autoSpaceDE w:val="0"/>
        <w:autoSpaceDN w:val="0"/>
        <w:adjustRightInd w:val="0"/>
        <w:spacing w:before="160" w:afterLines="200" w:after="480" w:line="320" w:lineRule="exact"/>
        <w:rPr>
          <w:rFonts w:asciiTheme="majorHAnsi" w:hAnsiTheme="majorHAnsi" w:cstheme="majorHAnsi"/>
          <w:color w:val="000000"/>
          <w:szCs w:val="22"/>
        </w:rPr>
      </w:pPr>
      <w:permStart w:id="55053902" w:edGrp="everyone"/>
      <w:r w:rsidRPr="0067395E">
        <w:rPr>
          <w:rFonts w:asciiTheme="majorHAnsi" w:hAnsiTheme="majorHAnsi" w:cstheme="majorHAnsi"/>
          <w:color w:val="000000"/>
          <w:szCs w:val="22"/>
        </w:rPr>
        <w:t xml:space="preserve">We first would like to stress out that </w:t>
      </w:r>
      <w:r w:rsidR="00F05FAF" w:rsidRPr="0067395E">
        <w:rPr>
          <w:rFonts w:asciiTheme="majorHAnsi" w:hAnsiTheme="majorHAnsi" w:cstheme="majorHAnsi"/>
          <w:color w:val="000000"/>
          <w:szCs w:val="22"/>
        </w:rPr>
        <w:t xml:space="preserve">the ESMA Guidelines should have first general principles and </w:t>
      </w:r>
      <w:proofErr w:type="spellStart"/>
      <w:r w:rsidR="00F05FAF" w:rsidRPr="0067395E">
        <w:rPr>
          <w:rFonts w:asciiTheme="majorHAnsi" w:hAnsiTheme="majorHAnsi" w:cstheme="majorHAnsi"/>
          <w:color w:val="000000"/>
          <w:szCs w:val="22"/>
        </w:rPr>
        <w:t>guidances</w:t>
      </w:r>
      <w:proofErr w:type="spellEnd"/>
      <w:r w:rsidR="00F05FAF" w:rsidRPr="0067395E">
        <w:rPr>
          <w:rFonts w:asciiTheme="majorHAnsi" w:hAnsiTheme="majorHAnsi" w:cstheme="majorHAnsi"/>
          <w:color w:val="000000"/>
          <w:szCs w:val="22"/>
        </w:rPr>
        <w:t>, and then examples of specific situation</w:t>
      </w:r>
      <w:r w:rsidR="00BA0A22" w:rsidRPr="0067395E">
        <w:rPr>
          <w:rFonts w:asciiTheme="majorHAnsi" w:hAnsiTheme="majorHAnsi" w:cstheme="majorHAnsi"/>
          <w:color w:val="000000"/>
          <w:szCs w:val="22"/>
        </w:rPr>
        <w:t xml:space="preserve">s indicated as non-exhaustive. There will always be specific circumstances that will fall </w:t>
      </w:r>
      <w:r w:rsidR="00C26810" w:rsidRPr="0067395E">
        <w:rPr>
          <w:rFonts w:asciiTheme="majorHAnsi" w:hAnsiTheme="majorHAnsi" w:cstheme="majorHAnsi"/>
          <w:color w:val="000000"/>
          <w:szCs w:val="22"/>
        </w:rPr>
        <w:t>into legitimate interest that will not be described. The first priority</w:t>
      </w:r>
      <w:r w:rsidR="00AE2FBF" w:rsidRPr="0067395E">
        <w:rPr>
          <w:rFonts w:asciiTheme="majorHAnsi" w:hAnsiTheme="majorHAnsi" w:cstheme="majorHAnsi"/>
          <w:color w:val="000000"/>
          <w:szCs w:val="22"/>
        </w:rPr>
        <w:t xml:space="preserve"> is that issuers have clear and understandable guidelines to operate</w:t>
      </w:r>
      <w:r w:rsidR="00A6350E" w:rsidRPr="0067395E">
        <w:rPr>
          <w:rFonts w:asciiTheme="majorHAnsi" w:hAnsiTheme="majorHAnsi" w:cstheme="majorHAnsi"/>
          <w:color w:val="000000"/>
          <w:szCs w:val="22"/>
        </w:rPr>
        <w:t xml:space="preserve"> and </w:t>
      </w:r>
      <w:r w:rsidR="00182BBC" w:rsidRPr="0067395E">
        <w:rPr>
          <w:rFonts w:asciiTheme="majorHAnsi" w:hAnsiTheme="majorHAnsi" w:cstheme="majorHAnsi"/>
          <w:color w:val="000000"/>
          <w:szCs w:val="22"/>
        </w:rPr>
        <w:t>to assess whether a delay is justified</w:t>
      </w:r>
      <w:r w:rsidR="00A6350E" w:rsidRPr="0067395E">
        <w:rPr>
          <w:rFonts w:asciiTheme="majorHAnsi" w:hAnsiTheme="majorHAnsi" w:cstheme="majorHAnsi"/>
          <w:color w:val="000000"/>
          <w:szCs w:val="22"/>
        </w:rPr>
        <w:t xml:space="preserve">. </w:t>
      </w:r>
      <w:r w:rsidR="00E16CD1" w:rsidRPr="0067395E">
        <w:rPr>
          <w:rFonts w:asciiTheme="majorHAnsi" w:hAnsiTheme="majorHAnsi" w:cstheme="majorHAnsi"/>
          <w:color w:val="000000"/>
          <w:szCs w:val="22"/>
        </w:rPr>
        <w:t xml:space="preserve">Some mid-caps fear </w:t>
      </w:r>
      <w:r w:rsidR="00182BBC" w:rsidRPr="0067395E">
        <w:rPr>
          <w:rFonts w:asciiTheme="majorHAnsi" w:hAnsiTheme="majorHAnsi" w:cstheme="majorHAnsi"/>
          <w:color w:val="000000"/>
          <w:szCs w:val="22"/>
        </w:rPr>
        <w:t xml:space="preserve">a narrow reading of the examples set out in the Guidelines. </w:t>
      </w:r>
      <w:r w:rsidR="00182BBC" w:rsidRPr="00454F5C">
        <w:rPr>
          <w:rFonts w:asciiTheme="majorHAnsi" w:hAnsiTheme="majorHAnsi" w:cstheme="majorHAnsi"/>
          <w:color w:val="auto"/>
          <w:szCs w:val="22"/>
          <w:highlight w:val="yellow"/>
        </w:rPr>
        <w:t>The examples of legitimate interests cited by ESMA do not necessarily constitute cases of inside information, and it is ultimately for the issuer to determine whether a given piece of information qualifies as inside information.</w:t>
      </w:r>
    </w:p>
    <w:p w14:paraId="09DBEE37" w14:textId="77777777" w:rsidR="004A0398" w:rsidRDefault="0067395E" w:rsidP="004A0398">
      <w:pPr>
        <w:autoSpaceDE w:val="0"/>
        <w:autoSpaceDN w:val="0"/>
        <w:adjustRightInd w:val="0"/>
        <w:spacing w:before="160" w:afterLines="50" w:after="120" w:line="320" w:lineRule="exact"/>
        <w:rPr>
          <w:rFonts w:asciiTheme="majorHAnsi" w:hAnsiTheme="majorHAnsi" w:cstheme="majorHAnsi"/>
          <w:color w:val="000000"/>
          <w:szCs w:val="22"/>
        </w:rPr>
      </w:pPr>
      <w:r>
        <w:rPr>
          <w:rFonts w:asciiTheme="majorHAnsi" w:hAnsiTheme="majorHAnsi" w:cstheme="majorHAnsi"/>
          <w:color w:val="000000"/>
          <w:szCs w:val="22"/>
        </w:rPr>
        <w:t xml:space="preserve">Regarding the </w:t>
      </w:r>
      <w:r w:rsidR="00182BBC" w:rsidRPr="0067395E">
        <w:rPr>
          <w:rFonts w:asciiTheme="majorHAnsi" w:hAnsiTheme="majorHAnsi" w:cstheme="majorHAnsi"/>
          <w:color w:val="000000"/>
          <w:szCs w:val="22"/>
        </w:rPr>
        <w:t xml:space="preserve">new situations of legitimate interests </w:t>
      </w:r>
      <w:r w:rsidR="00846370">
        <w:rPr>
          <w:rFonts w:asciiTheme="majorHAnsi" w:hAnsiTheme="majorHAnsi" w:cstheme="majorHAnsi"/>
          <w:color w:val="000000"/>
          <w:szCs w:val="22"/>
        </w:rPr>
        <w:t xml:space="preserve">to incorporate as examples in the ESMA Guidelines </w:t>
      </w:r>
      <w:r w:rsidR="004A0398">
        <w:rPr>
          <w:rFonts w:asciiTheme="majorHAnsi" w:hAnsiTheme="majorHAnsi" w:cstheme="majorHAnsi"/>
          <w:color w:val="000000"/>
          <w:szCs w:val="22"/>
        </w:rPr>
        <w:t>:</w:t>
      </w:r>
    </w:p>
    <w:p w14:paraId="5AABDE56" w14:textId="77777777" w:rsidR="004A0398" w:rsidRDefault="00182BBC" w:rsidP="00A32C3D">
      <w:pPr>
        <w:pStyle w:val="Paragraphedeliste"/>
        <w:numPr>
          <w:ilvl w:val="0"/>
          <w:numId w:val="21"/>
        </w:numPr>
      </w:pPr>
      <w:r w:rsidRPr="004A0398">
        <w:lastRenderedPageBreak/>
        <w:t>orders by a public Authority to maintain confidentiality</w:t>
      </w:r>
    </w:p>
    <w:p w14:paraId="55F20989" w14:textId="77777777" w:rsidR="004A0398" w:rsidRDefault="00182BBC" w:rsidP="00A32C3D">
      <w:pPr>
        <w:pStyle w:val="Paragraphedeliste"/>
        <w:numPr>
          <w:ilvl w:val="0"/>
          <w:numId w:val="21"/>
        </w:numPr>
      </w:pPr>
      <w:r w:rsidRPr="004A0398">
        <w:t>need to collect information on the event or the circumstances to be disclosed</w:t>
      </w:r>
    </w:p>
    <w:p w14:paraId="220FFA8B" w14:textId="1272B763" w:rsidR="00182BBC" w:rsidRPr="00B34F3A" w:rsidRDefault="00182BBC" w:rsidP="00A32C3D">
      <w:pPr>
        <w:pStyle w:val="Paragraphedeliste"/>
        <w:numPr>
          <w:ilvl w:val="0"/>
          <w:numId w:val="21"/>
        </w:numPr>
      </w:pPr>
      <w:r w:rsidRPr="004A0398">
        <w:t xml:space="preserve">risk to lose a business opportunity when participating in parallel procurement processes or in the conclusion of private negotiations. </w:t>
      </w:r>
    </w:p>
    <w:p w14:paraId="520F63FB" w14:textId="6DB8737E" w:rsidR="00B34F3A" w:rsidRPr="000212F6" w:rsidRDefault="00B34F3A" w:rsidP="00B34F3A">
      <w:pPr>
        <w:autoSpaceDE w:val="0"/>
        <w:autoSpaceDN w:val="0"/>
        <w:adjustRightInd w:val="0"/>
        <w:spacing w:before="160" w:afterLines="50" w:after="120" w:line="320" w:lineRule="exact"/>
        <w:rPr>
          <w:b/>
          <w:bCs/>
          <w:i/>
          <w:iCs/>
          <w:color w:val="000000"/>
        </w:rPr>
      </w:pPr>
      <w:r w:rsidRPr="000212F6">
        <w:rPr>
          <w:b/>
          <w:bCs/>
          <w:i/>
          <w:iCs/>
          <w:color w:val="000000"/>
        </w:rPr>
        <w:t xml:space="preserve">Example #1 : </w:t>
      </w:r>
    </w:p>
    <w:p w14:paraId="5C7FF730" w14:textId="77777777" w:rsidR="00B34F3A" w:rsidRDefault="00B34F3A" w:rsidP="00B34F3A">
      <w:r>
        <w:t>Where such an injunction is based on a clear legal basis and pursues an overriding public interest objective (public order, national security or public health), the issuer is subject to a binding legal obligation. In this context, a requirement for immediate disclosure would be likely to create a conflict of standards and would undermine the principle of legality.</w:t>
      </w:r>
    </w:p>
    <w:p w14:paraId="343AE419" w14:textId="77777777" w:rsidR="00B34F3A" w:rsidRDefault="00B34F3A" w:rsidP="00B34F3A">
      <w:r>
        <w:t>This recognition is consistent with the logic of the delayed disclosure regime, which aims to reconcile market transparency with exceptional circumstances in which immediate disclosure is inappropriate or legally prohibited. The information asymmetry resulting from such a situation stems, therefore, from a choice made by the public authority and not from a discretionary decision by the issuer.</w:t>
      </w:r>
    </w:p>
    <w:p w14:paraId="468BFD7D" w14:textId="77777777" w:rsidR="006234BC" w:rsidRDefault="00B34F3A" w:rsidP="00B34F3A">
      <w:pPr>
        <w:autoSpaceDE w:val="0"/>
        <w:autoSpaceDN w:val="0"/>
        <w:adjustRightInd w:val="0"/>
        <w:spacing w:before="160" w:afterLines="50" w:after="120" w:line="320" w:lineRule="exact"/>
      </w:pPr>
      <w:r>
        <w:t>In order to preserve market integrity, this legitimate interest should, however, be strictly limited to cases where the order is issued by a competent authority, is precisely defined, proportionate and time-limited, and where the issuer is able to document its existence and scope. Disclosure of inside information should take place as soon as the duty of confidentiality ceases or is no longer necessary</w:t>
      </w:r>
      <w:r w:rsidR="006B248F">
        <w:t xml:space="preserve">. </w:t>
      </w:r>
    </w:p>
    <w:p w14:paraId="4DCA1477" w14:textId="007EB7BC" w:rsidR="00B34F3A" w:rsidRDefault="006B248F" w:rsidP="00EA5D0F">
      <w:pPr>
        <w:autoSpaceDE w:val="0"/>
        <w:autoSpaceDN w:val="0"/>
        <w:adjustRightInd w:val="0"/>
        <w:spacing w:before="160" w:afterLines="50" w:after="120" w:line="320" w:lineRule="exact"/>
      </w:pPr>
      <w:r>
        <w:t xml:space="preserve">It would be </w:t>
      </w:r>
      <w:r w:rsidR="0031001D">
        <w:t>helpful to also have a comment in the Guidelines on the position to hold when</w:t>
      </w:r>
      <w:r w:rsidR="006607CA">
        <w:t xml:space="preserve"> </w:t>
      </w:r>
      <w:r w:rsidR="0031001D">
        <w:t>there is a request for permanent confidentiality</w:t>
      </w:r>
      <w:r w:rsidR="00EA5D0F">
        <w:t xml:space="preserve">. </w:t>
      </w:r>
    </w:p>
    <w:p w14:paraId="602A5C04" w14:textId="29EA4823" w:rsidR="00EA5D0F" w:rsidRDefault="00EA5D0F" w:rsidP="00EA5D0F">
      <w:pPr>
        <w:autoSpaceDE w:val="0"/>
        <w:autoSpaceDN w:val="0"/>
        <w:adjustRightInd w:val="0"/>
        <w:spacing w:before="160" w:afterLines="50" w:after="120" w:line="320" w:lineRule="exact"/>
        <w:rPr>
          <w:color w:val="000000"/>
        </w:rPr>
      </w:pPr>
      <w:r w:rsidRPr="000212F6">
        <w:rPr>
          <w:b/>
          <w:bCs/>
          <w:i/>
          <w:iCs/>
          <w:color w:val="000000"/>
        </w:rPr>
        <w:t>Example #2</w:t>
      </w:r>
      <w:r>
        <w:rPr>
          <w:color w:val="000000"/>
        </w:rPr>
        <w:t xml:space="preserve"> : </w:t>
      </w:r>
    </w:p>
    <w:p w14:paraId="149E31AE" w14:textId="6162BF5C" w:rsidR="000212F6" w:rsidRDefault="000212F6" w:rsidP="000212F6">
      <w:pPr>
        <w:autoSpaceDE w:val="0"/>
        <w:autoSpaceDN w:val="0"/>
        <w:adjustRightInd w:val="0"/>
        <w:spacing w:before="160" w:afterLines="50" w:after="120" w:line="320" w:lineRule="exact"/>
        <w:rPr>
          <w:color w:val="000000"/>
        </w:rPr>
      </w:pPr>
      <w:r w:rsidRPr="000212F6">
        <w:rPr>
          <w:color w:val="000000"/>
        </w:rPr>
        <w:t xml:space="preserve">The recognition of a legitimate interest based on the need to gather further information may be accepted in exceptional </w:t>
      </w:r>
      <w:r w:rsidR="006928A2" w:rsidRPr="000212F6">
        <w:rPr>
          <w:color w:val="000000"/>
        </w:rPr>
        <w:t>cases but</w:t>
      </w:r>
      <w:r w:rsidRPr="000212F6">
        <w:rPr>
          <w:color w:val="000000"/>
        </w:rPr>
        <w:t xml:space="preserve"> gives rise to some reservations due to the inherently subjective nature of such an assessment. Determining when information is ‘sufficient’ for the market relies heavily on the issuer’s assessment. It is likely that the ex post supervisory authority could easily challenge this assessment. </w:t>
      </w:r>
    </w:p>
    <w:p w14:paraId="149CBFDF" w14:textId="50D45BD9" w:rsidR="00875EC2" w:rsidRDefault="001C5771" w:rsidP="000212F6">
      <w:pPr>
        <w:autoSpaceDE w:val="0"/>
        <w:autoSpaceDN w:val="0"/>
        <w:adjustRightInd w:val="0"/>
        <w:spacing w:before="160" w:afterLines="50" w:after="120" w:line="320" w:lineRule="exact"/>
        <w:rPr>
          <w:color w:val="000000"/>
        </w:rPr>
      </w:pPr>
      <w:r>
        <w:rPr>
          <w:color w:val="000000"/>
        </w:rPr>
        <w:t xml:space="preserve">This example </w:t>
      </w:r>
      <w:r w:rsidR="00DE4879">
        <w:rPr>
          <w:color w:val="000000"/>
        </w:rPr>
        <w:t xml:space="preserve">could also be transformed into </w:t>
      </w:r>
      <w:r w:rsidR="00094739">
        <w:rPr>
          <w:color w:val="000000"/>
        </w:rPr>
        <w:t xml:space="preserve">an </w:t>
      </w:r>
      <w:r w:rsidR="00DE4879">
        <w:rPr>
          <w:color w:val="000000"/>
        </w:rPr>
        <w:t xml:space="preserve">additional </w:t>
      </w:r>
      <w:r w:rsidR="00E44E22">
        <w:rPr>
          <w:color w:val="000000"/>
        </w:rPr>
        <w:t>wording</w:t>
      </w:r>
      <w:r w:rsidR="00DE4879">
        <w:rPr>
          <w:color w:val="000000"/>
        </w:rPr>
        <w:t xml:space="preserve"> into the</w:t>
      </w:r>
      <w:r w:rsidR="00094739">
        <w:rPr>
          <w:color w:val="000000"/>
        </w:rPr>
        <w:t xml:space="preserve"> Article 7</w:t>
      </w:r>
      <w:r w:rsidR="00710AB5">
        <w:rPr>
          <w:color w:val="000000"/>
        </w:rPr>
        <w:t xml:space="preserve"> </w:t>
      </w:r>
      <w:r w:rsidR="00875EC2">
        <w:rPr>
          <w:color w:val="000000"/>
        </w:rPr>
        <w:t xml:space="preserve">of the MAR regulation </w:t>
      </w:r>
      <w:r w:rsidR="00E44E22">
        <w:rPr>
          <w:color w:val="000000"/>
        </w:rPr>
        <w:t xml:space="preserve">to </w:t>
      </w:r>
      <w:r w:rsidR="00424928">
        <w:rPr>
          <w:color w:val="000000"/>
        </w:rPr>
        <w:t xml:space="preserve">take into consideration the </w:t>
      </w:r>
      <w:r w:rsidR="00424928" w:rsidRPr="00424928">
        <w:rPr>
          <w:color w:val="000000"/>
        </w:rPr>
        <w:t xml:space="preserve">need to collect information on the event or the circumstances </w:t>
      </w:r>
      <w:r w:rsidR="00424928">
        <w:rPr>
          <w:color w:val="000000"/>
        </w:rPr>
        <w:t>before disclosure</w:t>
      </w:r>
      <w:r w:rsidR="00875EC2">
        <w:rPr>
          <w:color w:val="000000"/>
        </w:rPr>
        <w:t xml:space="preserve">: </w:t>
      </w:r>
    </w:p>
    <w:p w14:paraId="46E6FEB0" w14:textId="1607CD6D" w:rsidR="0082737C" w:rsidRDefault="0082737C" w:rsidP="00A32C3D">
      <w:pPr>
        <w:pStyle w:val="Paragraphedeliste"/>
      </w:pPr>
      <w:r>
        <w:t xml:space="preserve">Article 7 (1) : </w:t>
      </w:r>
      <w:r w:rsidR="00A32C3D">
        <w:br/>
        <w:t>“</w:t>
      </w:r>
      <w:r w:rsidR="00E44E22">
        <w:rPr>
          <w:lang w:val="en-GB"/>
        </w:rPr>
        <w:t>I</w:t>
      </w:r>
      <w:r w:rsidR="00A32C3D" w:rsidRPr="00A32C3D">
        <w:rPr>
          <w:lang w:val="en-GB"/>
        </w:rPr>
        <w:t xml:space="preserve">nside information shall comprise the following types of information: </w:t>
      </w:r>
      <w:r w:rsidR="00E44E22">
        <w:rPr>
          <w:lang w:val="en-GB"/>
        </w:rPr>
        <w:br/>
      </w:r>
      <w:r w:rsidR="00A32C3D" w:rsidRPr="00A32C3D">
        <w:rPr>
          <w:lang w:val="en-GB"/>
        </w:rPr>
        <w:lastRenderedPageBreak/>
        <w:t xml:space="preserve">(a) </w:t>
      </w:r>
      <w:r w:rsidR="00A32C3D" w:rsidRPr="00E44E22">
        <w:rPr>
          <w:b/>
          <w:bCs/>
          <w:lang w:val="en-GB"/>
        </w:rPr>
        <w:t>information of a precise nature</w:t>
      </w:r>
      <w:r w:rsidR="00A32C3D" w:rsidRPr="00A32C3D">
        <w:rPr>
          <w:lang w:val="en-GB"/>
        </w:rPr>
        <w:t xml:space="preserve">, which has not been made public, relating, directly or indirectly, to one or more issuers or to one or more financial instruments, and which, if it were made public, would be likely to have a significant effect on the prices of those financial instruments or on the price of related derivative financial instruments; </w:t>
      </w:r>
      <w:r w:rsidR="00E44E22">
        <w:rPr>
          <w:lang w:val="en-GB"/>
        </w:rPr>
        <w:br/>
      </w:r>
    </w:p>
    <w:p w14:paraId="4C0D151B" w14:textId="681D4B84" w:rsidR="0082737C" w:rsidRDefault="00875EC2" w:rsidP="00A32C3D">
      <w:pPr>
        <w:pStyle w:val="Paragraphedeliste"/>
      </w:pPr>
      <w:r>
        <w:t xml:space="preserve">Article 7 </w:t>
      </w:r>
      <w:r w:rsidR="0082737C">
        <w:t>(2) :</w:t>
      </w:r>
    </w:p>
    <w:p w14:paraId="5A883632" w14:textId="47221F1C" w:rsidR="001C5771" w:rsidRPr="00875EC2" w:rsidRDefault="0082737C" w:rsidP="00A32C3D">
      <w:pPr>
        <w:ind w:left="720"/>
      </w:pPr>
      <w:r>
        <w:t>“</w:t>
      </w:r>
      <w:r w:rsidRPr="0082737C">
        <w:t xml:space="preserve">For the purposes of paragraph 1, information shall be deemed to be of a precise nature if it indicates a set of circumstances which exists or which may reasonably be expected to come into existence, </w:t>
      </w:r>
      <w:r w:rsidRPr="00A32C3D">
        <w:rPr>
          <w:b/>
          <w:bCs/>
        </w:rPr>
        <w:t>or an event which has occurred</w:t>
      </w:r>
      <w:r w:rsidRPr="0082737C">
        <w:t xml:space="preserve"> or which may reasonably be expected to occur, </w:t>
      </w:r>
      <w:r w:rsidRPr="00A32C3D">
        <w:rPr>
          <w:b/>
          <w:bCs/>
        </w:rPr>
        <w:t>where it is specific enough to enable a conclusion to be drawn as to the possible effect of that set of circumstances</w:t>
      </w:r>
      <w:r w:rsidRPr="0082737C">
        <w:t xml:space="preserve"> </w:t>
      </w:r>
      <w:r>
        <w:t>[…]”</w:t>
      </w:r>
      <w:r w:rsidR="00466EA3" w:rsidRPr="00875EC2">
        <w:t xml:space="preserve"> </w:t>
      </w:r>
      <w:r w:rsidR="00DE4879" w:rsidRPr="00875EC2">
        <w:t xml:space="preserve"> </w:t>
      </w:r>
    </w:p>
    <w:p w14:paraId="398D43C1" w14:textId="1A365F7B" w:rsidR="00182BBC" w:rsidRPr="001E726F" w:rsidRDefault="00152083" w:rsidP="00C77CF5">
      <w:pPr>
        <w:autoSpaceDE w:val="0"/>
        <w:autoSpaceDN w:val="0"/>
        <w:adjustRightInd w:val="0"/>
        <w:spacing w:before="160" w:afterLines="50" w:after="120" w:line="320" w:lineRule="exact"/>
        <w:rPr>
          <w:color w:val="auto"/>
        </w:rPr>
      </w:pPr>
      <w:r w:rsidRPr="001E726F">
        <w:rPr>
          <w:color w:val="auto"/>
        </w:rPr>
        <w:t>If examples are quoted, we suggest that the</w:t>
      </w:r>
      <w:r w:rsidR="00C11414" w:rsidRPr="001E726F">
        <w:rPr>
          <w:color w:val="auto"/>
        </w:rPr>
        <w:t>re are more tha</w:t>
      </w:r>
      <w:r w:rsidR="001E726F">
        <w:rPr>
          <w:color w:val="auto"/>
        </w:rPr>
        <w:t>n</w:t>
      </w:r>
      <w:r w:rsidR="00C11414" w:rsidRPr="001E726F">
        <w:rPr>
          <w:color w:val="auto"/>
        </w:rPr>
        <w:t xml:space="preserve"> the cyberattacks, such as </w:t>
      </w:r>
      <w:r w:rsidR="00182BBC" w:rsidRPr="001E726F">
        <w:rPr>
          <w:color w:val="auto"/>
        </w:rPr>
        <w:t xml:space="preserve">major climate events or geopolitical shocks </w:t>
      </w:r>
      <w:r w:rsidR="00C77CF5" w:rsidRPr="001E726F">
        <w:rPr>
          <w:color w:val="auto"/>
        </w:rPr>
        <w:t xml:space="preserve">to </w:t>
      </w:r>
      <w:r w:rsidR="00182BBC" w:rsidRPr="001E726F">
        <w:rPr>
          <w:color w:val="auto"/>
        </w:rPr>
        <w:t xml:space="preserve">ensure the guidelines remain adaptable to various exceptional circumstances. </w:t>
      </w:r>
    </w:p>
    <w:p w14:paraId="0C9893AA" w14:textId="09BFDC86" w:rsidR="00C77CF5" w:rsidRDefault="00C77CF5" w:rsidP="00C77CF5">
      <w:pPr>
        <w:autoSpaceDE w:val="0"/>
        <w:autoSpaceDN w:val="0"/>
        <w:adjustRightInd w:val="0"/>
        <w:spacing w:before="160" w:afterLines="50" w:after="120" w:line="320" w:lineRule="exact"/>
        <w:rPr>
          <w:color w:val="000000"/>
        </w:rPr>
      </w:pPr>
      <w:r w:rsidRPr="000212F6">
        <w:rPr>
          <w:b/>
          <w:bCs/>
          <w:i/>
          <w:iCs/>
          <w:color w:val="000000"/>
        </w:rPr>
        <w:t>Example #</w:t>
      </w:r>
      <w:r>
        <w:rPr>
          <w:b/>
          <w:bCs/>
          <w:i/>
          <w:iCs/>
          <w:color w:val="000000"/>
        </w:rPr>
        <w:t>3</w:t>
      </w:r>
      <w:r>
        <w:rPr>
          <w:color w:val="000000"/>
        </w:rPr>
        <w:t xml:space="preserve"> : </w:t>
      </w:r>
    </w:p>
    <w:p w14:paraId="3A2116FB" w14:textId="77777777" w:rsidR="00643974" w:rsidRDefault="00163BC9" w:rsidP="006B32BF">
      <w:pPr>
        <w:autoSpaceDE w:val="0"/>
        <w:autoSpaceDN w:val="0"/>
        <w:adjustRightInd w:val="0"/>
        <w:spacing w:before="160" w:afterLines="50" w:after="120" w:line="320" w:lineRule="exact"/>
        <w:jc w:val="left"/>
        <w:rPr>
          <w:color w:val="000000"/>
        </w:rPr>
      </w:pPr>
      <w:r w:rsidRPr="00163BC9">
        <w:rPr>
          <w:color w:val="000000"/>
        </w:rPr>
        <w:t xml:space="preserve">The recognition of a legitimate interest based on the risk of losing a business opportunity when participating in simultaneous tenders is a positive step, insofar as the disclosure of sensitive commercial information is likely to undermine the conditions for fair competition. </w:t>
      </w:r>
    </w:p>
    <w:p w14:paraId="0063EDF3" w14:textId="77777777" w:rsidR="00B11B77" w:rsidRDefault="00163BC9" w:rsidP="006B32BF">
      <w:pPr>
        <w:autoSpaceDE w:val="0"/>
        <w:autoSpaceDN w:val="0"/>
        <w:adjustRightInd w:val="0"/>
        <w:spacing w:before="160" w:afterLines="50" w:after="120" w:line="320" w:lineRule="exact"/>
        <w:jc w:val="left"/>
        <w:rPr>
          <w:color w:val="000000"/>
        </w:rPr>
      </w:pPr>
      <w:r w:rsidRPr="00163BC9">
        <w:rPr>
          <w:color w:val="000000"/>
        </w:rPr>
        <w:t xml:space="preserve">In this specific context, immediate publication may place the issuer at an unjustified competitive disadvantage by allowing competitors to adjust their bids. </w:t>
      </w:r>
    </w:p>
    <w:p w14:paraId="347807BA" w14:textId="2BC4E432" w:rsidR="00163BC9" w:rsidRDefault="00163BC9" w:rsidP="006B32BF">
      <w:pPr>
        <w:autoSpaceDE w:val="0"/>
        <w:autoSpaceDN w:val="0"/>
        <w:adjustRightInd w:val="0"/>
        <w:spacing w:before="160" w:afterLines="50" w:after="120" w:line="320" w:lineRule="exact"/>
        <w:jc w:val="left"/>
        <w:rPr>
          <w:color w:val="000000"/>
        </w:rPr>
      </w:pPr>
      <w:r w:rsidRPr="00163BC9">
        <w:rPr>
          <w:color w:val="000000"/>
        </w:rPr>
        <w:t>This is</w:t>
      </w:r>
      <w:r w:rsidR="00B11B77">
        <w:rPr>
          <w:color w:val="000000"/>
        </w:rPr>
        <w:t xml:space="preserve"> considered by small and mid-caps</w:t>
      </w:r>
      <w:r w:rsidRPr="00163BC9">
        <w:rPr>
          <w:color w:val="000000"/>
        </w:rPr>
        <w:t xml:space="preserve"> </w:t>
      </w:r>
      <w:r w:rsidR="006B32BF">
        <w:rPr>
          <w:color w:val="000000"/>
        </w:rPr>
        <w:t xml:space="preserve">as </w:t>
      </w:r>
      <w:r w:rsidRPr="00163BC9">
        <w:rPr>
          <w:color w:val="000000"/>
        </w:rPr>
        <w:t>an example of the inherent disadvantages of being listed, as an unlisted company has much greater freedom in its communications. This legitimate interest is consistent with the objective of preserving open competition and equal treatment in procurement procedures</w:t>
      </w:r>
      <w:r w:rsidR="00B11B77">
        <w:rPr>
          <w:color w:val="000000"/>
        </w:rPr>
        <w:t xml:space="preserve">. </w:t>
      </w:r>
    </w:p>
    <w:p w14:paraId="185656B1" w14:textId="0AE5E5EC" w:rsidR="00B11B77" w:rsidRPr="00163BC9" w:rsidRDefault="009B6A12" w:rsidP="006B32BF">
      <w:pPr>
        <w:autoSpaceDE w:val="0"/>
        <w:autoSpaceDN w:val="0"/>
        <w:adjustRightInd w:val="0"/>
        <w:spacing w:before="160" w:afterLines="50" w:after="120" w:line="320" w:lineRule="exact"/>
        <w:jc w:val="left"/>
        <w:rPr>
          <w:color w:val="000000"/>
        </w:rPr>
      </w:pPr>
      <w:r>
        <w:rPr>
          <w:color w:val="000000"/>
        </w:rPr>
        <w:t xml:space="preserve">We request </w:t>
      </w:r>
      <w:r w:rsidR="00B11B77">
        <w:rPr>
          <w:color w:val="000000"/>
        </w:rPr>
        <w:t>to open th</w:t>
      </w:r>
      <w:r w:rsidR="003D12AD">
        <w:rPr>
          <w:color w:val="000000"/>
        </w:rPr>
        <w:t>is case not only to public procurement procedure</w:t>
      </w:r>
      <w:r w:rsidR="00A9208F">
        <w:rPr>
          <w:color w:val="000000"/>
        </w:rPr>
        <w:t>s</w:t>
      </w:r>
      <w:r w:rsidR="003D12AD">
        <w:rPr>
          <w:color w:val="000000"/>
        </w:rPr>
        <w:t xml:space="preserve">, but also to </w:t>
      </w:r>
      <w:r w:rsidR="00A9208F">
        <w:rPr>
          <w:color w:val="000000"/>
        </w:rPr>
        <w:t xml:space="preserve">private procurement ones by making it more general. </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lastRenderedPageBreak/>
        <w:t>&lt;ESMA_QUESTION_MARG_3&gt;</w:t>
      </w:r>
    </w:p>
    <w:p w14:paraId="37AF402C" w14:textId="35E0A5B1" w:rsidR="00072151" w:rsidRDefault="00072151" w:rsidP="00072151">
      <w:pPr>
        <w:rPr>
          <w:rFonts w:asciiTheme="majorHAnsi" w:hAnsiTheme="majorHAnsi" w:cstheme="majorHAnsi"/>
          <w:szCs w:val="22"/>
        </w:rPr>
      </w:pPr>
      <w:permStart w:id="876955670" w:edGrp="everyone"/>
      <w:r w:rsidRPr="00072151">
        <w:rPr>
          <w:rFonts w:asciiTheme="majorHAnsi" w:hAnsiTheme="majorHAnsi" w:cstheme="majorHAnsi"/>
          <w:szCs w:val="22"/>
        </w:rPr>
        <w:t>Disclosure of sensitive commercial information may jeopardize issuers’ business opportunities in many ways.</w:t>
      </w:r>
      <w:r w:rsidR="000E3182">
        <w:rPr>
          <w:rFonts w:asciiTheme="majorHAnsi" w:hAnsiTheme="majorHAnsi" w:cstheme="majorHAnsi"/>
          <w:szCs w:val="22"/>
        </w:rPr>
        <w:t xml:space="preserve"> From the issuers perspective, it can</w:t>
      </w:r>
      <w:r w:rsidRPr="00072151">
        <w:rPr>
          <w:rFonts w:asciiTheme="majorHAnsi" w:hAnsiTheme="majorHAnsi" w:cstheme="majorHAnsi"/>
          <w:szCs w:val="22"/>
        </w:rPr>
        <w:t xml:space="preserve"> </w:t>
      </w:r>
      <w:r w:rsidR="006928A2" w:rsidRPr="00072151">
        <w:rPr>
          <w:rFonts w:asciiTheme="majorHAnsi" w:hAnsiTheme="majorHAnsi" w:cstheme="majorHAnsi"/>
          <w:szCs w:val="22"/>
        </w:rPr>
        <w:t>extremely be</w:t>
      </w:r>
      <w:r w:rsidRPr="00072151">
        <w:rPr>
          <w:rFonts w:asciiTheme="majorHAnsi" w:hAnsiTheme="majorHAnsi" w:cstheme="majorHAnsi"/>
          <w:szCs w:val="22"/>
        </w:rPr>
        <w:t xml:space="preserve"> difficult to assess, what kind of information constituting commercial secrecy could be considered unimportant by reasonable investor and thus could be kept confidential</w:t>
      </w:r>
      <w:r w:rsidR="000E3182">
        <w:rPr>
          <w:rFonts w:asciiTheme="majorHAnsi" w:hAnsiTheme="majorHAnsi" w:cstheme="majorHAnsi"/>
          <w:szCs w:val="22"/>
        </w:rPr>
        <w:t xml:space="preserve">. </w:t>
      </w:r>
    </w:p>
    <w:p w14:paraId="0BE8ECF3" w14:textId="397E6556" w:rsidR="000E3182" w:rsidRDefault="00CA685B" w:rsidP="00072151">
      <w:pPr>
        <w:rPr>
          <w:rFonts w:asciiTheme="majorHAnsi" w:hAnsiTheme="majorHAnsi" w:cstheme="majorHAnsi"/>
          <w:szCs w:val="22"/>
        </w:rPr>
      </w:pPr>
      <w:r>
        <w:rPr>
          <w:rFonts w:asciiTheme="majorHAnsi" w:hAnsiTheme="majorHAnsi" w:cstheme="majorHAnsi"/>
          <w:szCs w:val="22"/>
        </w:rPr>
        <w:t xml:space="preserve">Middlenext would like to stress out that extending a list of examples might lead to restrictions in the application </w:t>
      </w:r>
      <w:r w:rsidR="00A2366E">
        <w:rPr>
          <w:rFonts w:asciiTheme="majorHAnsi" w:hAnsiTheme="majorHAnsi" w:cstheme="majorHAnsi"/>
          <w:szCs w:val="22"/>
        </w:rPr>
        <w:t xml:space="preserve">of legitimate interest for delay, as some </w:t>
      </w:r>
      <w:r w:rsidR="00637321">
        <w:rPr>
          <w:rFonts w:asciiTheme="majorHAnsi" w:hAnsiTheme="majorHAnsi" w:cstheme="majorHAnsi"/>
          <w:szCs w:val="22"/>
        </w:rPr>
        <w:t xml:space="preserve">parties might have a very strict reading of the examples. Small and </w:t>
      </w:r>
      <w:r w:rsidR="00FF6209">
        <w:rPr>
          <w:rFonts w:asciiTheme="majorHAnsi" w:hAnsiTheme="majorHAnsi" w:cstheme="majorHAnsi"/>
          <w:szCs w:val="22"/>
        </w:rPr>
        <w:t>mid-caps</w:t>
      </w:r>
      <w:r w:rsidR="00637321">
        <w:rPr>
          <w:rFonts w:asciiTheme="majorHAnsi" w:hAnsiTheme="majorHAnsi" w:cstheme="majorHAnsi"/>
          <w:szCs w:val="22"/>
        </w:rPr>
        <w:t xml:space="preserve"> would rather have strong guiding principles. </w:t>
      </w:r>
    </w:p>
    <w:p w14:paraId="5ADD4582" w14:textId="471F22E6" w:rsidR="00637321" w:rsidRPr="00072151" w:rsidRDefault="00637321" w:rsidP="00072151">
      <w:pPr>
        <w:rPr>
          <w:rFonts w:asciiTheme="majorHAnsi" w:hAnsiTheme="majorHAnsi" w:cstheme="majorHAnsi"/>
          <w:szCs w:val="22"/>
        </w:rPr>
      </w:pPr>
      <w:r>
        <w:rPr>
          <w:rFonts w:asciiTheme="majorHAnsi" w:hAnsiTheme="majorHAnsi" w:cstheme="majorHAnsi"/>
          <w:szCs w:val="22"/>
        </w:rPr>
        <w:t xml:space="preserve">Nevertheless, we would like to </w:t>
      </w:r>
      <w:r w:rsidR="002A3814">
        <w:rPr>
          <w:rFonts w:asciiTheme="majorHAnsi" w:hAnsiTheme="majorHAnsi" w:cstheme="majorHAnsi"/>
          <w:szCs w:val="22"/>
        </w:rPr>
        <w:t>share with ESMA examples quoted by small and mid-caps on real life experiences</w:t>
      </w:r>
      <w:r w:rsidR="00FF6209">
        <w:rPr>
          <w:rFonts w:asciiTheme="majorHAnsi" w:hAnsiTheme="majorHAnsi" w:cstheme="majorHAnsi"/>
          <w:szCs w:val="22"/>
        </w:rPr>
        <w:t xml:space="preserve"> as inputs for a </w:t>
      </w:r>
      <w:r w:rsidR="00141BEF">
        <w:rPr>
          <w:rFonts w:asciiTheme="majorHAnsi" w:hAnsiTheme="majorHAnsi" w:cstheme="majorHAnsi"/>
          <w:szCs w:val="22"/>
        </w:rPr>
        <w:t xml:space="preserve">generic </w:t>
      </w:r>
      <w:r w:rsidR="006928A2">
        <w:rPr>
          <w:rFonts w:asciiTheme="majorHAnsi" w:hAnsiTheme="majorHAnsi" w:cstheme="majorHAnsi"/>
          <w:szCs w:val="22"/>
        </w:rPr>
        <w:t>guideline:</w:t>
      </w:r>
      <w:r w:rsidR="00141BEF">
        <w:rPr>
          <w:rFonts w:asciiTheme="majorHAnsi" w:hAnsiTheme="majorHAnsi" w:cstheme="majorHAnsi"/>
          <w:szCs w:val="22"/>
        </w:rPr>
        <w:t xml:space="preserve"> </w:t>
      </w:r>
    </w:p>
    <w:p w14:paraId="42CCFD61" w14:textId="08C46A13" w:rsidR="0074631E" w:rsidRDefault="0074631E" w:rsidP="0074631E">
      <w:r>
        <w:t xml:space="preserve">• </w:t>
      </w:r>
      <w:r w:rsidRPr="00BE4B24">
        <w:rPr>
          <w:b/>
          <w:bCs/>
        </w:rPr>
        <w:t>Advanced negotiations with a client or strategic partner</w:t>
      </w:r>
      <w:r>
        <w:t>: the disclosure of details relating to financial terms (prices, volumes, margins, exclusivity) before the agreement is finalised may weaken the issuer’s negotiating position or lead the other party to renegotiate on unfavourable terms.</w:t>
      </w:r>
    </w:p>
    <w:p w14:paraId="4D214063" w14:textId="067C770C" w:rsidR="0074631E" w:rsidRDefault="0074631E" w:rsidP="0074631E">
      <w:r>
        <w:t xml:space="preserve">• </w:t>
      </w:r>
      <w:r w:rsidRPr="00BE4B24">
        <w:rPr>
          <w:b/>
          <w:bCs/>
        </w:rPr>
        <w:t>Gradual commercial roll-out into new markets or the launch of an innovative offering</w:t>
      </w:r>
      <w:r>
        <w:t>: the premature disclosure of strategic information (positioning, pricing, roll-out schedule) may enable competitors to anticipate, adapt their offering or neutralise the intended competitive advantage.</w:t>
      </w:r>
    </w:p>
    <w:p w14:paraId="0FB0011E" w14:textId="2BAB82CF" w:rsidR="0074631E" w:rsidRDefault="0074631E" w:rsidP="0074631E">
      <w:r>
        <w:t xml:space="preserve">• </w:t>
      </w:r>
      <w:r w:rsidRPr="00BE4B24">
        <w:rPr>
          <w:b/>
          <w:bCs/>
        </w:rPr>
        <w:t>Renewal of significant contracts in a competitive environment</w:t>
      </w:r>
      <w:r>
        <w:t>: the disclosure of information relating to commercial performance or contractual terms under discussion may negatively influence the outcome of negotiations, particularly by encouraging competitors to align their positions.</w:t>
      </w:r>
    </w:p>
    <w:p w14:paraId="58A6939B" w14:textId="419DC97D" w:rsidR="000B3E67" w:rsidRDefault="0074631E" w:rsidP="0074631E">
      <w:r>
        <w:t>•</w:t>
      </w:r>
      <w:r w:rsidR="00BE4B24">
        <w:t xml:space="preserve"> </w:t>
      </w:r>
      <w:r w:rsidRPr="00BE4B24">
        <w:rPr>
          <w:b/>
          <w:bCs/>
        </w:rPr>
        <w:t>Exclusive distribution, licensing or partnership agreements</w:t>
      </w:r>
      <w:r>
        <w:t xml:space="preserve">: the early disclosure of the existence or financial terms of such agreements may jeopardise the conclusion of </w:t>
      </w:r>
      <w:r w:rsidR="000B3E67" w:rsidRPr="000B3E67">
        <w:t>related or competing contracts, or undermine the overall market coverage strategy</w:t>
      </w:r>
    </w:p>
    <w:p w14:paraId="4E760232" w14:textId="4ADEB527" w:rsidR="00D5360A" w:rsidRDefault="00D5360A" w:rsidP="0074631E">
      <w:r>
        <w:t xml:space="preserve">• </w:t>
      </w:r>
      <w:r w:rsidRPr="00D5360A">
        <w:rPr>
          <w:b/>
          <w:bCs/>
        </w:rPr>
        <w:t>Situations in which the issuer is dependent on multiple or sequential counterparties</w:t>
      </w:r>
      <w:r w:rsidRPr="00D5360A">
        <w:t>: where the conclusion of a business opportunity is contingent upon several successive stages or agreements, the early disclosure of an initial stage may jeopardise the subsequent ones.</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759289CF" w14:textId="2051EFEE" w:rsidR="00CE72CB" w:rsidRDefault="00A73EC9" w:rsidP="00CE72CB">
      <w:pPr>
        <w:rPr>
          <w:rFonts w:asciiTheme="majorHAnsi" w:hAnsiTheme="majorHAnsi" w:cstheme="majorHAnsi"/>
          <w:szCs w:val="22"/>
        </w:rPr>
      </w:pPr>
      <w:permStart w:id="1788426663" w:edGrp="everyone"/>
      <w:r>
        <w:rPr>
          <w:rFonts w:asciiTheme="majorHAnsi" w:hAnsiTheme="majorHAnsi" w:cstheme="majorHAnsi"/>
          <w:szCs w:val="22"/>
        </w:rPr>
        <w:lastRenderedPageBreak/>
        <w:t xml:space="preserve">As for Question 3, </w:t>
      </w:r>
      <w:r w:rsidR="00CE72CB">
        <w:rPr>
          <w:rFonts w:asciiTheme="majorHAnsi" w:hAnsiTheme="majorHAnsi" w:cstheme="majorHAnsi"/>
          <w:szCs w:val="22"/>
        </w:rPr>
        <w:t xml:space="preserve">Middlenext would like to stress out that extending a list of examples might lead to restrictions in the application of legitimate interest for delay, as some parties might have a very strict reading of the examples. Small and mid-caps would rather have strong guiding principles. </w:t>
      </w:r>
    </w:p>
    <w:p w14:paraId="174CBA44" w14:textId="45DC57A7" w:rsidR="00CE72CB" w:rsidRDefault="00CE72CB" w:rsidP="00CE72CB">
      <w:pPr>
        <w:jc w:val="left"/>
      </w:pPr>
      <w:r>
        <w:rPr>
          <w:rFonts w:asciiTheme="majorHAnsi" w:hAnsiTheme="majorHAnsi" w:cstheme="majorHAnsi"/>
          <w:szCs w:val="22"/>
        </w:rPr>
        <w:t xml:space="preserve">Nevertheless, we would like to share with ESMA examples quoted by small and mid-caps </w:t>
      </w:r>
      <w:r w:rsidR="00A73EC9">
        <w:rPr>
          <w:rFonts w:asciiTheme="majorHAnsi" w:hAnsiTheme="majorHAnsi" w:cstheme="majorHAnsi"/>
          <w:szCs w:val="22"/>
        </w:rPr>
        <w:t>:</w:t>
      </w:r>
    </w:p>
    <w:p w14:paraId="6CF40C16" w14:textId="46932DB1" w:rsidR="00997DE0" w:rsidRDefault="00A83677" w:rsidP="00A83677">
      <w:pPr>
        <w:jc w:val="left"/>
      </w:pPr>
      <w:r>
        <w:t xml:space="preserve">• </w:t>
      </w:r>
      <w:r w:rsidR="00997DE0" w:rsidRPr="00A83677">
        <w:rPr>
          <w:b/>
          <w:bCs/>
        </w:rPr>
        <w:t>Protection of sensitive strategic data (trade secrets):</w:t>
      </w:r>
      <w:r w:rsidR="00997DE0">
        <w:t xml:space="preserve"> in exceptional circumstances where immediate disclosure would reveal critical technical, industrial or commercial information that could cause the issuer to lose a vital and irreplaceable competitive advantage.</w:t>
      </w:r>
    </w:p>
    <w:p w14:paraId="65999771" w14:textId="77777777" w:rsidR="000D722F" w:rsidRDefault="00997DE0" w:rsidP="000D722F">
      <w:pPr>
        <w:jc w:val="left"/>
      </w:pPr>
      <w:r>
        <w:t>•</w:t>
      </w:r>
      <w:r w:rsidR="00A83677">
        <w:t xml:space="preserve"> </w:t>
      </w:r>
      <w:r w:rsidRPr="00A83677">
        <w:rPr>
          <w:b/>
          <w:bCs/>
        </w:rPr>
        <w:t>Crisis management situations requiring prior coordination</w:t>
      </w:r>
      <w:r>
        <w:t>: for example, where communication must be coordinated with key partners, sectoral authorities or other stakeholders in order to avoid contradictory or incomplete messages that could amplify negative market effects.</w:t>
      </w:r>
    </w:p>
    <w:p w14:paraId="109324B0" w14:textId="48C37309" w:rsidR="00252385" w:rsidRPr="000D722F" w:rsidRDefault="000D722F" w:rsidP="000D722F">
      <w:pPr>
        <w:jc w:val="left"/>
        <w:rPr>
          <w:rFonts w:asciiTheme="majorHAnsi" w:hAnsiTheme="majorHAnsi" w:cstheme="majorHAnsi"/>
          <w:color w:val="auto"/>
        </w:rPr>
      </w:pPr>
      <w:r>
        <w:t xml:space="preserve">• </w:t>
      </w:r>
      <w:r w:rsidR="00252385" w:rsidRPr="000D722F">
        <w:rPr>
          <w:rFonts w:asciiTheme="majorHAnsi" w:hAnsiTheme="majorHAnsi" w:cstheme="majorHAnsi"/>
          <w:b/>
          <w:bCs/>
          <w:color w:val="auto"/>
          <w:szCs w:val="22"/>
        </w:rPr>
        <w:t>Appointment of key managers or senior executives:</w:t>
      </w:r>
      <w:r w:rsidR="00252385" w:rsidRPr="000D722F">
        <w:rPr>
          <w:rFonts w:asciiTheme="majorHAnsi" w:hAnsiTheme="majorHAnsi" w:cstheme="majorHAnsi"/>
          <w:color w:val="auto"/>
          <w:szCs w:val="22"/>
        </w:rPr>
        <w:t xml:space="preserve"> </w:t>
      </w:r>
      <w:r>
        <w:rPr>
          <w:rFonts w:asciiTheme="majorHAnsi" w:hAnsiTheme="majorHAnsi" w:cstheme="majorHAnsi"/>
          <w:color w:val="auto"/>
          <w:szCs w:val="22"/>
        </w:rPr>
        <w:t xml:space="preserve">we </w:t>
      </w:r>
      <w:r w:rsidR="00252385" w:rsidRPr="000D722F">
        <w:rPr>
          <w:rFonts w:asciiTheme="majorHAnsi" w:hAnsiTheme="majorHAnsi" w:cstheme="majorHAnsi"/>
          <w:color w:val="auto"/>
          <w:szCs w:val="22"/>
        </w:rPr>
        <w:t>consider that the appointment of key managers or senior executives represents another situation in which immediate disclosure of inside information may adversely affect an issuer’s legitimate business interests and may therefore constitute a legitimate interest capable of justifying delayed disclosure under Article 17(4) MAR.</w:t>
      </w:r>
    </w:p>
    <w:p w14:paraId="5538C600" w14:textId="77777777" w:rsidR="0081523C" w:rsidRPr="000A7DCC" w:rsidRDefault="00A73EC9" w:rsidP="00252385">
      <w:pPr>
        <w:rPr>
          <w:rFonts w:asciiTheme="majorHAnsi" w:hAnsiTheme="majorHAnsi" w:cstheme="majorHAnsi"/>
          <w:color w:val="000000"/>
          <w:szCs w:val="22"/>
        </w:rPr>
      </w:pPr>
      <w:r w:rsidRPr="000A7DCC">
        <w:rPr>
          <w:rFonts w:asciiTheme="majorHAnsi" w:hAnsiTheme="majorHAnsi" w:cstheme="majorHAnsi"/>
          <w:color w:val="000000"/>
          <w:szCs w:val="22"/>
        </w:rPr>
        <w:t xml:space="preserve">Two additional </w:t>
      </w:r>
      <w:r w:rsidR="0081523C" w:rsidRPr="000A7DCC">
        <w:rPr>
          <w:rFonts w:asciiTheme="majorHAnsi" w:hAnsiTheme="majorHAnsi" w:cstheme="majorHAnsi"/>
          <w:color w:val="000000"/>
          <w:szCs w:val="22"/>
        </w:rPr>
        <w:t xml:space="preserve">remarks (outside the scope of question 4) : </w:t>
      </w:r>
    </w:p>
    <w:p w14:paraId="6A457C0F" w14:textId="73BE8B99" w:rsidR="00F86EA3" w:rsidRPr="00F86EA3" w:rsidRDefault="00BC19C2" w:rsidP="0081523C">
      <w:pPr>
        <w:pStyle w:val="Paragraphedeliste"/>
      </w:pPr>
      <w:r>
        <w:rPr>
          <w:lang w:val="en-GB"/>
        </w:rPr>
        <w:t xml:space="preserve">For an inside information which </w:t>
      </w:r>
      <w:r w:rsidR="00F86EA3">
        <w:rPr>
          <w:lang w:val="en-GB"/>
        </w:rPr>
        <w:t xml:space="preserve">topic does not lead to a conclusion, </w:t>
      </w:r>
      <w:r w:rsidR="00954929" w:rsidRPr="00954929">
        <w:rPr>
          <w:lang w:val="en-GB"/>
        </w:rPr>
        <w:t>what triggering event</w:t>
      </w:r>
      <w:r w:rsidR="00954929">
        <w:rPr>
          <w:lang w:val="en-GB"/>
        </w:rPr>
        <w:t xml:space="preserve"> should be considered to close the Insider list ? More generally, </w:t>
      </w:r>
      <w:r w:rsidR="00C26CD5">
        <w:rPr>
          <w:lang w:val="en-GB"/>
        </w:rPr>
        <w:t>delay in communication of privileged information is one important topic, but the underlying consequence of the Insider list management is</w:t>
      </w:r>
      <w:r w:rsidR="000A7DCC">
        <w:rPr>
          <w:lang w:val="en-GB"/>
        </w:rPr>
        <w:t xml:space="preserve"> one as important and complex. Considering additional guidelines on that topic could be helpful for issuers. </w:t>
      </w:r>
    </w:p>
    <w:p w14:paraId="29BE90A3" w14:textId="47A9FAF2" w:rsidR="00B7619F" w:rsidRDefault="000A7DCC" w:rsidP="0081523C">
      <w:pPr>
        <w:pStyle w:val="Paragraphedeliste"/>
      </w:pPr>
      <w:r>
        <w:t xml:space="preserve">The </w:t>
      </w:r>
      <w:r w:rsidR="00252385" w:rsidRPr="00C63531">
        <w:t>final guidelines are expected to be published in Q4 2026</w:t>
      </w:r>
      <w:r>
        <w:t xml:space="preserve"> : </w:t>
      </w:r>
      <w:r w:rsidR="00E41AA6">
        <w:t xml:space="preserve">a communication of the rules applying between June, </w:t>
      </w:r>
      <w:r w:rsidR="00B02D5A">
        <w:t>5</w:t>
      </w:r>
      <w:r w:rsidR="00E41AA6">
        <w:t xml:space="preserve"> 2026 and the publication of final guidelines will be help</w:t>
      </w:r>
      <w:r w:rsidR="00E109FC">
        <w:t>ful for small and mid-caps.</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4401" w14:textId="77777777" w:rsidR="00EB0C3A" w:rsidRDefault="00EB0C3A" w:rsidP="007E7997">
      <w:pPr>
        <w:spacing w:line="240" w:lineRule="auto"/>
      </w:pPr>
      <w:r>
        <w:separator/>
      </w:r>
    </w:p>
  </w:endnote>
  <w:endnote w:type="continuationSeparator" w:id="0">
    <w:p w14:paraId="2D0126F5" w14:textId="77777777" w:rsidR="00EB0C3A" w:rsidRDefault="00EB0C3A" w:rsidP="007E7997">
      <w:pPr>
        <w:spacing w:line="240" w:lineRule="auto"/>
      </w:pPr>
      <w:r>
        <w:continuationSeparator/>
      </w:r>
    </w:p>
  </w:endnote>
  <w:endnote w:type="continuationNotice" w:id="1">
    <w:p w14:paraId="5EE568C3" w14:textId="77777777" w:rsidR="00EB0C3A" w:rsidRDefault="00EB0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96F1" w14:textId="77777777" w:rsidR="00EB0C3A" w:rsidRDefault="00EB0C3A" w:rsidP="007E7997">
      <w:pPr>
        <w:spacing w:line="240" w:lineRule="auto"/>
      </w:pPr>
      <w:r>
        <w:separator/>
      </w:r>
    </w:p>
  </w:footnote>
  <w:footnote w:type="continuationSeparator" w:id="0">
    <w:p w14:paraId="119AF5DB" w14:textId="77777777" w:rsidR="00EB0C3A" w:rsidRDefault="00EB0C3A" w:rsidP="007E7997">
      <w:pPr>
        <w:spacing w:line="240" w:lineRule="auto"/>
      </w:pPr>
      <w:r>
        <w:continuationSeparator/>
      </w:r>
    </w:p>
  </w:footnote>
  <w:footnote w:type="continuationNotice" w:id="1">
    <w:p w14:paraId="44CC0BCF" w14:textId="77777777" w:rsidR="00EB0C3A" w:rsidRDefault="00EB0C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En-tte"/>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A9762F8"/>
    <w:multiLevelType w:val="hybridMultilevel"/>
    <w:tmpl w:val="2A460C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165C83"/>
    <w:multiLevelType w:val="hybridMultilevel"/>
    <w:tmpl w:val="0CEAE66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E600A"/>
    <w:multiLevelType w:val="multilevel"/>
    <w:tmpl w:val="BDF635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A2070"/>
    <w:multiLevelType w:val="hybridMultilevel"/>
    <w:tmpl w:val="333AC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87A46"/>
    <w:multiLevelType w:val="hybridMultilevel"/>
    <w:tmpl w:val="E97257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BE0A52"/>
    <w:multiLevelType w:val="hybridMultilevel"/>
    <w:tmpl w:val="572A625E"/>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7FD45E8"/>
    <w:multiLevelType w:val="hybridMultilevel"/>
    <w:tmpl w:val="7794DAA4"/>
    <w:lvl w:ilvl="0" w:tplc="61BA9408">
      <w:numFmt w:val="bullet"/>
      <w:pStyle w:val="Paragraphedeliste"/>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8"/>
  </w:num>
  <w:num w:numId="2" w16cid:durableId="270287514">
    <w:abstractNumId w:val="10"/>
  </w:num>
  <w:num w:numId="3" w16cid:durableId="1675497260">
    <w:abstractNumId w:val="15"/>
  </w:num>
  <w:num w:numId="4" w16cid:durableId="1146706333">
    <w:abstractNumId w:val="9"/>
  </w:num>
  <w:num w:numId="5" w16cid:durableId="1502348752">
    <w:abstractNumId w:val="0"/>
  </w:num>
  <w:num w:numId="6" w16cid:durableId="1544101585">
    <w:abstractNumId w:val="11"/>
  </w:num>
  <w:num w:numId="7" w16cid:durableId="896626050">
    <w:abstractNumId w:val="19"/>
  </w:num>
  <w:num w:numId="8" w16cid:durableId="806780153">
    <w:abstractNumId w:val="6"/>
  </w:num>
  <w:num w:numId="9" w16cid:durableId="1677002603">
    <w:abstractNumId w:val="17"/>
  </w:num>
  <w:num w:numId="10" w16cid:durableId="22487393">
    <w:abstractNumId w:val="14"/>
  </w:num>
  <w:num w:numId="11" w16cid:durableId="270942799">
    <w:abstractNumId w:val="13"/>
  </w:num>
  <w:num w:numId="12" w16cid:durableId="10230698">
    <w:abstractNumId w:val="13"/>
    <w:lvlOverride w:ilvl="0">
      <w:startOverride w:val="1"/>
    </w:lvlOverride>
  </w:num>
  <w:num w:numId="13" w16cid:durableId="1914856611">
    <w:abstractNumId w:val="3"/>
  </w:num>
  <w:num w:numId="14" w16cid:durableId="297614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2"/>
  </w:num>
  <w:num w:numId="17" w16cid:durableId="1143811635">
    <w:abstractNumId w:val="16"/>
  </w:num>
  <w:num w:numId="18" w16cid:durableId="434402530">
    <w:abstractNumId w:val="4"/>
  </w:num>
  <w:num w:numId="19" w16cid:durableId="822431115">
    <w:abstractNumId w:val="2"/>
  </w:num>
  <w:num w:numId="20" w16cid:durableId="1141461261">
    <w:abstractNumId w:val="8"/>
  </w:num>
  <w:num w:numId="21" w16cid:durableId="1456169980">
    <w:abstractNumId w:val="1"/>
  </w:num>
  <w:num w:numId="22" w16cid:durableId="1741556161">
    <w:abstractNumId w:val="7"/>
  </w:num>
  <w:num w:numId="23" w16cid:durableId="200319246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2F6"/>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151"/>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AC1"/>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739"/>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A7DC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3E67"/>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294"/>
    <w:rsid w:val="000D3569"/>
    <w:rsid w:val="000D3661"/>
    <w:rsid w:val="000D42F2"/>
    <w:rsid w:val="000D48AC"/>
    <w:rsid w:val="000D4B4E"/>
    <w:rsid w:val="000D4E31"/>
    <w:rsid w:val="000D4E48"/>
    <w:rsid w:val="000D5244"/>
    <w:rsid w:val="000D529F"/>
    <w:rsid w:val="000D5598"/>
    <w:rsid w:val="000D6245"/>
    <w:rsid w:val="000D6B06"/>
    <w:rsid w:val="000D722F"/>
    <w:rsid w:val="000D78CF"/>
    <w:rsid w:val="000E02A3"/>
    <w:rsid w:val="000E03E9"/>
    <w:rsid w:val="000E07ED"/>
    <w:rsid w:val="000E0ECD"/>
    <w:rsid w:val="000E10A4"/>
    <w:rsid w:val="000E19CE"/>
    <w:rsid w:val="000E1A33"/>
    <w:rsid w:val="000E23D5"/>
    <w:rsid w:val="000E3182"/>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6F9E"/>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1BD5"/>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1BEF"/>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083"/>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3BC9"/>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BBC"/>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3CB8"/>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5D69"/>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0D3"/>
    <w:rsid w:val="001B4996"/>
    <w:rsid w:val="001B4AE1"/>
    <w:rsid w:val="001B5283"/>
    <w:rsid w:val="001B55D4"/>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771"/>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26F"/>
    <w:rsid w:val="001E7D54"/>
    <w:rsid w:val="001E7E49"/>
    <w:rsid w:val="001F01C8"/>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385"/>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3814"/>
    <w:rsid w:val="002A4B6B"/>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1D8"/>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01D"/>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681"/>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2AD"/>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590"/>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28"/>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646"/>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4F5C"/>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6EA3"/>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98"/>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C2"/>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1D4"/>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8F4"/>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0BA6"/>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4BC"/>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453"/>
    <w:rsid w:val="0063565E"/>
    <w:rsid w:val="00635A12"/>
    <w:rsid w:val="00635BCA"/>
    <w:rsid w:val="00635DDF"/>
    <w:rsid w:val="00636458"/>
    <w:rsid w:val="00636533"/>
    <w:rsid w:val="0063668A"/>
    <w:rsid w:val="006367CF"/>
    <w:rsid w:val="00636C24"/>
    <w:rsid w:val="00636E02"/>
    <w:rsid w:val="00637321"/>
    <w:rsid w:val="00637437"/>
    <w:rsid w:val="00637A4E"/>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974"/>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7CA"/>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4ED1"/>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95E"/>
    <w:rsid w:val="00673AC8"/>
    <w:rsid w:val="00673C5E"/>
    <w:rsid w:val="00673FAB"/>
    <w:rsid w:val="00674523"/>
    <w:rsid w:val="006745A4"/>
    <w:rsid w:val="00674C26"/>
    <w:rsid w:val="0067523C"/>
    <w:rsid w:val="00675955"/>
    <w:rsid w:val="00675B81"/>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A2"/>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48F"/>
    <w:rsid w:val="006B2757"/>
    <w:rsid w:val="006B28B3"/>
    <w:rsid w:val="006B2B20"/>
    <w:rsid w:val="006B30A1"/>
    <w:rsid w:val="006B32BF"/>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22"/>
    <w:rsid w:val="007009D6"/>
    <w:rsid w:val="00700F4C"/>
    <w:rsid w:val="00700FC6"/>
    <w:rsid w:val="00701127"/>
    <w:rsid w:val="0070137A"/>
    <w:rsid w:val="0070175C"/>
    <w:rsid w:val="0070177E"/>
    <w:rsid w:val="0070204F"/>
    <w:rsid w:val="007023F5"/>
    <w:rsid w:val="00702B3B"/>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AB5"/>
    <w:rsid w:val="00710E18"/>
    <w:rsid w:val="007118DF"/>
    <w:rsid w:val="00711E12"/>
    <w:rsid w:val="00712300"/>
    <w:rsid w:val="00712376"/>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2FB"/>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1E"/>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517"/>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23C"/>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37C"/>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370"/>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5EC2"/>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86E"/>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D6B"/>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DB"/>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0EF7"/>
    <w:rsid w:val="009218FA"/>
    <w:rsid w:val="00921A82"/>
    <w:rsid w:val="00921AC7"/>
    <w:rsid w:val="00922423"/>
    <w:rsid w:val="00922C37"/>
    <w:rsid w:val="009231E2"/>
    <w:rsid w:val="0092328A"/>
    <w:rsid w:val="00923500"/>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929"/>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394"/>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97DE0"/>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A12"/>
    <w:rsid w:val="009B6CC6"/>
    <w:rsid w:val="009B6EDC"/>
    <w:rsid w:val="009B7563"/>
    <w:rsid w:val="009B7753"/>
    <w:rsid w:val="009B7EEA"/>
    <w:rsid w:val="009C004F"/>
    <w:rsid w:val="009C0D0A"/>
    <w:rsid w:val="009C0EB5"/>
    <w:rsid w:val="009C0F5C"/>
    <w:rsid w:val="009C1132"/>
    <w:rsid w:val="009C1A3D"/>
    <w:rsid w:val="009C1AFC"/>
    <w:rsid w:val="009C2046"/>
    <w:rsid w:val="009C275D"/>
    <w:rsid w:val="009C2AA0"/>
    <w:rsid w:val="009C2AEA"/>
    <w:rsid w:val="009C42C5"/>
    <w:rsid w:val="009C4305"/>
    <w:rsid w:val="009C431D"/>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14D"/>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9F75E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66E"/>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2C3D"/>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50E"/>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3EC9"/>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677"/>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08F"/>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BF0"/>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2FBF"/>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2D5A"/>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77"/>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4F3A"/>
    <w:rsid w:val="00B353DD"/>
    <w:rsid w:val="00B35640"/>
    <w:rsid w:val="00B35CB9"/>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0906"/>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0A22"/>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9C2"/>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9DB"/>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B24"/>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414"/>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6810"/>
    <w:rsid w:val="00C26CD5"/>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6C8"/>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CF5"/>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685B"/>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2CB"/>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C92"/>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60A"/>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0DF"/>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A7BFE"/>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4879"/>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09FC"/>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16CD1"/>
    <w:rsid w:val="00E203AD"/>
    <w:rsid w:val="00E2046D"/>
    <w:rsid w:val="00E205E7"/>
    <w:rsid w:val="00E211F0"/>
    <w:rsid w:val="00E21617"/>
    <w:rsid w:val="00E21E5A"/>
    <w:rsid w:val="00E22561"/>
    <w:rsid w:val="00E2298F"/>
    <w:rsid w:val="00E22AD2"/>
    <w:rsid w:val="00E2321A"/>
    <w:rsid w:val="00E23712"/>
    <w:rsid w:val="00E2375C"/>
    <w:rsid w:val="00E23D2F"/>
    <w:rsid w:val="00E2423D"/>
    <w:rsid w:val="00E24500"/>
    <w:rsid w:val="00E24894"/>
    <w:rsid w:val="00E24A24"/>
    <w:rsid w:val="00E24A46"/>
    <w:rsid w:val="00E24F18"/>
    <w:rsid w:val="00E250D4"/>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1AA6"/>
    <w:rsid w:val="00E425DC"/>
    <w:rsid w:val="00E42696"/>
    <w:rsid w:val="00E4287B"/>
    <w:rsid w:val="00E43112"/>
    <w:rsid w:val="00E43749"/>
    <w:rsid w:val="00E43B0B"/>
    <w:rsid w:val="00E43B7E"/>
    <w:rsid w:val="00E44068"/>
    <w:rsid w:val="00E44284"/>
    <w:rsid w:val="00E442B0"/>
    <w:rsid w:val="00E44355"/>
    <w:rsid w:val="00E4449E"/>
    <w:rsid w:val="00E44E22"/>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74F"/>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5D0F"/>
    <w:rsid w:val="00EA6FCF"/>
    <w:rsid w:val="00EA7023"/>
    <w:rsid w:val="00EA7104"/>
    <w:rsid w:val="00EA71D8"/>
    <w:rsid w:val="00EA7304"/>
    <w:rsid w:val="00EA7355"/>
    <w:rsid w:val="00EA7406"/>
    <w:rsid w:val="00EA789D"/>
    <w:rsid w:val="00EA7974"/>
    <w:rsid w:val="00EA7A24"/>
    <w:rsid w:val="00EA7BF3"/>
    <w:rsid w:val="00EB017E"/>
    <w:rsid w:val="00EB04CA"/>
    <w:rsid w:val="00EB0C3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57A"/>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7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5FAF"/>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080A"/>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7E"/>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57FE7"/>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6EA3"/>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6F87"/>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209"/>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
    <w:basedOn w:val="Normal"/>
    <w:link w:val="ParagraphedelisteCar"/>
    <w:autoRedefine/>
    <w:uiPriority w:val="34"/>
    <w:qFormat/>
    <w:rsid w:val="00A32C3D"/>
    <w:pPr>
      <w:numPr>
        <w:numId w:val="17"/>
      </w:numPr>
      <w:autoSpaceDE w:val="0"/>
      <w:autoSpaceDN w:val="0"/>
      <w:adjustRightInd w:val="0"/>
      <w:spacing w:before="160" w:afterLines="50" w:after="120" w:line="320" w:lineRule="exact"/>
      <w:jc w:val="left"/>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Policepardfau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
    <w:link w:val="Paragraphedeliste"/>
    <w:uiPriority w:val="34"/>
    <w:locked/>
    <w:rsid w:val="00A32C3D"/>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para">
    <w:name w:val="para"/>
    <w:basedOn w:val="Paragraphedelist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Policepardfaut"/>
    <w:link w:val="para"/>
    <w:rsid w:val="00641F03"/>
    <w:rPr>
      <w:bCs/>
      <w:iCs/>
      <w:color w:val="181818" w:themeColor="background1" w:themeShade="1A"/>
      <w:sz w:val="22"/>
      <w:lang w:val="en-GB"/>
    </w:rPr>
  </w:style>
  <w:style w:type="paragraph" w:styleId="NormalWeb">
    <w:name w:val="Normal (Web)"/>
    <w:basedOn w:val="Normal"/>
    <w:uiPriority w:val="99"/>
    <w:semiHidden/>
    <w:unhideWhenUsed/>
    <w:rsid w:val="00AA5B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Textedelespacerserv"/>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Textedelespacerserv"/>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A4B6B"/>
    <w:rsid w:val="002B46E7"/>
    <w:rsid w:val="0034145D"/>
    <w:rsid w:val="003D1413"/>
    <w:rsid w:val="00400F2F"/>
    <w:rsid w:val="004806A6"/>
    <w:rsid w:val="00481174"/>
    <w:rsid w:val="004C7C86"/>
    <w:rsid w:val="004D67E0"/>
    <w:rsid w:val="004E4CF9"/>
    <w:rsid w:val="00591427"/>
    <w:rsid w:val="005D0BA6"/>
    <w:rsid w:val="005D66AB"/>
    <w:rsid w:val="006216AC"/>
    <w:rsid w:val="00637A4E"/>
    <w:rsid w:val="00655287"/>
    <w:rsid w:val="006D3543"/>
    <w:rsid w:val="00717A33"/>
    <w:rsid w:val="00736117"/>
    <w:rsid w:val="00740052"/>
    <w:rsid w:val="00813189"/>
    <w:rsid w:val="00813EAE"/>
    <w:rsid w:val="008222A0"/>
    <w:rsid w:val="00836D47"/>
    <w:rsid w:val="00982D57"/>
    <w:rsid w:val="00993537"/>
    <w:rsid w:val="009B6B9C"/>
    <w:rsid w:val="009C0B17"/>
    <w:rsid w:val="00A44918"/>
    <w:rsid w:val="00A563E1"/>
    <w:rsid w:val="00AB7362"/>
    <w:rsid w:val="00B22006"/>
    <w:rsid w:val="00B46CAE"/>
    <w:rsid w:val="00C006E6"/>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91195BD24B64498D3054A01A6CF47" ma:contentTypeVersion="19" ma:contentTypeDescription="Crée un document." ma:contentTypeScope="" ma:versionID="1e61952ad1203cc7768527b81879e056">
  <xsd:schema xmlns:xsd="http://www.w3.org/2001/XMLSchema" xmlns:xs="http://www.w3.org/2001/XMLSchema" xmlns:p="http://schemas.microsoft.com/office/2006/metadata/properties" xmlns:ns2="63d34618-7240-40d2-b953-d120d96174c4" xmlns:ns3="1eb8f0eb-409b-4231-adbb-6fe44e6936ae" targetNamespace="http://schemas.microsoft.com/office/2006/metadata/properties" ma:root="true" ma:fieldsID="45b84d3db0fdd8d2bbcf983c2e50b61d" ns2:_="" ns3:_="">
    <xsd:import namespace="63d34618-7240-40d2-b953-d120d96174c4"/>
    <xsd:import namespace="1eb8f0eb-409b-4231-adbb-6fe44e693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34618-7240-40d2-b953-d120d961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db823d-3cfa-4819-8eab-a3f6ef294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b8f0eb-409b-4231-adbb-6fe44e693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79940b-69a7-4e69-88c0-ca4120bff2f7}" ma:internalName="TaxCatchAll" ma:showField="CatchAllData" ma:web="1eb8f0eb-409b-4231-adbb-6fe44e6936a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eb8f0eb-409b-4231-adbb-6fe44e6936ae" xsi:nil="true"/>
    <lcf76f155ced4ddcb4097134ff3c332f xmlns="63d34618-7240-40d2-b953-d120d96174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914B28B1-CCE7-47E2-951F-0756BC55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34618-7240-40d2-b953-d120d96174c4"/>
    <ds:schemaRef ds:uri="1eb8f0eb-409b-4231-adbb-6fe44e693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1eb8f0eb-409b-4231-adbb-6fe44e6936ae"/>
    <ds:schemaRef ds:uri="63d34618-7240-40d2-b953-d120d96174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2411</Words>
  <Characters>13263</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Florence LAVOISSIERE</cp:lastModifiedBy>
  <cp:revision>117</cp:revision>
  <cp:lastPrinted>2023-09-09T00:53:00Z</cp:lastPrinted>
  <dcterms:created xsi:type="dcterms:W3CDTF">2026-04-27T14:50:00Z</dcterms:created>
  <dcterms:modified xsi:type="dcterms:W3CDTF">2026-04-29T14:48:00Z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0x01010022391195BD24B64498D3054A01A6CF47</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y fmtid="{D5CDD505-2E9C-101B-9397-08002B2CF9AE}" pid="27" name="MediaServiceImageTags">
    <vt:lpwstr/>
  </property>
</Properties>
</file>