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25611ECB"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170167DD" w:rsidR="00635BCA" w:rsidRPr="00557BD2" w:rsidRDefault="00343C4F" w:rsidP="00D21C35">
                <w:r>
                  <w:t>FESE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0FF4DE1F" w:rsidR="00B17279" w:rsidRDefault="00343C4F"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401478327" w:edGrp="everyone" w:displacedByCustomXml="prev"/>
            <w:tc>
              <w:tcPr>
                <w:tcW w:w="4531" w:type="dxa"/>
              </w:tcPr>
              <w:p w14:paraId="10359AFE" w14:textId="763DF85A" w:rsidR="00B17279" w:rsidRDefault="00343C4F"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0149697B" w:rsidR="00B17279" w:rsidRPr="00557BD2" w:rsidRDefault="00343C4F" w:rsidP="00B17279">
                <w:r>
                  <w:t>Belgium</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7D984A98" w14:textId="77777777" w:rsidR="00172483" w:rsidRPr="00FD12AC" w:rsidRDefault="00172483" w:rsidP="00172483">
      <w:pPr>
        <w:pStyle w:val="BodyText"/>
        <w:ind w:right="94"/>
        <w:rPr>
          <w:rFonts w:asciiTheme="majorHAnsi" w:hAnsiTheme="majorHAnsi" w:cstheme="majorHAnsi"/>
        </w:rPr>
      </w:pPr>
      <w:permStart w:id="627510576" w:edGrp="everyone"/>
      <w:r w:rsidRPr="00FD12AC">
        <w:rPr>
          <w:rFonts w:asciiTheme="majorHAnsi" w:hAnsiTheme="majorHAnsi" w:cstheme="majorHAnsi"/>
        </w:rPr>
        <w:t>No. This guideline text relates to recital 50 of MAR, which contains examples of situations where immediate disclosure is likely to prejudice the legitimate interests of the issuer. The recital text is clearly framed as protecting negotiations to ensure the issuer’s financial viability, not allowing the issuer to withhold stand-alone inside information about its financial situation from investors.</w:t>
      </w:r>
    </w:p>
    <w:p w14:paraId="5672A274" w14:textId="77777777" w:rsidR="00172483" w:rsidRPr="00FD12AC" w:rsidRDefault="00172483" w:rsidP="00172483">
      <w:pPr>
        <w:pStyle w:val="BodyText"/>
        <w:spacing w:before="79"/>
        <w:ind w:right="98"/>
        <w:rPr>
          <w:rFonts w:asciiTheme="majorHAnsi" w:hAnsiTheme="majorHAnsi" w:cstheme="majorHAnsi"/>
        </w:rPr>
      </w:pPr>
      <w:r w:rsidRPr="00FD12AC">
        <w:rPr>
          <w:rFonts w:asciiTheme="majorHAnsi" w:hAnsiTheme="majorHAnsi" w:cstheme="majorHAnsi"/>
        </w:rPr>
        <w:t>However, the legitimate interest in point b may be misunderstood as allowing issuers to delay disclosure of adverse inside information about its financial situations broadly. Such information is usually</w:t>
      </w:r>
      <w:r w:rsidRPr="00FD12AC">
        <w:rPr>
          <w:rFonts w:asciiTheme="majorHAnsi" w:hAnsiTheme="majorHAnsi" w:cstheme="majorHAnsi"/>
          <w:spacing w:val="-2"/>
        </w:rPr>
        <w:t xml:space="preserve"> </w:t>
      </w:r>
      <w:r w:rsidRPr="00FD12AC">
        <w:rPr>
          <w:rFonts w:asciiTheme="majorHAnsi" w:hAnsiTheme="majorHAnsi" w:cstheme="majorHAnsi"/>
        </w:rPr>
        <w:t>very</w:t>
      </w:r>
      <w:r w:rsidRPr="00FD12AC">
        <w:rPr>
          <w:rFonts w:asciiTheme="majorHAnsi" w:hAnsiTheme="majorHAnsi" w:cstheme="majorHAnsi"/>
          <w:spacing w:val="-3"/>
        </w:rPr>
        <w:t xml:space="preserve"> </w:t>
      </w:r>
      <w:r w:rsidRPr="00FD12AC">
        <w:rPr>
          <w:rFonts w:asciiTheme="majorHAnsi" w:hAnsiTheme="majorHAnsi" w:cstheme="majorHAnsi"/>
        </w:rPr>
        <w:t>consequential</w:t>
      </w:r>
      <w:r w:rsidRPr="00FD12AC">
        <w:rPr>
          <w:rFonts w:asciiTheme="majorHAnsi" w:hAnsiTheme="majorHAnsi" w:cstheme="majorHAnsi"/>
          <w:spacing w:val="-5"/>
        </w:rPr>
        <w:t xml:space="preserve"> </w:t>
      </w:r>
      <w:r w:rsidRPr="00FD12AC">
        <w:rPr>
          <w:rFonts w:asciiTheme="majorHAnsi" w:hAnsiTheme="majorHAnsi" w:cstheme="majorHAnsi"/>
        </w:rPr>
        <w:t>to</w:t>
      </w:r>
      <w:r w:rsidRPr="00FD12AC">
        <w:rPr>
          <w:rFonts w:asciiTheme="majorHAnsi" w:hAnsiTheme="majorHAnsi" w:cstheme="majorHAnsi"/>
          <w:spacing w:val="-2"/>
        </w:rPr>
        <w:t xml:space="preserve"> </w:t>
      </w:r>
      <w:r w:rsidRPr="00FD12AC">
        <w:rPr>
          <w:rFonts w:asciiTheme="majorHAnsi" w:hAnsiTheme="majorHAnsi" w:cstheme="majorHAnsi"/>
        </w:rPr>
        <w:t>investors,</w:t>
      </w:r>
      <w:r w:rsidRPr="00FD12AC">
        <w:rPr>
          <w:rFonts w:asciiTheme="majorHAnsi" w:hAnsiTheme="majorHAnsi" w:cstheme="majorHAnsi"/>
          <w:spacing w:val="-2"/>
        </w:rPr>
        <w:t xml:space="preserve"> </w:t>
      </w:r>
      <w:r w:rsidRPr="00FD12AC">
        <w:rPr>
          <w:rFonts w:asciiTheme="majorHAnsi" w:hAnsiTheme="majorHAnsi" w:cstheme="majorHAnsi"/>
        </w:rPr>
        <w:t>and</w:t>
      </w:r>
      <w:r w:rsidRPr="00FD12AC">
        <w:rPr>
          <w:rFonts w:asciiTheme="majorHAnsi" w:hAnsiTheme="majorHAnsi" w:cstheme="majorHAnsi"/>
          <w:spacing w:val="-3"/>
        </w:rPr>
        <w:t xml:space="preserve"> </w:t>
      </w:r>
      <w:r w:rsidRPr="00FD12AC">
        <w:rPr>
          <w:rFonts w:asciiTheme="majorHAnsi" w:hAnsiTheme="majorHAnsi" w:cstheme="majorHAnsi"/>
        </w:rPr>
        <w:t>wrongful</w:t>
      </w:r>
      <w:r w:rsidRPr="00FD12AC">
        <w:rPr>
          <w:rFonts w:asciiTheme="majorHAnsi" w:hAnsiTheme="majorHAnsi" w:cstheme="majorHAnsi"/>
          <w:spacing w:val="-4"/>
        </w:rPr>
        <w:t xml:space="preserve"> </w:t>
      </w:r>
      <w:r w:rsidRPr="00FD12AC">
        <w:rPr>
          <w:rFonts w:asciiTheme="majorHAnsi" w:hAnsiTheme="majorHAnsi" w:cstheme="majorHAnsi"/>
        </w:rPr>
        <w:t>delays</w:t>
      </w:r>
      <w:r w:rsidRPr="00FD12AC">
        <w:rPr>
          <w:rFonts w:asciiTheme="majorHAnsi" w:hAnsiTheme="majorHAnsi" w:cstheme="majorHAnsi"/>
          <w:spacing w:val="-2"/>
        </w:rPr>
        <w:t xml:space="preserve"> </w:t>
      </w:r>
      <w:r w:rsidRPr="00FD12AC">
        <w:rPr>
          <w:rFonts w:asciiTheme="majorHAnsi" w:hAnsiTheme="majorHAnsi" w:cstheme="majorHAnsi"/>
        </w:rPr>
        <w:t>resulting</w:t>
      </w:r>
      <w:r w:rsidRPr="00FD12AC">
        <w:rPr>
          <w:rFonts w:asciiTheme="majorHAnsi" w:hAnsiTheme="majorHAnsi" w:cstheme="majorHAnsi"/>
          <w:spacing w:val="-3"/>
        </w:rPr>
        <w:t xml:space="preserve"> </w:t>
      </w:r>
      <w:r w:rsidRPr="00FD12AC">
        <w:rPr>
          <w:rFonts w:asciiTheme="majorHAnsi" w:hAnsiTheme="majorHAnsi" w:cstheme="majorHAnsi"/>
        </w:rPr>
        <w:t>from</w:t>
      </w:r>
      <w:r w:rsidRPr="00FD12AC">
        <w:rPr>
          <w:rFonts w:asciiTheme="majorHAnsi" w:hAnsiTheme="majorHAnsi" w:cstheme="majorHAnsi"/>
          <w:spacing w:val="-3"/>
        </w:rPr>
        <w:t xml:space="preserve"> </w:t>
      </w:r>
      <w:r w:rsidRPr="00FD12AC">
        <w:rPr>
          <w:rFonts w:asciiTheme="majorHAnsi" w:hAnsiTheme="majorHAnsi" w:cstheme="majorHAnsi"/>
        </w:rPr>
        <w:t>misinterpretations</w:t>
      </w:r>
      <w:r w:rsidRPr="00FD12AC">
        <w:rPr>
          <w:rFonts w:asciiTheme="majorHAnsi" w:hAnsiTheme="majorHAnsi" w:cstheme="majorHAnsi"/>
          <w:spacing w:val="-4"/>
        </w:rPr>
        <w:t xml:space="preserve"> </w:t>
      </w:r>
      <w:r w:rsidRPr="00FD12AC">
        <w:rPr>
          <w:rFonts w:asciiTheme="majorHAnsi" w:hAnsiTheme="majorHAnsi" w:cstheme="majorHAnsi"/>
        </w:rPr>
        <w:t>may therefore cause significant investor harm.</w:t>
      </w:r>
    </w:p>
    <w:p w14:paraId="3111A860" w14:textId="06CF1216" w:rsidR="009B1E21" w:rsidRPr="00FD12AC" w:rsidRDefault="00172483" w:rsidP="00172483">
      <w:pPr>
        <w:rPr>
          <w:rFonts w:asciiTheme="majorHAnsi" w:hAnsiTheme="majorHAnsi" w:cstheme="majorHAnsi"/>
        </w:rPr>
      </w:pPr>
      <w:r w:rsidRPr="00FD12AC">
        <w:rPr>
          <w:rFonts w:asciiTheme="majorHAnsi" w:hAnsiTheme="majorHAnsi" w:cstheme="majorHAnsi"/>
        </w:rPr>
        <w:t>Since inside information about intermediate steps in negotiations designed to ensure the financial recovery of the issuer will not need to be disclosed from June 2026, the merit of maintaining this guidance is significantly reduced.</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lastRenderedPageBreak/>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56DB0841" w14:textId="77777777" w:rsidR="003D4C9A" w:rsidRPr="00FD12AC" w:rsidRDefault="003D4C9A" w:rsidP="003D4C9A">
      <w:pPr>
        <w:pStyle w:val="BodyText"/>
        <w:spacing w:before="1"/>
        <w:rPr>
          <w:rFonts w:asciiTheme="majorHAnsi" w:hAnsiTheme="majorHAnsi" w:cstheme="majorHAnsi"/>
        </w:rPr>
      </w:pPr>
      <w:permStart w:id="55053902" w:edGrp="everyone"/>
      <w:r w:rsidRPr="00FD12AC">
        <w:rPr>
          <w:rFonts w:asciiTheme="majorHAnsi" w:hAnsiTheme="majorHAnsi" w:cstheme="majorHAnsi"/>
        </w:rPr>
        <w:t>FESE would like to provide comments on the following legitimate</w:t>
      </w:r>
      <w:r w:rsidRPr="00FD12AC">
        <w:rPr>
          <w:rFonts w:asciiTheme="majorHAnsi" w:hAnsiTheme="majorHAnsi" w:cstheme="majorHAnsi"/>
          <w:spacing w:val="-8"/>
        </w:rPr>
        <w:t xml:space="preserve"> </w:t>
      </w:r>
      <w:r w:rsidRPr="00FD12AC">
        <w:rPr>
          <w:rFonts w:asciiTheme="majorHAnsi" w:hAnsiTheme="majorHAnsi" w:cstheme="majorHAnsi"/>
        </w:rPr>
        <w:t>interests</w:t>
      </w:r>
      <w:r w:rsidRPr="00FD12AC">
        <w:rPr>
          <w:rFonts w:asciiTheme="majorHAnsi" w:hAnsiTheme="majorHAnsi" w:cstheme="majorHAnsi"/>
          <w:spacing w:val="-4"/>
        </w:rPr>
        <w:t xml:space="preserve"> </w:t>
      </w:r>
      <w:r w:rsidRPr="00FD12AC">
        <w:rPr>
          <w:rFonts w:asciiTheme="majorHAnsi" w:hAnsiTheme="majorHAnsi" w:cstheme="majorHAnsi"/>
        </w:rPr>
        <w:t>proposed</w:t>
      </w:r>
      <w:r w:rsidRPr="00FD12AC">
        <w:rPr>
          <w:rFonts w:asciiTheme="majorHAnsi" w:hAnsiTheme="majorHAnsi" w:cstheme="majorHAnsi"/>
          <w:spacing w:val="-3"/>
        </w:rPr>
        <w:t xml:space="preserve"> </w:t>
      </w:r>
      <w:r w:rsidRPr="00FD12AC">
        <w:rPr>
          <w:rFonts w:asciiTheme="majorHAnsi" w:hAnsiTheme="majorHAnsi" w:cstheme="majorHAnsi"/>
        </w:rPr>
        <w:t>to</w:t>
      </w:r>
      <w:r w:rsidRPr="00FD12AC">
        <w:rPr>
          <w:rFonts w:asciiTheme="majorHAnsi" w:hAnsiTheme="majorHAnsi" w:cstheme="majorHAnsi"/>
          <w:spacing w:val="-4"/>
        </w:rPr>
        <w:t xml:space="preserve"> </w:t>
      </w:r>
      <w:r w:rsidRPr="00FD12AC">
        <w:rPr>
          <w:rFonts w:asciiTheme="majorHAnsi" w:hAnsiTheme="majorHAnsi" w:cstheme="majorHAnsi"/>
        </w:rPr>
        <w:t>be</w:t>
      </w:r>
      <w:r w:rsidRPr="00FD12AC">
        <w:rPr>
          <w:rFonts w:asciiTheme="majorHAnsi" w:hAnsiTheme="majorHAnsi" w:cstheme="majorHAnsi"/>
          <w:spacing w:val="-3"/>
        </w:rPr>
        <w:t xml:space="preserve"> </w:t>
      </w:r>
      <w:r w:rsidRPr="00FD12AC">
        <w:rPr>
          <w:rFonts w:asciiTheme="majorHAnsi" w:hAnsiTheme="majorHAnsi" w:cstheme="majorHAnsi"/>
          <w:spacing w:val="-2"/>
        </w:rPr>
        <w:t>added:</w:t>
      </w:r>
    </w:p>
    <w:p w14:paraId="2BD8988E" w14:textId="77777777" w:rsidR="003D4C9A" w:rsidRPr="00FD12AC" w:rsidRDefault="003D4C9A" w:rsidP="003D4C9A">
      <w:pPr>
        <w:pStyle w:val="Bulletpoints"/>
        <w:rPr>
          <w:rFonts w:asciiTheme="majorHAnsi" w:hAnsiTheme="majorHAnsi"/>
        </w:rPr>
      </w:pPr>
      <w:r w:rsidRPr="00FD12AC">
        <w:rPr>
          <w:rFonts w:asciiTheme="majorHAnsi" w:hAnsiTheme="majorHAnsi"/>
          <w:u w:val="single"/>
        </w:rPr>
        <w:t>Order by a public authority to maintain confidentiality</w:t>
      </w:r>
      <w:r w:rsidRPr="00FD12AC">
        <w:rPr>
          <w:rFonts w:asciiTheme="majorHAnsi" w:hAnsiTheme="majorHAnsi"/>
        </w:rPr>
        <w:t xml:space="preserve"> (example: order from a public authority on the grounds of public policy, public security and public health)</w:t>
      </w:r>
    </w:p>
    <w:p w14:paraId="2F614B7D" w14:textId="77777777" w:rsidR="003D4C9A" w:rsidRPr="00FD12AC" w:rsidRDefault="003D4C9A" w:rsidP="003D4C9A">
      <w:pPr>
        <w:pStyle w:val="BodyText"/>
        <w:spacing w:before="80"/>
        <w:ind w:left="105" w:right="99"/>
        <w:rPr>
          <w:rFonts w:asciiTheme="majorHAnsi" w:hAnsiTheme="majorHAnsi" w:cstheme="majorHAnsi"/>
        </w:rPr>
      </w:pPr>
      <w:r w:rsidRPr="00FD12AC">
        <w:rPr>
          <w:rFonts w:asciiTheme="majorHAnsi" w:hAnsiTheme="majorHAnsi" w:cstheme="majorHAnsi"/>
        </w:rPr>
        <w:t xml:space="preserve">FESE considers that this example would benefit from further clarification as regards when such information is expected to be disclosed given the risk that issuers may interpret this ground for delaying disclosure too broadly. In many cases, a complete and correct assessment of the inside information can be enabled without disclosing all details relating to the counterparty or the </w:t>
      </w:r>
      <w:r w:rsidRPr="00FD12AC">
        <w:rPr>
          <w:rFonts w:asciiTheme="majorHAnsi" w:hAnsiTheme="majorHAnsi" w:cstheme="majorHAnsi"/>
          <w:spacing w:val="-2"/>
        </w:rPr>
        <w:t>transaction.</w:t>
      </w:r>
    </w:p>
    <w:p w14:paraId="4299D453" w14:textId="77777777" w:rsidR="003D4C9A" w:rsidRPr="00FD12AC" w:rsidRDefault="003D4C9A" w:rsidP="003D4C9A">
      <w:pPr>
        <w:pStyle w:val="BodyText"/>
        <w:spacing w:before="159"/>
        <w:rPr>
          <w:rFonts w:asciiTheme="majorHAnsi" w:hAnsiTheme="majorHAnsi" w:cstheme="majorHAnsi"/>
        </w:rPr>
      </w:pPr>
    </w:p>
    <w:p w14:paraId="22734CCB" w14:textId="77777777" w:rsidR="003D4C9A" w:rsidRPr="00FD12AC" w:rsidRDefault="003D4C9A" w:rsidP="003D4C9A">
      <w:pPr>
        <w:pStyle w:val="Bulletpoints"/>
        <w:rPr>
          <w:rFonts w:asciiTheme="majorHAnsi" w:hAnsiTheme="majorHAnsi"/>
          <w:u w:val="single"/>
        </w:rPr>
      </w:pPr>
      <w:r w:rsidRPr="00FD12AC">
        <w:rPr>
          <w:rFonts w:asciiTheme="majorHAnsi" w:hAnsiTheme="majorHAnsi"/>
          <w:u w:val="single"/>
        </w:rPr>
        <w:t>Complete information and/or data on the event or circumstance the inside information to be disclosed refers to is not immediately available</w:t>
      </w:r>
    </w:p>
    <w:p w14:paraId="5572F42B" w14:textId="7AB5F7DF" w:rsidR="009B1E21" w:rsidRPr="00FD12AC" w:rsidRDefault="003D4C9A" w:rsidP="00FD12AC">
      <w:pPr>
        <w:pStyle w:val="BodyText"/>
        <w:ind w:left="105" w:right="93"/>
        <w:rPr>
          <w:rFonts w:asciiTheme="majorHAnsi" w:hAnsiTheme="majorHAnsi" w:cstheme="majorHAnsi"/>
        </w:rPr>
      </w:pPr>
      <w:r w:rsidRPr="00FD12AC">
        <w:rPr>
          <w:rFonts w:asciiTheme="majorHAnsi" w:hAnsiTheme="majorHAnsi" w:cstheme="majorHAnsi"/>
        </w:rPr>
        <w:t>FESE</w:t>
      </w:r>
      <w:r w:rsidRPr="00FD12AC">
        <w:rPr>
          <w:rFonts w:asciiTheme="majorHAnsi" w:hAnsiTheme="majorHAnsi" w:cstheme="majorHAnsi"/>
          <w:spacing w:val="-6"/>
        </w:rPr>
        <w:t xml:space="preserve"> </w:t>
      </w:r>
      <w:r w:rsidRPr="00FD12AC">
        <w:rPr>
          <w:rFonts w:asciiTheme="majorHAnsi" w:hAnsiTheme="majorHAnsi" w:cstheme="majorHAnsi"/>
        </w:rPr>
        <w:t>supports</w:t>
      </w:r>
      <w:r w:rsidRPr="00FD12AC">
        <w:rPr>
          <w:rFonts w:asciiTheme="majorHAnsi" w:hAnsiTheme="majorHAnsi" w:cstheme="majorHAnsi"/>
          <w:spacing w:val="-9"/>
        </w:rPr>
        <w:t xml:space="preserve"> </w:t>
      </w:r>
      <w:r w:rsidRPr="00FD12AC">
        <w:rPr>
          <w:rFonts w:asciiTheme="majorHAnsi" w:hAnsiTheme="majorHAnsi" w:cstheme="majorHAnsi"/>
        </w:rPr>
        <w:t>inclusion</w:t>
      </w:r>
      <w:r w:rsidRPr="00FD12AC">
        <w:rPr>
          <w:rFonts w:asciiTheme="majorHAnsi" w:hAnsiTheme="majorHAnsi" w:cstheme="majorHAnsi"/>
          <w:spacing w:val="-7"/>
        </w:rPr>
        <w:t xml:space="preserve"> </w:t>
      </w:r>
      <w:r w:rsidRPr="00FD12AC">
        <w:rPr>
          <w:rFonts w:asciiTheme="majorHAnsi" w:hAnsiTheme="majorHAnsi" w:cstheme="majorHAnsi"/>
        </w:rPr>
        <w:t>of</w:t>
      </w:r>
      <w:r w:rsidRPr="00FD12AC">
        <w:rPr>
          <w:rFonts w:asciiTheme="majorHAnsi" w:hAnsiTheme="majorHAnsi" w:cstheme="majorHAnsi"/>
          <w:spacing w:val="-8"/>
        </w:rPr>
        <w:t xml:space="preserve"> </w:t>
      </w:r>
      <w:r w:rsidRPr="00FD12AC">
        <w:rPr>
          <w:rFonts w:asciiTheme="majorHAnsi" w:hAnsiTheme="majorHAnsi" w:cstheme="majorHAnsi"/>
        </w:rPr>
        <w:t>this</w:t>
      </w:r>
      <w:r w:rsidRPr="00FD12AC">
        <w:rPr>
          <w:rFonts w:asciiTheme="majorHAnsi" w:hAnsiTheme="majorHAnsi" w:cstheme="majorHAnsi"/>
          <w:spacing w:val="-7"/>
        </w:rPr>
        <w:t xml:space="preserve"> </w:t>
      </w:r>
      <w:r w:rsidRPr="00FD12AC">
        <w:rPr>
          <w:rFonts w:asciiTheme="majorHAnsi" w:hAnsiTheme="majorHAnsi" w:cstheme="majorHAnsi"/>
        </w:rPr>
        <w:t>legitimate</w:t>
      </w:r>
      <w:r w:rsidRPr="00FD12AC">
        <w:rPr>
          <w:rFonts w:asciiTheme="majorHAnsi" w:hAnsiTheme="majorHAnsi" w:cstheme="majorHAnsi"/>
          <w:spacing w:val="-8"/>
        </w:rPr>
        <w:t xml:space="preserve"> </w:t>
      </w:r>
      <w:r w:rsidRPr="00FD12AC">
        <w:rPr>
          <w:rFonts w:asciiTheme="majorHAnsi" w:hAnsiTheme="majorHAnsi" w:cstheme="majorHAnsi"/>
        </w:rPr>
        <w:t>interest. For instance,</w:t>
      </w:r>
      <w:r w:rsidRPr="00FD12AC">
        <w:rPr>
          <w:rFonts w:asciiTheme="majorHAnsi" w:hAnsiTheme="majorHAnsi" w:cstheme="majorHAnsi"/>
          <w:spacing w:val="-7"/>
        </w:rPr>
        <w:t xml:space="preserve"> i</w:t>
      </w:r>
      <w:r w:rsidRPr="00FD12AC">
        <w:rPr>
          <w:rFonts w:asciiTheme="majorHAnsi" w:hAnsiTheme="majorHAnsi" w:cstheme="majorHAnsi"/>
        </w:rPr>
        <w:t>t</w:t>
      </w:r>
      <w:r w:rsidRPr="00FD12AC">
        <w:rPr>
          <w:rFonts w:asciiTheme="majorHAnsi" w:hAnsiTheme="majorHAnsi" w:cstheme="majorHAnsi"/>
          <w:spacing w:val="-6"/>
        </w:rPr>
        <w:t xml:space="preserve"> </w:t>
      </w:r>
      <w:r w:rsidRPr="00FD12AC">
        <w:rPr>
          <w:rFonts w:asciiTheme="majorHAnsi" w:hAnsiTheme="majorHAnsi" w:cstheme="majorHAnsi"/>
        </w:rPr>
        <w:t>aligns</w:t>
      </w:r>
      <w:r w:rsidRPr="00FD12AC">
        <w:rPr>
          <w:rFonts w:asciiTheme="majorHAnsi" w:hAnsiTheme="majorHAnsi" w:cstheme="majorHAnsi"/>
          <w:spacing w:val="-7"/>
        </w:rPr>
        <w:t xml:space="preserve"> </w:t>
      </w:r>
      <w:r w:rsidRPr="00FD12AC">
        <w:rPr>
          <w:rFonts w:asciiTheme="majorHAnsi" w:hAnsiTheme="majorHAnsi" w:cstheme="majorHAnsi"/>
        </w:rPr>
        <w:t>well</w:t>
      </w:r>
      <w:r w:rsidRPr="00FD12AC">
        <w:rPr>
          <w:rFonts w:asciiTheme="majorHAnsi" w:hAnsiTheme="majorHAnsi" w:cstheme="majorHAnsi"/>
          <w:spacing w:val="-9"/>
        </w:rPr>
        <w:t xml:space="preserve"> </w:t>
      </w:r>
      <w:r w:rsidRPr="00FD12AC">
        <w:rPr>
          <w:rFonts w:asciiTheme="majorHAnsi" w:hAnsiTheme="majorHAnsi" w:cstheme="majorHAnsi"/>
        </w:rPr>
        <w:t>with the</w:t>
      </w:r>
      <w:r w:rsidRPr="00FD12AC">
        <w:rPr>
          <w:rFonts w:asciiTheme="majorHAnsi" w:hAnsiTheme="majorHAnsi" w:cstheme="majorHAnsi"/>
          <w:spacing w:val="-8"/>
        </w:rPr>
        <w:t xml:space="preserve"> </w:t>
      </w:r>
      <w:r w:rsidRPr="00FD12AC">
        <w:rPr>
          <w:rFonts w:asciiTheme="majorHAnsi" w:hAnsiTheme="majorHAnsi" w:cstheme="majorHAnsi"/>
        </w:rPr>
        <w:t>interpretation</w:t>
      </w:r>
      <w:r w:rsidRPr="00FD12AC">
        <w:rPr>
          <w:rFonts w:asciiTheme="majorHAnsi" w:hAnsiTheme="majorHAnsi" w:cstheme="majorHAnsi"/>
          <w:spacing w:val="-7"/>
        </w:rPr>
        <w:t xml:space="preserve"> </w:t>
      </w:r>
      <w:r w:rsidRPr="00FD12AC">
        <w:rPr>
          <w:rFonts w:asciiTheme="majorHAnsi" w:hAnsiTheme="majorHAnsi" w:cstheme="majorHAnsi"/>
        </w:rPr>
        <w:t>made</w:t>
      </w:r>
      <w:r w:rsidRPr="00FD12AC">
        <w:rPr>
          <w:rFonts w:asciiTheme="majorHAnsi" w:hAnsiTheme="majorHAnsi" w:cstheme="majorHAnsi"/>
          <w:spacing w:val="-8"/>
        </w:rPr>
        <w:t xml:space="preserve"> </w:t>
      </w:r>
      <w:r w:rsidRPr="00FD12AC">
        <w:rPr>
          <w:rFonts w:asciiTheme="majorHAnsi" w:hAnsiTheme="majorHAnsi" w:cstheme="majorHAnsi"/>
        </w:rPr>
        <w:t>by</w:t>
      </w:r>
      <w:r w:rsidRPr="00FD12AC">
        <w:rPr>
          <w:rFonts w:asciiTheme="majorHAnsi" w:hAnsiTheme="majorHAnsi" w:cstheme="majorHAnsi"/>
          <w:spacing w:val="-8"/>
        </w:rPr>
        <w:t xml:space="preserve"> </w:t>
      </w:r>
      <w:r w:rsidRPr="00FD12AC">
        <w:rPr>
          <w:rFonts w:asciiTheme="majorHAnsi" w:hAnsiTheme="majorHAnsi" w:cstheme="majorHAnsi"/>
        </w:rPr>
        <w:t>Nasdaq Stockholm’s</w:t>
      </w:r>
      <w:r w:rsidRPr="00FD12AC">
        <w:rPr>
          <w:rFonts w:asciiTheme="majorHAnsi" w:hAnsiTheme="majorHAnsi" w:cstheme="majorHAnsi"/>
          <w:spacing w:val="-1"/>
        </w:rPr>
        <w:t xml:space="preserve"> </w:t>
      </w:r>
      <w:r w:rsidRPr="00FD12AC">
        <w:rPr>
          <w:rFonts w:asciiTheme="majorHAnsi" w:hAnsiTheme="majorHAnsi" w:cstheme="majorHAnsi"/>
        </w:rPr>
        <w:t>Disciplinary Committee in</w:t>
      </w:r>
      <w:r w:rsidRPr="00FD12AC">
        <w:rPr>
          <w:rFonts w:asciiTheme="majorHAnsi" w:hAnsiTheme="majorHAnsi" w:cstheme="majorHAnsi"/>
          <w:spacing w:val="-2"/>
        </w:rPr>
        <w:t xml:space="preserve"> </w:t>
      </w:r>
      <w:r w:rsidRPr="00FD12AC">
        <w:rPr>
          <w:rFonts w:asciiTheme="majorHAnsi" w:hAnsiTheme="majorHAnsi" w:cstheme="majorHAnsi"/>
        </w:rPr>
        <w:t>its</w:t>
      </w:r>
      <w:r w:rsidRPr="00FD12AC">
        <w:rPr>
          <w:rFonts w:asciiTheme="majorHAnsi" w:hAnsiTheme="majorHAnsi" w:cstheme="majorHAnsi"/>
          <w:spacing w:val="-1"/>
        </w:rPr>
        <w:t xml:space="preserve"> </w:t>
      </w:r>
      <w:r w:rsidRPr="00FD12AC">
        <w:rPr>
          <w:rFonts w:asciiTheme="majorHAnsi" w:hAnsiTheme="majorHAnsi" w:cstheme="majorHAnsi"/>
        </w:rPr>
        <w:t>decision</w:t>
      </w:r>
      <w:r w:rsidRPr="00FD12AC">
        <w:rPr>
          <w:rFonts w:asciiTheme="majorHAnsi" w:hAnsiTheme="majorHAnsi" w:cstheme="majorHAnsi"/>
          <w:spacing w:val="-1"/>
        </w:rPr>
        <w:t xml:space="preserve"> </w:t>
      </w:r>
      <w:r w:rsidRPr="00FD12AC">
        <w:rPr>
          <w:rFonts w:asciiTheme="majorHAnsi" w:hAnsiTheme="majorHAnsi" w:cstheme="majorHAnsi"/>
        </w:rPr>
        <w:t>on</w:t>
      </w:r>
      <w:r w:rsidRPr="00FD12AC">
        <w:rPr>
          <w:rFonts w:asciiTheme="majorHAnsi" w:hAnsiTheme="majorHAnsi" w:cstheme="majorHAnsi"/>
          <w:spacing w:val="-2"/>
        </w:rPr>
        <w:t xml:space="preserve"> </w:t>
      </w:r>
      <w:r w:rsidRPr="00FD12AC">
        <w:rPr>
          <w:rFonts w:asciiTheme="majorHAnsi" w:hAnsiTheme="majorHAnsi" w:cstheme="majorHAnsi"/>
        </w:rPr>
        <w:t>February</w:t>
      </w:r>
      <w:r w:rsidRPr="00FD12AC">
        <w:rPr>
          <w:rFonts w:asciiTheme="majorHAnsi" w:hAnsiTheme="majorHAnsi" w:cstheme="majorHAnsi"/>
          <w:spacing w:val="-1"/>
        </w:rPr>
        <w:t xml:space="preserve"> </w:t>
      </w:r>
      <w:r w:rsidRPr="00FD12AC">
        <w:rPr>
          <w:rFonts w:asciiTheme="majorHAnsi" w:hAnsiTheme="majorHAnsi" w:cstheme="majorHAnsi"/>
        </w:rPr>
        <w:t>2,</w:t>
      </w:r>
      <w:r w:rsidRPr="00FD12AC">
        <w:rPr>
          <w:rFonts w:asciiTheme="majorHAnsi" w:hAnsiTheme="majorHAnsi" w:cstheme="majorHAnsi"/>
          <w:spacing w:val="-1"/>
        </w:rPr>
        <w:t xml:space="preserve"> </w:t>
      </w:r>
      <w:r w:rsidRPr="00FD12AC">
        <w:rPr>
          <w:rFonts w:asciiTheme="majorHAnsi" w:hAnsiTheme="majorHAnsi" w:cstheme="majorHAnsi"/>
        </w:rPr>
        <w:t>2023 in</w:t>
      </w:r>
      <w:r w:rsidRPr="00FD12AC">
        <w:rPr>
          <w:rFonts w:asciiTheme="majorHAnsi" w:hAnsiTheme="majorHAnsi" w:cstheme="majorHAnsi"/>
          <w:spacing w:val="-3"/>
        </w:rPr>
        <w:t xml:space="preserve"> </w:t>
      </w:r>
      <w:r w:rsidRPr="00FD12AC">
        <w:rPr>
          <w:rFonts w:asciiTheme="majorHAnsi" w:hAnsiTheme="majorHAnsi" w:cstheme="majorHAnsi"/>
        </w:rPr>
        <w:t>case</w:t>
      </w:r>
      <w:r w:rsidRPr="00FD12AC">
        <w:rPr>
          <w:rFonts w:asciiTheme="majorHAnsi" w:hAnsiTheme="majorHAnsi" w:cstheme="majorHAnsi"/>
          <w:spacing w:val="-1"/>
        </w:rPr>
        <w:t xml:space="preserve"> </w:t>
      </w:r>
      <w:r w:rsidRPr="00FD12AC">
        <w:rPr>
          <w:rFonts w:asciiTheme="majorHAnsi" w:hAnsiTheme="majorHAnsi" w:cstheme="majorHAnsi"/>
        </w:rPr>
        <w:t>no 2023:02,</w:t>
      </w:r>
      <w:r w:rsidRPr="00FD12AC">
        <w:rPr>
          <w:rFonts w:asciiTheme="majorHAnsi" w:hAnsiTheme="majorHAnsi" w:cstheme="majorHAnsi"/>
          <w:spacing w:val="-1"/>
        </w:rPr>
        <w:t xml:space="preserve"> </w:t>
      </w:r>
      <w:r w:rsidRPr="00FD12AC">
        <w:rPr>
          <w:rFonts w:asciiTheme="majorHAnsi" w:hAnsiTheme="majorHAnsi" w:cstheme="majorHAnsi"/>
        </w:rPr>
        <w:t xml:space="preserve">Bilia AB </w:t>
      </w:r>
      <w:r w:rsidRPr="00FD12AC">
        <w:rPr>
          <w:rFonts w:asciiTheme="majorHAnsi" w:hAnsiTheme="majorHAnsi" w:cstheme="majorHAnsi"/>
          <w:spacing w:val="-2"/>
        </w:rPr>
        <w:t>(</w:t>
      </w:r>
      <w:proofErr w:type="spellStart"/>
      <w:r w:rsidRPr="00FD12AC">
        <w:rPr>
          <w:rFonts w:asciiTheme="majorHAnsi" w:hAnsiTheme="majorHAnsi" w:cstheme="majorHAnsi"/>
          <w:spacing w:val="-2"/>
        </w:rPr>
        <w:t>publ</w:t>
      </w:r>
      <w:proofErr w:type="spellEnd"/>
      <w:r w:rsidRPr="00FD12AC">
        <w:rPr>
          <w:rFonts w:asciiTheme="majorHAnsi" w:hAnsiTheme="majorHAnsi" w:cstheme="majorHAnsi"/>
          <w:spacing w:val="-2"/>
        </w:rPr>
        <w:t>).</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6D144E0B" w14:textId="77777777" w:rsidR="00B7619F" w:rsidRDefault="00B7619F" w:rsidP="00B7619F">
      <w:permStart w:id="876955670" w:edGrp="everyone"/>
      <w:r>
        <w:t>TYPE YOUR TEXT HERE</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29BE90A3" w14:textId="0CF251B5" w:rsidR="00B7619F" w:rsidRDefault="00CA1526" w:rsidP="00B7619F">
      <w:permStart w:id="1788426663" w:edGrp="everyone"/>
      <w:r w:rsidRPr="00EF214B">
        <w:lastRenderedPageBreak/>
        <w:t>FESE notes the recent judgment of the Court of Justice in Case C-229/24 (</w:t>
      </w:r>
      <w:proofErr w:type="spellStart"/>
      <w:r w:rsidRPr="00EF214B">
        <w:t>Brännelius</w:t>
      </w:r>
      <w:proofErr w:type="spellEnd"/>
      <w:r w:rsidRPr="00EF214B">
        <w:t>), which provides further clarification on the notion of ‘publicity’ under MAR. While the Guidelines focus on the conditions for delayed disclosure under Article 17 MAR, it would be helpful for ESMA to clarify, where appropriate, how the concepts of confidentiality and ‘information made public’ should be interpreted in light of this judgment. In particular, additional guidance on the interaction between effective market dissemination of information and the continued possibility to rely on delayed disclosure would enhance legal certainty for issuers and contribute to consistent supervisory practices across Member States.</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6F02" w14:textId="77777777" w:rsidR="00507FA6" w:rsidRDefault="00507FA6" w:rsidP="007E7997">
      <w:pPr>
        <w:spacing w:line="240" w:lineRule="auto"/>
      </w:pPr>
      <w:r>
        <w:separator/>
      </w:r>
    </w:p>
  </w:endnote>
  <w:endnote w:type="continuationSeparator" w:id="0">
    <w:p w14:paraId="0CA9B743" w14:textId="77777777" w:rsidR="00507FA6" w:rsidRDefault="00507FA6" w:rsidP="007E7997">
      <w:pPr>
        <w:spacing w:line="240" w:lineRule="auto"/>
      </w:pPr>
      <w:r>
        <w:continuationSeparator/>
      </w:r>
    </w:p>
  </w:endnote>
  <w:endnote w:type="continuationNotice" w:id="1">
    <w:p w14:paraId="1C595340" w14:textId="77777777" w:rsidR="00507FA6" w:rsidRDefault="00507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DC04" w14:textId="77777777" w:rsidR="00507FA6" w:rsidRDefault="00507FA6" w:rsidP="007E7997">
      <w:pPr>
        <w:spacing w:line="240" w:lineRule="auto"/>
      </w:pPr>
      <w:r>
        <w:separator/>
      </w:r>
    </w:p>
  </w:footnote>
  <w:footnote w:type="continuationSeparator" w:id="0">
    <w:p w14:paraId="39DF6254" w14:textId="77777777" w:rsidR="00507FA6" w:rsidRDefault="00507FA6" w:rsidP="007E7997">
      <w:pPr>
        <w:spacing w:line="240" w:lineRule="auto"/>
      </w:pPr>
      <w:r>
        <w:continuationSeparator/>
      </w:r>
    </w:p>
  </w:footnote>
  <w:footnote w:type="continuationNotice" w:id="1">
    <w:p w14:paraId="3096FAAF" w14:textId="77777777" w:rsidR="00507FA6" w:rsidRDefault="00507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Header"/>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01F5F7D"/>
    <w:multiLevelType w:val="hybridMultilevel"/>
    <w:tmpl w:val="2CFE9440"/>
    <w:lvl w:ilvl="0" w:tplc="F06620E8">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6"/>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13464061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4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483"/>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1DB8"/>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3C4F"/>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C9A"/>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07FA6"/>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526"/>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2AC"/>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unhideWhenUsed/>
    <w:rsid w:val="00044C5A"/>
  </w:style>
  <w:style w:type="character" w:customStyle="1" w:styleId="BodyTextChar">
    <w:name w:val="Body Text Char"/>
    <w:basedOn w:val="DefaultParagraphFont"/>
    <w:link w:val="BodyText"/>
    <w:uiPriority w:val="99"/>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paragraph" w:customStyle="1" w:styleId="Bulletpoints">
    <w:name w:val="Bullet points"/>
    <w:basedOn w:val="ListParagraph"/>
    <w:link w:val="BulletpointsChar"/>
    <w:qFormat/>
    <w:rsid w:val="003D4C9A"/>
    <w:pPr>
      <w:numPr>
        <w:numId w:val="17"/>
      </w:numPr>
      <w:spacing w:after="80" w:line="240" w:lineRule="auto"/>
      <w:contextualSpacing/>
      <w:outlineLvl w:val="0"/>
    </w:pPr>
    <w:rPr>
      <w:rFonts w:ascii="Trebuchet MS" w:eastAsiaTheme="minorHAnsi" w:hAnsi="Trebuchet MS"/>
      <w:lang w:val="en-GB"/>
    </w:rPr>
  </w:style>
  <w:style w:type="character" w:customStyle="1" w:styleId="BulletpointsChar">
    <w:name w:val="Bullet points Char"/>
    <w:basedOn w:val="ListParagraphChar"/>
    <w:link w:val="Bulletpoints"/>
    <w:rsid w:val="003D4C9A"/>
    <w:rPr>
      <w:rFonts w:ascii="Trebuchet MS" w:eastAsiaTheme="minorHAnsi" w:hAnsi="Trebuchet MS" w:cstheme="majorHAnsi"/>
      <w:color w:val="181818" w:themeColor="background1" w:themeShade="1A"/>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924B5"/>
    <w:rsid w:val="000B5175"/>
    <w:rsid w:val="00102DC8"/>
    <w:rsid w:val="0015768C"/>
    <w:rsid w:val="001D0361"/>
    <w:rsid w:val="002B46E7"/>
    <w:rsid w:val="0034145D"/>
    <w:rsid w:val="003D1413"/>
    <w:rsid w:val="00400F2F"/>
    <w:rsid w:val="00481174"/>
    <w:rsid w:val="004C7C86"/>
    <w:rsid w:val="004D67E0"/>
    <w:rsid w:val="004E4CF9"/>
    <w:rsid w:val="00591427"/>
    <w:rsid w:val="005D66AB"/>
    <w:rsid w:val="006216AC"/>
    <w:rsid w:val="006D3543"/>
    <w:rsid w:val="00736117"/>
    <w:rsid w:val="00740052"/>
    <w:rsid w:val="00813189"/>
    <w:rsid w:val="00813EAE"/>
    <w:rsid w:val="008222A0"/>
    <w:rsid w:val="00836D47"/>
    <w:rsid w:val="00982D57"/>
    <w:rsid w:val="00993537"/>
    <w:rsid w:val="009B6B9C"/>
    <w:rsid w:val="009C0B17"/>
    <w:rsid w:val="00A44918"/>
    <w:rsid w:val="00A563E1"/>
    <w:rsid w:val="00B22006"/>
    <w:rsid w:val="00B46CAE"/>
    <w:rsid w:val="00C006E6"/>
    <w:rsid w:val="00C14154"/>
    <w:rsid w:val="00C15F88"/>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6040</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Veronika Bondarenko</cp:lastModifiedBy>
  <cp:revision>7</cp:revision>
  <cp:lastPrinted>2023-09-09T00:53:00Z</cp:lastPrinted>
  <dcterms:created xsi:type="dcterms:W3CDTF">2026-04-29T09:40:00Z</dcterms:created>
  <dcterms:modified xsi:type="dcterms:W3CDTF">2026-04-29T09:45:00Z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