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Rubrik"/>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Rubrik"/>
          </w:pPr>
        </w:p>
        <w:p w14:paraId="01438AE1" w14:textId="052010EB" w:rsidR="00563C1F" w:rsidRDefault="00EC6066" w:rsidP="00F72D28">
          <w:pPr>
            <w:pStyle w:val="Rubrik"/>
          </w:pPr>
          <w:r>
            <w:t xml:space="preserve">Reply </w:t>
          </w:r>
          <w:r w:rsidR="00DD03DC">
            <w:t>F</w:t>
          </w:r>
          <w:r>
            <w:t>orm</w:t>
          </w:r>
        </w:p>
        <w:p w14:paraId="031F2108" w14:textId="25611ECB" w:rsidR="007E7997" w:rsidRPr="00C01571" w:rsidRDefault="00D77369" w:rsidP="00D77369">
          <w:pPr>
            <w:pStyle w:val="Underrubrik"/>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rubrik"/>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stycke"/>
            <w:rPr>
              <w:lang w:val="en-GB"/>
            </w:rPr>
          </w:pPr>
          <w:r w:rsidRPr="00DB2FD6">
            <w:rPr>
              <w:lang w:val="en-GB"/>
            </w:rPr>
            <w:t>respond to the question stated;</w:t>
          </w:r>
        </w:p>
        <w:p w14:paraId="72FD40F6" w14:textId="77777777" w:rsidR="002533FC" w:rsidRPr="00DB2FD6" w:rsidRDefault="002533FC" w:rsidP="00EC6066">
          <w:pPr>
            <w:pStyle w:val="Liststycke"/>
            <w:rPr>
              <w:lang w:val="en-GB"/>
            </w:rPr>
          </w:pPr>
          <w:r w:rsidRPr="00DB2FD6">
            <w:rPr>
              <w:lang w:val="en-GB"/>
            </w:rPr>
            <w:t>indicate the specific question to which the comment relates;</w:t>
          </w:r>
        </w:p>
        <w:p w14:paraId="78B206B7" w14:textId="77777777" w:rsidR="002533FC" w:rsidRPr="00E13D25" w:rsidRDefault="002533FC" w:rsidP="00EC6066">
          <w:pPr>
            <w:pStyle w:val="Liststycke"/>
          </w:pPr>
          <w:r w:rsidRPr="00E13D25">
            <w:t>contain a clear rationale; and</w:t>
          </w:r>
        </w:p>
        <w:p w14:paraId="60B8834E" w14:textId="77777777" w:rsidR="002533FC" w:rsidRPr="00DB2FD6" w:rsidRDefault="002533FC" w:rsidP="00EC6066">
          <w:pPr>
            <w:pStyle w:val="Liststyck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nk"/>
              </w:rPr>
              <w:t>www.esma.europa.eu</w:t>
            </w:r>
          </w:hyperlink>
          <w:r w:rsidRPr="005B6B12">
            <w:t xml:space="preserve"> under the heading ‘Your input - Consultations’. </w:t>
          </w:r>
        </w:p>
        <w:p w14:paraId="5E44C845" w14:textId="77777777" w:rsidR="00EC6066" w:rsidRPr="0026459D" w:rsidRDefault="00EC6066" w:rsidP="00EC6066">
          <w:pPr>
            <w:pStyle w:val="Underrubrik"/>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nk"/>
              </w:rPr>
              <w:t>www.esma.europa.eu</w:t>
            </w:r>
          </w:hyperlink>
          <w:r w:rsidRPr="005B6B12">
            <w:t xml:space="preserve"> under the heading </w:t>
          </w:r>
          <w:r w:rsidRPr="00025A7F">
            <w:rPr>
              <w:rStyle w:val="Hyperlnk"/>
            </w:rPr>
            <w:t>‘</w:t>
          </w:r>
          <w:hyperlink r:id="rId17" w:history="1">
            <w:r>
              <w:rPr>
                <w:rStyle w:val="Hyperlnk"/>
              </w:rPr>
              <w:t>Data protection</w:t>
            </w:r>
          </w:hyperlink>
          <w:r>
            <w:rPr>
              <w:rStyle w:val="Hyperl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Rubrik1"/>
        <w:rPr>
          <w:lang w:val="fr-BE"/>
        </w:rPr>
      </w:pPr>
      <w:r>
        <w:rPr>
          <w:lang w:val="fr-BE"/>
        </w:rPr>
        <w:lastRenderedPageBreak/>
        <w:t xml:space="preserve">General information about </w:t>
      </w:r>
      <w:r w:rsidRPr="00501EF4">
        <w:t>respondent</w:t>
      </w:r>
    </w:p>
    <w:tbl>
      <w:tblPr>
        <w:tblStyle w:val="Tabellrutnt"/>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1375F941" w:rsidR="00635BCA" w:rsidRPr="00557BD2" w:rsidRDefault="006D7E3E" w:rsidP="00D21C35">
                <w:r>
                  <w:t>Swedish Securities Markets Association</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25B0E5EB" w:rsidR="00B17279" w:rsidRDefault="007D25FE"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26A4AA38" w:rsidR="00B17279" w:rsidRDefault="007D25FE"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2AC452EF" w:rsidR="00B17279" w:rsidRPr="00557BD2" w:rsidRDefault="007D25FE" w:rsidP="00B17279">
                <w:r>
                  <w:t>Sweden</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Rubrik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44722F5C" w14:textId="0F27D853" w:rsidR="00ED4905" w:rsidRPr="00EF2CBE" w:rsidRDefault="00ED4905" w:rsidP="00ED4905">
      <w:pPr>
        <w:spacing w:line="240" w:lineRule="auto"/>
        <w:ind w:left="1070" w:firstLine="230"/>
        <w:rPr>
          <w:rFonts w:cstheme="minorHAnsi"/>
          <w:sz w:val="24"/>
          <w:szCs w:val="24"/>
          <w:lang w:val="en-US"/>
        </w:rPr>
      </w:pPr>
      <w:permStart w:id="627510576" w:edGrp="everyone"/>
      <w:r w:rsidRPr="00EF2CBE">
        <w:rPr>
          <w:rFonts w:cstheme="minorHAnsi"/>
          <w:sz w:val="24"/>
          <w:szCs w:val="24"/>
          <w:lang w:val="en-US"/>
        </w:rPr>
        <w:t>No.</w:t>
      </w:r>
    </w:p>
    <w:p w14:paraId="76C620C4" w14:textId="5995C46D" w:rsidR="00ED4905" w:rsidRPr="00EF2CBE" w:rsidRDefault="00ED4905" w:rsidP="00EF2CBE">
      <w:pPr>
        <w:pStyle w:val="Liststycke"/>
        <w:rPr>
          <w:rFonts w:asciiTheme="minorHAnsi" w:hAnsiTheme="minorHAnsi" w:cstheme="minorHAnsi"/>
        </w:rPr>
      </w:pPr>
      <w:r w:rsidRPr="00EF2CBE">
        <w:rPr>
          <w:rFonts w:asciiTheme="minorHAnsi" w:hAnsiTheme="minorHAnsi" w:cstheme="minorHAnsi"/>
        </w:rPr>
        <w:t>We consider that the legitimate interest currently described in point b of Guideline 1 of MAR Guidelines</w:t>
      </w:r>
      <w:r w:rsidRPr="00EF2CBE">
        <w:rPr>
          <w:rStyle w:val="Fotnotsreferens"/>
          <w:rFonts w:asciiTheme="minorHAnsi" w:hAnsiTheme="minorHAnsi" w:cstheme="minorHAnsi"/>
          <w:sz w:val="24"/>
          <w:lang w:val="en-US"/>
        </w:rPr>
        <w:footnoteReference w:id="2"/>
      </w:r>
      <w:r w:rsidRPr="00EF2CBE">
        <w:rPr>
          <w:rFonts w:asciiTheme="minorHAnsi" w:hAnsiTheme="minorHAnsi" w:cstheme="minorHAnsi"/>
        </w:rPr>
        <w:t>, should be regarded as an intermediate step in a protracted process. As regards the final event of such protracted process, we consider it – as indicated in the same provision – to be the “</w:t>
      </w:r>
      <w:r w:rsidRPr="00EF2CBE">
        <w:rPr>
          <w:rFonts w:asciiTheme="minorHAnsi" w:hAnsiTheme="minorHAnsi" w:cstheme="minorHAnsi"/>
          <w:i/>
          <w:iCs/>
        </w:rPr>
        <w:t xml:space="preserve">conclusion” </w:t>
      </w:r>
      <w:r w:rsidRPr="00EF2CBE">
        <w:rPr>
          <w:rFonts w:asciiTheme="minorHAnsi" w:hAnsiTheme="minorHAnsi" w:cstheme="minorHAnsi"/>
        </w:rPr>
        <w:t xml:space="preserve">of such negotiations.  </w:t>
      </w:r>
    </w:p>
    <w:p w14:paraId="5DD1EB34" w14:textId="77777777" w:rsidR="00EF2CBE" w:rsidRDefault="00ED4905" w:rsidP="00EF2CBE">
      <w:pPr>
        <w:pStyle w:val="Liststycke"/>
        <w:rPr>
          <w:rFonts w:asciiTheme="minorHAnsi" w:hAnsiTheme="minorHAnsi" w:cstheme="minorHAnsi"/>
        </w:rPr>
      </w:pPr>
      <w:r w:rsidRPr="00EF2CBE">
        <w:rPr>
          <w:rFonts w:asciiTheme="minorHAnsi" w:hAnsiTheme="minorHAnsi" w:cstheme="minorHAnsi"/>
        </w:rPr>
        <w:t>Since intermediate steps will be excluded from the disclosure obligation in article 17.1 of MAR</w:t>
      </w:r>
      <w:r w:rsidRPr="00EF2CBE">
        <w:rPr>
          <w:rFonts w:asciiTheme="minorHAnsi" w:hAnsiTheme="minorHAnsi" w:cstheme="minorHAnsi"/>
          <w:vertAlign w:val="superscript"/>
        </w:rPr>
        <w:footnoteReference w:id="3"/>
      </w:r>
      <w:r w:rsidRPr="00EF2CBE">
        <w:rPr>
          <w:rFonts w:asciiTheme="minorHAnsi" w:hAnsiTheme="minorHAnsi" w:cstheme="minorHAnsi"/>
        </w:rPr>
        <w:t>, we do not see the rationale for maintaining the legitimate interest for delaying the disclosure of such intermediate steps.</w:t>
      </w:r>
    </w:p>
    <w:p w14:paraId="3086FB9E" w14:textId="595CF28D" w:rsidR="00ED4905" w:rsidRPr="00EF2CBE" w:rsidRDefault="00ED4905" w:rsidP="00EF2CBE">
      <w:pPr>
        <w:pStyle w:val="Liststycke"/>
        <w:rPr>
          <w:rFonts w:asciiTheme="minorHAnsi" w:hAnsiTheme="minorHAnsi" w:cstheme="minorHAnsi"/>
        </w:rPr>
      </w:pPr>
      <w:r w:rsidRPr="00EF2CBE">
        <w:rPr>
          <w:rFonts w:asciiTheme="minorHAnsi" w:hAnsiTheme="minorHAnsi" w:cstheme="minorHAnsi"/>
        </w:rPr>
        <w:lastRenderedPageBreak/>
        <w:t xml:space="preserve">On the contrary, we consider such an approach inconsistent with the framework as reflected in the proposed amendments of MAR Guidelines as well as the EC list of protracted processes. </w:t>
      </w:r>
    </w:p>
    <w:p w14:paraId="3111A860" w14:textId="5AFEE1AD" w:rsidR="009B1E21" w:rsidRPr="00EF2CBE" w:rsidRDefault="00ED4905" w:rsidP="00EF2CBE">
      <w:pPr>
        <w:pStyle w:val="Liststycke"/>
        <w:rPr>
          <w:rFonts w:asciiTheme="minorHAnsi" w:hAnsiTheme="minorHAnsi" w:cstheme="minorHAnsi"/>
        </w:rPr>
      </w:pPr>
      <w:r w:rsidRPr="00EF2CBE">
        <w:rPr>
          <w:rFonts w:asciiTheme="minorHAnsi" w:hAnsiTheme="minorHAnsi" w:cstheme="minorHAnsi"/>
        </w:rPr>
        <w:t>Also, in the EC list of protracted processes it is stated that – “in case of [pre-insolvency] proceedings not supervised by a court” – the moment of disclosure takes place “as soon as possible after the issuer’s governing body has signed an agreement with creditors or any other arrangements foreseen for the case of pre-insolvency”</w:t>
      </w:r>
      <w:r w:rsidRPr="00EF2CBE">
        <w:rPr>
          <w:rStyle w:val="Fotnotsreferens"/>
          <w:rFonts w:asciiTheme="minorHAnsi" w:hAnsiTheme="minorHAnsi" w:cstheme="minorHAnsi"/>
          <w:sz w:val="24"/>
          <w:lang w:val="en-US"/>
        </w:rPr>
        <w:footnoteReference w:id="4"/>
      </w:r>
      <w:r w:rsidRPr="00EF2CBE">
        <w:rPr>
          <w:rFonts w:asciiTheme="minorHAnsi" w:hAnsiTheme="minorHAnsi" w:cstheme="minorHAnsi"/>
        </w:rPr>
        <w:t>. In our view, this is the final event that the legitimate interest currently described in point b of Guideline 1 of MAR Guidelines tries to protect. This provides an additional reason for deleting current point b of Guideline 1 of MAR Guidelines in accordance with ESMA´s view as reflected in point 38 of the consultation paper</w:t>
      </w:r>
      <w:r w:rsidRPr="00EF2CBE">
        <w:rPr>
          <w:rStyle w:val="Fotnotsreferens"/>
          <w:rFonts w:asciiTheme="minorHAnsi" w:hAnsiTheme="minorHAnsi" w:cstheme="minorHAnsi"/>
          <w:sz w:val="24"/>
          <w:lang w:val="en-US"/>
        </w:rPr>
        <w:footnoteReference w:id="5"/>
      </w:r>
      <w:r w:rsidRPr="00EF2CBE">
        <w:rPr>
          <w:rFonts w:asciiTheme="minorHAnsi" w:hAnsiTheme="minorHAnsi" w:cstheme="minorHAnsi"/>
        </w:rPr>
        <w:t>.</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30141B37" w14:textId="77777777" w:rsidR="00EF2CBE" w:rsidRPr="00EF2CBE" w:rsidRDefault="00EF2CBE" w:rsidP="00EF2CBE">
      <w:pPr>
        <w:pStyle w:val="Default"/>
        <w:ind w:left="1300"/>
        <w:rPr>
          <w:rFonts w:asciiTheme="minorHAnsi" w:hAnsiTheme="minorHAnsi" w:cstheme="minorHAnsi"/>
          <w:sz w:val="22"/>
          <w:szCs w:val="22"/>
          <w:u w:val="single"/>
          <w:lang w:val="en-US"/>
        </w:rPr>
      </w:pPr>
      <w:permStart w:id="55053902" w:edGrp="everyone"/>
      <w:r w:rsidRPr="00EF2CBE">
        <w:rPr>
          <w:rFonts w:asciiTheme="minorHAnsi" w:hAnsiTheme="minorHAnsi" w:cstheme="minorHAnsi"/>
          <w:sz w:val="22"/>
          <w:szCs w:val="22"/>
          <w:u w:val="single"/>
          <w:lang w:val="en-US"/>
        </w:rPr>
        <w:t xml:space="preserve">Orders by a public authority to maintain confidentiality </w:t>
      </w:r>
    </w:p>
    <w:p w14:paraId="0E64D165" w14:textId="77777777" w:rsidR="00EF2CBE" w:rsidRPr="00EF2CBE" w:rsidRDefault="00EF2CBE" w:rsidP="00EF2CBE">
      <w:pPr>
        <w:pStyle w:val="Default"/>
        <w:ind w:left="1300"/>
        <w:rPr>
          <w:rFonts w:asciiTheme="minorHAnsi" w:hAnsiTheme="minorHAnsi" w:cstheme="minorHAnsi"/>
          <w:b/>
          <w:bCs/>
          <w:sz w:val="22"/>
          <w:szCs w:val="22"/>
          <w:lang w:val="en-US"/>
        </w:rPr>
      </w:pPr>
    </w:p>
    <w:p w14:paraId="4CC1BCF3" w14:textId="77777777" w:rsidR="00EF2CBE" w:rsidRPr="00EF2CBE" w:rsidRDefault="00EF2CBE" w:rsidP="00EF2CBE">
      <w:pPr>
        <w:pStyle w:val="Default"/>
        <w:ind w:left="1304"/>
        <w:rPr>
          <w:rFonts w:asciiTheme="minorHAnsi" w:hAnsiTheme="minorHAnsi" w:cstheme="minorHAnsi"/>
          <w:sz w:val="22"/>
          <w:szCs w:val="22"/>
          <w:lang w:val="en-US"/>
        </w:rPr>
      </w:pPr>
      <w:r w:rsidRPr="00EF2CBE">
        <w:rPr>
          <w:rFonts w:asciiTheme="minorHAnsi" w:hAnsiTheme="minorHAnsi" w:cstheme="minorHAnsi"/>
          <w:sz w:val="22"/>
          <w:szCs w:val="22"/>
          <w:lang w:val="en-US"/>
        </w:rPr>
        <w:t>We see the rationale for adding the issuer´s need to comply with an order received by a public authority as a legitimate interest. This clarifies for the issuer that an order issued by a public authority takes precedence over the disclosure obligation under MAR.</w:t>
      </w:r>
    </w:p>
    <w:p w14:paraId="3F7A8507" w14:textId="77777777" w:rsidR="00EF2CBE" w:rsidRPr="00EF2CBE" w:rsidRDefault="00EF2CBE" w:rsidP="00EF2CBE">
      <w:pPr>
        <w:pStyle w:val="Default"/>
        <w:ind w:left="1304"/>
        <w:rPr>
          <w:rFonts w:asciiTheme="minorHAnsi" w:hAnsiTheme="minorHAnsi" w:cstheme="minorHAnsi"/>
          <w:sz w:val="22"/>
          <w:szCs w:val="22"/>
          <w:lang w:val="en-US"/>
        </w:rPr>
      </w:pPr>
    </w:p>
    <w:p w14:paraId="5A4E33B6" w14:textId="77777777" w:rsidR="00EF2CBE" w:rsidRPr="00EF2CBE" w:rsidRDefault="00EF2CBE" w:rsidP="00EF2CBE">
      <w:pPr>
        <w:pStyle w:val="Default"/>
        <w:ind w:left="1304"/>
        <w:rPr>
          <w:rFonts w:asciiTheme="minorHAnsi" w:hAnsiTheme="minorHAnsi" w:cstheme="minorHAnsi"/>
          <w:sz w:val="22"/>
          <w:szCs w:val="22"/>
          <w:lang w:val="en-US"/>
        </w:rPr>
      </w:pPr>
      <w:r w:rsidRPr="00EF2CBE">
        <w:rPr>
          <w:rFonts w:asciiTheme="minorHAnsi" w:hAnsiTheme="minorHAnsi" w:cstheme="minorHAnsi"/>
          <w:sz w:val="22"/>
          <w:szCs w:val="22"/>
          <w:lang w:val="en-US"/>
        </w:rPr>
        <w:t xml:space="preserve">However, we would like to point out whether and when the issuer is required to disclose the inside information at a </w:t>
      </w:r>
      <w:r w:rsidRPr="00EF2CBE">
        <w:rPr>
          <w:rFonts w:asciiTheme="minorHAnsi" w:hAnsiTheme="minorHAnsi" w:cstheme="minorHAnsi"/>
          <w:i/>
          <w:iCs/>
          <w:sz w:val="22"/>
          <w:szCs w:val="22"/>
          <w:lang w:val="en-US"/>
        </w:rPr>
        <w:t>later stage</w:t>
      </w:r>
      <w:r w:rsidRPr="00EF2CBE">
        <w:rPr>
          <w:rFonts w:asciiTheme="minorHAnsi" w:hAnsiTheme="minorHAnsi" w:cstheme="minorHAnsi"/>
          <w:sz w:val="22"/>
          <w:szCs w:val="22"/>
          <w:lang w:val="en-US"/>
        </w:rPr>
        <w:t xml:space="preserve"> is thereby left in the hands of </w:t>
      </w:r>
      <w:proofErr w:type="gramStart"/>
      <w:r w:rsidRPr="00EF2CBE">
        <w:rPr>
          <w:rFonts w:asciiTheme="minorHAnsi" w:hAnsiTheme="minorHAnsi" w:cstheme="minorHAnsi"/>
          <w:sz w:val="22"/>
          <w:szCs w:val="22"/>
          <w:lang w:val="en-US"/>
        </w:rPr>
        <w:t>the public</w:t>
      </w:r>
      <w:proofErr w:type="gramEnd"/>
      <w:r w:rsidRPr="00EF2CBE">
        <w:rPr>
          <w:rFonts w:asciiTheme="minorHAnsi" w:hAnsiTheme="minorHAnsi" w:cstheme="minorHAnsi"/>
          <w:sz w:val="22"/>
          <w:szCs w:val="22"/>
          <w:lang w:val="en-US"/>
        </w:rPr>
        <w:t xml:space="preserve"> authority. This means that the delayed disclosure may remain for an indefinite period.  </w:t>
      </w:r>
    </w:p>
    <w:p w14:paraId="0522A29D" w14:textId="77777777" w:rsidR="00EF2CBE" w:rsidRPr="00EF2CBE" w:rsidRDefault="00EF2CBE" w:rsidP="00EF2CBE">
      <w:pPr>
        <w:pStyle w:val="Default"/>
        <w:ind w:left="1304"/>
        <w:rPr>
          <w:rFonts w:cstheme="minorHAnsi"/>
          <w:sz w:val="22"/>
          <w:szCs w:val="22"/>
          <w:lang w:val="en-US"/>
        </w:rPr>
      </w:pPr>
    </w:p>
    <w:p w14:paraId="1CC51E2E" w14:textId="77777777" w:rsidR="00EF2CBE" w:rsidRPr="00EF2CBE" w:rsidRDefault="00EF2CBE" w:rsidP="00EF2CBE">
      <w:pPr>
        <w:pStyle w:val="Default"/>
        <w:ind w:left="1300"/>
        <w:rPr>
          <w:rFonts w:asciiTheme="minorHAnsi" w:hAnsiTheme="minorHAnsi" w:cstheme="minorHAnsi"/>
          <w:sz w:val="22"/>
          <w:szCs w:val="22"/>
          <w:u w:val="single"/>
          <w:lang w:val="en-US"/>
        </w:rPr>
      </w:pPr>
      <w:r w:rsidRPr="00EF2CBE">
        <w:rPr>
          <w:rFonts w:asciiTheme="minorHAnsi" w:hAnsiTheme="minorHAnsi" w:cstheme="minorHAnsi"/>
          <w:sz w:val="22"/>
          <w:szCs w:val="22"/>
          <w:u w:val="single"/>
          <w:lang w:val="en-US"/>
        </w:rPr>
        <w:lastRenderedPageBreak/>
        <w:t xml:space="preserve">Need to collect further information on the event or the circumstances to be disclosed </w:t>
      </w:r>
    </w:p>
    <w:p w14:paraId="51238694" w14:textId="77777777" w:rsidR="00EF2CBE" w:rsidRPr="00EF2CBE" w:rsidRDefault="00EF2CBE" w:rsidP="00EF2CBE">
      <w:pPr>
        <w:pStyle w:val="Default"/>
        <w:ind w:left="1300"/>
        <w:rPr>
          <w:rFonts w:asciiTheme="minorHAnsi" w:hAnsiTheme="minorHAnsi" w:cstheme="minorHAnsi"/>
          <w:sz w:val="22"/>
          <w:szCs w:val="22"/>
          <w:u w:val="single"/>
          <w:lang w:val="en-US"/>
        </w:rPr>
      </w:pPr>
    </w:p>
    <w:p w14:paraId="5AEEBAA0" w14:textId="77777777" w:rsidR="00EF2CBE" w:rsidRPr="00E8396F" w:rsidRDefault="00EF2CBE" w:rsidP="00EF2CBE">
      <w:pPr>
        <w:pStyle w:val="Default"/>
        <w:ind w:left="1300"/>
        <w:rPr>
          <w:rFonts w:asciiTheme="minorHAnsi" w:eastAsiaTheme="minorEastAsia" w:hAnsiTheme="minorHAnsi" w:cstheme="minorHAnsi"/>
          <w:color w:val="181818" w:themeColor="background1" w:themeShade="1A"/>
          <w:sz w:val="22"/>
          <w:szCs w:val="22"/>
          <w:lang w:val="pt-PT"/>
        </w:rPr>
      </w:pPr>
      <w:r w:rsidRPr="00E8396F">
        <w:rPr>
          <w:rFonts w:asciiTheme="minorHAnsi" w:eastAsiaTheme="minorEastAsia" w:hAnsiTheme="minorHAnsi" w:cstheme="minorHAnsi"/>
          <w:color w:val="181818" w:themeColor="background1" w:themeShade="1A"/>
          <w:sz w:val="22"/>
          <w:szCs w:val="22"/>
          <w:lang w:val="pt-PT"/>
        </w:rPr>
        <w:t>We support the proposal of, as a legitimate interest, adding the issuer’s need to collect further information to enable a correct assessment by market participants. In our view, such legitimate interest is a natural consequence of the issuer´s obligation under MAR to enable a “complete [and] correct” assessment of the inside information when making it public</w:t>
      </w:r>
      <w:r w:rsidRPr="00E8396F">
        <w:rPr>
          <w:rFonts w:eastAsiaTheme="minorEastAsia"/>
          <w:color w:val="181818" w:themeColor="background1" w:themeShade="1A"/>
          <w:vertAlign w:val="superscript"/>
          <w:lang w:val="pt-PT"/>
        </w:rPr>
        <w:footnoteReference w:id="6"/>
      </w:r>
      <w:r w:rsidRPr="00E8396F">
        <w:rPr>
          <w:rFonts w:asciiTheme="minorHAnsi" w:eastAsiaTheme="minorEastAsia" w:hAnsiTheme="minorHAnsi" w:cstheme="minorHAnsi"/>
          <w:color w:val="181818" w:themeColor="background1" w:themeShade="1A"/>
          <w:sz w:val="22"/>
          <w:szCs w:val="22"/>
          <w:lang w:val="pt-PT"/>
        </w:rPr>
        <w:t xml:space="preserve">. </w:t>
      </w:r>
    </w:p>
    <w:p w14:paraId="137A6452" w14:textId="77777777" w:rsidR="00EF2CBE" w:rsidRPr="00E8396F" w:rsidRDefault="00EF2CBE" w:rsidP="00EF2CBE">
      <w:pPr>
        <w:pStyle w:val="Default"/>
        <w:ind w:left="1300"/>
        <w:rPr>
          <w:rFonts w:asciiTheme="minorHAnsi" w:eastAsiaTheme="minorEastAsia" w:hAnsiTheme="minorHAnsi" w:cstheme="minorHAnsi"/>
          <w:color w:val="181818" w:themeColor="background1" w:themeShade="1A"/>
          <w:sz w:val="22"/>
          <w:szCs w:val="22"/>
          <w:lang w:val="pt-PT"/>
        </w:rPr>
      </w:pPr>
    </w:p>
    <w:p w14:paraId="5967493F" w14:textId="77777777" w:rsidR="00EF2CBE" w:rsidRPr="00E8396F" w:rsidRDefault="00EF2CBE" w:rsidP="00EF2CBE">
      <w:pPr>
        <w:pStyle w:val="Default"/>
        <w:ind w:left="1300"/>
        <w:rPr>
          <w:rFonts w:asciiTheme="minorHAnsi" w:eastAsiaTheme="minorEastAsia" w:hAnsiTheme="minorHAnsi" w:cstheme="minorHAnsi"/>
          <w:color w:val="181818" w:themeColor="background1" w:themeShade="1A"/>
          <w:sz w:val="22"/>
          <w:szCs w:val="22"/>
          <w:lang w:val="pt-PT"/>
        </w:rPr>
      </w:pPr>
      <w:r w:rsidRPr="00E8396F">
        <w:rPr>
          <w:rFonts w:asciiTheme="minorHAnsi" w:eastAsiaTheme="minorEastAsia" w:hAnsiTheme="minorHAnsi" w:cstheme="minorHAnsi"/>
          <w:color w:val="181818" w:themeColor="background1" w:themeShade="1A"/>
          <w:sz w:val="22"/>
          <w:szCs w:val="22"/>
          <w:lang w:val="pt-PT"/>
        </w:rPr>
        <w:t>However, referring to “major incident or cyber</w:t>
      </w:r>
      <w:r w:rsidRPr="00E8396F">
        <w:rPr>
          <w:rFonts w:asciiTheme="minorHAnsi" w:eastAsiaTheme="minorEastAsia" w:hAnsiTheme="minorHAnsi" w:cstheme="minorHAnsi"/>
          <w:color w:val="181818" w:themeColor="background1" w:themeShade="1A"/>
          <w:sz w:val="22"/>
          <w:szCs w:val="22"/>
          <w:lang w:val="pt-PT"/>
        </w:rPr>
        <w:noBreakHyphen/>
        <w:t>attack” as examples may imply that a major incident is synonymous with a cyber</w:t>
      </w:r>
      <w:r w:rsidRPr="00E8396F">
        <w:rPr>
          <w:rFonts w:asciiTheme="minorHAnsi" w:eastAsiaTheme="minorEastAsia" w:hAnsiTheme="minorHAnsi" w:cstheme="minorHAnsi"/>
          <w:color w:val="181818" w:themeColor="background1" w:themeShade="1A"/>
          <w:sz w:val="22"/>
          <w:szCs w:val="22"/>
          <w:lang w:val="pt-PT"/>
        </w:rPr>
        <w:noBreakHyphen/>
        <w:t>attack, creating a risk that the legitimate interest is considered applicable only in narrowly defined situations, even though it may, in fact, apply to any exceptional circumstance. A better alternative would be to only use “cyber-attack” and/or any other specific circumstance as an example of an exceptional event.</w:t>
      </w:r>
    </w:p>
    <w:p w14:paraId="6A71DD36" w14:textId="77777777" w:rsidR="00EF2CBE" w:rsidRPr="00EF2CBE" w:rsidRDefault="00EF2CBE" w:rsidP="00EF2CBE">
      <w:pPr>
        <w:pStyle w:val="Default"/>
        <w:rPr>
          <w:rFonts w:cstheme="minorHAnsi"/>
          <w:sz w:val="22"/>
          <w:szCs w:val="22"/>
          <w:lang w:val="en-US"/>
        </w:rPr>
      </w:pPr>
    </w:p>
    <w:p w14:paraId="2D404CF7" w14:textId="77777777" w:rsidR="00EF2CBE" w:rsidRPr="00EF2CBE" w:rsidRDefault="00EF2CBE" w:rsidP="00EF2CBE">
      <w:pPr>
        <w:pStyle w:val="Default"/>
        <w:ind w:left="1300"/>
        <w:rPr>
          <w:rFonts w:asciiTheme="minorHAnsi" w:hAnsiTheme="minorHAnsi" w:cstheme="minorHAnsi"/>
          <w:sz w:val="22"/>
          <w:szCs w:val="22"/>
          <w:u w:val="single"/>
          <w:lang w:val="en-US"/>
        </w:rPr>
      </w:pPr>
      <w:r w:rsidRPr="00EF2CBE">
        <w:rPr>
          <w:rFonts w:asciiTheme="minorHAnsi" w:hAnsiTheme="minorHAnsi" w:cstheme="minorHAnsi"/>
          <w:sz w:val="22"/>
          <w:szCs w:val="22"/>
          <w:u w:val="single"/>
          <w:lang w:val="en-US"/>
        </w:rPr>
        <w:t xml:space="preserve">Risk to lose a business opportunity when participating in parallel procurement processes </w:t>
      </w:r>
    </w:p>
    <w:p w14:paraId="16D56C3C" w14:textId="77777777" w:rsidR="00EF2CBE" w:rsidRPr="00EF2CBE" w:rsidRDefault="00EF2CBE" w:rsidP="00EF2CBE">
      <w:pPr>
        <w:pStyle w:val="Default"/>
        <w:ind w:left="1300"/>
        <w:rPr>
          <w:rFonts w:asciiTheme="minorHAnsi" w:hAnsiTheme="minorHAnsi" w:cstheme="minorHAnsi"/>
          <w:b/>
          <w:bCs/>
          <w:sz w:val="22"/>
          <w:szCs w:val="22"/>
          <w:lang w:val="en-US"/>
        </w:rPr>
      </w:pPr>
    </w:p>
    <w:p w14:paraId="14A5FEBC" w14:textId="77777777" w:rsidR="00EF2CBE" w:rsidRPr="00E8396F" w:rsidRDefault="00EF2CBE" w:rsidP="00EF2CBE">
      <w:pPr>
        <w:pStyle w:val="Default"/>
        <w:ind w:left="1300"/>
        <w:rPr>
          <w:rFonts w:asciiTheme="minorHAnsi" w:eastAsiaTheme="minorEastAsia" w:hAnsiTheme="minorHAnsi" w:cstheme="minorHAnsi"/>
          <w:color w:val="181818" w:themeColor="background1" w:themeShade="1A"/>
          <w:sz w:val="22"/>
          <w:szCs w:val="22"/>
          <w:lang w:val="pt-PT"/>
        </w:rPr>
      </w:pPr>
      <w:r w:rsidRPr="00E8396F">
        <w:rPr>
          <w:rFonts w:asciiTheme="minorHAnsi" w:eastAsiaTheme="minorEastAsia" w:hAnsiTheme="minorHAnsi" w:cstheme="minorHAnsi"/>
          <w:color w:val="181818" w:themeColor="background1" w:themeShade="1A"/>
          <w:sz w:val="22"/>
          <w:szCs w:val="22"/>
          <w:lang w:val="pt-PT"/>
        </w:rPr>
        <w:t xml:space="preserve">We support the proposal of, as a legitimate interest, adding the issuer’s interest not to lose a business opportunity when participating in parallel procurement processes. </w:t>
      </w:r>
    </w:p>
    <w:p w14:paraId="3F2A29F8" w14:textId="77777777" w:rsidR="00EF2CBE" w:rsidRPr="00EF2CBE" w:rsidRDefault="00EF2CBE" w:rsidP="00EF2CBE">
      <w:pPr>
        <w:pStyle w:val="Default"/>
        <w:ind w:left="1300"/>
        <w:rPr>
          <w:rFonts w:asciiTheme="minorHAnsi" w:hAnsiTheme="minorHAnsi" w:cstheme="minorHAnsi"/>
          <w:sz w:val="22"/>
          <w:szCs w:val="22"/>
          <w:lang w:val="en-US"/>
        </w:rPr>
      </w:pPr>
    </w:p>
    <w:p w14:paraId="37F08D36" w14:textId="7B1C2A3F" w:rsidR="00EF2CBE" w:rsidRPr="00EF2CBE" w:rsidRDefault="00EF2CBE" w:rsidP="00EF2CBE">
      <w:pPr>
        <w:pStyle w:val="Liststycke"/>
        <w:rPr>
          <w:rFonts w:asciiTheme="minorHAnsi" w:hAnsiTheme="minorHAnsi" w:cstheme="minorHAnsi"/>
        </w:rPr>
      </w:pPr>
      <w:r w:rsidRPr="00EF2CBE">
        <w:rPr>
          <w:rFonts w:asciiTheme="minorHAnsi" w:hAnsiTheme="minorHAnsi" w:cstheme="minorHAnsi"/>
        </w:rPr>
        <w:t>However, the proposal, as a legitimate interest, refers only to “</w:t>
      </w:r>
      <w:r w:rsidRPr="00EF2CBE">
        <w:rPr>
          <w:rFonts w:asciiTheme="minorHAnsi" w:hAnsiTheme="minorHAnsi" w:cstheme="minorHAnsi"/>
          <w:i/>
          <w:iCs/>
        </w:rPr>
        <w:t>the need to maintain the confidentiality of sensitive commercial information</w:t>
      </w:r>
      <w:r w:rsidRPr="00EF2CBE">
        <w:rPr>
          <w:rFonts w:asciiTheme="minorHAnsi" w:hAnsiTheme="minorHAnsi" w:cstheme="minorHAnsi"/>
        </w:rPr>
        <w:t>”, whereas an additional condition should be that disclosure of such sensitive information may</w:t>
      </w:r>
      <w:r w:rsidRPr="00EF2CBE">
        <w:rPr>
          <w:rFonts w:asciiTheme="minorHAnsi" w:hAnsiTheme="minorHAnsi" w:cstheme="minorHAnsi"/>
          <w:i/>
          <w:iCs/>
        </w:rPr>
        <w:t xml:space="preserve"> </w:t>
      </w:r>
      <w:proofErr w:type="spellStart"/>
      <w:r w:rsidRPr="00EF2CBE">
        <w:rPr>
          <w:rFonts w:asciiTheme="minorHAnsi" w:hAnsiTheme="minorHAnsi" w:cstheme="minorHAnsi"/>
          <w:i/>
          <w:iCs/>
        </w:rPr>
        <w:t>jeopardise</w:t>
      </w:r>
      <w:proofErr w:type="spellEnd"/>
      <w:r w:rsidRPr="00EF2CBE">
        <w:rPr>
          <w:rFonts w:asciiTheme="minorHAnsi" w:hAnsiTheme="minorHAnsi" w:cstheme="minorHAnsi"/>
        </w:rPr>
        <w:t xml:space="preserve"> a business opportunity.</w:t>
      </w:r>
      <w:r w:rsidRPr="00EF2CBE">
        <w:rPr>
          <w:rStyle w:val="Fotnotsreferens"/>
          <w:rFonts w:asciiTheme="minorHAnsi" w:hAnsiTheme="minorHAnsi" w:cstheme="minorHAnsi"/>
          <w:sz w:val="22"/>
          <w:lang w:val="en-US"/>
        </w:rPr>
        <w:t xml:space="preserve"> </w:t>
      </w:r>
      <w:r w:rsidRPr="00EF2CBE">
        <w:rPr>
          <w:rStyle w:val="Fotnotsreferens"/>
          <w:rFonts w:asciiTheme="minorHAnsi" w:hAnsiTheme="minorHAnsi" w:cstheme="minorHAnsi"/>
          <w:sz w:val="22"/>
          <w:lang w:val="en-US"/>
        </w:rPr>
        <w:footnoteReference w:id="7"/>
      </w:r>
      <w:r w:rsidRPr="00EF2CBE">
        <w:rPr>
          <w:rFonts w:asciiTheme="minorHAnsi" w:hAnsiTheme="minorHAnsi" w:cstheme="minorHAnsi"/>
        </w:rPr>
        <w:t xml:space="preserve"> We therefore propose that such wording is added. </w:t>
      </w:r>
    </w:p>
    <w:p w14:paraId="5572F42B" w14:textId="29055B73" w:rsidR="009B1E21" w:rsidRPr="00EF2CBE" w:rsidRDefault="00EF2CBE" w:rsidP="00EF2CBE">
      <w:pPr>
        <w:pStyle w:val="Liststycke"/>
        <w:rPr>
          <w:rFonts w:asciiTheme="minorHAnsi" w:hAnsiTheme="minorHAnsi" w:cstheme="minorHAnsi"/>
        </w:rPr>
      </w:pPr>
      <w:r w:rsidRPr="00EF2CBE">
        <w:rPr>
          <w:rFonts w:asciiTheme="minorHAnsi" w:hAnsiTheme="minorHAnsi" w:cstheme="minorHAnsi"/>
        </w:rPr>
        <w:t>Moreover, we do not see the rationale of including “</w:t>
      </w:r>
      <w:r w:rsidRPr="00EF2CBE">
        <w:rPr>
          <w:rFonts w:asciiTheme="minorHAnsi" w:hAnsiTheme="minorHAnsi" w:cstheme="minorHAnsi"/>
          <w:i/>
          <w:iCs/>
        </w:rPr>
        <w:t>the conclusion of private negotiations</w:t>
      </w:r>
      <w:r w:rsidRPr="00EF2CBE">
        <w:rPr>
          <w:rFonts w:asciiTheme="minorHAnsi" w:hAnsiTheme="minorHAnsi" w:cstheme="minorHAnsi"/>
        </w:rPr>
        <w:t>” in the proposal. We consider such situation is already covered by the EC list of protracted processes.</w:t>
      </w:r>
      <w:r w:rsidRPr="00EF2CBE">
        <w:rPr>
          <w:rStyle w:val="Fotnotsreferens"/>
          <w:rFonts w:asciiTheme="minorHAnsi" w:hAnsiTheme="minorHAnsi" w:cstheme="minorHAnsi"/>
          <w:sz w:val="22"/>
          <w:lang w:val="en-US"/>
        </w:rPr>
        <w:footnoteReference w:id="8"/>
      </w:r>
      <w:r w:rsidRPr="00EF2CBE">
        <w:rPr>
          <w:rFonts w:asciiTheme="minorHAnsi" w:hAnsiTheme="minorHAnsi" w:cstheme="minorHAnsi"/>
        </w:rPr>
        <w:t xml:space="preserve"> Also, in our view, only sensitive commercial information relating to “</w:t>
      </w:r>
      <w:r w:rsidRPr="00EF2CBE">
        <w:rPr>
          <w:rFonts w:asciiTheme="minorHAnsi" w:hAnsiTheme="minorHAnsi" w:cstheme="minorHAnsi"/>
          <w:i/>
          <w:iCs/>
        </w:rPr>
        <w:t xml:space="preserve">a contract awarded in a public procurement” </w:t>
      </w:r>
      <w:r w:rsidRPr="00EF2CBE">
        <w:rPr>
          <w:rFonts w:asciiTheme="minorHAnsi" w:hAnsiTheme="minorHAnsi" w:cstheme="minorHAnsi"/>
        </w:rPr>
        <w:t>should qualify as a legitimate interest. We therefore propose that such wording is deleted.</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 xml:space="preserve">In addition to the case of parallel procurements of the same nature, are you aware of other instances where disclosure of sensitive commercial information </w:t>
      </w:r>
      <w:r w:rsidRPr="00B7619F">
        <w:lastRenderedPageBreak/>
        <w:t>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0A08C976" w:rsidR="00B7619F" w:rsidRDefault="0009720E" w:rsidP="0009720E">
      <w:pPr>
        <w:ind w:left="708" w:firstLine="708"/>
      </w:pPr>
      <w:permStart w:id="876955670" w:edGrp="everyone"/>
      <w:r w:rsidRPr="008D2977">
        <w:rPr>
          <w:rFonts w:cstheme="minorHAnsi"/>
          <w:sz w:val="24"/>
          <w:szCs w:val="24"/>
          <w:lang w:val="en-US"/>
        </w:rPr>
        <w:t>No, see Q</w:t>
      </w:r>
      <w:r>
        <w:rPr>
          <w:rFonts w:cstheme="minorHAnsi"/>
          <w:sz w:val="24"/>
          <w:szCs w:val="24"/>
          <w:lang w:val="en-US"/>
        </w:rPr>
        <w:t>2</w:t>
      </w:r>
      <w:r w:rsidRPr="008D2977">
        <w:rPr>
          <w:rFonts w:cstheme="minorHAnsi"/>
          <w:sz w:val="24"/>
          <w:szCs w:val="24"/>
          <w:lang w:val="en-US"/>
        </w:rPr>
        <w:t>.</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29BE90A3" w14:textId="66834722" w:rsidR="00B7619F" w:rsidRDefault="00FA2360" w:rsidP="00FA2360">
      <w:pPr>
        <w:ind w:left="708" w:firstLine="708"/>
      </w:pPr>
      <w:permStart w:id="1788426663" w:edGrp="everyone"/>
      <w:r>
        <w:rPr>
          <w:rFonts w:cstheme="minorHAnsi"/>
          <w:sz w:val="24"/>
          <w:szCs w:val="24"/>
          <w:lang w:val="en-US"/>
        </w:rPr>
        <w:t>We do not have any proposals in this regard.</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9534" w14:textId="77777777" w:rsidR="00F8069D" w:rsidRDefault="00F8069D" w:rsidP="007E7997">
      <w:pPr>
        <w:spacing w:line="240" w:lineRule="auto"/>
      </w:pPr>
      <w:r>
        <w:separator/>
      </w:r>
    </w:p>
  </w:endnote>
  <w:endnote w:type="continuationSeparator" w:id="0">
    <w:p w14:paraId="7D20A9E5" w14:textId="77777777" w:rsidR="00F8069D" w:rsidRDefault="00F8069D" w:rsidP="007E7997">
      <w:pPr>
        <w:spacing w:line="240" w:lineRule="auto"/>
      </w:pPr>
      <w:r>
        <w:continuationSeparator/>
      </w:r>
    </w:p>
  </w:endnote>
  <w:endnote w:type="continuationNotice" w:id="1">
    <w:p w14:paraId="74180E4C" w14:textId="77777777" w:rsidR="00F8069D" w:rsidRDefault="00F80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fo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123C" w14:textId="77777777" w:rsidR="00F8069D" w:rsidRDefault="00F8069D" w:rsidP="007E7997">
      <w:pPr>
        <w:spacing w:line="240" w:lineRule="auto"/>
      </w:pPr>
      <w:r>
        <w:separator/>
      </w:r>
    </w:p>
  </w:footnote>
  <w:footnote w:type="continuationSeparator" w:id="0">
    <w:p w14:paraId="65144F66" w14:textId="77777777" w:rsidR="00F8069D" w:rsidRDefault="00F8069D" w:rsidP="007E7997">
      <w:pPr>
        <w:spacing w:line="240" w:lineRule="auto"/>
      </w:pPr>
      <w:r>
        <w:continuationSeparator/>
      </w:r>
    </w:p>
  </w:footnote>
  <w:footnote w:type="continuationNotice" w:id="1">
    <w:p w14:paraId="6DF20146" w14:textId="77777777" w:rsidR="00F8069D" w:rsidRDefault="00F8069D">
      <w:pPr>
        <w:spacing w:after="0" w:line="240" w:lineRule="auto"/>
      </w:pPr>
    </w:p>
  </w:footnote>
  <w:footnote w:id="2">
    <w:p w14:paraId="68FCDBD9" w14:textId="77777777" w:rsidR="00ED4905" w:rsidRPr="00765C1E" w:rsidRDefault="00ED4905" w:rsidP="00ED4905">
      <w:pPr>
        <w:pStyle w:val="Fotnotstext"/>
        <w:rPr>
          <w:lang w:val="en-US"/>
        </w:rPr>
      </w:pPr>
      <w:r w:rsidRPr="00AA7C74">
        <w:rPr>
          <w:rStyle w:val="Fotnotsreferens"/>
          <w:sz w:val="18"/>
          <w:szCs w:val="18"/>
        </w:rPr>
        <w:footnoteRef/>
      </w:r>
      <w:r w:rsidRPr="00AA7C74">
        <w:rPr>
          <w:sz w:val="18"/>
          <w:szCs w:val="18"/>
          <w:lang w:val="en-US"/>
        </w:rPr>
        <w:t xml:space="preserve"> Point b reads as follows: “</w:t>
      </w:r>
      <w:r w:rsidRPr="00AA7C74">
        <w:rPr>
          <w:i/>
          <w:iCs/>
          <w:sz w:val="18"/>
          <w:szCs w:val="18"/>
          <w:lang w:val="en-US"/>
        </w:rPr>
        <w:t xml:space="preserve">the financial viability of the issuer is in grave and imminent danger, although even though not within the scope of the applicable insolvency law, and immediate public disclosure of the inside information would seriously prejudice the interests of existing and potential shareholders by </w:t>
      </w:r>
      <w:proofErr w:type="spellStart"/>
      <w:r w:rsidRPr="00AA7C74">
        <w:rPr>
          <w:i/>
          <w:iCs/>
          <w:sz w:val="18"/>
          <w:szCs w:val="18"/>
          <w:lang w:val="en-US"/>
        </w:rPr>
        <w:t>jeopardising</w:t>
      </w:r>
      <w:proofErr w:type="spellEnd"/>
      <w:r w:rsidRPr="00AA7C74">
        <w:rPr>
          <w:i/>
          <w:iCs/>
          <w:sz w:val="18"/>
          <w:szCs w:val="18"/>
          <w:lang w:val="en-US"/>
        </w:rPr>
        <w:t xml:space="preserve"> the conclusion of the negotiations designed to ensure the financial recovery of the issuer</w:t>
      </w:r>
      <w:r w:rsidRPr="00AA7C74">
        <w:rPr>
          <w:sz w:val="18"/>
          <w:szCs w:val="18"/>
          <w:lang w:val="en-US"/>
        </w:rPr>
        <w:t>”.</w:t>
      </w:r>
    </w:p>
  </w:footnote>
  <w:footnote w:id="3">
    <w:p w14:paraId="478B068C" w14:textId="77777777" w:rsidR="00ED4905" w:rsidRPr="00AA7C74" w:rsidRDefault="00ED4905" w:rsidP="00ED4905">
      <w:pPr>
        <w:pStyle w:val="Fotnotstext"/>
        <w:rPr>
          <w:sz w:val="18"/>
          <w:szCs w:val="18"/>
          <w:lang w:val="en-US"/>
        </w:rPr>
      </w:pPr>
      <w:r w:rsidRPr="00AA7C74">
        <w:rPr>
          <w:rStyle w:val="Fotnotsreferens"/>
          <w:sz w:val="18"/>
          <w:szCs w:val="18"/>
        </w:rPr>
        <w:footnoteRef/>
      </w:r>
      <w:r w:rsidRPr="00AA7C74">
        <w:rPr>
          <w:sz w:val="18"/>
          <w:szCs w:val="18"/>
          <w:lang w:val="en-US"/>
        </w:rPr>
        <w:t xml:space="preserve"> </w:t>
      </w:r>
      <w:r w:rsidRPr="00AA7C74">
        <w:rPr>
          <w:rFonts w:cstheme="minorHAnsi"/>
          <w:sz w:val="18"/>
          <w:szCs w:val="18"/>
          <w:lang w:val="en-US"/>
        </w:rPr>
        <w:t>Regulation 596/2014 of the European Parliament and of the Council of 16 April 2014 on market abuse and repealing Directive 2003/6/EC of the European Parliament and of the Council and Commission Directives 2003/124/EC, 2003/125/EC and 2004/72/EC in its revised version by Listing Act (</w:t>
      </w:r>
      <w:r w:rsidRPr="00AA7C74">
        <w:rPr>
          <w:sz w:val="18"/>
          <w:szCs w:val="18"/>
          <w:lang w:val="en-US"/>
        </w:rPr>
        <w:t>regulation (EU) 2024/2809 of the European Parliament and of the Council of 23 October 2024 amending Regulations (EU) 2017/1129, (EU) No 596/2014 and (EU) No 600/2014 to make public capital markets in the Union more attractive for companies and to facilitate access to capital for small and medium-sized enterprises.</w:t>
      </w:r>
      <w:r w:rsidRPr="00AA7C74">
        <w:rPr>
          <w:rFonts w:cstheme="minorHAnsi"/>
          <w:sz w:val="18"/>
          <w:szCs w:val="18"/>
          <w:lang w:val="en-US"/>
        </w:rPr>
        <w:t>)</w:t>
      </w:r>
    </w:p>
  </w:footnote>
  <w:footnote w:id="4">
    <w:p w14:paraId="3B870638" w14:textId="77777777" w:rsidR="00ED4905" w:rsidRPr="00AA7C74" w:rsidRDefault="00ED4905" w:rsidP="00ED4905">
      <w:pPr>
        <w:pStyle w:val="Fotnotstext"/>
        <w:rPr>
          <w:sz w:val="18"/>
          <w:szCs w:val="18"/>
          <w:lang w:val="en-US"/>
        </w:rPr>
      </w:pPr>
      <w:r w:rsidRPr="00AA7C74">
        <w:rPr>
          <w:rStyle w:val="Fotnotsreferens"/>
          <w:sz w:val="18"/>
          <w:szCs w:val="18"/>
        </w:rPr>
        <w:footnoteRef/>
      </w:r>
      <w:r w:rsidRPr="00AA7C74">
        <w:rPr>
          <w:sz w:val="18"/>
          <w:szCs w:val="18"/>
          <w:lang w:val="en-US"/>
        </w:rPr>
        <w:t xml:space="preserve"> See No 25, third column, second paragraph.  </w:t>
      </w:r>
    </w:p>
  </w:footnote>
  <w:footnote w:id="5">
    <w:p w14:paraId="4606789F" w14:textId="77777777" w:rsidR="00ED4905" w:rsidRPr="00AA7C74" w:rsidRDefault="00ED4905" w:rsidP="00ED4905">
      <w:pPr>
        <w:pStyle w:val="Fotnotstext"/>
        <w:rPr>
          <w:sz w:val="18"/>
          <w:szCs w:val="18"/>
          <w:lang w:val="en-US"/>
        </w:rPr>
      </w:pPr>
      <w:r w:rsidRPr="00AA7C74">
        <w:rPr>
          <w:rStyle w:val="Fotnotsreferens"/>
          <w:sz w:val="18"/>
          <w:szCs w:val="18"/>
        </w:rPr>
        <w:footnoteRef/>
      </w:r>
      <w:r w:rsidRPr="00AA7C74">
        <w:rPr>
          <w:sz w:val="18"/>
          <w:szCs w:val="18"/>
          <w:lang w:val="en-US"/>
        </w:rPr>
        <w:t xml:space="preserve"> Point 38 reads as follows: “</w:t>
      </w:r>
      <w:r w:rsidRPr="00AA7C74">
        <w:rPr>
          <w:i/>
          <w:iCs/>
          <w:sz w:val="18"/>
          <w:szCs w:val="18"/>
          <w:lang w:val="en-US"/>
        </w:rPr>
        <w:t>ESMA considers that MAR Guideline 1 is to be amended by deleting the legitimate interests which relate to a process contained in the EC list of protracted processes</w:t>
      </w:r>
      <w:r w:rsidRPr="00AA7C74">
        <w:rPr>
          <w:sz w:val="18"/>
          <w:szCs w:val="18"/>
          <w:lang w:val="en-US"/>
        </w:rPr>
        <w:t>.”</w:t>
      </w:r>
    </w:p>
    <w:p w14:paraId="014E4348" w14:textId="77777777" w:rsidR="00ED4905" w:rsidRPr="003F795C" w:rsidRDefault="00ED4905" w:rsidP="00ED4905">
      <w:pPr>
        <w:pStyle w:val="Fotnotstext"/>
        <w:rPr>
          <w:lang w:val="en-US"/>
        </w:rPr>
      </w:pPr>
    </w:p>
  </w:footnote>
  <w:footnote w:id="6">
    <w:p w14:paraId="45DEEC03" w14:textId="77777777" w:rsidR="00EF2CBE" w:rsidRPr="00C84906" w:rsidRDefault="00EF2CBE" w:rsidP="00EF2CBE">
      <w:pPr>
        <w:pStyle w:val="Fotnotstext"/>
        <w:rPr>
          <w:lang w:val="en-US"/>
        </w:rPr>
      </w:pPr>
      <w:r>
        <w:rPr>
          <w:rStyle w:val="Fotnotsreferens"/>
        </w:rPr>
        <w:footnoteRef/>
      </w:r>
      <w:r w:rsidRPr="00C84906">
        <w:rPr>
          <w:lang w:val="en-US"/>
        </w:rPr>
        <w:t xml:space="preserve"> See article 17.1</w:t>
      </w:r>
      <w:r>
        <w:rPr>
          <w:lang w:val="en-US"/>
        </w:rPr>
        <w:t>, second paragraph,</w:t>
      </w:r>
      <w:r w:rsidRPr="00C84906">
        <w:rPr>
          <w:lang w:val="en-US"/>
        </w:rPr>
        <w:t xml:space="preserve"> of MAR</w:t>
      </w:r>
      <w:r>
        <w:rPr>
          <w:lang w:val="en-US"/>
        </w:rPr>
        <w:t>.</w:t>
      </w:r>
    </w:p>
  </w:footnote>
  <w:footnote w:id="7">
    <w:p w14:paraId="1410F813" w14:textId="77777777" w:rsidR="00EF2CBE" w:rsidRPr="00EA6E99" w:rsidRDefault="00EF2CBE" w:rsidP="00EF2CBE">
      <w:pPr>
        <w:pStyle w:val="Fotnotstext"/>
        <w:rPr>
          <w:lang w:val="en-US"/>
        </w:rPr>
      </w:pPr>
      <w:r>
        <w:rPr>
          <w:rStyle w:val="Fotnotsreferens"/>
        </w:rPr>
        <w:footnoteRef/>
      </w:r>
      <w:r w:rsidRPr="00EA6E99">
        <w:rPr>
          <w:lang w:val="en-US"/>
        </w:rPr>
        <w:t xml:space="preserve"> </w:t>
      </w:r>
      <w:r>
        <w:rPr>
          <w:lang w:val="en-US"/>
        </w:rPr>
        <w:t>See point 55-58 in the consultation paper.</w:t>
      </w:r>
    </w:p>
  </w:footnote>
  <w:footnote w:id="8">
    <w:p w14:paraId="6A09A13B" w14:textId="77777777" w:rsidR="00EF2CBE" w:rsidRPr="00216D89" w:rsidRDefault="00EF2CBE" w:rsidP="00EF2CBE">
      <w:pPr>
        <w:pStyle w:val="Fotnotstext"/>
        <w:rPr>
          <w:lang w:val="en-US"/>
        </w:rPr>
      </w:pPr>
      <w:r>
        <w:rPr>
          <w:rStyle w:val="Fotnotsreferens"/>
        </w:rPr>
        <w:footnoteRef/>
      </w:r>
      <w:r w:rsidRPr="00216D89">
        <w:rPr>
          <w:lang w:val="en-US"/>
        </w:rPr>
        <w:t xml:space="preserve"> See </w:t>
      </w:r>
      <w:r>
        <w:rPr>
          <w:lang w:val="en-US"/>
        </w:rPr>
        <w:t>No 1 in the EC list of protracted processes.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Sidhuvud"/>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huvud"/>
    </w:pPr>
  </w:p>
  <w:p w14:paraId="76D78551" w14:textId="45227A06" w:rsidR="00AD0B10" w:rsidRDefault="00AD0B10" w:rsidP="00AD0B10">
    <w:pPr>
      <w:pStyle w:val="Sidhuvud"/>
    </w:pPr>
  </w:p>
  <w:p w14:paraId="56B00CEC" w14:textId="77777777" w:rsidR="00AD0B10" w:rsidRPr="0043139E" w:rsidRDefault="00AD0B10" w:rsidP="00AD0B10">
    <w:pPr>
      <w:pStyle w:val="Sidhuvud"/>
    </w:pPr>
  </w:p>
  <w:p w14:paraId="68227DE6" w14:textId="77777777" w:rsidR="00AD0B10" w:rsidRPr="0043139E" w:rsidRDefault="00AD0B10" w:rsidP="00AD0B10">
    <w:pPr>
      <w:pStyle w:val="Sidhuvud"/>
    </w:pPr>
  </w:p>
  <w:p w14:paraId="0E44DBD1" w14:textId="77777777" w:rsidR="00AD0B10" w:rsidRPr="0043139E" w:rsidRDefault="00AD0B10" w:rsidP="00AD0B10">
    <w:pPr>
      <w:pStyle w:val="Sidhuvu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huvud"/>
    </w:pPr>
  </w:p>
  <w:p w14:paraId="706EF268" w14:textId="77777777" w:rsidR="00AD0B10" w:rsidRPr="0043139E" w:rsidRDefault="00AD0B10" w:rsidP="00AD0B10">
    <w:pPr>
      <w:pStyle w:val="Sidhuvud"/>
    </w:pPr>
  </w:p>
  <w:p w14:paraId="6B568202" w14:textId="77777777" w:rsidR="00AD0B10" w:rsidRPr="0043139E" w:rsidRDefault="00AD0B10" w:rsidP="00AD0B10">
    <w:pPr>
      <w:pStyle w:val="Sidhuvud"/>
    </w:pPr>
  </w:p>
  <w:p w14:paraId="70C66BCD" w14:textId="77777777" w:rsidR="00AD0B10" w:rsidRPr="0043139E" w:rsidRDefault="00AD0B10" w:rsidP="00AD0B10">
    <w:pPr>
      <w:pStyle w:val="Sidhuvud"/>
    </w:pPr>
  </w:p>
  <w:p w14:paraId="07229907" w14:textId="77777777" w:rsidR="00AD0B10" w:rsidRPr="0043139E" w:rsidRDefault="00AD0B10" w:rsidP="00AD0B10">
    <w:pPr>
      <w:pStyle w:val="Sidhuvud"/>
    </w:pPr>
  </w:p>
  <w:p w14:paraId="55555744" w14:textId="77777777" w:rsidR="00AD0B10" w:rsidRPr="0043139E" w:rsidRDefault="00AD0B10" w:rsidP="00AD0B10">
    <w:pPr>
      <w:pStyle w:val="Sidhuvud"/>
    </w:pPr>
  </w:p>
  <w:p w14:paraId="4601AE9C" w14:textId="77777777" w:rsidR="00AD0B10" w:rsidRDefault="00AD0B10" w:rsidP="00AD0B10">
    <w:pPr>
      <w:pStyle w:val="Sidhuvud"/>
    </w:pPr>
  </w:p>
  <w:p w14:paraId="49946785" w14:textId="77777777" w:rsidR="00AD0B10" w:rsidRPr="0043139E" w:rsidRDefault="00AD0B10" w:rsidP="00AD0B10">
    <w:pPr>
      <w:pStyle w:val="Sidhuvud"/>
    </w:pPr>
  </w:p>
  <w:p w14:paraId="72BAD19F" w14:textId="77777777" w:rsidR="008858FE" w:rsidRPr="00AD0B10" w:rsidRDefault="008858FE" w:rsidP="00AD0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Rubrik1"/>
      <w:lvlText w:val="%1"/>
      <w:lvlJc w:val="left"/>
      <w:pPr>
        <w:ind w:left="4686" w:hanging="432"/>
      </w:pPr>
    </w:lvl>
    <w:lvl w:ilvl="1">
      <w:start w:val="1"/>
      <w:numFmt w:val="decimal"/>
      <w:pStyle w:val="Rubrik2"/>
      <w:lvlText w:val="%1.%2"/>
      <w:lvlJc w:val="left"/>
      <w:pPr>
        <w:ind w:left="823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2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3E"/>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5D3"/>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5FE"/>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0E"/>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1E50"/>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0D14"/>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A08"/>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96F"/>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4905"/>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CBE"/>
    <w:rsid w:val="00EF34F9"/>
    <w:rsid w:val="00EF3A76"/>
    <w:rsid w:val="00EF3B2B"/>
    <w:rsid w:val="00EF3C58"/>
    <w:rsid w:val="00EF44BC"/>
    <w:rsid w:val="00EF4829"/>
    <w:rsid w:val="00EF4CD7"/>
    <w:rsid w:val="00EF510E"/>
    <w:rsid w:val="00EF534C"/>
    <w:rsid w:val="00EF5955"/>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69D"/>
    <w:rsid w:val="00F80815"/>
    <w:rsid w:val="00F80AC2"/>
    <w:rsid w:val="00F80CD8"/>
    <w:rsid w:val="00F80FAB"/>
    <w:rsid w:val="00F81076"/>
    <w:rsid w:val="00F81437"/>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360"/>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Rubrik1">
    <w:name w:val="heading 1"/>
    <w:basedOn w:val="Normal"/>
    <w:next w:val="Normal"/>
    <w:link w:val="Rubrik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Rubrik2">
    <w:name w:val="heading 2"/>
    <w:basedOn w:val="Normal"/>
    <w:next w:val="Normal"/>
    <w:link w:val="Rubrik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Rubrik3">
    <w:name w:val="heading 3"/>
    <w:basedOn w:val="Normal"/>
    <w:next w:val="Normal"/>
    <w:link w:val="Rubrik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Rubrik6">
    <w:name w:val="heading 6"/>
    <w:basedOn w:val="Normal"/>
    <w:next w:val="Normal"/>
    <w:link w:val="Rubrik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Rubrik7">
    <w:name w:val="heading 7"/>
    <w:basedOn w:val="Normal"/>
    <w:next w:val="Normal"/>
    <w:link w:val="Rubrik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Rubrik8">
    <w:name w:val="heading 8"/>
    <w:basedOn w:val="Normal"/>
    <w:next w:val="Normal"/>
    <w:link w:val="Rubrik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Rubrik9">
    <w:name w:val="heading 9"/>
    <w:basedOn w:val="Normal"/>
    <w:next w:val="Normal"/>
    <w:link w:val="Rubrik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Rubrik3Char">
    <w:name w:val="Rubrik 3 Char"/>
    <w:basedOn w:val="Standardstycketeckensnitt"/>
    <w:link w:val="Rubri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Rubrik1Char">
    <w:name w:val="Rubrik 1 Char"/>
    <w:basedOn w:val="Standardstycketeckensnitt"/>
    <w:link w:val="Rubrik1"/>
    <w:uiPriority w:val="9"/>
    <w:rsid w:val="0082744A"/>
    <w:rPr>
      <w:rFonts w:asciiTheme="majorHAnsi" w:eastAsiaTheme="majorEastAsia" w:hAnsiTheme="majorHAnsi" w:cstheme="majorBidi"/>
      <w:b/>
      <w:color w:val="00379F" w:themeColor="text1"/>
      <w:sz w:val="32"/>
      <w:szCs w:val="32"/>
      <w:lang w:val="en-GB"/>
    </w:rPr>
  </w:style>
  <w:style w:type="character" w:customStyle="1" w:styleId="Rubrik2Char">
    <w:name w:val="Rubrik 2 Char"/>
    <w:basedOn w:val="Standardstycketeckensnitt"/>
    <w:link w:val="Rubri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qFormat/>
    <w:rsid w:val="00F205B9"/>
    <w:pPr>
      <w:ind w:left="792" w:hanging="432"/>
    </w:pPr>
    <w:rPr>
      <w:b/>
      <w:color w:val="00379F" w:themeColor="text1"/>
      <w:sz w:val="28"/>
    </w:rPr>
  </w:style>
  <w:style w:type="character" w:customStyle="1" w:styleId="Title1Char">
    <w:name w:val="Title 1 Char"/>
    <w:basedOn w:val="Standardstycketeckensnitt"/>
    <w:link w:val="Title1"/>
    <w:rsid w:val="00F205B9"/>
    <w:rPr>
      <w:rFonts w:asciiTheme="majorHAnsi" w:hAnsiTheme="majorHAnsi" w:cstheme="majorHAnsi"/>
      <w:b/>
      <w:color w:val="00379F" w:themeColor="text1"/>
      <w:sz w:val="28"/>
      <w:szCs w:val="22"/>
      <w:lang w:val="pt-PT"/>
    </w:rPr>
  </w:style>
  <w:style w:type="paragraph" w:styleId="Liststycke">
    <w:name w:val="List Paragraph"/>
    <w:aliases w:val="Paragraphe EI,Paragraphe de liste1,EC"/>
    <w:basedOn w:val="Normal"/>
    <w:link w:val="ListstyckeChar"/>
    <w:autoRedefine/>
    <w:uiPriority w:val="34"/>
    <w:qFormat/>
    <w:rsid w:val="00EF2CBE"/>
    <w:pPr>
      <w:ind w:left="1300"/>
      <w:jc w:val="left"/>
    </w:pPr>
    <w:rPr>
      <w:rFonts w:asciiTheme="majorHAnsi" w:hAnsiTheme="majorHAnsi" w:cstheme="majorHAnsi"/>
      <w:szCs w:val="22"/>
      <w:lang w:val="pt-PT"/>
    </w:rPr>
  </w:style>
  <w:style w:type="paragraph" w:customStyle="1" w:styleId="Title3">
    <w:name w:val="Title 3"/>
    <w:basedOn w:val="Liststycke"/>
    <w:link w:val="Title3Char"/>
    <w:autoRedefine/>
    <w:rsid w:val="00F205B9"/>
    <w:pPr>
      <w:numPr>
        <w:ilvl w:val="3"/>
        <w:numId w:val="4"/>
      </w:numPr>
    </w:pPr>
  </w:style>
  <w:style w:type="character" w:customStyle="1" w:styleId="Title3Char">
    <w:name w:val="Title 3 Char"/>
    <w:basedOn w:val="Standardstycketeckensnit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tycketeckensnit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spacing w:after="0"/>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uiPriority w:val="9"/>
    <w:semiHidden/>
    <w:rsid w:val="00AA054E"/>
    <w:rPr>
      <w:rFonts w:asciiTheme="majorHAnsi" w:eastAsiaTheme="majorEastAsia" w:hAnsiTheme="majorHAnsi" w:cstheme="majorBidi"/>
      <w:i/>
      <w:iCs/>
      <w:color w:val="007EFF" w:themeColor="text2"/>
      <w:sz w:val="21"/>
      <w:szCs w:val="21"/>
      <w:lang w:val="en-GB"/>
    </w:rPr>
  </w:style>
  <w:style w:type="paragraph" w:styleId="Rubrik">
    <w:name w:val="Title"/>
    <w:basedOn w:val="Normal"/>
    <w:next w:val="Normal"/>
    <w:link w:val="Rubrik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RubrikChar">
    <w:name w:val="Rubrik Char"/>
    <w:basedOn w:val="Standardstycketeckensnitt"/>
    <w:link w:val="Rubrik"/>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rubrik">
    <w:name w:val="Subtitle"/>
    <w:basedOn w:val="Normal"/>
    <w:next w:val="Normal"/>
    <w:link w:val="Underrubrik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rubrikChar">
    <w:name w:val="Underrubrik Char"/>
    <w:basedOn w:val="Standardstycketeckensnitt"/>
    <w:link w:val="Underrubrik"/>
    <w:uiPriority w:val="11"/>
    <w:rsid w:val="0082744A"/>
    <w:rPr>
      <w:rFonts w:asciiTheme="majorHAnsi" w:eastAsiaTheme="majorEastAsia" w:hAnsiTheme="majorHAnsi" w:cstheme="majorBidi"/>
      <w:sz w:val="28"/>
      <w:szCs w:val="24"/>
      <w:lang w:val="en-GB"/>
    </w:rPr>
  </w:style>
  <w:style w:type="character" w:customStyle="1" w:styleId="Rubrik7Char">
    <w:name w:val="Rubrik 7 Char"/>
    <w:basedOn w:val="Standardstycketeckensnitt"/>
    <w:link w:val="Rubri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Rubrik8Char">
    <w:name w:val="Rubrik 8 Char"/>
    <w:basedOn w:val="Standardstycketeckensnitt"/>
    <w:link w:val="Rubri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Rubrik9Char">
    <w:name w:val="Rubrik 9 Char"/>
    <w:basedOn w:val="Standardstycketeckensnitt"/>
    <w:link w:val="Rubrik9"/>
    <w:uiPriority w:val="9"/>
    <w:semiHidden/>
    <w:rsid w:val="00AA054E"/>
    <w:rPr>
      <w:rFonts w:asciiTheme="majorHAnsi" w:eastAsiaTheme="majorEastAsia" w:hAnsiTheme="majorHAnsi" w:cstheme="majorBidi"/>
      <w:b/>
      <w:bCs/>
      <w:i/>
      <w:iCs/>
      <w:color w:val="007EFF" w:themeColor="text2"/>
      <w:sz w:val="22"/>
      <w:lang w:val="en-GB"/>
    </w:rPr>
  </w:style>
  <w:style w:type="paragraph" w:styleId="Beskrivning">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0055F7" w:themeColor="text1" w:themeTint="BF"/>
    </w:rPr>
  </w:style>
  <w:style w:type="character" w:customStyle="1" w:styleId="CitatChar">
    <w:name w:val="Citat Char"/>
    <w:basedOn w:val="Standardstycketeckensnitt"/>
    <w:link w:val="Citat"/>
    <w:uiPriority w:val="29"/>
    <w:rsid w:val="00AA054E"/>
    <w:rPr>
      <w:i/>
      <w:iCs/>
      <w:color w:val="0055F7" w:themeColor="text1" w:themeTint="BF"/>
    </w:rPr>
  </w:style>
  <w:style w:type="paragraph" w:styleId="Starktcitat">
    <w:name w:val="Intense Quote"/>
    <w:basedOn w:val="Normal"/>
    <w:next w:val="Normal"/>
    <w:link w:val="Starktcit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34009F" w:themeColor="accent1"/>
      <w:sz w:val="28"/>
      <w:szCs w:val="28"/>
    </w:rPr>
  </w:style>
  <w:style w:type="character" w:styleId="Diskretbetoning">
    <w:name w:val="Subtle Emphasis"/>
    <w:basedOn w:val="Standardstycketeckensnitt"/>
    <w:uiPriority w:val="19"/>
    <w:qFormat/>
    <w:rsid w:val="00AA054E"/>
    <w:rPr>
      <w:i/>
      <w:iCs/>
      <w:color w:val="0055F7" w:themeColor="text1" w:themeTint="BF"/>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0055F7" w:themeColor="text1" w:themeTint="BF"/>
      <w:u w:val="single" w:color="4E8BF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F205B9"/>
    <w:pPr>
      <w:numPr>
        <w:numId w:val="0"/>
      </w:num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huvudChar">
    <w:name w:val="Sidhuvud Char"/>
    <w:basedOn w:val="Standardstycketeckensnitt"/>
    <w:link w:val="Sidhuvud"/>
    <w:rsid w:val="00AF6B1E"/>
    <w:rPr>
      <w:color w:val="001B4F" w:themeColor="text1" w:themeShade="80"/>
      <w:sz w:val="16"/>
      <w:lang w:val="en-GB"/>
    </w:rPr>
  </w:style>
  <w:style w:type="paragraph" w:styleId="Sidfot">
    <w:name w:val="footer"/>
    <w:basedOn w:val="Normal"/>
    <w:link w:val="Sidfo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fotChar">
    <w:name w:val="Sidfot Char"/>
    <w:basedOn w:val="Standardstycketeckensnitt"/>
    <w:link w:val="Sidfot"/>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nehll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nehll2">
    <w:name w:val="toc 2"/>
    <w:basedOn w:val="Innehll1"/>
    <w:next w:val="Normal"/>
    <w:uiPriority w:val="39"/>
    <w:unhideWhenUsed/>
    <w:qFormat/>
    <w:rsid w:val="00F205B9"/>
    <w:pPr>
      <w:framePr w:wrap="around"/>
      <w:tabs>
        <w:tab w:val="right" w:leader="dot" w:pos="440"/>
      </w:tabs>
      <w:ind w:left="220"/>
    </w:pPr>
  </w:style>
  <w:style w:type="paragraph" w:styleId="Innehll3">
    <w:name w:val="toc 3"/>
    <w:basedOn w:val="Innehll1"/>
    <w:next w:val="Normal"/>
    <w:uiPriority w:val="39"/>
    <w:unhideWhenUsed/>
    <w:qFormat/>
    <w:rsid w:val="00AD0B10"/>
    <w:pPr>
      <w:framePr w:wrap="around"/>
      <w:ind w:left="442"/>
    </w:pPr>
  </w:style>
  <w:style w:type="character" w:styleId="Hyperlnk">
    <w:name w:val="Hyperlink"/>
    <w:basedOn w:val="Standardstycketeckensnit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tycketeckensnit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pPr>
      <w:spacing w:after="0" w:line="240" w:lineRule="auto"/>
    </w:pPr>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unhideWhenUsed/>
    <w:qFormat/>
    <w:rsid w:val="007A1A9D"/>
    <w:pPr>
      <w:spacing w:after="0" w:line="240" w:lineRule="auto"/>
    </w:pPr>
    <w:rPr>
      <w:sz w:val="16"/>
    </w:rPr>
  </w:style>
  <w:style w:type="character" w:customStyle="1" w:styleId="FotnotstextChar">
    <w:name w:val="Fotnotstext Char"/>
    <w:basedOn w:val="Standardstycketeckensnitt"/>
    <w:link w:val="Fotnotstext"/>
    <w:uiPriority w:val="99"/>
    <w:rsid w:val="007A1A9D"/>
    <w:rPr>
      <w:color w:val="181818" w:themeColor="background1" w:themeShade="1A"/>
      <w:sz w:val="16"/>
      <w:lang w:val="en-GB"/>
    </w:rPr>
  </w:style>
  <w:style w:type="character" w:styleId="Fotnotsreferens">
    <w:name w:val="footnote reference"/>
    <w:basedOn w:val="Standardstycketeckensnitt"/>
    <w:uiPriority w:val="99"/>
    <w:semiHidden/>
    <w:unhideWhenUsed/>
    <w:qFormat/>
    <w:rsid w:val="00A91D91"/>
    <w:rPr>
      <w:rFonts w:asciiTheme="majorHAnsi" w:hAnsiTheme="majorHAnsi"/>
      <w:sz w:val="16"/>
      <w:vertAlign w:val="superscript"/>
    </w:rPr>
  </w:style>
  <w:style w:type="paragraph" w:customStyle="1" w:styleId="Footnote">
    <w:name w:val="Footnote"/>
    <w:basedOn w:val="Fotnotstext"/>
    <w:link w:val="FootnoteChar"/>
    <w:qFormat/>
    <w:rsid w:val="00672C04"/>
    <w:pPr>
      <w:ind w:left="454" w:hanging="454"/>
    </w:pPr>
    <w:rPr>
      <w:lang w:val="nl-BE"/>
    </w:rPr>
  </w:style>
  <w:style w:type="character" w:customStyle="1" w:styleId="FootnoteChar">
    <w:name w:val="Footnote Char"/>
    <w:basedOn w:val="FotnotstextChar"/>
    <w:link w:val="Footnote"/>
    <w:rsid w:val="00672C04"/>
    <w:rPr>
      <w:color w:val="181818" w:themeColor="background1" w:themeShade="1A"/>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gtext">
    <w:name w:val="Balloon Text"/>
    <w:basedOn w:val="Normal"/>
    <w:link w:val="BallongtextChar"/>
    <w:uiPriority w:val="99"/>
    <w:semiHidden/>
    <w:unhideWhenUsed/>
    <w:rsid w:val="007151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151BF"/>
    <w:rPr>
      <w:rFonts w:ascii="Tahoma" w:hAnsi="Tahoma" w:cs="Tahoma"/>
      <w:sz w:val="16"/>
      <w:szCs w:val="16"/>
      <w:lang w:val="en-GB"/>
    </w:rPr>
  </w:style>
  <w:style w:type="paragraph" w:styleId="Innehll4">
    <w:name w:val="toc 4"/>
    <w:basedOn w:val="Innehll1"/>
    <w:next w:val="Normal"/>
    <w:uiPriority w:val="39"/>
    <w:unhideWhenUsed/>
    <w:qFormat/>
    <w:rsid w:val="00F205B9"/>
    <w:pPr>
      <w:framePr w:wrap="around"/>
      <w:ind w:left="660"/>
    </w:pPr>
  </w:style>
  <w:style w:type="character" w:styleId="Kommentarsreferens">
    <w:name w:val="annotation reference"/>
    <w:basedOn w:val="Standardstycketeckensnitt"/>
    <w:uiPriority w:val="99"/>
    <w:semiHidden/>
    <w:unhideWhenUsed/>
    <w:rsid w:val="00D33C31"/>
    <w:rPr>
      <w:sz w:val="16"/>
      <w:szCs w:val="16"/>
    </w:rPr>
  </w:style>
  <w:style w:type="paragraph" w:styleId="Kommentarer">
    <w:name w:val="annotation text"/>
    <w:basedOn w:val="Normal"/>
    <w:link w:val="KommentarerChar"/>
    <w:uiPriority w:val="99"/>
    <w:unhideWhenUsed/>
    <w:rsid w:val="00D33C31"/>
    <w:pPr>
      <w:spacing w:line="240" w:lineRule="auto"/>
    </w:pPr>
    <w:rPr>
      <w:sz w:val="20"/>
    </w:rPr>
  </w:style>
  <w:style w:type="character" w:customStyle="1" w:styleId="KommentarerChar">
    <w:name w:val="Kommentarer Char"/>
    <w:basedOn w:val="Standardstycketeckensnitt"/>
    <w:link w:val="Kommentarer"/>
    <w:uiPriority w:val="99"/>
    <w:rsid w:val="00D33C31"/>
    <w:rPr>
      <w:lang w:val="en-GB"/>
    </w:rPr>
  </w:style>
  <w:style w:type="paragraph" w:styleId="Kommentarsmne">
    <w:name w:val="annotation subject"/>
    <w:basedOn w:val="Kommentarer"/>
    <w:next w:val="Kommentarer"/>
    <w:link w:val="KommentarsmneChar"/>
    <w:uiPriority w:val="99"/>
    <w:semiHidden/>
    <w:unhideWhenUsed/>
    <w:rsid w:val="00D33C31"/>
    <w:rPr>
      <w:b/>
      <w:bCs/>
    </w:rPr>
  </w:style>
  <w:style w:type="character" w:customStyle="1" w:styleId="KommentarsmneChar">
    <w:name w:val="Kommentarsämne Char"/>
    <w:basedOn w:val="KommentarerChar"/>
    <w:link w:val="Kommentarsmne"/>
    <w:uiPriority w:val="99"/>
    <w:semiHidden/>
    <w:rsid w:val="00D33C31"/>
    <w:rPr>
      <w:b/>
      <w:bCs/>
      <w:lang w:val="en-GB"/>
    </w:rPr>
  </w:style>
  <w:style w:type="character" w:styleId="Olstomnmnande">
    <w:name w:val="Unresolved Mention"/>
    <w:basedOn w:val="Standardstycketeckensnit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a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huvud"/>
    <w:qFormat/>
    <w:rsid w:val="00AF6B1E"/>
  </w:style>
  <w:style w:type="paragraph" w:customStyle="1" w:styleId="Pageheader">
    <w:name w:val="Page header"/>
    <w:basedOn w:val="Sidhuvud"/>
    <w:next w:val="Sidhuvu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nehll5">
    <w:name w:val="toc 5"/>
    <w:basedOn w:val="Normal"/>
    <w:next w:val="Normal"/>
    <w:uiPriority w:val="39"/>
    <w:semiHidden/>
    <w:unhideWhenUsed/>
    <w:qFormat/>
    <w:rsid w:val="00F205B9"/>
    <w:pPr>
      <w:spacing w:after="100"/>
      <w:ind w:left="880"/>
    </w:pPr>
  </w:style>
  <w:style w:type="paragraph" w:styleId="Innehll6">
    <w:name w:val="toc 6"/>
    <w:basedOn w:val="Normal"/>
    <w:next w:val="Normal"/>
    <w:uiPriority w:val="39"/>
    <w:semiHidden/>
    <w:unhideWhenUsed/>
    <w:qFormat/>
    <w:rsid w:val="00F205B9"/>
    <w:pPr>
      <w:spacing w:after="100"/>
      <w:ind w:left="1100"/>
    </w:pPr>
  </w:style>
  <w:style w:type="paragraph" w:styleId="Innehll7">
    <w:name w:val="toc 7"/>
    <w:basedOn w:val="Normal"/>
    <w:next w:val="Normal"/>
    <w:uiPriority w:val="39"/>
    <w:semiHidden/>
    <w:unhideWhenUsed/>
    <w:qFormat/>
    <w:rsid w:val="00F205B9"/>
    <w:pPr>
      <w:spacing w:after="100"/>
      <w:ind w:left="1320"/>
    </w:pPr>
  </w:style>
  <w:style w:type="paragraph" w:styleId="Innehll8">
    <w:name w:val="toc 8"/>
    <w:basedOn w:val="Normal"/>
    <w:next w:val="Normal"/>
    <w:uiPriority w:val="39"/>
    <w:semiHidden/>
    <w:unhideWhenUsed/>
    <w:qFormat/>
    <w:rsid w:val="00F205B9"/>
    <w:pPr>
      <w:spacing w:after="100"/>
      <w:ind w:left="1540"/>
    </w:pPr>
  </w:style>
  <w:style w:type="paragraph" w:styleId="Innehll9">
    <w:name w:val="toc 9"/>
    <w:basedOn w:val="Normal"/>
    <w:next w:val="Normal"/>
    <w:uiPriority w:val="39"/>
    <w:semiHidden/>
    <w:unhideWhenUsed/>
    <w:qFormat/>
    <w:rsid w:val="00F205B9"/>
    <w:pPr>
      <w:spacing w:after="100"/>
      <w:ind w:left="1760"/>
    </w:pPr>
  </w:style>
  <w:style w:type="character" w:styleId="AnvndHyperlnk">
    <w:name w:val="FollowedHyperlink"/>
    <w:basedOn w:val="Standardstycketeckensnitt"/>
    <w:uiPriority w:val="99"/>
    <w:semiHidden/>
    <w:unhideWhenUsed/>
    <w:rsid w:val="0043139E"/>
    <w:rPr>
      <w:color w:val="0174AF" w:themeColor="followedHyperlink"/>
      <w:u w:val="single"/>
    </w:rPr>
  </w:style>
  <w:style w:type="character" w:customStyle="1" w:styleId="ListstyckeChar">
    <w:name w:val="Liststycke Char"/>
    <w:aliases w:val="Paragraphe EI Char,Paragraphe de liste1 Char,EC Char"/>
    <w:link w:val="Liststycke"/>
    <w:uiPriority w:val="34"/>
    <w:locked/>
    <w:rsid w:val="00EF2CBE"/>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tycketeckensnitt"/>
    <w:rsid w:val="00061F32"/>
    <w:rPr>
      <w:rFonts w:ascii="Segoe UI" w:hAnsi="Segoe UI" w:cs="Segoe UI" w:hint="default"/>
      <w:sz w:val="18"/>
      <w:szCs w:val="18"/>
    </w:rPr>
  </w:style>
  <w:style w:type="character" w:customStyle="1" w:styleId="cf11">
    <w:name w:val="cf11"/>
    <w:basedOn w:val="Standardstycketeckensnitt"/>
    <w:rsid w:val="00061F32"/>
    <w:rPr>
      <w:rFonts w:ascii="Segoe UI" w:hAnsi="Segoe UI" w:cs="Segoe UI" w:hint="default"/>
      <w:color w:val="333333"/>
      <w:sz w:val="18"/>
      <w:szCs w:val="18"/>
      <w:shd w:val="clear" w:color="auto" w:fill="FFFFFF"/>
    </w:rPr>
  </w:style>
  <w:style w:type="character" w:styleId="Nmn">
    <w:name w:val="Mention"/>
    <w:basedOn w:val="Standardstycketeckensnitt"/>
    <w:uiPriority w:val="99"/>
    <w:unhideWhenUsed/>
    <w:rsid w:val="00251F26"/>
    <w:rPr>
      <w:color w:val="2B579A"/>
      <w:shd w:val="clear" w:color="auto" w:fill="E1DFDD"/>
    </w:rPr>
  </w:style>
  <w:style w:type="character" w:styleId="Platshllartext">
    <w:name w:val="Placeholder Text"/>
    <w:basedOn w:val="Standardstycketeckensnitt"/>
    <w:uiPriority w:val="99"/>
    <w:semiHidden/>
    <w:rsid w:val="00635BCA"/>
    <w:rPr>
      <w:color w:val="808080"/>
    </w:rPr>
  </w:style>
  <w:style w:type="paragraph" w:customStyle="1" w:styleId="para">
    <w:name w:val="para"/>
    <w:basedOn w:val="Liststycke"/>
    <w:link w:val="paraChar"/>
    <w:qFormat/>
    <w:rsid w:val="00641F03"/>
    <w:pPr>
      <w:ind w:left="360" w:hanging="360"/>
    </w:pPr>
    <w:rPr>
      <w:rFonts w:asciiTheme="minorHAnsi" w:hAnsiTheme="minorHAnsi" w:cstheme="minorBidi"/>
      <w:bCs/>
      <w:iCs/>
      <w:szCs w:val="20"/>
      <w:lang w:val="en-GB"/>
    </w:rPr>
  </w:style>
  <w:style w:type="character" w:customStyle="1" w:styleId="paraChar">
    <w:name w:val="para Char"/>
    <w:basedOn w:val="Standardstycketeckensnitt"/>
    <w:link w:val="para"/>
    <w:rsid w:val="00641F03"/>
    <w:rPr>
      <w:bCs/>
      <w:iCs/>
      <w:color w:val="181818" w:themeColor="background1" w:themeShade="1A"/>
      <w:sz w:val="22"/>
      <w:lang w:val="en-GB"/>
    </w:rPr>
  </w:style>
  <w:style w:type="paragraph" w:customStyle="1" w:styleId="Default">
    <w:name w:val="Default"/>
    <w:rsid w:val="00EF2CBE"/>
    <w:pPr>
      <w:autoSpaceDE w:val="0"/>
      <w:autoSpaceDN w:val="0"/>
      <w:adjustRightInd w:val="0"/>
      <w:spacing w:after="0" w:line="240" w:lineRule="auto"/>
    </w:pPr>
    <w:rPr>
      <w:rFonts w:ascii="Century Gothic" w:eastAsiaTheme="minorHAnsi" w:hAnsi="Century Gothic" w:cs="Century Gothic"/>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tshlla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tshlla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7845D3"/>
    <w:rsid w:val="007E566A"/>
    <w:rsid w:val="00813189"/>
    <w:rsid w:val="00813EAE"/>
    <w:rsid w:val="008222A0"/>
    <w:rsid w:val="00836D47"/>
    <w:rsid w:val="00982D57"/>
    <w:rsid w:val="00993537"/>
    <w:rsid w:val="009B6B9C"/>
    <w:rsid w:val="009C0B17"/>
    <w:rsid w:val="00A44918"/>
    <w:rsid w:val="00A563E1"/>
    <w:rsid w:val="00B22006"/>
    <w:rsid w:val="00B46CAE"/>
    <w:rsid w:val="00C006E6"/>
    <w:rsid w:val="00C14154"/>
    <w:rsid w:val="00D40353"/>
    <w:rsid w:val="00DC3796"/>
    <w:rsid w:val="00DC4211"/>
    <w:rsid w:val="00DE0D14"/>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97726e-2378-4054-9597-3d45f8d54df4" xsi:nil="true"/>
    <lcf76f155ced4ddcb4097134ff3c332f xmlns="2337fc17-2acf-4d77-80c9-45ed8debd6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18" ma:contentTypeDescription="Create a new document." ma:contentTypeScope="" ma:versionID="fb1734e68ee18a681ebfaea514973793">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a89e85cc80b248d10259f189d6c06466"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288b9-19b5-4faa-8f66-1ce723381885}" ma:internalName="TaxCatchAll" ma:showField="CatchAllData" ma:web="c297726e-2378-4054-9597-3d45f8d54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3f8d9-c8d5-457d-8e59-0e3c75a07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c297726e-2378-4054-9597-3d45f8d54df4"/>
    <ds:schemaRef ds:uri="2337fc17-2acf-4d77-80c9-45ed8debd66b"/>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14F0222A-35AA-4C9C-8EB7-6DB58DA1C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7726e-2378-4054-9597-3d45f8d54df4"/>
    <ds:schemaRef ds:uri="2337fc17-2acf-4d77-80c9-45ed8deb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1323</Words>
  <Characters>7016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Sophie Nossman</cp:lastModifiedBy>
  <cp:revision>11</cp:revision>
  <cp:lastPrinted>2023-09-09T00:53:00Z</cp:lastPrinted>
  <dcterms:created xsi:type="dcterms:W3CDTF">2026-04-29T08:14:00Z</dcterms:created>
  <dcterms:modified xsi:type="dcterms:W3CDTF">2026-04-29T08:28:00Z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y fmtid="{D5CDD505-2E9C-101B-9397-08002B2CF9AE}" pid="27" name="MediaServiceImageTags">
    <vt:lpwstr/>
  </property>
</Properties>
</file>