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5611ECB"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E54CA39" w:rsidR="00635BCA" w:rsidRPr="00557BD2" w:rsidRDefault="00BD2BAB" w:rsidP="00D21C35">
                <w:r w:rsidRPr="00EA1AFE">
                  <w:rPr>
                    <w:rFonts w:asciiTheme="majorHAnsi" w:hAnsiTheme="majorHAnsi" w:cstheme="majorHAnsi"/>
                  </w:rPr>
                  <w:t>Bettering Bearings</w:t>
                </w:r>
                <w:r>
                  <w:rPr>
                    <w:rFonts w:asciiTheme="majorHAnsi" w:hAnsiTheme="majorHAnsi" w:cstheme="majorHAnsi"/>
                  </w:rPr>
                  <w:t>, LLC</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3E56B351" w:rsidR="00B17279" w:rsidRDefault="00BD2BAB" w:rsidP="00B17279">
                <w:r>
                  <w:t>Academic</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permStart w:id="401478327" w:edGrp="everyone" w:displacedByCustomXml="prev"/>
            <w:tc>
              <w:tcPr>
                <w:tcW w:w="4531" w:type="dxa"/>
              </w:tcPr>
              <w:p w14:paraId="10359AFE" w14:textId="554DA523" w:rsidR="00B17279" w:rsidRDefault="00BD2BAB"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09489009" w:rsidR="00B17279" w:rsidRPr="00557BD2" w:rsidRDefault="00BD2BAB" w:rsidP="00B17279">
                <w:r>
                  <w:t>North-America</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63F78311" w14:textId="77777777" w:rsidR="00BD2BAB" w:rsidRDefault="00BD2BAB" w:rsidP="00BD2BAB">
      <w:permStart w:id="627510576" w:edGrp="everyone"/>
      <w:r>
        <w:t>Yes, there are merits in maintaining this legitimate interest, provided it is framed as a narrow and reviewable exception rather than as a general shelter for adverse financial information.</w:t>
      </w:r>
    </w:p>
    <w:p w14:paraId="296C0230" w14:textId="77777777" w:rsidR="00BD2BAB" w:rsidRDefault="00BD2BAB" w:rsidP="00BD2BAB">
      <w:r>
        <w:t>Where the financial viability of an issuer is at risk, immediate public disclosure may in some cases seriously prejudice the measures being undertaken to restore viability. In such circumstances, premature disclosure may harm not only the issuer but also investors and market integrity, if it disrupts a viable restructuring, financing, stabilisation, or rescue process before the relevant facts can be responsibly assessed. The legitimate interest should therefore be retained.</w:t>
      </w:r>
    </w:p>
    <w:p w14:paraId="2F9CAB34" w14:textId="77777777" w:rsidR="00BD2BAB" w:rsidRDefault="00BD2BAB" w:rsidP="00BD2BAB">
      <w:r>
        <w:t>However, the Guidelines should make clear that this interest is justified only where the issuer can identify a concrete measure or set of measures directed at restoring viability; explain why immediate disclosure would likely prejudice those measures; show that confidentiality remains ensured; confirm that the delayed information is not in contrast with the issuer's latest public announcement or other communication on the same matter; and reassess the position at short, defined intervals.</w:t>
      </w:r>
    </w:p>
    <w:p w14:paraId="2860B379" w14:textId="77777777" w:rsidR="00BD2BAB" w:rsidRDefault="00BD2BAB" w:rsidP="00BD2BAB">
      <w:r>
        <w:t xml:space="preserve">This is a judgment-threshold issue. The relevant question is not whether the issuer would prefer delay, but whether available evidence, uncertainty, confidentiality protections, and the </w:t>
      </w:r>
      <w:r>
        <w:lastRenderedPageBreak/>
        <w:t>risks of premature disclosure are sufficient to authorise temporary delay. ESMA should therefore encourage a contemporaneous internal decision record, even where an explanation is formally required only upon request. That record should identify the responsible decision-maker or committee, the legitimate interest relied on, the evidence considered, the expected period of delay, the controls used to preserve confidentiality, the trigger for reassessment, and the basis for concluding that the delayed information does not contradict the latest public communication on the same matter.</w:t>
      </w:r>
    </w:p>
    <w:p w14:paraId="1F7872F2" w14:textId="77777777" w:rsidR="00BD2BAB" w:rsidRDefault="00BD2BAB" w:rsidP="009B1E21">
      <w:r>
        <w:t>This would preserve the simplifying purpose of the amended regime while reducing the risk that delayed disclosure becomes strategic silence rather than a disciplined, reviewable judgment under conditions of uncertainty.</w:t>
      </w:r>
    </w:p>
    <w:permEnd w:id="627510576"/>
    <w:p w14:paraId="0D7538F4" w14:textId="5AFFB96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28A180A8" w14:textId="77777777" w:rsidR="00BD2BAB" w:rsidRDefault="00BD2BAB" w:rsidP="00BD2BAB">
      <w:permStart w:id="55053902" w:edGrp="everyone"/>
      <w:r>
        <w:t>I broadly support the proposed additional legitimate interests, subject to clarifying safeguards.</w:t>
      </w:r>
    </w:p>
    <w:p w14:paraId="56D177F5" w14:textId="77777777" w:rsidR="00BD2BAB" w:rsidRDefault="00BD2BAB" w:rsidP="00BD2BAB">
      <w:r>
        <w:t>Orders by a public authority to maintain confidentiality. This is a fitting addition. Where a public authority requests or orders confidentiality, an issuer may have a legitimate interest in delaying disclosure. The Guidelines should clarify that the issuer should retain evidence of the public authority request or order, including its scope, date, expected duration where available, and the person or function within the issuer responsible for implementing it. Informal communications should not be treated as self-executing justification unless their content and source are adequately documented.</w:t>
      </w:r>
    </w:p>
    <w:p w14:paraId="3CF3E46B" w14:textId="77777777" w:rsidR="00BD2BAB" w:rsidRDefault="00BD2BAB" w:rsidP="00BD2BAB">
      <w:r>
        <w:t>Need to collect further information on the event or the circumstances to be disclosed. This is also a fitting addition, especially for major incidents, cyber-attacks, operational disruptions, or other fast-moving events where premature disclosure may be incomplete, technically inaccurate, or unable to enable a correct assessment by market participants. The safeguard is that the need for further information should not become a general licence to wait for certainty. The issuer should be expected to define what information is still needed, why it is material to accurate public assessment, who is responsible for obtaining it, and when the position will be reassessed. Where a limited holding announcement would better serve market integrity without compromising containment, investigation, or confidentiality, that alternative should be considered.</w:t>
      </w:r>
    </w:p>
    <w:p w14:paraId="738EC4B8" w14:textId="77777777" w:rsidR="00BD2BAB" w:rsidRDefault="00BD2BAB" w:rsidP="00BD2BAB">
      <w:r>
        <w:lastRenderedPageBreak/>
        <w:t>Risk of losing a business opportunity when participating in parallel procurement processes. This proposed interest is reasonable where disclosure of sensitive commercial information would allow competitors to adjust bids, infer pricing or capacity strategy, or otherwise distort an active competitive process. The Guidelines should keep this interest tied to concrete competitive risk and a defined commercial window. It should not be used to delay disclosure of broader financial, operational, or risk information unless that information itself would reveal competitively sensitive details.</w:t>
      </w:r>
    </w:p>
    <w:p w14:paraId="725BF334" w14:textId="77777777" w:rsidR="00BD2BAB" w:rsidRDefault="00BD2BAB" w:rsidP="009B1E21">
      <w:r>
        <w:t>Across all three proposed interests, ESMA should add an interpretive note that delay decisions should be authorised by a named function or body, documented contemporaneously, and subject to reassessment if confidentiality weakens, market rumours become sufficiently accurate, or the issuer's latest public communications would be contradicted by continued delay.</w:t>
      </w:r>
    </w:p>
    <w:permEnd w:id="55053902"/>
    <w:p w14:paraId="360DEE1D" w14:textId="6ADE6F2D"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58AE831D" w14:textId="77777777" w:rsidR="00BD2BAB" w:rsidRDefault="00BD2BAB" w:rsidP="00BD2BAB">
      <w:permStart w:id="876955670" w:edGrp="everyone"/>
      <w:r>
        <w:t>Yes. In addition to parallel public procurements of the same nature, there are other limited situations in which disclosure of sensitive commercial information may jeopardise an issuer's business opportunity and could qualify as a legitimate interest for delay.</w:t>
      </w:r>
    </w:p>
    <w:p w14:paraId="39E8DBCF" w14:textId="77777777" w:rsidR="00BD2BAB" w:rsidRDefault="00BD2BAB" w:rsidP="00BD2BAB">
      <w:r>
        <w:t>First, competitive commercial processes that are not formally public procurements may raise similar risks. These include parallel negotiations with major customers, strategic suppliers, licensors, acquirers, or financing counterparties where disclosure of specific pricing, technical capacity, contractual limits, proprietary capability, or negotiating position would materially weaken the issuer's position in an active competitive process. This should not cover ordinary commercial sensitivity. It should apply only where the issuer can identify a concrete competitive process, a specific category of sensitive information, and a material risk that disclosure would distort the process or defeat the opportunity.</w:t>
      </w:r>
    </w:p>
    <w:p w14:paraId="354559BC" w14:textId="77777777" w:rsidR="00BD2BAB" w:rsidRDefault="00BD2BAB" w:rsidP="00BD2BAB">
      <w:r>
        <w:t xml:space="preserve">Second, coordinated vulnerability disclosure, cybersecurity remediation, or major operational resilience incidents may involve commercially sensitive and security-sensitive information. Immediate disclosure of detailed technical information may enable exploitation by malicious actors, undermine containment, or expose customers and counterparties to avoidable harm before the issuer has collected sufficient information and implemented necessary safeguards. </w:t>
      </w:r>
      <w:r>
        <w:lastRenderedPageBreak/>
        <w:t>Any delay on this basis should be short, actively reassessed, and limited to what is necessary for containment, verification, and responsible public communication.</w:t>
      </w:r>
    </w:p>
    <w:p w14:paraId="40904A5A" w14:textId="77777777" w:rsidR="00BD2BAB" w:rsidRDefault="00BD2BAB" w:rsidP="00BD2BAB">
      <w:r>
        <w:t>Third, competitive applications for public grants, subsidies, concessions, or regulatory authorisations may sometimes resemble procurement processes, even where they are not described as tenders. If disclosure would reveal an issuer's bid strategy, eligibility-sensitive information, or proprietary technical approach in a way that competitors could exploit, a limited legitimate interest may exist.</w:t>
      </w:r>
    </w:p>
    <w:p w14:paraId="3F452DF0" w14:textId="77777777" w:rsidR="00BD2BAB" w:rsidRDefault="00BD2BAB" w:rsidP="00B7619F">
      <w:r>
        <w:t>In all these cases, ESMA should avoid a broad catch-all category of commercial sensitivity. The test should require a specific opportunity, a concrete pathway of prejudice, preserved confidentiality, consistency with the issuer's latest communication on the same matter, and a documented reassessment timetable.</w:t>
      </w:r>
    </w:p>
    <w:permEnd w:id="876955670"/>
    <w:p w14:paraId="3F02FC20" w14:textId="4AF54AD8"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5C45E592" w14:textId="77777777" w:rsidR="00BD2BAB" w:rsidRDefault="00BD2BAB" w:rsidP="00BD2BAB">
      <w:permStart w:id="1788426663" w:edGrp="everyone"/>
      <w:r>
        <w:t>ESMA could add, or at least clarify, the following legitimate interests.</w:t>
      </w:r>
    </w:p>
    <w:p w14:paraId="0084EF8E" w14:textId="77777777" w:rsidR="00BD2BAB" w:rsidRDefault="00BD2BAB" w:rsidP="00BD2BAB">
      <w:r>
        <w:t>1. Controlled assessment and remediation of a major incident, including cyber-security or operational resilience events. A legitimate interest may arise where immediate disclosure would materially increase the risk of harm, enable exploitation, undermine containment, or prevent a correct and timely assessment by the public because essential facts are not yet available. This interest should be bounded by strict conditions: rapid internal escalation; identification of the missing information; access controls preserving confidentiality; time-limited reassessment; consideration of whether a limited holding disclosure is needed; and immediate disclosure if confidentiality can no longer be ensured.</w:t>
      </w:r>
    </w:p>
    <w:p w14:paraId="06E6C214" w14:textId="77777777" w:rsidR="00BD2BAB" w:rsidRDefault="00BD2BAB" w:rsidP="00BD2BAB">
      <w:r>
        <w:t>2. Coordinated disclosure involving third parties or public authorities. Where an event materially involves critical suppliers, platforms, infrastructure providers, customers, or public authorities, a short delay may be justified when necessary to coordinate accurate disclosure, avoid inconsistent public communications, or prevent avoidable harm to affected parties. This should not permit indefinite waiting for third-party convenience. It should be limited to coordination needed for accuracy, harm reduction, and compliance with the amended Article 17 conditions.</w:t>
      </w:r>
    </w:p>
    <w:p w14:paraId="5DB0222D" w14:textId="77777777" w:rsidR="00BD2BAB" w:rsidRDefault="00BD2BAB" w:rsidP="00BD2BAB">
      <w:r>
        <w:t xml:space="preserve">3. Protection of objectively sensitive commercial information in active competitive processes beyond formal public procurement. ESMA could recognise competitive negotiations, licensing </w:t>
      </w:r>
      <w:r>
        <w:lastRenderedPageBreak/>
        <w:t>processes, grant or concession processes, and comparable structured opportunities where disclosure would reveal information competitors could use to defeat the opportunity. This should be narrowly framed to avoid turning commercial sensitivity into a routine ground for delay.</w:t>
      </w:r>
    </w:p>
    <w:p w14:paraId="645E4CDF" w14:textId="77777777" w:rsidR="00BD2BAB" w:rsidRDefault="00BD2BAB" w:rsidP="00B7619F">
      <w:r>
        <w:t>ESMA should also consider adding a short governance recital or explanatory paragraph to Guideline 1. Because delayed disclosure decisions are made under uncertainty, the Guidelines should encourage issuers to preserve a proportionate decision record. That record should show: the legitimate interest relied on; the facts known at the time; the uncertainties that remained; why immediate disclosure would prejudice the legitimate interest; why delay would not contradict the issuer's latest public communication on the same matter; what confidentiality safeguards were in place; who authorised the delay; when reassessment would occur; and what would trigger immediate disclosure. This would support supervisory convergence while remaining compatible with the simplification and burden-reduction objectives of the new regime.</w:t>
      </w:r>
    </w:p>
    <w:permEnd w:id="1788426663"/>
    <w:p w14:paraId="0EBF8E84" w14:textId="52E2DDA8"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E04C" w14:textId="77777777" w:rsidR="00001F59" w:rsidRDefault="00001F59" w:rsidP="007E7997">
      <w:pPr>
        <w:spacing w:line="240" w:lineRule="auto"/>
      </w:pPr>
      <w:r>
        <w:separator/>
      </w:r>
    </w:p>
  </w:endnote>
  <w:endnote w:type="continuationSeparator" w:id="0">
    <w:p w14:paraId="69DDD95B" w14:textId="77777777" w:rsidR="00001F59" w:rsidRDefault="00001F59" w:rsidP="007E7997">
      <w:pPr>
        <w:spacing w:line="240" w:lineRule="auto"/>
      </w:pPr>
      <w:r>
        <w:continuationSeparator/>
      </w:r>
    </w:p>
  </w:endnote>
  <w:endnote w:type="continuationNotice" w:id="1">
    <w:p w14:paraId="33F65B12" w14:textId="77777777" w:rsidR="00001F59" w:rsidRDefault="00001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60D4" w14:textId="77777777" w:rsidR="00001F59" w:rsidRDefault="00001F59" w:rsidP="007E7997">
      <w:pPr>
        <w:spacing w:line="240" w:lineRule="auto"/>
      </w:pPr>
      <w:r>
        <w:separator/>
      </w:r>
    </w:p>
  </w:footnote>
  <w:footnote w:type="continuationSeparator" w:id="0">
    <w:p w14:paraId="393BAC8A" w14:textId="77777777" w:rsidR="00001F59" w:rsidRDefault="00001F59" w:rsidP="007E7997">
      <w:pPr>
        <w:spacing w:line="240" w:lineRule="auto"/>
      </w:pPr>
      <w:r>
        <w:continuationSeparator/>
      </w:r>
    </w:p>
  </w:footnote>
  <w:footnote w:type="continuationNotice" w:id="1">
    <w:p w14:paraId="3E4F4686" w14:textId="77777777" w:rsidR="00001F59" w:rsidRDefault="00001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92F0C" w:rsidR="00D77369" w:rsidRPr="00A51B24" w:rsidRDefault="00D77369" w:rsidP="008858FE">
    <w:pPr>
      <w:pStyle w:val="Header"/>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3"/>
  </w:num>
  <w:num w:numId="5">
    <w:abstractNumId w:val="0"/>
  </w:num>
  <w:num w:numId="6">
    <w:abstractNumId w:val="5"/>
  </w:num>
  <w:num w:numId="7">
    <w:abstractNumId w:val="12"/>
  </w:num>
  <w:num w:numId="8">
    <w:abstractNumId w:val="2"/>
  </w:num>
  <w:num w:numId="9">
    <w:abstractNumId w:val="10"/>
  </w:num>
  <w:num w:numId="10">
    <w:abstractNumId w:val="8"/>
  </w:num>
  <w:num w:numId="11">
    <w:abstractNumId w:val="7"/>
  </w:num>
  <w:num w:numId="12">
    <w:abstractNumId w:val="7"/>
    <w:lvlOverride w:ilvl="0">
      <w:startOverride w:val="1"/>
    </w:lvlOverride>
  </w:num>
  <w:num w:numId="13">
    <w:abstractNumId w:val="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59"/>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BAB"/>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E73"/>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04DDD"/>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982D57"/>
    <w:rsid w:val="00993537"/>
    <w:rsid w:val="009B6B9C"/>
    <w:rsid w:val="009C0B17"/>
    <w:rsid w:val="00A44918"/>
    <w:rsid w:val="00A563E1"/>
    <w:rsid w:val="00B22006"/>
    <w:rsid w:val="00B46CAE"/>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11907</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Howarth, Kenneth</cp:lastModifiedBy>
  <cp:revision>2</cp:revision>
  <cp:lastPrinted>2023-09-09T00:53:00Z</cp:lastPrinted>
  <dcterms:created xsi:type="dcterms:W3CDTF">2026-05-01T21:52:00Z</dcterms:created>
  <dcterms:modified xsi:type="dcterms:W3CDTF">2026-05-01T21:52:00Z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