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25611ECB"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footerReference w:type="even" r:id="rId14"/>
              <w:footerReference w:type="default" r:id="rId15"/>
              <w:headerReference w:type="first" r:id="rId16"/>
              <w:footerReference w:type="first" r:id="rId17"/>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9" w:history="1">
            <w:r w:rsidRPr="005B6B12">
              <w:rPr>
                <w:rStyle w:val="Hyperlink"/>
              </w:rPr>
              <w:t>www.esma.europa.eu</w:t>
            </w:r>
          </w:hyperlink>
          <w:r w:rsidRPr="005B6B12">
            <w:t xml:space="preserve"> under the heading </w:t>
          </w:r>
          <w:r w:rsidRPr="00025A7F">
            <w:rPr>
              <w:rStyle w:val="Hyperlink"/>
            </w:rPr>
            <w:t>‘</w:t>
          </w:r>
          <w:hyperlink r:id="rId20"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350E79C8" w:rsidR="00635BCA" w:rsidRPr="00557BD2" w:rsidRDefault="003C6826" w:rsidP="00D21C35">
                <w:r>
                  <w:t xml:space="preserve">Bank of Valletta </w:t>
                </w:r>
                <w:proofErr w:type="spellStart"/>
                <w:r>
                  <w:t>p.l.c</w:t>
                </w:r>
                <w:proofErr w:type="spellEnd"/>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03016210" w:rsidR="00B17279" w:rsidRDefault="003C6826" w:rsidP="00B17279">
                <w:r>
                  <w:t>Issuer (Other than SME)</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Content>
            <w:permStart w:id="401478327" w:edGrp="everyone" w:displacedByCustomXml="prev"/>
            <w:tc>
              <w:tcPr>
                <w:tcW w:w="4531" w:type="dxa"/>
              </w:tcPr>
              <w:p w14:paraId="10359AFE" w14:textId="7BC60D6C" w:rsidR="00B17279" w:rsidRDefault="009770E4"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2D50CADA" w:rsidR="00B17279" w:rsidRPr="00557BD2" w:rsidRDefault="003C6826" w:rsidP="00B17279">
                <w:r>
                  <w:t>Malta</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3111A860" w14:textId="099F4436" w:rsidR="009B1E21" w:rsidRDefault="003C6826" w:rsidP="009B1E21">
      <w:permStart w:id="627510576" w:edGrp="everyone"/>
      <w:r w:rsidRPr="009953E5">
        <w:t>Yes, there are clear merits in maintaining the legitimate interest currently described in point (b) of Guideline</w:t>
      </w:r>
      <w:r>
        <w:t xml:space="preserve"> </w:t>
      </w:r>
      <w:r w:rsidRPr="009953E5">
        <w:t>1, which allows an issuer to delay disclosure of its financial situation where immediate publication may jeopardise measures to re</w:t>
      </w:r>
      <w:r w:rsidRPr="009953E5">
        <w:noBreakHyphen/>
        <w:t xml:space="preserve">establish its viability. This legitimate interest continues to be highly relevant, particularly in situations involving refinancing negotiations, debt restructuring, capital support measures or regulatory recovery actions. Immediate disclosure in such circumstances may undermine negotiations with creditors, counterparties or investors, accelerate liquidity stress, or trigger adverse market reactions that ultimately prejudice creditors and shareholders alike. </w:t>
      </w:r>
      <w:r w:rsidRPr="004349CB">
        <w:rPr>
          <w:lang w:val="en-US"/>
        </w:rPr>
        <w:t>In the case of credit institutions, premature disclosure in such circumstances may also give rise to broader financial stability considerations, reinforcing the importance of a carefully calibrated and time-limited del</w:t>
      </w:r>
      <w:r>
        <w:rPr>
          <w:lang w:val="en-US"/>
        </w:rPr>
        <w:t xml:space="preserve">ay. </w:t>
      </w:r>
      <w:r w:rsidRPr="009953E5">
        <w:t>Retaining this legitimate interest remains consistent with the amended Article 17 MAR, which continues to recognise the need to balance transparency with the protection of the issuer’s legitimate interests, provided confidentiality can be maintained and the information is not in contrast with previous public communications.</w:t>
      </w:r>
      <w:r>
        <w:t xml:space="preserve"> </w:t>
      </w:r>
      <w:r w:rsidRPr="004349CB">
        <w:rPr>
          <w:lang w:val="en-US"/>
        </w:rPr>
        <w:t>Any such delay should be subject to robust internal governance arrangements, including senior management oversight, formal documentation of the decision to delay, and continuous reassessment as circumstances evolve.</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5572F42B" w14:textId="32959A3A" w:rsidR="009B1E21" w:rsidRDefault="003C6826" w:rsidP="009B1E21">
      <w:permStart w:id="55053902" w:edGrp="everyone"/>
      <w:r w:rsidRPr="009953E5">
        <w:t xml:space="preserve">The additional legitimate interests proposed to be included in the MAR Guidelines are broadly appropriate and reflect practical situations faced by issuers. In particular, the inclusion of legitimate interests linked to protracted processes, strategic transactions, and negotiations where premature disclosure could materially affect the outcome is aligned with the amended Article 17 MAR, which shifts the disclosure obligation towards final events rather than intermediate steps. These additions enhance legal certainty for issuers and promote consistency in the application of the delay mechanism across Member States. </w:t>
      </w:r>
      <w:r w:rsidRPr="004349CB">
        <w:t>Further clarification would nevertheless be welcome on how issuers should assess the point at which an intermediate step crystallises into a sufficiently precise “final event”, particularly in the context of iterative or supervisory-driven processes common in regulated sectors.</w:t>
      </w:r>
      <w:r>
        <w:t xml:space="preserve"> </w:t>
      </w:r>
      <w:r w:rsidRPr="009953E5">
        <w:t>Provided that the Guidelines continue to emphasise confidentiality, consistency of public messaging and issuer accountability, the proposed additions strike an appropriate balance between market integrity and operational reality.</w:t>
      </w:r>
      <w:r w:rsidRPr="004349CB">
        <w:rPr>
          <w:rFonts w:ascii="Cambria" w:hAnsi="Cambria"/>
          <w:color w:val="FF0000"/>
          <w:szCs w:val="22"/>
          <w:bdr w:val="none" w:sz="0" w:space="0" w:color="auto" w:frame="1"/>
          <w:lang w:val="en-US"/>
        </w:rPr>
        <w:t xml:space="preserve"> </w:t>
      </w:r>
      <w:r w:rsidRPr="004349CB">
        <w:rPr>
          <w:lang w:val="en-US"/>
        </w:rPr>
        <w:t>To avoid a formalistic or checklist-based application, it would be important for the Guidelines to reinforce the need for case-by-case judgment grounded in the specific facts and circumstances.</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0FDB22C2" w14:textId="77777777" w:rsidR="003C6826" w:rsidRDefault="003C6826" w:rsidP="003C6826">
      <w:permStart w:id="876955670" w:edGrp="everyone"/>
      <w:r w:rsidRPr="009953E5">
        <w:t>Based on our experience in a banking and capital markets context, we believe there are a number of additional practical scenarios, beyond parallel procurements, where delayed disclosure of inside information may be justified, provided that all conditions under Article 17(4) MAR are met, namely the existence of a legitimate interest, that the delay does not mislead the public, and that confidentiality is preserved.</w:t>
      </w:r>
      <w:r>
        <w:t xml:space="preserve"> </w:t>
      </w:r>
      <w:r w:rsidRPr="004349CB">
        <w:t>In this context, it is also relevant to recognise that premature or incomplete disclosure of highly contingent information may itself risk misleading the market by conveying a false sense of certainty.</w:t>
      </w:r>
    </w:p>
    <w:p w14:paraId="64D1239F" w14:textId="77777777" w:rsidR="003C6826" w:rsidRPr="009953E5" w:rsidRDefault="003C6826" w:rsidP="003C6826">
      <w:r w:rsidRPr="009953E5">
        <w:lastRenderedPageBreak/>
        <w:t xml:space="preserve">These scenarios include regulatory or supervisory engagement in relation to capital or funding actions, such as discussions with resolution or supervisory authorities on MREL instruments, capital buffers or funding structure adjustments, where premature disclosure could prejudice the outcome or fuel market speculation before a clear and executable path is agreed. </w:t>
      </w:r>
      <w:r w:rsidRPr="004349CB">
        <w:rPr>
          <w:lang w:val="en-US"/>
        </w:rPr>
        <w:t>This would be particularly relevant where discussions are at a preparatory or exploratory stage and have not yet resulted in validated measures or binding decisions requiring market disclosure.</w:t>
      </w:r>
      <w:r>
        <w:rPr>
          <w:lang w:val="en-US"/>
        </w:rPr>
        <w:t xml:space="preserve"> </w:t>
      </w:r>
      <w:r w:rsidRPr="009953E5">
        <w:t>Similar considerations arise during the preparatory phases of capital markets transactions, prior to formal market soundings, where early disclosure could distort pricing, trigger adverse market behaviour or materially weaken execution prospects without providing actionable information to investors.</w:t>
      </w:r>
      <w:r w:rsidRPr="004349CB">
        <w:rPr>
          <w:rFonts w:ascii="Cambria" w:hAnsi="Cambria"/>
          <w:color w:val="FF0000"/>
          <w:szCs w:val="22"/>
          <w:bdr w:val="none" w:sz="0" w:space="0" w:color="auto" w:frame="1"/>
          <w:lang w:val="en-US"/>
        </w:rPr>
        <w:t xml:space="preserve"> </w:t>
      </w:r>
      <w:r w:rsidRPr="004349CB">
        <w:rPr>
          <w:lang w:val="en-US"/>
        </w:rPr>
        <w:t>In such cases, the availability of the market sounding regime under MAR provides an important safeguard once a transaction reaches sufficient maturity.</w:t>
      </w:r>
    </w:p>
    <w:p w14:paraId="46507EFA" w14:textId="77777777" w:rsidR="003C6826" w:rsidRPr="009953E5" w:rsidRDefault="003C6826" w:rsidP="003C6826">
      <w:r w:rsidRPr="009953E5">
        <w:t>Delayed disclosure may also be appropriate for transactions that are highly contingent or conditional, for example where completion is subject to regulatory non</w:t>
      </w:r>
      <w:r w:rsidRPr="009953E5">
        <w:noBreakHyphen/>
        <w:t>objection, internal governance approvals or third</w:t>
      </w:r>
      <w:r w:rsidRPr="009953E5">
        <w:noBreakHyphen/>
        <w:t>party consents, and where early disclosure could mislead the market given the uncertainty surrounding completion.</w:t>
      </w:r>
    </w:p>
    <w:p w14:paraId="19240C19" w14:textId="77777777" w:rsidR="003C6826" w:rsidRPr="009953E5" w:rsidRDefault="003C6826" w:rsidP="003C6826">
      <w:r w:rsidRPr="009953E5">
        <w:t>More broadly, disclosure of sensitive commercial information may jeopardise legitimate business opportunities and should qualify as a legitimate interest for delay. This includes negotiations with strategic partners or counterparties, bids in competitive auction processes, negotiations relating to acquisitions or disposals outside traditional M&amp;A structures, and discussions with key suppliers or customers where confidentiality is a condition for engagement. In such cases, premature disclosure could materially alter counterparty behaviour or undermine the issuer’s ability to conclude the transaction on favourable terms, without offering meaningful investor protection at that stage.</w:t>
      </w:r>
    </w:p>
    <w:p w14:paraId="250C488A" w14:textId="77777777" w:rsidR="003C6826" w:rsidRDefault="003C6826" w:rsidP="00B7619F">
      <w:r w:rsidRPr="009953E5">
        <w:t>In all cases, delayed disclosure would only be considered appropriate where confidentiality can be effectively maintained and prompt disclosure is made once the risk to the issuer’s legitimate interests no longer subsists.</w:t>
      </w:r>
    </w:p>
    <w:permEnd w:id="876955670"/>
    <w:p w14:paraId="3F02FC20" w14:textId="35FF7A86"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3947249A" w14:textId="77777777" w:rsidR="00EB1C83" w:rsidRDefault="00EB1C83" w:rsidP="00B7619F">
      <w:permStart w:id="1788426663" w:edGrp="everyone"/>
      <w:r w:rsidRPr="009953E5">
        <w:t xml:space="preserve">In addition to those already proposed, it would be appropriate to explicitly recognise legitimate interests related to regulatory or supervisory engagement, such as confidential remedial plans agreed with competent authorities, stress scenarios under supervisory assessment, or preparatory steps for capital or liquidity measures subject to regulatory approval. </w:t>
      </w:r>
      <w:r w:rsidRPr="004349CB">
        <w:t xml:space="preserve">This should apply only where such engagement does not yet give rise to binding measures or enforcement </w:t>
      </w:r>
      <w:r w:rsidRPr="004349CB">
        <w:lastRenderedPageBreak/>
        <w:t>actions that would necessitate immediate disclosure.</w:t>
      </w:r>
      <w:r>
        <w:t xml:space="preserve"> </w:t>
      </w:r>
      <w:r w:rsidRPr="009953E5">
        <w:t xml:space="preserve">Consideration could also be given to situations involving cybersecurity incidents or operational resilience events where immediate disclosure, before the issuer has sufficient clarity on scope and impact, could amplify harm or create market distortion. </w:t>
      </w:r>
      <w:r w:rsidRPr="004349CB">
        <w:t>In such circumstances, a short and justified delay may support orderly markets, provided disclosure is made promptly once the facts are sufficiently established.</w:t>
      </w:r>
      <w:r>
        <w:t xml:space="preserve"> </w:t>
      </w:r>
      <w:r w:rsidRPr="009953E5">
        <w:t>Including such interests would further support a proportionate, substance</w:t>
      </w:r>
      <w:r w:rsidRPr="009953E5">
        <w:noBreakHyphen/>
        <w:t>based application of the delayed disclosure regime while remaining fully aligned with the objectives of market integrity and investor protection.</w:t>
      </w:r>
    </w:p>
    <w:permEnd w:id="1788426663"/>
    <w:p w14:paraId="0EBF8E84" w14:textId="220F1FE4"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8BD7" w14:textId="77777777" w:rsidR="00562E99" w:rsidRDefault="00562E99" w:rsidP="007E7997">
      <w:pPr>
        <w:spacing w:line="240" w:lineRule="auto"/>
      </w:pPr>
      <w:r>
        <w:separator/>
      </w:r>
    </w:p>
  </w:endnote>
  <w:endnote w:type="continuationSeparator" w:id="0">
    <w:p w14:paraId="63EF36DB" w14:textId="77777777" w:rsidR="00562E99" w:rsidRDefault="00562E99" w:rsidP="007E7997">
      <w:pPr>
        <w:spacing w:line="240" w:lineRule="auto"/>
      </w:pPr>
      <w:r>
        <w:continuationSeparator/>
      </w:r>
    </w:p>
  </w:endnote>
  <w:endnote w:type="continuationNotice" w:id="1">
    <w:p w14:paraId="2308C313" w14:textId="77777777" w:rsidR="00562E99" w:rsidRDefault="00562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8AF1" w14:textId="77777777" w:rsidR="00EB1C83" w:rsidRDefault="00EB1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A09E" w14:textId="77777777" w:rsidR="00EB1C83" w:rsidRDefault="00EB1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FBFD" w14:textId="77777777" w:rsidR="00EB1C83" w:rsidRDefault="00EB1C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527B" w14:textId="77777777" w:rsidR="00562E99" w:rsidRDefault="00562E99" w:rsidP="007E7997">
      <w:pPr>
        <w:spacing w:line="240" w:lineRule="auto"/>
      </w:pPr>
      <w:r>
        <w:separator/>
      </w:r>
    </w:p>
  </w:footnote>
  <w:footnote w:type="continuationSeparator" w:id="0">
    <w:p w14:paraId="548CD2CF" w14:textId="77777777" w:rsidR="00562E99" w:rsidRDefault="00562E99" w:rsidP="007E7997">
      <w:pPr>
        <w:spacing w:line="240" w:lineRule="auto"/>
      </w:pPr>
      <w:r>
        <w:continuationSeparator/>
      </w:r>
    </w:p>
  </w:footnote>
  <w:footnote w:type="continuationNotice" w:id="1">
    <w:p w14:paraId="04DE545E" w14:textId="77777777" w:rsidR="00562E99" w:rsidRDefault="00562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Header"/>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AFB"/>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826"/>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2E99"/>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2AA4"/>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0E4"/>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5CCA"/>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1C83"/>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1F7AFB"/>
    <w:rsid w:val="002B46E7"/>
    <w:rsid w:val="0034145D"/>
    <w:rsid w:val="003D1413"/>
    <w:rsid w:val="00400F2F"/>
    <w:rsid w:val="00481174"/>
    <w:rsid w:val="004C7C86"/>
    <w:rsid w:val="004D67E0"/>
    <w:rsid w:val="004E4CF9"/>
    <w:rsid w:val="00591427"/>
    <w:rsid w:val="005D66AB"/>
    <w:rsid w:val="006216AC"/>
    <w:rsid w:val="006D3543"/>
    <w:rsid w:val="00736117"/>
    <w:rsid w:val="00740052"/>
    <w:rsid w:val="00813189"/>
    <w:rsid w:val="00813EAE"/>
    <w:rsid w:val="008222A0"/>
    <w:rsid w:val="00836D47"/>
    <w:rsid w:val="008A2AA4"/>
    <w:rsid w:val="00964DB8"/>
    <w:rsid w:val="00982D57"/>
    <w:rsid w:val="00993537"/>
    <w:rsid w:val="009B6B9C"/>
    <w:rsid w:val="009C0B17"/>
    <w:rsid w:val="00A44918"/>
    <w:rsid w:val="00A563E1"/>
    <w:rsid w:val="00B22006"/>
    <w:rsid w:val="00B46CAE"/>
    <w:rsid w:val="00B74A77"/>
    <w:rsid w:val="00C006E6"/>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1673</Words>
  <Characters>9540</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Romina Vella Bongailas</cp:lastModifiedBy>
  <cp:revision>2</cp:revision>
  <cp:lastPrinted>2023-09-09T00:53:00Z</cp:lastPrinted>
  <dcterms:created xsi:type="dcterms:W3CDTF">2026-04-29T10:37:00Z</dcterms:created>
  <dcterms:modified xsi:type="dcterms:W3CDTF">2026-04-29T10:37:00Z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docLang">
    <vt:lpwstr>en</vt:lpwstr>
  </property>
  <property fmtid="{D5CDD505-2E9C-101B-9397-08002B2CF9AE}" pid="26" name="MSIP_Label_f1ffc71c-592f-4c47-bfb6-411817993386_Enabled">
    <vt:lpwstr>true</vt:lpwstr>
  </property>
  <property fmtid="{D5CDD505-2E9C-101B-9397-08002B2CF9AE}" pid="27" name="MSIP_Label_f1ffc71c-592f-4c47-bfb6-411817993386_SetDate">
    <vt:lpwstr>2026-04-29T09:20:03Z</vt:lpwstr>
  </property>
  <property fmtid="{D5CDD505-2E9C-101B-9397-08002B2CF9AE}" pid="28" name="MSIP_Label_f1ffc71c-592f-4c47-bfb6-411817993386_Method">
    <vt:lpwstr>Standard</vt:lpwstr>
  </property>
  <property fmtid="{D5CDD505-2E9C-101B-9397-08002B2CF9AE}" pid="29" name="MSIP_Label_f1ffc71c-592f-4c47-bfb6-411817993386_Name">
    <vt:lpwstr>Internal Data</vt:lpwstr>
  </property>
  <property fmtid="{D5CDD505-2E9C-101B-9397-08002B2CF9AE}" pid="30" name="MSIP_Label_f1ffc71c-592f-4c47-bfb6-411817993386_SiteId">
    <vt:lpwstr>090b0a65-4a55-401c-9985-8fedd2a47870</vt:lpwstr>
  </property>
  <property fmtid="{D5CDD505-2E9C-101B-9397-08002B2CF9AE}" pid="31" name="MSIP_Label_f1ffc71c-592f-4c47-bfb6-411817993386_ActionId">
    <vt:lpwstr>0d1488d2-77ad-435f-be84-34a2591f94e8</vt:lpwstr>
  </property>
  <property fmtid="{D5CDD505-2E9C-101B-9397-08002B2CF9AE}" pid="32" name="MSIP_Label_f1ffc71c-592f-4c47-bfb6-411817993386_ContentBits">
    <vt:lpwstr>2</vt:lpwstr>
  </property>
  <property fmtid="{D5CDD505-2E9C-101B-9397-08002B2CF9AE}" pid="33" name="MSIP_Label_f1ffc71c-592f-4c47-bfb6-411817993386_Tag">
    <vt:lpwstr>10, 3, 0, 1</vt:lpwstr>
  </property>
</Properties>
</file>