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r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re"/>
          </w:pPr>
        </w:p>
        <w:p w14:paraId="01438AE1" w14:textId="052010EB" w:rsidR="00563C1F" w:rsidRDefault="00EC6066" w:rsidP="00F72D28">
          <w:pPr>
            <w:pStyle w:val="Titre"/>
          </w:pPr>
          <w:r>
            <w:t xml:space="preserve">Reply </w:t>
          </w:r>
          <w:r w:rsidR="00DD03DC">
            <w:t>F</w:t>
          </w:r>
          <w:r>
            <w:t>orm</w:t>
          </w:r>
        </w:p>
        <w:p w14:paraId="031F2108" w14:textId="25611ECB" w:rsidR="007E7997" w:rsidRPr="00C01571" w:rsidRDefault="00D77369" w:rsidP="00D77369">
          <w:pPr>
            <w:pStyle w:val="Sous-titr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C6735E"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391C4ED7" w:rsidR="00635BCA" w:rsidRPr="000528E5" w:rsidRDefault="000528E5" w:rsidP="00D21C35">
                <w:pPr>
                  <w:rPr>
                    <w:lang w:val="fr-FR"/>
                  </w:rPr>
                </w:pPr>
                <w:r w:rsidRPr="000528E5">
                  <w:rPr>
                    <w:lang w:val="fr-FR"/>
                  </w:rPr>
                  <w:t>Association Française des Marchés Financiers</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1DF8D736" w:rsidR="00B17279" w:rsidRDefault="00501430"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27C46C0A" w:rsidR="00B17279" w:rsidRDefault="00B45F84"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222D96DB" w:rsidR="00B17279" w:rsidRPr="00557BD2" w:rsidRDefault="00775E46" w:rsidP="00B17279">
                <w:r>
                  <w:t>France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re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3FDB5623" w14:textId="604F8EAB" w:rsidR="00CD5581" w:rsidRPr="002E19E7" w:rsidRDefault="00CD5581" w:rsidP="00CD5581">
      <w:pPr>
        <w:rPr>
          <w:lang w:val="en-US"/>
        </w:rPr>
      </w:pPr>
      <w:permStart w:id="627510576" w:edGrp="everyone"/>
      <w:r w:rsidRPr="002E19E7">
        <w:rPr>
          <w:lang w:val="en-US"/>
        </w:rPr>
        <w:t xml:space="preserve">AMAFI sees value in maintaining the current legitimate interest referred to in point (b) of Guideline 1, i.e. the possibility to delay the disclosure of inside information where the financial viability of the issuer is in grave and imminent danger and immediate disclosure would </w:t>
      </w:r>
      <w:proofErr w:type="spellStart"/>
      <w:r w:rsidRPr="002E19E7">
        <w:rPr>
          <w:lang w:val="en-US"/>
        </w:rPr>
        <w:t>jeopardise</w:t>
      </w:r>
      <w:proofErr w:type="spellEnd"/>
      <w:r w:rsidRPr="002E19E7">
        <w:rPr>
          <w:lang w:val="en-US"/>
        </w:rPr>
        <w:t xml:space="preserve"> negotiations designed to ensure its financial recovery.</w:t>
      </w:r>
    </w:p>
    <w:p w14:paraId="5C844B9D" w14:textId="7CA4DE76" w:rsidR="00CD5581" w:rsidRPr="002E19E7" w:rsidRDefault="00CD5581" w:rsidP="00CD5581">
      <w:pPr>
        <w:rPr>
          <w:lang w:val="en-US"/>
        </w:rPr>
      </w:pPr>
      <w:r w:rsidRPr="002E19E7">
        <w:rPr>
          <w:lang w:val="en-US"/>
        </w:rPr>
        <w:t>Although this situation is close to the Commission’s list of protracted processes contained in the Commission delegated regulation</w:t>
      </w:r>
      <w:r w:rsidR="007B6B5A">
        <w:rPr>
          <w:rStyle w:val="Appelnotedebasdep"/>
          <w:lang w:val="en-US"/>
        </w:rPr>
        <w:footnoteReference w:id="2"/>
      </w:r>
      <w:r w:rsidRPr="002E19E7">
        <w:rPr>
          <w:lang w:val="en-US"/>
        </w:rPr>
        <w:t>, it does not fully overlap with it. In practice, negotiations aimed at restoring an issuer’s viability may take place before the opening of formal pre-insolvency, restructuring or insolvency proceedings, or may remain outside the precise perimeter of the list of final events of protracted processes. For that reason, deleting this legitimate interest altogether could remove useful guidance in situations where issuers still need to rely on the possibility of delaying the disclosure of inside information (</w:t>
      </w:r>
      <w:r w:rsidRPr="002E19E7">
        <w:rPr>
          <w:i/>
          <w:iCs/>
          <w:u w:val="single"/>
          <w:lang w:val="en-US"/>
        </w:rPr>
        <w:t>MAR, art. 17(4)</w:t>
      </w:r>
      <w:r w:rsidRPr="002E19E7">
        <w:rPr>
          <w:lang w:val="en-US"/>
        </w:rPr>
        <w:t>).</w:t>
      </w:r>
    </w:p>
    <w:p w14:paraId="2D9AE62C" w14:textId="1F0770DB" w:rsidR="002E19E7" w:rsidRPr="00CD5581" w:rsidRDefault="00CD5581" w:rsidP="009B1E21">
      <w:pPr>
        <w:rPr>
          <w:lang w:val="en-US"/>
        </w:rPr>
      </w:pPr>
      <w:r w:rsidRPr="002E19E7">
        <w:rPr>
          <w:lang w:val="en-US"/>
        </w:rPr>
        <w:t xml:space="preserve">Maintaining this item would therefore enhance legal certainty and would ensure that issuers continue to have a clear reference point for situations of severe financial stress that do not fall squarely within the listed protracted processes, while remaining subject to the usual </w:t>
      </w:r>
      <w:r w:rsidRPr="002E19E7">
        <w:rPr>
          <w:lang w:val="en-US"/>
        </w:rPr>
        <w:lastRenderedPageBreak/>
        <w:t>safeguards relating to the delay in the disclosure of inside information</w:t>
      </w:r>
      <w:r w:rsidRPr="002E19E7" w:rsidDel="006249F9">
        <w:rPr>
          <w:lang w:val="en-US"/>
        </w:rPr>
        <w:t xml:space="preserve"> </w:t>
      </w:r>
      <w:r w:rsidRPr="002E19E7">
        <w:rPr>
          <w:lang w:val="en-US"/>
        </w:rPr>
        <w:t>(</w:t>
      </w:r>
      <w:r w:rsidRPr="002E19E7">
        <w:rPr>
          <w:i/>
          <w:iCs/>
          <w:u w:val="single"/>
          <w:lang w:val="en-US"/>
        </w:rPr>
        <w:t>MAR, art. 17(4)</w:t>
      </w:r>
      <w:r w:rsidRPr="002E19E7">
        <w:rPr>
          <w:lang w:val="en-US"/>
        </w:rPr>
        <w:t>), including confidentiality and the obligation to disclose as soon as the circumstances justifying the delay cease to exist.</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0CBFB06B" w14:textId="77777777" w:rsidR="00FB4F52" w:rsidRPr="00C6735E" w:rsidRDefault="00FB4F52" w:rsidP="00FB4F52">
      <w:pPr>
        <w:rPr>
          <w:lang w:val="en-US" w:eastAsia="fr-FR"/>
        </w:rPr>
      </w:pPr>
      <w:permStart w:id="55053902" w:edGrp="everyone"/>
      <w:r w:rsidRPr="00C6735E">
        <w:rPr>
          <w:lang w:val="en-US" w:eastAsia="fr-FR"/>
        </w:rPr>
        <w:t xml:space="preserve">AMAFI agrees with the three additional legitimate interests proposed by ESMA. However, the final Guidelines should make clear that this list remains indicative and non-exhaustive, and that the inclusion of an example in Guideline 1 does not predetermine the </w:t>
      </w:r>
      <w:proofErr w:type="spellStart"/>
      <w:r w:rsidRPr="00C6735E">
        <w:rPr>
          <w:lang w:val="en-US" w:eastAsia="fr-FR"/>
        </w:rPr>
        <w:t>characterisation</w:t>
      </w:r>
      <w:proofErr w:type="spellEnd"/>
      <w:r w:rsidRPr="00C6735E">
        <w:rPr>
          <w:lang w:val="en-US" w:eastAsia="fr-FR"/>
        </w:rPr>
        <w:t xml:space="preserve"> of the information as inside information or the outcome of the issuer’s case-by-case assessment under Article 17.4 MAR.</w:t>
      </w:r>
    </w:p>
    <w:p w14:paraId="5572F42B" w14:textId="49882292" w:rsidR="009B1E21" w:rsidRPr="00FB4F52" w:rsidRDefault="00FB4F52" w:rsidP="009B1E21">
      <w:pPr>
        <w:rPr>
          <w:lang w:val="en-US" w:eastAsia="fr-FR"/>
        </w:rPr>
      </w:pPr>
      <w:r w:rsidRPr="00C6735E">
        <w:rPr>
          <w:lang w:val="en-US" w:eastAsia="fr-FR"/>
        </w:rPr>
        <w:t xml:space="preserve">This clarification would ensure consistency with the approach adopted in the </w:t>
      </w:r>
      <w:hyperlink r:id="rId18" w:history="1">
        <w:r w:rsidRPr="00C6735E">
          <w:rPr>
            <w:rStyle w:val="Lienhypertexte"/>
            <w:lang w:val="en-US" w:eastAsia="fr-FR"/>
          </w:rPr>
          <w:t>European Commission’s draft Regulation on protracted processes</w:t>
        </w:r>
      </w:hyperlink>
      <w:r w:rsidRPr="00C6735E">
        <w:rPr>
          <w:lang w:val="en-US" w:eastAsia="fr-FR"/>
        </w:rPr>
        <w:t>. That Regulation expressly provides that the non-exhaustive list of final events or final circumstances in protracted processes is without prejudice to the assessment of whether, in the circumstances of a specific case, the protracted process gives rise to inside information (</w:t>
      </w:r>
      <w:r w:rsidRPr="00C6735E">
        <w:rPr>
          <w:i/>
          <w:iCs/>
          <w:u w:val="single"/>
          <w:lang w:val="en-US" w:eastAsia="fr-FR"/>
        </w:rPr>
        <w:t>European Commission’s draft Regulation on protracted processes,</w:t>
      </w:r>
      <w:r w:rsidRPr="00C6735E">
        <w:rPr>
          <w:u w:val="single"/>
          <w:lang w:val="en-US" w:eastAsia="fr-FR"/>
        </w:rPr>
        <w:t xml:space="preserve"> </w:t>
      </w:r>
      <w:r w:rsidRPr="00C6735E">
        <w:rPr>
          <w:i/>
          <w:iCs/>
          <w:u w:val="single"/>
          <w:lang w:val="en-US" w:eastAsia="fr-FR"/>
        </w:rPr>
        <w:t>recital 3</w:t>
      </w:r>
      <w:r w:rsidRPr="00C6735E">
        <w:rPr>
          <w:lang w:val="en-US" w:eastAsia="fr-FR"/>
        </w:rPr>
        <w:t>). It follows that information relating to such a final event or final circumstances does not automatically constitute inside information within the meaning of Article 7 MAR. Where the issuer concludes, on the basis of a case-by-case assessment, that the information does not qualify as inside information, no disclosure obligation arises under the requirement for issuers to inform the public as soon as possible of inside information which directly concerns them (</w:t>
      </w:r>
      <w:r w:rsidRPr="00C6735E">
        <w:rPr>
          <w:i/>
          <w:iCs/>
          <w:u w:val="single"/>
          <w:lang w:val="en-US" w:eastAsia="fr-FR"/>
        </w:rPr>
        <w:t>MAR, art. 17(1)</w:t>
      </w:r>
      <w:r w:rsidRPr="00C6735E">
        <w:rPr>
          <w:lang w:val="en-US" w:eastAsia="fr-FR"/>
        </w:rPr>
        <w:t>).The same logic should be reflected in ESMA’s Guidelines: examples of legitimate interests may usefully guide issuers, but they should not be understood as creating any presumption, either as to the existence of inside information or as to the possibility to delay the disclosure of the information.</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46D78DDA" w:rsidR="00B7619F" w:rsidRPr="00214899" w:rsidRDefault="00214899" w:rsidP="00B7619F">
      <w:pPr>
        <w:rPr>
          <w:lang w:val="en-US"/>
        </w:rPr>
      </w:pPr>
      <w:permStart w:id="876955670" w:edGrp="everyone"/>
      <w:r w:rsidRPr="004953E7">
        <w:rPr>
          <w:lang w:val="en-US"/>
        </w:rPr>
        <w:lastRenderedPageBreak/>
        <w:t>At this stage, AMAFI does not consider that further examples are necessary beyond the legitimate interests proposed by ESMA and the retention of the current item on grave and imminent danger to the issuer’s financial viability.</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29BE90A3" w14:textId="0CD2B0FC" w:rsidR="00B7619F" w:rsidRPr="000528E5" w:rsidRDefault="000528E5" w:rsidP="00B7619F">
      <w:pPr>
        <w:rPr>
          <w:lang w:val="en-US"/>
        </w:rPr>
      </w:pPr>
      <w:permStart w:id="1788426663" w:edGrp="everyone"/>
      <w:r w:rsidRPr="00E62A1A">
        <w:rPr>
          <w:lang w:val="en-US"/>
        </w:rPr>
        <w:t xml:space="preserve">At this stage, AMAFI does not consider that </w:t>
      </w:r>
      <w:r>
        <w:rPr>
          <w:lang w:val="en-US"/>
        </w:rPr>
        <w:t>additional</w:t>
      </w:r>
      <w:r w:rsidRPr="00E62A1A">
        <w:rPr>
          <w:lang w:val="en-US"/>
        </w:rPr>
        <w:t xml:space="preserve"> </w:t>
      </w:r>
      <w:r>
        <w:rPr>
          <w:lang w:val="en-US"/>
        </w:rPr>
        <w:t>legitimate interests</w:t>
      </w:r>
      <w:r w:rsidRPr="00E62A1A">
        <w:rPr>
          <w:lang w:val="en-US"/>
        </w:rPr>
        <w:t xml:space="preserve"> are necessary beyond th</w:t>
      </w:r>
      <w:r>
        <w:rPr>
          <w:lang w:val="en-US"/>
        </w:rPr>
        <w:t xml:space="preserve">ose </w:t>
      </w:r>
      <w:r w:rsidRPr="00E62A1A">
        <w:rPr>
          <w:lang w:val="en-US"/>
        </w:rPr>
        <w:t>proposed by ESMA and the retention of the current item on grave and imminent danger to the issuer’s financial viability.</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9"/>
      <w:footerReference w:type="default" r:id="rId20"/>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9D549" w14:textId="77777777" w:rsidR="00784040" w:rsidRDefault="00784040" w:rsidP="007E7997">
      <w:pPr>
        <w:spacing w:line="240" w:lineRule="auto"/>
      </w:pPr>
      <w:r>
        <w:separator/>
      </w:r>
    </w:p>
  </w:endnote>
  <w:endnote w:type="continuationSeparator" w:id="0">
    <w:p w14:paraId="67C7ED5C" w14:textId="77777777" w:rsidR="00784040" w:rsidRDefault="00784040" w:rsidP="007E7997">
      <w:pPr>
        <w:spacing w:line="240" w:lineRule="auto"/>
      </w:pPr>
      <w:r>
        <w:continuationSeparator/>
      </w:r>
    </w:p>
  </w:endnote>
  <w:endnote w:type="continuationNotice" w:id="1">
    <w:p w14:paraId="569F462F" w14:textId="77777777" w:rsidR="00784040" w:rsidRDefault="00784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55F1" w14:textId="77777777" w:rsidR="00784040" w:rsidRDefault="00784040" w:rsidP="007E7997">
      <w:pPr>
        <w:spacing w:line="240" w:lineRule="auto"/>
      </w:pPr>
      <w:r>
        <w:separator/>
      </w:r>
    </w:p>
  </w:footnote>
  <w:footnote w:type="continuationSeparator" w:id="0">
    <w:p w14:paraId="68D77597" w14:textId="77777777" w:rsidR="00784040" w:rsidRDefault="00784040" w:rsidP="007E7997">
      <w:pPr>
        <w:spacing w:line="240" w:lineRule="auto"/>
      </w:pPr>
      <w:r>
        <w:continuationSeparator/>
      </w:r>
    </w:p>
  </w:footnote>
  <w:footnote w:type="continuationNotice" w:id="1">
    <w:p w14:paraId="6BAF5666" w14:textId="77777777" w:rsidR="00784040" w:rsidRDefault="00784040">
      <w:pPr>
        <w:spacing w:after="0" w:line="240" w:lineRule="auto"/>
      </w:pPr>
    </w:p>
  </w:footnote>
  <w:footnote w:id="2">
    <w:p w14:paraId="5BF740EA" w14:textId="5BEA2813" w:rsidR="007B6B5A" w:rsidRPr="00187C81" w:rsidRDefault="007B6B5A">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En-tt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8E5"/>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CC4"/>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87C81"/>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4899"/>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9E7"/>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56"/>
    <w:rsid w:val="0043757A"/>
    <w:rsid w:val="00437582"/>
    <w:rsid w:val="0043788A"/>
    <w:rsid w:val="00440342"/>
    <w:rsid w:val="004406BD"/>
    <w:rsid w:val="004408D1"/>
    <w:rsid w:val="00440D4E"/>
    <w:rsid w:val="00441409"/>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430"/>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0B2"/>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1E38"/>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5E46"/>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040"/>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5A"/>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441"/>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5F84"/>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35E"/>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81"/>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4F52"/>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eur-lex.europa.eu/legal-content/EN/TXT/?uri=intcom:Ares%282025%291115414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Textedelespacerserv"/>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Textedelespacerserv"/>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957441"/>
    <w:rsid w:val="00982D57"/>
    <w:rsid w:val="00993537"/>
    <w:rsid w:val="009B6B9C"/>
    <w:rsid w:val="009C0B17"/>
    <w:rsid w:val="00A44918"/>
    <w:rsid w:val="00A563E1"/>
    <w:rsid w:val="00B22006"/>
    <w:rsid w:val="00B34BF6"/>
    <w:rsid w:val="00B46CAE"/>
    <w:rsid w:val="00C006E6"/>
    <w:rsid w:val="00C14154"/>
    <w:rsid w:val="00D40353"/>
    <w:rsid w:val="00DC3796"/>
    <w:rsid w:val="00DC4211"/>
    <w:rsid w:val="00F678C2"/>
    <w:rsid w:val="00F7423C"/>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320B9F464054FA2FE653719241A07" ma:contentTypeVersion="20" ma:contentTypeDescription="Crée un document." ma:contentTypeScope="" ma:versionID="486b29b74948cd0a56a54f203acdf644">
  <xsd:schema xmlns:xsd="http://www.w3.org/2001/XMLSchema" xmlns:xs="http://www.w3.org/2001/XMLSchema" xmlns:p="http://schemas.microsoft.com/office/2006/metadata/properties" xmlns:ns2="3493d938-54dc-49ea-ae3a-391a3c000925" xmlns:ns3="e625a815-686b-482d-b72d-0b41b8d86113" targetNamespace="http://schemas.microsoft.com/office/2006/metadata/properties" ma:root="true" ma:fieldsID="3fcd8860d72b5f29c3329b369cd6c98d" ns2:_="" ns3:_="">
    <xsd:import namespace="3493d938-54dc-49ea-ae3a-391a3c000925"/>
    <xsd:import namespace="e625a815-686b-482d-b72d-0b41b8d861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d938-54dc-49ea-ae3a-391a3c000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fcd274-55c3-4557-831b-7bdee9f67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5a815-686b-482d-b72d-0b41b8d8611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46819a0-7736-4bc7-9165-e63c51e794ea}" ma:internalName="TaxCatchAll" ma:showField="CatchAllData" ma:web="e625a815-686b-482d-b72d-0b41b8d86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625a815-686b-482d-b72d-0b41b8d86113" xsi:nil="true"/>
    <_Flow_SignoffStatus xmlns="3493d938-54dc-49ea-ae3a-391a3c000925" xsi:nil="true"/>
    <lcf76f155ced4ddcb4097134ff3c332f xmlns="3493d938-54dc-49ea-ae3a-391a3c0009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6801E-A4BE-424D-BE9A-EE89D0DD8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d938-54dc-49ea-ae3a-391a3c000925"/>
    <ds:schemaRef ds:uri="e625a815-686b-482d-b72d-0b41b8d86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e625a815-686b-482d-b72d-0b41b8d86113"/>
    <ds:schemaRef ds:uri="3493d938-54dc-49ea-ae3a-391a3c000925"/>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1247</Words>
  <Characters>6864</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Léa Moukah</cp:lastModifiedBy>
  <cp:revision>19</cp:revision>
  <cp:lastPrinted>2023-09-09T00:53:00Z</cp:lastPrinted>
  <dcterms:created xsi:type="dcterms:W3CDTF">2026-04-24T07:38:00Z</dcterms:created>
  <dcterms:modified xsi:type="dcterms:W3CDTF">2026-04-24T08:30:00Z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0x0101005E8320B9F464054FA2FE653719241A07</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y fmtid="{D5CDD505-2E9C-101B-9397-08002B2CF9AE}" pid="27" name="MediaServiceImageTags">
    <vt:lpwstr/>
  </property>
</Properties>
</file>