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5611ECB"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6DA78100" w:rsidR="00635BCA" w:rsidRPr="00557BD2" w:rsidRDefault="00E03259" w:rsidP="00D21C35">
                <w:r>
                  <w:t xml:space="preserve">Natwest Group </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583FFEC4" w:rsidR="00B17279" w:rsidRDefault="00E03259" w:rsidP="00B17279">
                <w:r>
                  <w:t>Issuer (SME)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permStart w:id="401478327" w:edGrp="everyone" w:displacedByCustomXml="prev"/>
            <w:tc>
              <w:tcPr>
                <w:tcW w:w="4531" w:type="dxa"/>
              </w:tcPr>
              <w:p w14:paraId="10359AFE" w14:textId="55EF8E1C" w:rsidR="00B17279" w:rsidRDefault="00E03259"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4243189C" w:rsidR="00B17279" w:rsidRPr="00557BD2" w:rsidRDefault="00E03259" w:rsidP="00B17279">
                <w:r>
                  <w:t>Europe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46789B2B" w14:textId="77777777" w:rsidR="00E72A36" w:rsidRDefault="002B5D16" w:rsidP="00E72A36">
      <w:permStart w:id="627510576" w:edGrp="everyone"/>
      <w:r>
        <w:t xml:space="preserve"> </w:t>
      </w:r>
      <w:r w:rsidR="00E72A36">
        <w:t>Yes. We support maintaining Guideline 1(b) on situations where the issuer’s financial viability is in grave and imminent danger and immediate disclosure would prejudice ongoing negotiations or measures aimed at restoring viability.</w:t>
      </w:r>
    </w:p>
    <w:p w14:paraId="539424D4" w14:textId="2777CE0A" w:rsidR="00E72A36" w:rsidRDefault="00E72A36" w:rsidP="00E72A36">
      <w:r>
        <w:t>This scenario remains relevant under the amended framework and is a helpful, proportionate example of when Article 17(4) may properly be relied upon. It also reflects a real intersection between market disclosure obligations and the practical management of distress situations. In the period before formal insolvency proceedings, directors may be operating in the zone where duties under applicable company law increasingly require creditor focused decision making and careful management of recovery negotiations. In that context, forcing immediate disclosure can create self-reinforcing loss of confidence and materially undermine stabilisation measures, to the detriment of investors and other stakeholders.</w:t>
      </w:r>
    </w:p>
    <w:p w14:paraId="0D7538F4" w14:textId="2EE39279" w:rsidR="009B1E21" w:rsidRDefault="00E72A36" w:rsidP="009B1E21">
      <w:r>
        <w:t xml:space="preserve">We do not propose additional substantive criteria. Any clarification should remain interpretive and aligned to Article 17(4), in particular confirming that this example is relevant where there is a specific and credible risk that immediate disclosure would prejudice active recovery measures, and where the issuer continues to be able to ensure confidentiality for the period of delay and complies with the amended condition that the delayed inside information is not in </w:t>
      </w:r>
      <w:r>
        <w:lastRenderedPageBreak/>
        <w:t>contrast with the issuer’s latest public announcement or other communication on the same matter.</w:t>
      </w:r>
      <w:r w:rsidR="00E03259">
        <w:t xml:space="preserve"> </w:t>
      </w:r>
      <w:permEnd w:id="627510576"/>
      <w:r w:rsidR="009B1E21">
        <w:t>&lt;ESMA_QUESTION_</w:t>
      </w:r>
      <w:r w:rsidR="00B7619F" w:rsidRPr="00B7619F">
        <w:t xml:space="preserve"> </w:t>
      </w:r>
      <w:r w:rsidR="00B7619F">
        <w:t>MARG</w:t>
      </w:r>
      <w:r w:rsidR="009B1E21">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2FDB772B" w14:textId="77777777" w:rsidR="00E72A36" w:rsidRDefault="00E72A36" w:rsidP="00E72A36">
      <w:permStart w:id="55053902" w:edGrp="everyone"/>
      <w:r>
        <w:t>We support the proposed additional examples. They are consistent with the existing approach of providing non exhaustive, indicative scenarios to support convergent application of Article 17(4), rather than creating new conditions for delay.</w:t>
      </w:r>
    </w:p>
    <w:p w14:paraId="31938CDC" w14:textId="77777777" w:rsidR="00E72A36" w:rsidRDefault="00E72A36" w:rsidP="00E72A36">
      <w:r>
        <w:t>To preserve alignment with the amended legal test and avoid unnecessary process, we suggest ESMA anchors each example expressly to the statutory limbs, using short factual parameters that mirror Article 17(4) and the amended “not in contrast” condition.</w:t>
      </w:r>
    </w:p>
    <w:p w14:paraId="23CD481A" w14:textId="77777777" w:rsidR="00E72A36" w:rsidRDefault="00E72A36" w:rsidP="001838A2">
      <w:pPr>
        <w:pStyle w:val="ListParagraph"/>
        <w:numPr>
          <w:ilvl w:val="0"/>
          <w:numId w:val="17"/>
        </w:numPr>
      </w:pPr>
      <w:r>
        <w:t>Public authority request not to disclose</w:t>
      </w:r>
    </w:p>
    <w:p w14:paraId="69ED7ED4" w14:textId="7F84C6D8" w:rsidR="00E72A36" w:rsidRDefault="00E72A36" w:rsidP="00E72A36">
      <w:r>
        <w:t>This is a credible example where immediate disclosure may prejudice legitimate interests because it could frustrate an ongoing action by a public authority (for example supervisory, regulatory, enforcement, or public interest measures). It is also relevant in regulated sectors where supervisory engagement interacts with corporate decision making under applicable company law. The example should remain clearly subject to the Article 17(4) conditions, including confidentiality and the amended “not in contrast” requirement.</w:t>
      </w:r>
    </w:p>
    <w:p w14:paraId="57277E08" w14:textId="4FB45C85" w:rsidR="00E72A36" w:rsidRDefault="00E72A36" w:rsidP="00E72A36">
      <w:pPr>
        <w:pStyle w:val="ListParagraph"/>
        <w:numPr>
          <w:ilvl w:val="0"/>
          <w:numId w:val="17"/>
        </w:numPr>
      </w:pPr>
      <w:r>
        <w:t>Need to collect additional information</w:t>
      </w:r>
    </w:p>
    <w:p w14:paraId="211ACBC7" w14:textId="77777777" w:rsidR="00E72A36" w:rsidRDefault="00E72A36" w:rsidP="00E72A36">
      <w:r>
        <w:t>We support this example where immediate disclosure would likely prejudice legitimate interests because the issuer cannot yet provide an accurate and complete announcement and the missing information is objectively necessary to avoid an incomplete market picture. This should not be framed as a general drafting, internal governance, or approval timing rationale. Any reference to company law should remain contextual: internal approvals and governance steps may be required for valid corporate decision making, but delay should still be justified by the Article 17(4) limbs rather than by process.</w:t>
      </w:r>
    </w:p>
    <w:p w14:paraId="1C086717" w14:textId="3622E43E" w:rsidR="00E72A36" w:rsidRDefault="00E72A36" w:rsidP="00E72A36">
      <w:pPr>
        <w:pStyle w:val="ListParagraph"/>
        <w:numPr>
          <w:ilvl w:val="0"/>
          <w:numId w:val="17"/>
        </w:numPr>
      </w:pPr>
      <w:r>
        <w:t>Parallel procurement processes</w:t>
      </w:r>
    </w:p>
    <w:p w14:paraId="360DEE1D" w14:textId="378AAF43" w:rsidR="009B1E21" w:rsidRDefault="00E72A36" w:rsidP="009B1E21">
      <w:r>
        <w:t xml:space="preserve">We support this example where immediate disclosure of one contract award would likely prejudice legitimate interests by undermining other live tender processes, for example by revealing pricing, strategy, or competitive positioning. The delay should be limited to the period </w:t>
      </w:r>
      <w:r>
        <w:lastRenderedPageBreak/>
        <w:t>during which that prejudice risk remains live and should remain subject to confidentiality and the amended “not in contrast” requirement</w:t>
      </w:r>
      <w:r w:rsidR="00166F4F">
        <w:t>.</w:t>
      </w:r>
      <w:permEnd w:id="55053902"/>
      <w:r w:rsidR="009B1E21">
        <w:t>&lt;ESMA_QUESTION_</w:t>
      </w:r>
      <w:r w:rsidR="00392A82" w:rsidRPr="00392A82">
        <w:t xml:space="preserve"> </w:t>
      </w:r>
      <w:r w:rsidR="00B7619F">
        <w:t>MARG</w:t>
      </w:r>
      <w:r w:rsidR="009B1E21">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08B9FC53" w14:textId="1DF46A82" w:rsidR="00E72A36" w:rsidRDefault="00E72A36" w:rsidP="00E72A36">
      <w:permStart w:id="876955670" w:edGrp="everyone"/>
      <w:r>
        <w:t xml:space="preserve"> </w:t>
      </w:r>
      <w:r w:rsidR="009B1581">
        <w:t>Perhaps these should be kept at</w:t>
      </w:r>
      <w:r>
        <w:t xml:space="preserve"> high</w:t>
      </w:r>
      <w:r w:rsidR="009B1581">
        <w:t>-</w:t>
      </w:r>
      <w:r>
        <w:t>level and clearly within the existing Article 17(4) framework. The Guidelines work best when they illustrate typical fact patterns, rather than building out an additional layer of conditions.</w:t>
      </w:r>
    </w:p>
    <w:p w14:paraId="592FE051" w14:textId="0EFD53FA" w:rsidR="00E72A36" w:rsidRDefault="009B1581" w:rsidP="00E72A36">
      <w:r>
        <w:t>I</w:t>
      </w:r>
      <w:r w:rsidR="00E72A36">
        <w:t xml:space="preserve">n </w:t>
      </w:r>
      <w:r>
        <w:t>theory</w:t>
      </w:r>
      <w:r w:rsidR="00E72A36">
        <w:t xml:space="preserve">, the following scenarios </w:t>
      </w:r>
      <w:r>
        <w:t>might</w:t>
      </w:r>
      <w:r w:rsidR="00E72A36">
        <w:t xml:space="preserve"> present a credible risk that immediate disclosure would prejudice a legitimate interest by damaging an issuer’s ability to execute a value preserving outcome:</w:t>
      </w:r>
    </w:p>
    <w:p w14:paraId="2AD4A72A" w14:textId="0893A6A1" w:rsidR="00E72A36" w:rsidRDefault="00E72A36" w:rsidP="009B1581">
      <w:pPr>
        <w:pStyle w:val="ListParagraph"/>
        <w:numPr>
          <w:ilvl w:val="0"/>
          <w:numId w:val="18"/>
        </w:numPr>
      </w:pPr>
      <w:r>
        <w:t>Competitive multi</w:t>
      </w:r>
      <w:r w:rsidR="009B1581">
        <w:t>-</w:t>
      </w:r>
      <w:r>
        <w:t>party negotiations outside formal procurement</w:t>
      </w:r>
    </w:p>
    <w:p w14:paraId="3B1DCCA7" w14:textId="77777777" w:rsidR="00E72A36" w:rsidRDefault="00E72A36" w:rsidP="00E72A36">
      <w:r>
        <w:t>For example, staged bid processes for acquisitions or disposals, funding solutions, or strategic partnerships where disclosure would reasonably be expected to alter counterparty behaviour, reduce competitive tension, or lead to repricing or withdrawal.</w:t>
      </w:r>
    </w:p>
    <w:p w14:paraId="0140E6B5" w14:textId="40D011AA" w:rsidR="00E72A36" w:rsidRDefault="00E72A36" w:rsidP="009B1581">
      <w:pPr>
        <w:pStyle w:val="ListParagraph"/>
        <w:numPr>
          <w:ilvl w:val="0"/>
          <w:numId w:val="18"/>
        </w:numPr>
      </w:pPr>
      <w:r>
        <w:t>Material customer or supplier renegotiations</w:t>
      </w:r>
    </w:p>
    <w:p w14:paraId="31DF5E89" w14:textId="77777777" w:rsidR="00E72A36" w:rsidRDefault="00E72A36" w:rsidP="00E72A36">
      <w:r>
        <w:t>Where disclosure would reasonably be expected to trigger adverse action by counterparties, including termination, pricing adjustments, or accelerated enforcement of contractual rights, thereby destroying value.</w:t>
      </w:r>
    </w:p>
    <w:p w14:paraId="613A6AC3" w14:textId="2BDD526B" w:rsidR="00E72A36" w:rsidRDefault="00E72A36" w:rsidP="009B1581">
      <w:pPr>
        <w:pStyle w:val="ListParagraph"/>
        <w:numPr>
          <w:ilvl w:val="0"/>
          <w:numId w:val="18"/>
        </w:numPr>
      </w:pPr>
      <w:r>
        <w:t>Litigation or regulatory settlement negotiations</w:t>
      </w:r>
    </w:p>
    <w:p w14:paraId="191E9AA3" w14:textId="77777777" w:rsidR="00E72A36" w:rsidRDefault="00E72A36" w:rsidP="00E72A36">
      <w:r>
        <w:t>Where disclosure would reasonably be expected to harden the opposing party’s position or materially reduce the prospects of settlement on optimal terms.</w:t>
      </w:r>
    </w:p>
    <w:p w14:paraId="461F2EA4" w14:textId="47CEE6B6" w:rsidR="00E72A36" w:rsidRDefault="00E72A36" w:rsidP="009B1581">
      <w:pPr>
        <w:pStyle w:val="ListParagraph"/>
        <w:numPr>
          <w:ilvl w:val="0"/>
          <w:numId w:val="18"/>
        </w:numPr>
      </w:pPr>
      <w:r>
        <w:t xml:space="preserve">Distress and </w:t>
      </w:r>
      <w:r w:rsidR="009B1581">
        <w:t>Restructuring-</w:t>
      </w:r>
      <w:r>
        <w:t>related negotiations before formal proceedings</w:t>
      </w:r>
    </w:p>
    <w:p w14:paraId="31CBCD4E" w14:textId="77777777" w:rsidR="009B1581" w:rsidRDefault="00E72A36" w:rsidP="00E72A36">
      <w:r>
        <w:t>This is closely connected to the existing financial viability example and illustrates the company law context in which directors may increasingly be making creditor focused decisions as financial distress deepens. The point is not to introduce company law as a separate criterion, but to recognise why, in this zone, immediate disclosure can prejudice credible stabilisation measures.</w:t>
      </w:r>
      <w:r w:rsidR="009B1581">
        <w:t xml:space="preserve"> </w:t>
      </w:r>
    </w:p>
    <w:p w14:paraId="354D11BC" w14:textId="14321E3D" w:rsidR="00E72A36" w:rsidRDefault="009B1581" w:rsidP="00E72A36">
      <w:r>
        <w:lastRenderedPageBreak/>
        <w:t xml:space="preserve">Alignment between the legal test triggers for insolvency, company law and market abuse / information asymmetry should be as close as possible. </w:t>
      </w:r>
    </w:p>
    <w:p w14:paraId="32850892" w14:textId="4F3194D6" w:rsidR="00E72A36" w:rsidRDefault="00E72A36">
      <w:r>
        <w:t xml:space="preserve">In all cases, the delay analysis remains the statutory one. The scenario should involve a specific and credible prejudice to a legitimate interest, confidentiality must be maintained, and the issuer must remain compliant with the amended condition that the delayed inside information is not in contrast with the latest public announcement or other communication on the same matter. </w:t>
      </w:r>
      <w:permEnd w:id="876955670"/>
    </w:p>
    <w:p w14:paraId="3F02FC20" w14:textId="16033203"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6B9B683C" w14:textId="77777777" w:rsidR="009B1581" w:rsidRDefault="009B1581" w:rsidP="009B1581">
      <w:permStart w:id="1788426663" w:edGrp="everyone"/>
      <w:r>
        <w:t xml:space="preserve"> We do not propose additional categories of legitimate interest beyond those already in the Guidelines and those proposed in the consultation. Adding further categories risks expanding the perceived availability of delay and undermining supervisory convergence.</w:t>
      </w:r>
    </w:p>
    <w:p w14:paraId="018B9960" w14:textId="77777777" w:rsidR="009B1581" w:rsidRDefault="009B1581" w:rsidP="009B1581">
      <w:r>
        <w:t>That said, we suggest ESMA considers two targeted clarifications which would support the Listing Act’s objectives without creating new tests or procedural requirements.</w:t>
      </w:r>
    </w:p>
    <w:p w14:paraId="46BC415D" w14:textId="459FDB22" w:rsidR="009B1581" w:rsidRDefault="009B1581" w:rsidP="009B1581">
      <w:pPr>
        <w:pStyle w:val="ListParagraph"/>
        <w:numPr>
          <w:ilvl w:val="0"/>
          <w:numId w:val="19"/>
        </w:numPr>
      </w:pPr>
      <w:r>
        <w:t>A short clarification on “completion” in protracted processes</w:t>
      </w:r>
    </w:p>
    <w:p w14:paraId="452243F5" w14:textId="77777777" w:rsidR="009B1581" w:rsidRDefault="009B1581" w:rsidP="009B1581">
      <w:r>
        <w:t>The amended regime reduces the need for issuers to rely on delayed disclosure during protracted processes. In practice, this shifts focus to identifying the point at which a protracted process is completed and disclosure is required. Without some interpretive signposting, completion points are likely to diverge between issuers and across NCAs.</w:t>
      </w:r>
    </w:p>
    <w:p w14:paraId="67EC1B23" w14:textId="77777777" w:rsidR="009B1581" w:rsidRDefault="009B1581" w:rsidP="009B1581">
      <w:r>
        <w:t>A brief paragraph would be sufficient. For example, ESMA could note that completion will generally be linked to an objective commitment or externalisation point, such as:</w:t>
      </w:r>
    </w:p>
    <w:p w14:paraId="334382D2" w14:textId="1A42747A" w:rsidR="009B1581" w:rsidRDefault="009B1581" w:rsidP="009B1581">
      <w:pPr>
        <w:pStyle w:val="ListParagraph"/>
        <w:numPr>
          <w:ilvl w:val="0"/>
          <w:numId w:val="20"/>
        </w:numPr>
        <w:ind w:left="426"/>
      </w:pPr>
      <w:r>
        <w:t>a binding decision or commitment by the issuer, including formal approvals where required</w:t>
      </w:r>
    </w:p>
    <w:p w14:paraId="3FFE7E0B" w14:textId="4B540631" w:rsidR="009B1581" w:rsidRDefault="009B1581" w:rsidP="009B1581">
      <w:pPr>
        <w:pStyle w:val="ListParagraph"/>
        <w:numPr>
          <w:ilvl w:val="0"/>
          <w:numId w:val="20"/>
        </w:numPr>
        <w:ind w:left="426"/>
      </w:pPr>
      <w:r>
        <w:t>signing of definitive documentation where signing is the market relevant completion event</w:t>
      </w:r>
    </w:p>
    <w:p w14:paraId="213637FA" w14:textId="17AF44B0" w:rsidR="009B1581" w:rsidRDefault="009B1581" w:rsidP="009B1581">
      <w:pPr>
        <w:pStyle w:val="ListParagraph"/>
        <w:numPr>
          <w:ilvl w:val="0"/>
          <w:numId w:val="20"/>
        </w:numPr>
        <w:ind w:left="426"/>
      </w:pPr>
      <w:r>
        <w:t>formal award notification in procurement contexts</w:t>
      </w:r>
    </w:p>
    <w:p w14:paraId="380E2C57" w14:textId="0077ED98" w:rsidR="009B1581" w:rsidRDefault="009B1581" w:rsidP="009B1581">
      <w:pPr>
        <w:pStyle w:val="ListParagraph"/>
        <w:numPr>
          <w:ilvl w:val="0"/>
          <w:numId w:val="20"/>
        </w:numPr>
        <w:ind w:left="426"/>
      </w:pPr>
      <w:r>
        <w:t>final court or regulator decision where that decision is the completion event</w:t>
      </w:r>
    </w:p>
    <w:p w14:paraId="09E75BE5" w14:textId="77777777" w:rsidR="009B1581" w:rsidRDefault="009B1581" w:rsidP="00B7619F">
      <w:r>
        <w:t>This would not create a new requirement and would improve consistency under the amended approach</w:t>
      </w:r>
      <w:r w:rsidR="00166F4F">
        <w:t>.</w:t>
      </w:r>
    </w:p>
    <w:p w14:paraId="66834A12" w14:textId="17BF350E" w:rsidR="009B1581" w:rsidRDefault="009B1581" w:rsidP="009B1581">
      <w:pPr>
        <w:pStyle w:val="ListParagraph"/>
        <w:numPr>
          <w:ilvl w:val="0"/>
          <w:numId w:val="19"/>
        </w:numPr>
      </w:pPr>
      <w:r>
        <w:lastRenderedPageBreak/>
        <w:t>Replace the deleted “misleading the public” section with a concise “not in contrast” check</w:t>
      </w:r>
    </w:p>
    <w:p w14:paraId="7823231A" w14:textId="77777777" w:rsidR="009B1581" w:rsidRDefault="009B1581" w:rsidP="009B1581">
      <w:r>
        <w:t>We agree with removing legacy guidance that does not fit the amended legal condition. However, a complete deletion leaves issuers with less practical help on the amended limb.</w:t>
      </w:r>
    </w:p>
    <w:p w14:paraId="53444305" w14:textId="77777777" w:rsidR="009B1581" w:rsidRDefault="009B1581" w:rsidP="009B1581">
      <w:r>
        <w:t>The amended condition is, in principle, more objective than assessing whether delay is likely to mislead the public because it anchors the analysis to the issuer’s own prior communications rather than requiring predictions of market inference or reaction. A short, practical check would support consistent application, for example:</w:t>
      </w:r>
    </w:p>
    <w:p w14:paraId="37E4A2CE" w14:textId="00229AEE" w:rsidR="009B1581" w:rsidRDefault="009B1581" w:rsidP="009B1581">
      <w:pPr>
        <w:pStyle w:val="ListParagraph"/>
        <w:numPr>
          <w:ilvl w:val="0"/>
          <w:numId w:val="21"/>
        </w:numPr>
        <w:ind w:left="426"/>
      </w:pPr>
      <w:r>
        <w:t>identify the latest public announcement or other communication on the same matter</w:t>
      </w:r>
    </w:p>
    <w:p w14:paraId="594696DF" w14:textId="34CF8E7C" w:rsidR="009B1581" w:rsidRDefault="009B1581" w:rsidP="009B1581">
      <w:pPr>
        <w:pStyle w:val="ListParagraph"/>
        <w:numPr>
          <w:ilvl w:val="0"/>
          <w:numId w:val="21"/>
        </w:numPr>
        <w:ind w:left="426"/>
      </w:pPr>
      <w:r>
        <w:t>assess whether the delayed inside information would reverse or materially change the impression given by that communication</w:t>
      </w:r>
    </w:p>
    <w:p w14:paraId="0416C148" w14:textId="43C31542" w:rsidR="009B1581" w:rsidRDefault="009B1581" w:rsidP="009B1581">
      <w:pPr>
        <w:pStyle w:val="ListParagraph"/>
        <w:numPr>
          <w:ilvl w:val="0"/>
          <w:numId w:val="21"/>
        </w:numPr>
        <w:ind w:left="426"/>
      </w:pPr>
      <w:r>
        <w:t>if it would, delay is not available unless and until the issuer updates that communication</w:t>
      </w:r>
    </w:p>
    <w:p w14:paraId="3F44C59A" w14:textId="77777777" w:rsidR="009B1581" w:rsidRDefault="009B1581" w:rsidP="009B1581">
      <w:r>
        <w:t>This keeps the Guidelines aligned to the statute and avoids creating additional procedural steps.</w:t>
      </w:r>
    </w:p>
    <w:p w14:paraId="5931D62E" w14:textId="77777777" w:rsidR="009B1581" w:rsidRDefault="009B1581" w:rsidP="009B1581">
      <w:r>
        <w:t>Optional supporting tool (strictly optional)</w:t>
      </w:r>
    </w:p>
    <w:p w14:paraId="0EBF8E84" w14:textId="7A819899" w:rsidR="00B7619F" w:rsidRDefault="009B1581" w:rsidP="00B7619F">
      <w:r>
        <w:t>If ESMA wishes to support smaller issuers and reduce friction in supervisory reviews, it could include an example one page delay record template as an annex, explicitly optional and illustrative. This would not be a new requirement, but a practical aid to consistent documentation.</w:t>
      </w:r>
      <w:r w:rsidR="00166F4F">
        <w:t xml:space="preserve"> </w:t>
      </w:r>
      <w:permEnd w:id="1788426663"/>
      <w:r w:rsidR="00B7619F">
        <w:t>&lt;ESMA_QUESTION_</w:t>
      </w:r>
      <w:r w:rsidR="00B7619F" w:rsidRPr="00B7619F">
        <w:t xml:space="preserve"> </w:t>
      </w:r>
      <w:r w:rsidR="00B7619F">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D6D6" w14:textId="77777777" w:rsidR="00092C2E" w:rsidRDefault="00092C2E" w:rsidP="007E7997">
      <w:pPr>
        <w:spacing w:line="240" w:lineRule="auto"/>
      </w:pPr>
      <w:r>
        <w:separator/>
      </w:r>
    </w:p>
  </w:endnote>
  <w:endnote w:type="continuationSeparator" w:id="0">
    <w:p w14:paraId="66645D1C" w14:textId="77777777" w:rsidR="00092C2E" w:rsidRDefault="00092C2E" w:rsidP="007E7997">
      <w:pPr>
        <w:spacing w:line="240" w:lineRule="auto"/>
      </w:pPr>
      <w:r>
        <w:continuationSeparator/>
      </w:r>
    </w:p>
  </w:endnote>
  <w:endnote w:type="continuationNotice" w:id="1">
    <w:p w14:paraId="58EB50BE" w14:textId="77777777" w:rsidR="00092C2E" w:rsidRDefault="00092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E221" w14:textId="77777777" w:rsidR="00092C2E" w:rsidRDefault="00092C2E" w:rsidP="007E7997">
      <w:pPr>
        <w:spacing w:line="240" w:lineRule="auto"/>
      </w:pPr>
      <w:r>
        <w:separator/>
      </w:r>
    </w:p>
  </w:footnote>
  <w:footnote w:type="continuationSeparator" w:id="0">
    <w:p w14:paraId="73F48D94" w14:textId="77777777" w:rsidR="00092C2E" w:rsidRDefault="00092C2E" w:rsidP="007E7997">
      <w:pPr>
        <w:spacing w:line="240" w:lineRule="auto"/>
      </w:pPr>
      <w:r>
        <w:continuationSeparator/>
      </w:r>
    </w:p>
  </w:footnote>
  <w:footnote w:type="continuationNotice" w:id="1">
    <w:p w14:paraId="76AC8D54" w14:textId="77777777" w:rsidR="00092C2E" w:rsidRDefault="00092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Header"/>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379E4"/>
    <w:multiLevelType w:val="hybridMultilevel"/>
    <w:tmpl w:val="64684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4847F6"/>
    <w:multiLevelType w:val="hybridMultilevel"/>
    <w:tmpl w:val="DE5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DF20A15"/>
    <w:multiLevelType w:val="hybridMultilevel"/>
    <w:tmpl w:val="B7F6EBAE"/>
    <w:lvl w:ilvl="0" w:tplc="2A9CF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853AF3"/>
    <w:multiLevelType w:val="hybridMultilevel"/>
    <w:tmpl w:val="66CC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64D45"/>
    <w:multiLevelType w:val="hybridMultilevel"/>
    <w:tmpl w:val="C4FC8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6"/>
  </w:num>
  <w:num w:numId="2" w16cid:durableId="270287514">
    <w:abstractNumId w:val="5"/>
  </w:num>
  <w:num w:numId="3" w16cid:durableId="1675497260">
    <w:abstractNumId w:val="12"/>
  </w:num>
  <w:num w:numId="4" w16cid:durableId="1146706333">
    <w:abstractNumId w:val="4"/>
  </w:num>
  <w:num w:numId="5" w16cid:durableId="1502348752">
    <w:abstractNumId w:val="0"/>
  </w:num>
  <w:num w:numId="6" w16cid:durableId="1544101585">
    <w:abstractNumId w:val="6"/>
  </w:num>
  <w:num w:numId="7" w16cid:durableId="896626050">
    <w:abstractNumId w:val="17"/>
  </w:num>
  <w:num w:numId="8" w16cid:durableId="806780153">
    <w:abstractNumId w:val="2"/>
  </w:num>
  <w:num w:numId="9" w16cid:durableId="1677002603">
    <w:abstractNumId w:val="15"/>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046757944">
    <w:abstractNumId w:val="14"/>
  </w:num>
  <w:num w:numId="18" w16cid:durableId="292247588">
    <w:abstractNumId w:val="3"/>
  </w:num>
  <w:num w:numId="19" w16cid:durableId="762720953">
    <w:abstractNumId w:val="10"/>
  </w:num>
  <w:num w:numId="20" w16cid:durableId="1381831451">
    <w:abstractNumId w:val="7"/>
  </w:num>
  <w:num w:numId="21" w16cid:durableId="59397985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5DEE"/>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470"/>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2C2E"/>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6F4F"/>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931"/>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1CE5"/>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5D16"/>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295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1C"/>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6BF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3F9F"/>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658D"/>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D75"/>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6A0"/>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581"/>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3B0"/>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6E7D"/>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83"/>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2CA"/>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25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A36"/>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27D6"/>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3920"/>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51E"/>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25DEE"/>
    <w:rsid w:val="00042470"/>
    <w:rsid w:val="000B5175"/>
    <w:rsid w:val="00102DC8"/>
    <w:rsid w:val="0015768C"/>
    <w:rsid w:val="001D0361"/>
    <w:rsid w:val="001D4931"/>
    <w:rsid w:val="002B023F"/>
    <w:rsid w:val="002B46E7"/>
    <w:rsid w:val="002F295C"/>
    <w:rsid w:val="0034145D"/>
    <w:rsid w:val="003D1413"/>
    <w:rsid w:val="00400F2F"/>
    <w:rsid w:val="00481174"/>
    <w:rsid w:val="004C7C86"/>
    <w:rsid w:val="004D67E0"/>
    <w:rsid w:val="004E4CF9"/>
    <w:rsid w:val="004E70AA"/>
    <w:rsid w:val="00591427"/>
    <w:rsid w:val="005D66AB"/>
    <w:rsid w:val="006216AC"/>
    <w:rsid w:val="006D0928"/>
    <w:rsid w:val="006D3543"/>
    <w:rsid w:val="00736117"/>
    <w:rsid w:val="00740052"/>
    <w:rsid w:val="00753F9F"/>
    <w:rsid w:val="00813189"/>
    <w:rsid w:val="00813EAE"/>
    <w:rsid w:val="008222A0"/>
    <w:rsid w:val="00836D47"/>
    <w:rsid w:val="00982D57"/>
    <w:rsid w:val="00993537"/>
    <w:rsid w:val="009B6B9C"/>
    <w:rsid w:val="009C0B17"/>
    <w:rsid w:val="00A44918"/>
    <w:rsid w:val="00A563E1"/>
    <w:rsid w:val="00AE6E7D"/>
    <w:rsid w:val="00B22006"/>
    <w:rsid w:val="00B46CAE"/>
    <w:rsid w:val="00C006E6"/>
    <w:rsid w:val="00C02B83"/>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1854</Words>
  <Characters>10949</Characters>
  <Application>Microsoft Office Word</Application>
  <DocSecurity>8</DocSecurity>
  <Lines>194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Oakley, Neil, (Compliance and Conduct)</cp:lastModifiedBy>
  <cp:revision>5</cp:revision>
  <cp:lastPrinted>2023-09-09T00:53:00Z</cp:lastPrinted>
  <dcterms:created xsi:type="dcterms:W3CDTF">2026-03-04T10:00:00Z</dcterms:created>
  <dcterms:modified xsi:type="dcterms:W3CDTF">2026-04-13T06:13:00Z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docLang">
    <vt:lpwstr>en</vt:lpwstr>
  </property>
  <property fmtid="{D5CDD505-2E9C-101B-9397-08002B2CF9AE}" pid="26" name="MSIP_Label_8a09d0b2-6d33-4c82-936b-54b95b5f3a9b_Enabled">
    <vt:lpwstr>true</vt:lpwstr>
  </property>
  <property fmtid="{D5CDD505-2E9C-101B-9397-08002B2CF9AE}" pid="27" name="MSIP_Label_8a09d0b2-6d33-4c82-936b-54b95b5f3a9b_SetDate">
    <vt:lpwstr>2026-02-19T17:25:23Z</vt:lpwstr>
  </property>
  <property fmtid="{D5CDD505-2E9C-101B-9397-08002B2CF9AE}" pid="28" name="MSIP_Label_8a09d0b2-6d33-4c82-936b-54b95b5f3a9b_Method">
    <vt:lpwstr>Privileged</vt:lpwstr>
  </property>
  <property fmtid="{D5CDD505-2E9C-101B-9397-08002B2CF9AE}" pid="29" name="MSIP_Label_8a09d0b2-6d33-4c82-936b-54b95b5f3a9b_Name">
    <vt:lpwstr>Public1</vt:lpwstr>
  </property>
  <property fmtid="{D5CDD505-2E9C-101B-9397-08002B2CF9AE}" pid="30" name="MSIP_Label_8a09d0b2-6d33-4c82-936b-54b95b5f3a9b_SiteId">
    <vt:lpwstr>7c917db0-71f2-438e-9554-388ffcab8764</vt:lpwstr>
  </property>
  <property fmtid="{D5CDD505-2E9C-101B-9397-08002B2CF9AE}" pid="31" name="MSIP_Label_8a09d0b2-6d33-4c82-936b-54b95b5f3a9b_ActionId">
    <vt:lpwstr>39c29ab0-1a5d-40ed-9558-349120da71f8</vt:lpwstr>
  </property>
  <property fmtid="{D5CDD505-2E9C-101B-9397-08002B2CF9AE}" pid="32" name="MSIP_Label_8a09d0b2-6d33-4c82-936b-54b95b5f3a9b_ContentBits">
    <vt:lpwstr>0</vt:lpwstr>
  </property>
  <property fmtid="{D5CDD505-2E9C-101B-9397-08002B2CF9AE}" pid="33" name="MSIP_Label_8a09d0b2-6d33-4c82-936b-54b95b5f3a9b_Tag">
    <vt:lpwstr>10, 0, 1, 1</vt:lpwstr>
  </property>
</Properties>
</file>