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25611ECB"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D83AA"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0767B2D4" w:rsidR="00635BCA" w:rsidRPr="00557BD2" w:rsidRDefault="00A562A8" w:rsidP="00D21C35">
                <w:r>
                  <w:t>Stibbe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2B709571" w:rsidR="00B17279" w:rsidRDefault="00A562A8" w:rsidP="00B17279">
                <w:r>
                  <w:t>Law firm</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EndPr/>
          <w:sdtContent>
            <w:permStart w:id="401478327" w:edGrp="everyone" w:displacedByCustomXml="prev"/>
            <w:tc>
              <w:tcPr>
                <w:tcW w:w="4531" w:type="dxa"/>
              </w:tcPr>
              <w:p w14:paraId="10359AFE" w14:textId="742D8A9C" w:rsidR="00B17279" w:rsidRDefault="00A562A8"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619A6DDC" w:rsidR="00B17279" w:rsidRPr="00557BD2" w:rsidRDefault="00A562A8" w:rsidP="00B17279">
                <w:r>
                  <w:t>The Netherlands</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491000B6" w14:textId="77777777" w:rsidR="00A562A8" w:rsidRDefault="00A562A8" w:rsidP="00A562A8">
      <w:pPr>
        <w:pStyle w:val="Level2Heading"/>
        <w:numPr>
          <w:ilvl w:val="0"/>
          <w:numId w:val="0"/>
        </w:numPr>
        <w:spacing w:after="160" w:line="278" w:lineRule="auto"/>
        <w:rPr>
          <w:bCs/>
          <w:lang w:val="en-NL"/>
        </w:rPr>
      </w:pPr>
      <w:permStart w:id="627510576" w:edGrp="everyone"/>
      <w:r>
        <w:rPr>
          <w:bCs/>
          <w:lang w:val="en-NL"/>
        </w:rPr>
        <w:t xml:space="preserve">Response: </w:t>
      </w:r>
      <w:r w:rsidRPr="0035196C">
        <w:rPr>
          <w:bCs/>
          <w:lang w:val="en-NL"/>
        </w:rPr>
        <w:t>Yes — Point (b) should be retained, with targeted amendments.</w:t>
      </w:r>
    </w:p>
    <w:p w14:paraId="7A124DB9" w14:textId="77777777" w:rsidR="00A562A8" w:rsidRDefault="00A562A8" w:rsidP="00A562A8">
      <w:pPr>
        <w:pStyle w:val="Level2Heading"/>
        <w:numPr>
          <w:ilvl w:val="0"/>
          <w:numId w:val="0"/>
        </w:numPr>
        <w:spacing w:after="160" w:line="278" w:lineRule="auto"/>
        <w:rPr>
          <w:rFonts w:eastAsiaTheme="majorEastAsia"/>
          <w:i/>
          <w:iCs/>
          <w:lang w:val="en-NL"/>
        </w:rPr>
      </w:pPr>
      <w:r w:rsidRPr="00DE5454">
        <w:rPr>
          <w:b w:val="0"/>
          <w:bCs/>
          <w:lang w:val="en-NL"/>
        </w:rPr>
        <w:t>We strongly support the retention of the legitimate interest described in point (b) of Guideline 1, for the following reasons:</w:t>
      </w:r>
    </w:p>
    <w:p w14:paraId="446E0C3C" w14:textId="61FE766E" w:rsidR="00A562A8" w:rsidRPr="00A562A8" w:rsidRDefault="00A562A8" w:rsidP="00A562A8">
      <w:pPr>
        <w:pStyle w:val="Level2Heading"/>
        <w:numPr>
          <w:ilvl w:val="0"/>
          <w:numId w:val="0"/>
        </w:numPr>
        <w:spacing w:after="160" w:line="278" w:lineRule="auto"/>
        <w:rPr>
          <w:rFonts w:eastAsiaTheme="majorEastAsia"/>
          <w:i/>
          <w:iCs/>
          <w:lang w:val="en-NL"/>
        </w:rPr>
      </w:pPr>
      <w:r w:rsidRPr="0035196C">
        <w:rPr>
          <w:rFonts w:eastAsiaTheme="majorEastAsia"/>
          <w:i/>
          <w:iCs/>
          <w:lang w:val="en-NL"/>
        </w:rPr>
        <w:t>It addresses a distinct scenario not covered by the EC list of protracted processes</w:t>
      </w:r>
    </w:p>
    <w:p w14:paraId="4CD83668" w14:textId="77777777" w:rsidR="00A562A8" w:rsidRPr="00B25EE9" w:rsidRDefault="00A562A8" w:rsidP="00A562A8">
      <w:pPr>
        <w:pStyle w:val="ELA1"/>
        <w:numPr>
          <w:ilvl w:val="0"/>
          <w:numId w:val="0"/>
        </w:numPr>
        <w:ind w:left="1418"/>
        <w:rPr>
          <w:i/>
          <w:iCs/>
          <w:lang w:val="en-NL"/>
        </w:rPr>
      </w:pPr>
      <w:r w:rsidRPr="00B25EE9">
        <w:rPr>
          <w:lang w:val="en-NL"/>
        </w:rPr>
        <w:t>While ESMA's Annex V (</w:t>
      </w:r>
      <w:r w:rsidRPr="00B25EE9">
        <w:rPr>
          <w:i/>
          <w:iCs/>
          <w:lang w:val="en-NL"/>
        </w:rPr>
        <w:t>Correspondence between legitimate interests in Guideline 1 and items on the EC list of protracted Processes</w:t>
      </w:r>
      <w:r w:rsidRPr="00B25EE9">
        <w:rPr>
          <w:lang w:val="en-NL"/>
        </w:rPr>
        <w:t>) maps point (b) to items 24 (</w:t>
      </w:r>
      <w:r w:rsidRPr="00B25EE9">
        <w:rPr>
          <w:i/>
          <w:iCs/>
          <w:lang w:val="en-NL"/>
        </w:rPr>
        <w:t>Pre-insolvency/Restructuring proceedings</w:t>
      </w:r>
      <w:r w:rsidRPr="00B25EE9">
        <w:rPr>
          <w:lang w:val="en-NL"/>
        </w:rPr>
        <w:t>) and 25 (</w:t>
      </w:r>
      <w:r w:rsidRPr="00B25EE9">
        <w:rPr>
          <w:i/>
          <w:iCs/>
          <w:lang w:val="en-NL"/>
        </w:rPr>
        <w:t>Insolvency proceedings</w:t>
      </w:r>
      <w:r w:rsidRPr="00B25EE9">
        <w:rPr>
          <w:lang w:val="en-NL"/>
        </w:rPr>
        <w:t xml:space="preserve">) in the EC list of protracted processes, we submit that the scope of point (b) is materially broader. Point (b) captures situations of grave and imminent financial danger that fall </w:t>
      </w:r>
      <w:r w:rsidRPr="00B25EE9">
        <w:rPr>
          <w:rFonts w:eastAsiaTheme="majorEastAsia"/>
          <w:i/>
          <w:iCs/>
          <w:lang w:val="en-NL"/>
        </w:rPr>
        <w:t>outside</w:t>
      </w:r>
      <w:r w:rsidRPr="00B25EE9">
        <w:rPr>
          <w:lang w:val="en-NL"/>
        </w:rPr>
        <w:t xml:space="preserve"> the scope of applicable insolvency law</w:t>
      </w:r>
      <w:r>
        <w:rPr>
          <w:lang w:val="en-NL"/>
        </w:rPr>
        <w:t xml:space="preserve">, </w:t>
      </w:r>
      <w:r w:rsidRPr="00B25EE9">
        <w:rPr>
          <w:lang w:val="en-NL"/>
        </w:rPr>
        <w:t xml:space="preserve">precisely the most sensitive and unpredictable circumstances. </w:t>
      </w:r>
      <w:proofErr w:type="gramStart"/>
      <w:r w:rsidRPr="00B25EE9">
        <w:rPr>
          <w:lang w:val="en-NL"/>
        </w:rPr>
        <w:t>By definition, if</w:t>
      </w:r>
      <w:proofErr w:type="gramEnd"/>
      <w:r w:rsidRPr="00B25EE9">
        <w:rPr>
          <w:lang w:val="en-NL"/>
        </w:rPr>
        <w:t xml:space="preserve"> insolvency law does not yet apply, the EC list of protracted processes may not offer the issuer any procedural protection. Removing point (b) would therefore leave a significant and practically important gap.</w:t>
      </w:r>
    </w:p>
    <w:p w14:paraId="1DAC211B" w14:textId="77777777" w:rsidR="00A562A8" w:rsidRDefault="00A562A8" w:rsidP="00A562A8">
      <w:pPr>
        <w:pStyle w:val="ELA1"/>
        <w:rPr>
          <w:rFonts w:eastAsiaTheme="majorEastAsia"/>
          <w:i/>
          <w:iCs/>
          <w:lang w:val="en-NL"/>
        </w:rPr>
      </w:pPr>
      <w:r w:rsidRPr="00DE5454">
        <w:rPr>
          <w:rFonts w:eastAsiaTheme="majorEastAsia"/>
          <w:i/>
          <w:iCs/>
          <w:lang w:val="en-NL"/>
        </w:rPr>
        <w:t>Practical necessity in crisis situations</w:t>
      </w:r>
    </w:p>
    <w:p w14:paraId="6F7EBCCE" w14:textId="77777777" w:rsidR="00A562A8" w:rsidRPr="0035196C" w:rsidRDefault="00A562A8" w:rsidP="00A562A8">
      <w:pPr>
        <w:pStyle w:val="ELA1"/>
        <w:numPr>
          <w:ilvl w:val="0"/>
          <w:numId w:val="0"/>
        </w:numPr>
        <w:ind w:left="1418"/>
        <w:rPr>
          <w:rFonts w:eastAsiaTheme="majorEastAsia"/>
          <w:i/>
          <w:iCs/>
          <w:lang w:val="en-NL"/>
        </w:rPr>
      </w:pPr>
      <w:r w:rsidRPr="0035196C">
        <w:rPr>
          <w:lang w:val="en-NL"/>
        </w:rPr>
        <w:t xml:space="preserve">In circumstances of severe financial stress </w:t>
      </w:r>
      <w:r>
        <w:rPr>
          <w:lang w:val="en-NL"/>
        </w:rPr>
        <w:t>(</w:t>
      </w:r>
      <w:r w:rsidRPr="0035196C">
        <w:rPr>
          <w:lang w:val="en-NL"/>
        </w:rPr>
        <w:t xml:space="preserve">for example, where an issuer is in emergency negotiations with </w:t>
      </w:r>
      <w:r>
        <w:rPr>
          <w:lang w:val="en-NL"/>
        </w:rPr>
        <w:t xml:space="preserve">creditors or </w:t>
      </w:r>
      <w:r w:rsidRPr="0035196C">
        <w:rPr>
          <w:lang w:val="en-NL"/>
        </w:rPr>
        <w:t>lenders, seeking a rescue financing package, or pursuing asset disposals to avert insolvency</w:t>
      </w:r>
      <w:r>
        <w:rPr>
          <w:lang w:val="en-NL"/>
        </w:rPr>
        <w:t xml:space="preserve">) </w:t>
      </w:r>
      <w:r w:rsidRPr="0035196C">
        <w:rPr>
          <w:lang w:val="en-NL"/>
        </w:rPr>
        <w:t xml:space="preserve">a forced immediate disclosure could be self-defeating. It may cause a collapse in share price, trigger </w:t>
      </w:r>
      <w:r>
        <w:rPr>
          <w:lang w:val="en-NL"/>
        </w:rPr>
        <w:t xml:space="preserve">contractual mechanisms such as </w:t>
      </w:r>
      <w:r w:rsidRPr="0035196C">
        <w:rPr>
          <w:lang w:val="en-NL"/>
        </w:rPr>
        <w:t xml:space="preserve">cross-default clauses, or </w:t>
      </w:r>
      <w:r>
        <w:rPr>
          <w:lang w:val="en-NL"/>
        </w:rPr>
        <w:t>lead</w:t>
      </w:r>
      <w:r w:rsidRPr="0035196C">
        <w:rPr>
          <w:lang w:val="en-NL"/>
        </w:rPr>
        <w:t xml:space="preserve"> counterparties to withdraw from rescue negotiations</w:t>
      </w:r>
      <w:r>
        <w:rPr>
          <w:lang w:val="en-NL"/>
        </w:rPr>
        <w:t>, which would in the end be worse for investors as well</w:t>
      </w:r>
      <w:r w:rsidRPr="0035196C">
        <w:rPr>
          <w:lang w:val="en-NL"/>
        </w:rPr>
        <w:t xml:space="preserve">. </w:t>
      </w:r>
    </w:p>
    <w:p w14:paraId="6C1E2D49" w14:textId="77777777" w:rsidR="00A562A8" w:rsidRDefault="00A562A8" w:rsidP="00A562A8">
      <w:pPr>
        <w:pStyle w:val="ELA1"/>
        <w:rPr>
          <w:rFonts w:eastAsiaTheme="majorEastAsia"/>
          <w:i/>
          <w:iCs/>
          <w:lang w:val="en-NL"/>
        </w:rPr>
      </w:pPr>
      <w:r w:rsidRPr="00DE5454">
        <w:rPr>
          <w:rFonts w:eastAsiaTheme="majorEastAsia"/>
          <w:i/>
          <w:iCs/>
          <w:lang w:val="en-NL"/>
        </w:rPr>
        <w:t>Consistency with the spirit of the Listing Act</w:t>
      </w:r>
    </w:p>
    <w:p w14:paraId="5CBC2C80" w14:textId="77777777" w:rsidR="00A562A8" w:rsidRPr="0035196C" w:rsidRDefault="00A562A8" w:rsidP="00A562A8">
      <w:pPr>
        <w:pStyle w:val="ELA1"/>
        <w:numPr>
          <w:ilvl w:val="0"/>
          <w:numId w:val="0"/>
        </w:numPr>
        <w:ind w:left="1418"/>
        <w:rPr>
          <w:rFonts w:eastAsiaTheme="majorEastAsia"/>
          <w:i/>
          <w:iCs/>
          <w:lang w:val="en-NL"/>
        </w:rPr>
      </w:pPr>
      <w:r w:rsidRPr="0035196C">
        <w:rPr>
          <w:lang w:val="en-NL"/>
        </w:rPr>
        <w:t>The Listing Act aims to reduce unnecessary administrative burdens while maintaining market integrity. Deleting point (b) would increase risk for issuers navigating financial distress and could be seen as inconsistent with the SBR objective, since issuers in financial difficulty would lose a proportionate basis for delay.</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53844015" w14:textId="77777777" w:rsidR="00A562A8" w:rsidRDefault="00A562A8" w:rsidP="00A562A8">
      <w:pPr>
        <w:pStyle w:val="Level3Heading"/>
        <w:numPr>
          <w:ilvl w:val="0"/>
          <w:numId w:val="0"/>
        </w:numPr>
        <w:ind w:left="1559" w:hanging="850"/>
        <w:rPr>
          <w:lang w:val="en-NL"/>
        </w:rPr>
      </w:pPr>
      <w:permStart w:id="55053902" w:edGrp="everyone"/>
      <w:r w:rsidRPr="00DE5454">
        <w:rPr>
          <w:lang w:val="en-NL"/>
        </w:rPr>
        <w:t xml:space="preserve">Orders by a </w:t>
      </w:r>
      <w:r>
        <w:rPr>
          <w:lang w:val="en-NL"/>
        </w:rPr>
        <w:t>p</w:t>
      </w:r>
      <w:r w:rsidRPr="00DE5454">
        <w:rPr>
          <w:lang w:val="en-NL"/>
        </w:rPr>
        <w:t xml:space="preserve">ublic </w:t>
      </w:r>
      <w:r>
        <w:rPr>
          <w:lang w:val="en-NL"/>
        </w:rPr>
        <w:t>a</w:t>
      </w:r>
      <w:r w:rsidRPr="00DE5454">
        <w:rPr>
          <w:lang w:val="en-NL"/>
        </w:rPr>
        <w:t xml:space="preserve">uthority to </w:t>
      </w:r>
      <w:r>
        <w:rPr>
          <w:lang w:val="en-NL"/>
        </w:rPr>
        <w:t>m</w:t>
      </w:r>
      <w:r w:rsidRPr="00DE5454">
        <w:rPr>
          <w:lang w:val="en-NL"/>
        </w:rPr>
        <w:t xml:space="preserve">aintain </w:t>
      </w:r>
      <w:r>
        <w:rPr>
          <w:lang w:val="en-NL"/>
        </w:rPr>
        <w:t>c</w:t>
      </w:r>
      <w:r w:rsidRPr="00DE5454">
        <w:rPr>
          <w:lang w:val="en-NL"/>
        </w:rPr>
        <w:t>onfidentiality</w:t>
      </w:r>
    </w:p>
    <w:p w14:paraId="139B5666" w14:textId="77777777" w:rsidR="00A562A8" w:rsidRDefault="00A562A8" w:rsidP="00A562A8">
      <w:pPr>
        <w:pStyle w:val="Level3Heading"/>
        <w:numPr>
          <w:ilvl w:val="0"/>
          <w:numId w:val="0"/>
        </w:numPr>
        <w:ind w:left="709"/>
        <w:rPr>
          <w:b w:val="0"/>
          <w:bCs/>
          <w:lang w:val="en-NL"/>
        </w:rPr>
      </w:pPr>
      <w:r w:rsidRPr="002729A7">
        <w:rPr>
          <w:b w:val="0"/>
          <w:bCs/>
          <w:lang w:val="en-NL"/>
        </w:rPr>
        <w:t>We welcome the addition of th</w:t>
      </w:r>
      <w:r>
        <w:rPr>
          <w:b w:val="0"/>
          <w:bCs/>
          <w:lang w:val="en-NL"/>
        </w:rPr>
        <w:t>ese</w:t>
      </w:r>
      <w:r w:rsidRPr="002729A7">
        <w:rPr>
          <w:b w:val="0"/>
          <w:bCs/>
          <w:lang w:val="en-NL"/>
        </w:rPr>
        <w:t xml:space="preserve"> new legitimate interest</w:t>
      </w:r>
      <w:r>
        <w:rPr>
          <w:b w:val="0"/>
          <w:bCs/>
          <w:lang w:val="en-NL"/>
        </w:rPr>
        <w:t xml:space="preserve">s, as they </w:t>
      </w:r>
      <w:r w:rsidRPr="002729A7">
        <w:rPr>
          <w:b w:val="0"/>
          <w:bCs/>
          <w:lang w:val="en-NL"/>
        </w:rPr>
        <w:t xml:space="preserve">address a genuine and recurrent practical </w:t>
      </w:r>
      <w:r>
        <w:rPr>
          <w:b w:val="0"/>
          <w:bCs/>
          <w:lang w:val="en-NL"/>
        </w:rPr>
        <w:t>situation –</w:t>
      </w:r>
      <w:r w:rsidRPr="002729A7">
        <w:rPr>
          <w:b w:val="0"/>
          <w:bCs/>
          <w:lang w:val="en-NL"/>
        </w:rPr>
        <w:t xml:space="preserve"> particularly in the context of defence and national security contracts, public health emergencies,</w:t>
      </w:r>
      <w:r>
        <w:rPr>
          <w:b w:val="0"/>
          <w:bCs/>
          <w:lang w:val="en-NL"/>
        </w:rPr>
        <w:t xml:space="preserve"> antitrust and other investigations,</w:t>
      </w:r>
      <w:r w:rsidRPr="002729A7">
        <w:rPr>
          <w:b w:val="0"/>
          <w:bCs/>
          <w:lang w:val="en-NL"/>
        </w:rPr>
        <w:t xml:space="preserve"> and certain regulated procurement processes</w:t>
      </w:r>
      <w:r>
        <w:rPr>
          <w:b w:val="0"/>
          <w:bCs/>
          <w:lang w:val="en-NL"/>
        </w:rPr>
        <w:t xml:space="preserve"> – </w:t>
      </w:r>
      <w:r w:rsidRPr="002729A7">
        <w:rPr>
          <w:b w:val="0"/>
          <w:bCs/>
          <w:lang w:val="en-NL"/>
        </w:rPr>
        <w:t xml:space="preserve">where issuers are legally </w:t>
      </w:r>
      <w:r>
        <w:rPr>
          <w:b w:val="0"/>
          <w:bCs/>
          <w:lang w:val="en-NL"/>
        </w:rPr>
        <w:t>required</w:t>
      </w:r>
      <w:r w:rsidRPr="002729A7">
        <w:rPr>
          <w:b w:val="0"/>
          <w:bCs/>
          <w:lang w:val="en-NL"/>
        </w:rPr>
        <w:t xml:space="preserve"> to maintain confidentiality.</w:t>
      </w:r>
      <w:r>
        <w:rPr>
          <w:b w:val="0"/>
          <w:bCs/>
          <w:lang w:val="en-NL"/>
        </w:rPr>
        <w:t xml:space="preserve"> </w:t>
      </w:r>
    </w:p>
    <w:p w14:paraId="494E48B1" w14:textId="77777777" w:rsidR="00A562A8" w:rsidRPr="00DE5454" w:rsidRDefault="00A562A8" w:rsidP="00A562A8">
      <w:pPr>
        <w:pStyle w:val="Level3Heading"/>
        <w:numPr>
          <w:ilvl w:val="0"/>
          <w:numId w:val="0"/>
        </w:numPr>
        <w:ind w:left="1559" w:hanging="850"/>
        <w:rPr>
          <w:b w:val="0"/>
          <w:bCs/>
          <w:lang w:val="en-NL"/>
        </w:rPr>
      </w:pPr>
      <w:r w:rsidRPr="00DE5454">
        <w:rPr>
          <w:b w:val="0"/>
          <w:bCs/>
          <w:lang w:val="en-NL"/>
        </w:rPr>
        <w:t>We offer the following observations:</w:t>
      </w:r>
    </w:p>
    <w:p w14:paraId="5B478CA2" w14:textId="77777777" w:rsidR="00A562A8" w:rsidRPr="00490AE6" w:rsidRDefault="00A562A8" w:rsidP="00A562A8">
      <w:pPr>
        <w:pStyle w:val="BulletDot3"/>
        <w:numPr>
          <w:ilvl w:val="0"/>
          <w:numId w:val="0"/>
        </w:numPr>
        <w:ind w:left="2268"/>
        <w:rPr>
          <w:lang w:val="en-GB"/>
        </w:rPr>
      </w:pPr>
      <w:r w:rsidRPr="00490AE6">
        <w:rPr>
          <w:rFonts w:eastAsiaTheme="majorEastAsia"/>
          <w:b/>
          <w:bCs/>
          <w:lang w:val="en-GB"/>
        </w:rPr>
        <w:t>Scope of "public authority":</w:t>
      </w:r>
      <w:r w:rsidRPr="00490AE6">
        <w:rPr>
          <w:lang w:val="en-GB"/>
        </w:rPr>
        <w:t xml:space="preserve"> The proposed definition (a public authority of a Member State, the EU or a third country) is appropriately broad. We agree that third-country public authority orders should be capable of constituting a legitimate interest</w:t>
      </w:r>
      <w:r>
        <w:rPr>
          <w:lang w:val="en-GB"/>
        </w:rPr>
        <w:t xml:space="preserve">. As an additional example of a public </w:t>
      </w:r>
      <w:proofErr w:type="gramStart"/>
      <w:r>
        <w:rPr>
          <w:lang w:val="en-GB"/>
        </w:rPr>
        <w:t>authority</w:t>
      </w:r>
      <w:proofErr w:type="gramEnd"/>
      <w:r>
        <w:rPr>
          <w:lang w:val="en-GB"/>
        </w:rPr>
        <w:t xml:space="preserve"> we would propose to add an antitrust </w:t>
      </w:r>
      <w:proofErr w:type="gramStart"/>
      <w:r>
        <w:rPr>
          <w:lang w:val="en-GB"/>
        </w:rPr>
        <w:t>authority.</w:t>
      </w:r>
      <w:r w:rsidRPr="00490AE6">
        <w:rPr>
          <w:lang w:val="en-GB"/>
        </w:rPr>
        <w:t>.</w:t>
      </w:r>
      <w:proofErr w:type="gramEnd"/>
    </w:p>
    <w:p w14:paraId="62EB16FD" w14:textId="77777777" w:rsidR="00A562A8" w:rsidRPr="00325D6D" w:rsidRDefault="00A562A8" w:rsidP="00A562A8">
      <w:pPr>
        <w:pStyle w:val="BulletDot3"/>
        <w:numPr>
          <w:ilvl w:val="0"/>
          <w:numId w:val="0"/>
        </w:numPr>
        <w:ind w:left="2268"/>
        <w:rPr>
          <w:lang w:val="en-GB"/>
        </w:rPr>
      </w:pPr>
      <w:r w:rsidRPr="00325D6D">
        <w:rPr>
          <w:rFonts w:eastAsiaTheme="majorEastAsia"/>
          <w:b/>
          <w:bCs/>
          <w:lang w:val="en-GB"/>
        </w:rPr>
        <w:t>Suggested addition:</w:t>
      </w:r>
      <w:r w:rsidRPr="00325D6D">
        <w:rPr>
          <w:lang w:val="en-GB"/>
        </w:rPr>
        <w:t xml:space="preserve"> We recommend the Guidelines also </w:t>
      </w:r>
      <w:r>
        <w:rPr>
          <w:lang w:val="en-GB"/>
        </w:rPr>
        <w:t xml:space="preserve">explicitly </w:t>
      </w:r>
      <w:r w:rsidRPr="00325D6D">
        <w:rPr>
          <w:lang w:val="en-GB"/>
        </w:rPr>
        <w:t xml:space="preserve">contemplate situations where confidentiality is required by </w:t>
      </w:r>
      <w:r w:rsidRPr="00325D6D">
        <w:rPr>
          <w:rFonts w:eastAsiaTheme="majorEastAsia"/>
          <w:i/>
          <w:iCs/>
          <w:lang w:val="en-GB"/>
        </w:rPr>
        <w:t>statute</w:t>
      </w:r>
      <w:r w:rsidRPr="00325D6D">
        <w:rPr>
          <w:lang w:val="en-GB"/>
        </w:rPr>
        <w:t xml:space="preserve"> (rather than a specific public authority order), for </w:t>
      </w:r>
      <w:r w:rsidRPr="00DE5454">
        <w:rPr>
          <w:lang w:val="en-GB"/>
        </w:rPr>
        <w:t>example</w:t>
      </w:r>
      <w:r w:rsidRPr="00325D6D">
        <w:rPr>
          <w:lang w:val="en-GB"/>
        </w:rPr>
        <w:t xml:space="preserve">, where applicable law prohibits disclosure during regulatory approval </w:t>
      </w:r>
      <w:r>
        <w:rPr>
          <w:lang w:val="en-GB"/>
        </w:rPr>
        <w:t xml:space="preserve">or supervisory </w:t>
      </w:r>
      <w:r w:rsidRPr="00325D6D">
        <w:rPr>
          <w:lang w:val="en-GB"/>
        </w:rPr>
        <w:t>processes.</w:t>
      </w:r>
    </w:p>
    <w:p w14:paraId="6FDDD694" w14:textId="77777777" w:rsidR="00A562A8" w:rsidRDefault="00A562A8" w:rsidP="00A562A8">
      <w:pPr>
        <w:pStyle w:val="Level3Heading"/>
        <w:numPr>
          <w:ilvl w:val="0"/>
          <w:numId w:val="0"/>
        </w:numPr>
        <w:ind w:left="1559" w:hanging="850"/>
        <w:rPr>
          <w:bCs/>
          <w:lang w:val="en-NL"/>
        </w:rPr>
      </w:pPr>
      <w:r w:rsidRPr="00DE5454">
        <w:rPr>
          <w:bCs/>
          <w:lang w:val="en-NL"/>
        </w:rPr>
        <w:t xml:space="preserve">Need to </w:t>
      </w:r>
      <w:r>
        <w:rPr>
          <w:bCs/>
          <w:lang w:val="en-NL"/>
        </w:rPr>
        <w:t>c</w:t>
      </w:r>
      <w:r w:rsidRPr="00DE5454">
        <w:rPr>
          <w:bCs/>
          <w:lang w:val="en-NL"/>
        </w:rPr>
        <w:t xml:space="preserve">ollect </w:t>
      </w:r>
      <w:r>
        <w:rPr>
          <w:bCs/>
          <w:lang w:val="en-NL"/>
        </w:rPr>
        <w:t>f</w:t>
      </w:r>
      <w:r w:rsidRPr="00DE5454">
        <w:rPr>
          <w:bCs/>
          <w:lang w:val="en-NL"/>
        </w:rPr>
        <w:t xml:space="preserve">urther </w:t>
      </w:r>
      <w:r>
        <w:rPr>
          <w:bCs/>
          <w:lang w:val="en-NL"/>
        </w:rPr>
        <w:t>i</w:t>
      </w:r>
      <w:r w:rsidRPr="00DE5454">
        <w:rPr>
          <w:bCs/>
          <w:lang w:val="en-NL"/>
        </w:rPr>
        <w:t xml:space="preserve">nformation on the </w:t>
      </w:r>
      <w:r>
        <w:rPr>
          <w:bCs/>
          <w:lang w:val="en-NL"/>
        </w:rPr>
        <w:t>e</w:t>
      </w:r>
      <w:r w:rsidRPr="00DE5454">
        <w:rPr>
          <w:bCs/>
          <w:lang w:val="en-NL"/>
        </w:rPr>
        <w:t xml:space="preserve">vent or </w:t>
      </w:r>
      <w:r>
        <w:rPr>
          <w:bCs/>
          <w:lang w:val="en-NL"/>
        </w:rPr>
        <w:t>c</w:t>
      </w:r>
      <w:r w:rsidRPr="00DE5454">
        <w:rPr>
          <w:bCs/>
          <w:lang w:val="en-NL"/>
        </w:rPr>
        <w:t xml:space="preserve">ircumstances to be </w:t>
      </w:r>
      <w:r>
        <w:rPr>
          <w:bCs/>
          <w:lang w:val="en-NL"/>
        </w:rPr>
        <w:t>d</w:t>
      </w:r>
      <w:r w:rsidRPr="00DE5454">
        <w:rPr>
          <w:bCs/>
          <w:lang w:val="en-NL"/>
        </w:rPr>
        <w:t>isclosed</w:t>
      </w:r>
    </w:p>
    <w:p w14:paraId="2C7DD079" w14:textId="77777777" w:rsidR="00A562A8" w:rsidRDefault="00A562A8" w:rsidP="00A562A8">
      <w:pPr>
        <w:pStyle w:val="Level3Heading"/>
        <w:numPr>
          <w:ilvl w:val="0"/>
          <w:numId w:val="0"/>
        </w:numPr>
        <w:ind w:left="709"/>
        <w:rPr>
          <w:b w:val="0"/>
          <w:bCs/>
          <w:lang w:val="en-NL"/>
        </w:rPr>
      </w:pPr>
      <w:r w:rsidRPr="00DE5454">
        <w:rPr>
          <w:b w:val="0"/>
          <w:bCs/>
          <w:lang w:val="en-NL"/>
        </w:rPr>
        <w:t xml:space="preserve">We support the inclusion of this legitimate interest, which reflects a common and legitimate practical need. The example of cyber-attacks and major incidents is particularly </w:t>
      </w:r>
      <w:r>
        <w:rPr>
          <w:b w:val="0"/>
          <w:bCs/>
          <w:lang w:val="en-NL"/>
        </w:rPr>
        <w:t>relevant</w:t>
      </w:r>
      <w:r w:rsidRPr="00DE5454">
        <w:rPr>
          <w:b w:val="0"/>
          <w:bCs/>
          <w:lang w:val="en-NL"/>
        </w:rPr>
        <w:t xml:space="preserve"> in the current environment, where issuers increasingly face complex and </w:t>
      </w:r>
      <w:r>
        <w:rPr>
          <w:b w:val="0"/>
          <w:bCs/>
          <w:lang w:val="en-NL"/>
        </w:rPr>
        <w:t xml:space="preserve">rapidly </w:t>
      </w:r>
      <w:r w:rsidRPr="00DE5454">
        <w:rPr>
          <w:b w:val="0"/>
          <w:bCs/>
          <w:lang w:val="en-NL"/>
        </w:rPr>
        <w:t>evolving events.</w:t>
      </w:r>
      <w:r>
        <w:rPr>
          <w:b w:val="0"/>
          <w:bCs/>
          <w:lang w:val="en-NL"/>
        </w:rPr>
        <w:t xml:space="preserve"> </w:t>
      </w:r>
    </w:p>
    <w:p w14:paraId="71B36A3A" w14:textId="77777777" w:rsidR="00A562A8" w:rsidRPr="00DE5454" w:rsidRDefault="00A562A8" w:rsidP="00A562A8">
      <w:pPr>
        <w:pStyle w:val="Level3Heading"/>
        <w:numPr>
          <w:ilvl w:val="0"/>
          <w:numId w:val="0"/>
        </w:numPr>
        <w:ind w:left="1559" w:hanging="850"/>
        <w:rPr>
          <w:b w:val="0"/>
          <w:bCs/>
          <w:lang w:val="en-NL"/>
        </w:rPr>
      </w:pPr>
      <w:r w:rsidRPr="00DE5454">
        <w:rPr>
          <w:b w:val="0"/>
          <w:bCs/>
          <w:lang w:val="en-NL"/>
        </w:rPr>
        <w:t>We offer the following observations:</w:t>
      </w:r>
    </w:p>
    <w:p w14:paraId="0AFF1CB9" w14:textId="4C660C27" w:rsidR="00A562A8" w:rsidRPr="00DE5454" w:rsidRDefault="00A562A8" w:rsidP="00A562A8">
      <w:pPr>
        <w:pStyle w:val="BulletDot3"/>
        <w:ind w:left="2835" w:hanging="709"/>
        <w:rPr>
          <w:lang w:val="en-NL"/>
        </w:rPr>
      </w:pPr>
      <w:r w:rsidRPr="00DE5454">
        <w:rPr>
          <w:rFonts w:eastAsiaTheme="majorEastAsia"/>
          <w:b/>
          <w:bCs/>
          <w:lang w:val="en-NL"/>
        </w:rPr>
        <w:t>Standard to be applied:</w:t>
      </w:r>
      <w:r w:rsidRPr="00DE5454">
        <w:rPr>
          <w:lang w:val="en-NL"/>
        </w:rPr>
        <w:t xml:space="preserve"> The requirement that the need to collect additional information must be based on "objective and verifiable grounds" is appropriate. We suggest </w:t>
      </w:r>
      <w:r>
        <w:rPr>
          <w:lang w:val="en-NL"/>
        </w:rPr>
        <w:t xml:space="preserve">that </w:t>
      </w:r>
      <w:r w:rsidRPr="00DE5454">
        <w:rPr>
          <w:lang w:val="en-NL"/>
        </w:rPr>
        <w:t xml:space="preserve">ESMA clarify that the standard </w:t>
      </w:r>
      <w:r>
        <w:rPr>
          <w:lang w:val="en-NL"/>
        </w:rPr>
        <w:t xml:space="preserve">does  </w:t>
      </w:r>
      <w:r w:rsidRPr="00DE5454">
        <w:rPr>
          <w:lang w:val="en-NL"/>
        </w:rPr>
        <w:t xml:space="preserve">not </w:t>
      </w:r>
      <w:r>
        <w:rPr>
          <w:lang w:val="en-NL"/>
        </w:rPr>
        <w:t xml:space="preserve">require </w:t>
      </w:r>
      <w:r w:rsidRPr="00DE5454">
        <w:rPr>
          <w:lang w:val="en-NL"/>
        </w:rPr>
        <w:t>perfection</w:t>
      </w:r>
      <w:r>
        <w:rPr>
          <w:lang w:val="en-NL"/>
        </w:rPr>
        <w:t xml:space="preserve">: </w:t>
      </w:r>
      <w:r w:rsidRPr="00DE5454">
        <w:rPr>
          <w:lang w:val="en-NL"/>
        </w:rPr>
        <w:t xml:space="preserve">issuers are not </w:t>
      </w:r>
      <w:r>
        <w:rPr>
          <w:lang w:val="en-NL"/>
        </w:rPr>
        <w:t>expected</w:t>
      </w:r>
      <w:r w:rsidRPr="00DE5454">
        <w:rPr>
          <w:lang w:val="en-NL"/>
        </w:rPr>
        <w:t xml:space="preserve"> to have complete information </w:t>
      </w:r>
      <w:r>
        <w:rPr>
          <w:lang w:val="en-NL"/>
        </w:rPr>
        <w:t xml:space="preserve">prior </w:t>
      </w:r>
      <w:r w:rsidR="00057D37">
        <w:rPr>
          <w:lang w:val="en-NL"/>
        </w:rPr>
        <w:t>to disclosure</w:t>
      </w:r>
      <w:r w:rsidRPr="00DE5454">
        <w:rPr>
          <w:lang w:val="en-NL"/>
        </w:rPr>
        <w:t xml:space="preserve">, but rather sufficient information to enable a "correct and timely assessment" by the public. This </w:t>
      </w:r>
      <w:r>
        <w:rPr>
          <w:lang w:val="en-NL"/>
        </w:rPr>
        <w:t xml:space="preserve">approach </w:t>
      </w:r>
      <w:r w:rsidRPr="00DE5454">
        <w:rPr>
          <w:lang w:val="en-NL"/>
        </w:rPr>
        <w:t>is consistent with the formulation in Article 17(1) MAR.</w:t>
      </w:r>
    </w:p>
    <w:p w14:paraId="77FD9D2D" w14:textId="77777777" w:rsidR="00A562A8" w:rsidRPr="00DE5454" w:rsidRDefault="00A562A8" w:rsidP="00A562A8">
      <w:pPr>
        <w:pStyle w:val="BulletDot3"/>
        <w:ind w:left="2835" w:hanging="709"/>
        <w:rPr>
          <w:lang w:val="en-NL"/>
        </w:rPr>
      </w:pPr>
      <w:r w:rsidRPr="00DE5454">
        <w:rPr>
          <w:rFonts w:eastAsiaTheme="majorEastAsia"/>
          <w:b/>
          <w:bCs/>
          <w:lang w:val="en-NL"/>
        </w:rPr>
        <w:t>Duty of expedition:</w:t>
      </w:r>
      <w:r w:rsidRPr="00DE5454">
        <w:rPr>
          <w:lang w:val="en-NL"/>
        </w:rPr>
        <w:t xml:space="preserve"> We welcome the </w:t>
      </w:r>
      <w:r>
        <w:rPr>
          <w:lang w:val="en-NL"/>
        </w:rPr>
        <w:t>explicit</w:t>
      </w:r>
      <w:r w:rsidRPr="00DE5454">
        <w:rPr>
          <w:lang w:val="en-NL"/>
        </w:rPr>
        <w:t xml:space="preserve"> statement that issuers must carry out information-gathering actions without undue delay and proceed to disclose as soon as the market can properly assess the event. However, we suggest the Guidelines provide practical guidance on what constitutes "undue delay" in different scenarios (e.g., a cyber-attack may require a 24–</w:t>
      </w:r>
      <w:proofErr w:type="gramStart"/>
      <w:r w:rsidRPr="00DE5454">
        <w:rPr>
          <w:lang w:val="en-NL"/>
        </w:rPr>
        <w:t>72 hour</w:t>
      </w:r>
      <w:proofErr w:type="gramEnd"/>
      <w:r w:rsidRPr="00DE5454">
        <w:rPr>
          <w:lang w:val="en-NL"/>
        </w:rPr>
        <w:t xml:space="preserve"> assessment window</w:t>
      </w:r>
      <w:r>
        <w:rPr>
          <w:lang w:val="en-NL"/>
        </w:rPr>
        <w:t>, whereas</w:t>
      </w:r>
      <w:r w:rsidRPr="00DE5454">
        <w:rPr>
          <w:lang w:val="en-NL"/>
        </w:rPr>
        <w:t xml:space="preserve"> a major industrial accident may </w:t>
      </w:r>
      <w:r>
        <w:rPr>
          <w:lang w:val="en-NL"/>
        </w:rPr>
        <w:t xml:space="preserve">justify </w:t>
      </w:r>
      <w:proofErr w:type="gramStart"/>
      <w:r>
        <w:rPr>
          <w:lang w:val="en-NL"/>
        </w:rPr>
        <w:t xml:space="preserve">a  </w:t>
      </w:r>
      <w:r w:rsidRPr="00DE5454">
        <w:rPr>
          <w:lang w:val="en-NL"/>
        </w:rPr>
        <w:t>longer</w:t>
      </w:r>
      <w:proofErr w:type="gramEnd"/>
      <w:r>
        <w:rPr>
          <w:lang w:val="en-NL"/>
        </w:rPr>
        <w:t xml:space="preserve"> period</w:t>
      </w:r>
      <w:r w:rsidRPr="00DE5454">
        <w:rPr>
          <w:lang w:val="en-NL"/>
        </w:rPr>
        <w:t>).</w:t>
      </w:r>
    </w:p>
    <w:p w14:paraId="73BC72DD" w14:textId="3C4851F0" w:rsidR="00A562A8" w:rsidRPr="00A562A8" w:rsidRDefault="00A562A8" w:rsidP="00A562A8">
      <w:pPr>
        <w:pStyle w:val="BulletDot3"/>
        <w:ind w:left="2835" w:hanging="709"/>
        <w:rPr>
          <w:lang w:val="en-NL"/>
        </w:rPr>
      </w:pPr>
      <w:r w:rsidRPr="00DE5454">
        <w:rPr>
          <w:rFonts w:eastAsiaTheme="majorEastAsia"/>
          <w:b/>
          <w:bCs/>
          <w:lang w:val="en-NL"/>
        </w:rPr>
        <w:t>Regulatory interaction:</w:t>
      </w:r>
      <w:r w:rsidRPr="00DE5454">
        <w:rPr>
          <w:lang w:val="en-NL"/>
        </w:rPr>
        <w:t xml:space="preserve"> For regulated issuers, ESMA should </w:t>
      </w:r>
      <w:r>
        <w:rPr>
          <w:lang w:val="en-NL"/>
        </w:rPr>
        <w:t>clarify</w:t>
      </w:r>
      <w:r w:rsidRPr="00DE5454">
        <w:rPr>
          <w:lang w:val="en-NL"/>
        </w:rPr>
        <w:t xml:space="preserve"> that reporting obligations to </w:t>
      </w:r>
      <w:proofErr w:type="spellStart"/>
      <w:r>
        <w:rPr>
          <w:lang w:val="en-NL"/>
        </w:rPr>
        <w:t>NCAs</w:t>
      </w:r>
      <w:proofErr w:type="spellEnd"/>
      <w:r>
        <w:rPr>
          <w:lang w:val="en-NL"/>
        </w:rPr>
        <w:t xml:space="preserve"> </w:t>
      </w:r>
      <w:r w:rsidRPr="00DE5454">
        <w:rPr>
          <w:lang w:val="en-NL"/>
        </w:rPr>
        <w:t>(e.g., under NIS2 or DORA in the context of cybersecurity incidents</w:t>
      </w:r>
      <w:r>
        <w:rPr>
          <w:lang w:val="en-NL"/>
        </w:rPr>
        <w:t xml:space="preserve"> or under GDPR for data leaks</w:t>
      </w:r>
      <w:r w:rsidRPr="00DE5454">
        <w:rPr>
          <w:lang w:val="en-NL"/>
        </w:rPr>
        <w:t>) may require disclosure before the issuer is ready for public disclosure. The Guidelines should address how these obligations interact.</w:t>
      </w:r>
    </w:p>
    <w:p w14:paraId="1F8F7AEE" w14:textId="77777777" w:rsidR="00A562A8" w:rsidRDefault="00A562A8" w:rsidP="00A562A8">
      <w:pPr>
        <w:pStyle w:val="Level3Heading"/>
        <w:numPr>
          <w:ilvl w:val="0"/>
          <w:numId w:val="0"/>
        </w:numPr>
        <w:rPr>
          <w:bCs/>
          <w:lang w:val="en-NL"/>
        </w:rPr>
      </w:pPr>
      <w:r>
        <w:rPr>
          <w:bCs/>
          <w:lang w:val="en-NL"/>
        </w:rPr>
        <w:t>R</w:t>
      </w:r>
      <w:r w:rsidRPr="00DE5454">
        <w:rPr>
          <w:bCs/>
          <w:lang w:val="en-NL"/>
        </w:rPr>
        <w:t xml:space="preserve">isk to </w:t>
      </w:r>
      <w:r>
        <w:rPr>
          <w:bCs/>
          <w:lang w:val="en-NL"/>
        </w:rPr>
        <w:t>l</w:t>
      </w:r>
      <w:r w:rsidRPr="00DE5454">
        <w:rPr>
          <w:bCs/>
          <w:lang w:val="en-NL"/>
        </w:rPr>
        <w:t xml:space="preserve">ose a </w:t>
      </w:r>
      <w:r>
        <w:rPr>
          <w:bCs/>
          <w:lang w:val="en-NL"/>
        </w:rPr>
        <w:t>bu</w:t>
      </w:r>
      <w:r w:rsidRPr="00DE5454">
        <w:rPr>
          <w:bCs/>
          <w:lang w:val="en-NL"/>
        </w:rPr>
        <w:t xml:space="preserve">siness </w:t>
      </w:r>
      <w:r>
        <w:rPr>
          <w:bCs/>
          <w:lang w:val="en-NL"/>
        </w:rPr>
        <w:t>o</w:t>
      </w:r>
      <w:r w:rsidRPr="00DE5454">
        <w:rPr>
          <w:bCs/>
          <w:lang w:val="en-NL"/>
        </w:rPr>
        <w:t xml:space="preserve">pportunity </w:t>
      </w:r>
      <w:r>
        <w:rPr>
          <w:bCs/>
          <w:lang w:val="en-NL"/>
        </w:rPr>
        <w:t>w</w:t>
      </w:r>
      <w:r w:rsidRPr="00DE5454">
        <w:rPr>
          <w:bCs/>
          <w:lang w:val="en-NL"/>
        </w:rPr>
        <w:t xml:space="preserve">hen </w:t>
      </w:r>
      <w:r>
        <w:rPr>
          <w:bCs/>
          <w:lang w:val="en-NL"/>
        </w:rPr>
        <w:t>p</w:t>
      </w:r>
      <w:r w:rsidRPr="00DE5454">
        <w:rPr>
          <w:bCs/>
          <w:lang w:val="en-NL"/>
        </w:rPr>
        <w:t xml:space="preserve">articipating in </w:t>
      </w:r>
      <w:r>
        <w:rPr>
          <w:bCs/>
          <w:lang w:val="en-NL"/>
        </w:rPr>
        <w:t>p</w:t>
      </w:r>
      <w:r w:rsidRPr="00DE5454">
        <w:rPr>
          <w:bCs/>
          <w:lang w:val="en-NL"/>
        </w:rPr>
        <w:t xml:space="preserve">arallel </w:t>
      </w:r>
      <w:r>
        <w:rPr>
          <w:bCs/>
          <w:lang w:val="en-NL"/>
        </w:rPr>
        <w:t>pr</w:t>
      </w:r>
      <w:r w:rsidRPr="00DE5454">
        <w:rPr>
          <w:bCs/>
          <w:lang w:val="en-NL"/>
        </w:rPr>
        <w:t xml:space="preserve">ocurement </w:t>
      </w:r>
      <w:r>
        <w:rPr>
          <w:bCs/>
          <w:lang w:val="en-NL"/>
        </w:rPr>
        <w:t>p</w:t>
      </w:r>
      <w:r w:rsidRPr="00DE5454">
        <w:rPr>
          <w:bCs/>
          <w:lang w:val="en-NL"/>
        </w:rPr>
        <w:t>rocesses</w:t>
      </w:r>
    </w:p>
    <w:p w14:paraId="5E6BACA3" w14:textId="77777777" w:rsidR="00A562A8" w:rsidRDefault="00A562A8" w:rsidP="00A562A8">
      <w:pPr>
        <w:pStyle w:val="Level3Heading"/>
        <w:numPr>
          <w:ilvl w:val="0"/>
          <w:numId w:val="0"/>
        </w:numPr>
        <w:ind w:left="709"/>
        <w:rPr>
          <w:b w:val="0"/>
          <w:bCs/>
          <w:lang w:val="en-NL"/>
        </w:rPr>
      </w:pPr>
      <w:r w:rsidRPr="00DE5454">
        <w:rPr>
          <w:b w:val="0"/>
          <w:bCs/>
          <w:lang w:val="en-NL"/>
        </w:rPr>
        <w:t>We welcome the recognition of this legitimate interest, which addresses a commercially sensitive scenario that has not previously been addressed in the Guidelines.</w:t>
      </w:r>
    </w:p>
    <w:p w14:paraId="63CAE18C" w14:textId="77777777" w:rsidR="00A562A8" w:rsidRPr="00DE5454" w:rsidRDefault="00A562A8" w:rsidP="00A562A8">
      <w:pPr>
        <w:pStyle w:val="Level3Heading"/>
        <w:numPr>
          <w:ilvl w:val="0"/>
          <w:numId w:val="0"/>
        </w:numPr>
        <w:ind w:left="1559" w:hanging="850"/>
        <w:rPr>
          <w:b w:val="0"/>
          <w:bCs/>
          <w:lang w:val="en-NL"/>
        </w:rPr>
      </w:pPr>
      <w:r w:rsidRPr="00DE5454">
        <w:rPr>
          <w:b w:val="0"/>
          <w:bCs/>
          <w:lang w:val="en-NL"/>
        </w:rPr>
        <w:t>We offer the following observations:</w:t>
      </w:r>
    </w:p>
    <w:p w14:paraId="793BAD1E" w14:textId="77777777" w:rsidR="00A562A8" w:rsidRPr="00DE5454" w:rsidRDefault="00A562A8" w:rsidP="00A562A8">
      <w:pPr>
        <w:pStyle w:val="BulletDot3"/>
        <w:ind w:left="2835" w:hanging="709"/>
        <w:rPr>
          <w:lang w:val="en-NL"/>
        </w:rPr>
      </w:pPr>
      <w:r w:rsidRPr="00DE5454">
        <w:rPr>
          <w:rFonts w:eastAsiaTheme="majorEastAsia"/>
          <w:b/>
          <w:bCs/>
          <w:lang w:val="en-NL"/>
        </w:rPr>
        <w:t>Scope — private as well as public tenders:</w:t>
      </w:r>
      <w:r w:rsidRPr="00DE5454">
        <w:rPr>
          <w:lang w:val="en-NL"/>
        </w:rPr>
        <w:t xml:space="preserve"> The current proposal focuses on parallel </w:t>
      </w:r>
      <w:r w:rsidRPr="00DE5454">
        <w:rPr>
          <w:rFonts w:eastAsiaTheme="majorEastAsia"/>
          <w:i/>
          <w:iCs/>
          <w:lang w:val="en-NL"/>
        </w:rPr>
        <w:t>public</w:t>
      </w:r>
      <w:r w:rsidRPr="00DE5454">
        <w:rPr>
          <w:lang w:val="en-NL"/>
        </w:rPr>
        <w:t xml:space="preserve"> procurement processes. We recommend ESMA consider extending the scope to encompass parallel </w:t>
      </w:r>
      <w:r w:rsidRPr="00DE5454">
        <w:rPr>
          <w:rFonts w:eastAsiaTheme="majorEastAsia"/>
          <w:i/>
          <w:iCs/>
          <w:lang w:val="en-NL"/>
        </w:rPr>
        <w:t>private</w:t>
      </w:r>
      <w:r w:rsidRPr="00DE5454">
        <w:rPr>
          <w:lang w:val="en-NL"/>
        </w:rPr>
        <w:t xml:space="preserve"> competitive tender processes, where similar competitive dynamics apply. For example, an issuer awarded a major contract in a private competitive bid for a significant infrastructure project could face identical risks in ongoing similar private tenders.</w:t>
      </w:r>
    </w:p>
    <w:p w14:paraId="016D625F" w14:textId="77777777" w:rsidR="00A562A8" w:rsidRPr="00DE5454" w:rsidRDefault="00A562A8" w:rsidP="00A562A8">
      <w:pPr>
        <w:pStyle w:val="BulletDot3"/>
        <w:ind w:left="2835" w:hanging="709"/>
        <w:rPr>
          <w:lang w:val="en-NL"/>
        </w:rPr>
      </w:pPr>
      <w:r w:rsidRPr="00DE5454">
        <w:rPr>
          <w:rFonts w:eastAsiaTheme="majorEastAsia"/>
          <w:b/>
          <w:bCs/>
          <w:lang w:val="en-NL"/>
        </w:rPr>
        <w:t>Temporal limitation:</w:t>
      </w:r>
      <w:r w:rsidRPr="00DE5454">
        <w:rPr>
          <w:lang w:val="en-NL"/>
        </w:rPr>
        <w:t xml:space="preserve"> The delay in this context should clearly be limited to the duration of the overlapping tender period. Once all competing tender deadlines have passed, the legitimate interest in delay ceases.</w:t>
      </w:r>
    </w:p>
    <w:p w14:paraId="5C637D66" w14:textId="77777777" w:rsidR="00A562A8" w:rsidRPr="00DE5454" w:rsidRDefault="00A562A8" w:rsidP="00A562A8">
      <w:pPr>
        <w:pStyle w:val="BulletDot3"/>
        <w:ind w:left="2835" w:hanging="709"/>
        <w:rPr>
          <w:lang w:val="en-NL"/>
        </w:rPr>
      </w:pPr>
      <w:r w:rsidRPr="00DE5454">
        <w:rPr>
          <w:rFonts w:eastAsiaTheme="majorEastAsia"/>
          <w:b/>
          <w:bCs/>
          <w:lang w:val="en-NL"/>
        </w:rPr>
        <w:t>Geographic scope:</w:t>
      </w:r>
      <w:r w:rsidRPr="00DE5454">
        <w:rPr>
          <w:lang w:val="en-NL"/>
        </w:rPr>
        <w:t xml:space="preserve"> We note the proposal expressly contemplates EU and third-country procurement. This is welcome and should be maintained.</w:t>
      </w:r>
    </w:p>
    <w:p w14:paraId="6FCE964F" w14:textId="77777777" w:rsidR="00A562A8" w:rsidRPr="00DE5454" w:rsidRDefault="00A562A8" w:rsidP="00A562A8">
      <w:pPr>
        <w:pStyle w:val="BulletDot3"/>
        <w:ind w:left="2835" w:hanging="709"/>
        <w:rPr>
          <w:lang w:val="en-NL"/>
        </w:rPr>
      </w:pPr>
      <w:r w:rsidRPr="00DE5454">
        <w:rPr>
          <w:rFonts w:eastAsiaTheme="majorEastAsia"/>
          <w:b/>
          <w:bCs/>
          <w:lang w:val="en-NL"/>
        </w:rPr>
        <w:t>Interaction with public authority confidentiality orders:</w:t>
      </w:r>
      <w:r w:rsidRPr="00DE5454">
        <w:rPr>
          <w:lang w:val="en-NL"/>
        </w:rPr>
        <w:t xml:space="preserve"> In many public procurement contexts, the contracting authority will itself impose confidentiality obligations (as contemplated under Article 21(2) of Directive 2014/24/EU). ESMA should clarify how these two legitimate interests interact and whether they can operate cumulatively.</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2DE7D0D8" w14:textId="77777777" w:rsidR="00A562A8" w:rsidRPr="002729A7" w:rsidRDefault="00A562A8" w:rsidP="00A562A8">
      <w:pPr>
        <w:pStyle w:val="Level2Heading"/>
        <w:numPr>
          <w:ilvl w:val="0"/>
          <w:numId w:val="0"/>
        </w:numPr>
        <w:spacing w:after="160" w:line="278" w:lineRule="auto"/>
        <w:ind w:left="709"/>
        <w:rPr>
          <w:b w:val="0"/>
          <w:bCs/>
          <w:lang w:val="en-NL"/>
        </w:rPr>
      </w:pPr>
      <w:permStart w:id="876955670" w:edGrp="everyone"/>
      <w:r w:rsidRPr="002729A7">
        <w:rPr>
          <w:b w:val="0"/>
          <w:bCs/>
          <w:lang w:val="en-NL"/>
        </w:rPr>
        <w:t>We suggest the following additional scenarios merit consideration:</w:t>
      </w:r>
    </w:p>
    <w:p w14:paraId="3143B7D3" w14:textId="77777777" w:rsidR="00A562A8" w:rsidRPr="006A228A" w:rsidRDefault="00A562A8" w:rsidP="006A228A">
      <w:pPr>
        <w:pStyle w:val="ELA1"/>
        <w:numPr>
          <w:ilvl w:val="1"/>
          <w:numId w:val="22"/>
        </w:numPr>
        <w:rPr>
          <w:rFonts w:eastAsiaTheme="majorEastAsia"/>
          <w:i/>
          <w:iCs/>
          <w:lang w:val="en-NL"/>
        </w:rPr>
      </w:pPr>
      <w:r w:rsidRPr="006A228A">
        <w:rPr>
          <w:rFonts w:eastAsiaTheme="majorEastAsia"/>
          <w:i/>
          <w:iCs/>
          <w:lang w:val="en-NL"/>
        </w:rPr>
        <w:t>Price-sensitive commercial contracts in competitive markets</w:t>
      </w:r>
    </w:p>
    <w:p w14:paraId="0DEFECD3" w14:textId="77777777" w:rsidR="00A562A8" w:rsidRPr="002729A7" w:rsidRDefault="00A562A8" w:rsidP="00A562A8">
      <w:pPr>
        <w:pStyle w:val="ELA1"/>
        <w:numPr>
          <w:ilvl w:val="0"/>
          <w:numId w:val="0"/>
        </w:numPr>
        <w:ind w:left="1418"/>
        <w:rPr>
          <w:rFonts w:eastAsiaTheme="majorEastAsia"/>
          <w:i/>
          <w:iCs/>
          <w:lang w:val="en-NL"/>
        </w:rPr>
      </w:pPr>
      <w:r w:rsidRPr="002729A7">
        <w:rPr>
          <w:lang w:val="en-NL"/>
        </w:rPr>
        <w:t>Where an issuer concludes a significant contract (e.g., a long-term supply or licensing agreement) in a market where competitors regularly compete for similar contracts, premature disclosure of the financial terms could enable competitors to undercut future bids or renegotiate existing contracts with mutual customers. We suggest ESMA consider a broader category of "competitively sensitive commercial terms" as a basis for delay, subject to a strict temporal limitation.</w:t>
      </w:r>
    </w:p>
    <w:p w14:paraId="485D25F5" w14:textId="77777777" w:rsidR="00A562A8" w:rsidRDefault="00A562A8" w:rsidP="00A562A8">
      <w:pPr>
        <w:pStyle w:val="ELA1"/>
        <w:rPr>
          <w:rFonts w:eastAsiaTheme="majorEastAsia"/>
          <w:i/>
          <w:iCs/>
          <w:lang w:val="en-NL"/>
        </w:rPr>
      </w:pPr>
      <w:r w:rsidRPr="00DE5454">
        <w:rPr>
          <w:rFonts w:eastAsiaTheme="majorEastAsia"/>
          <w:i/>
          <w:iCs/>
          <w:lang w:val="en-NL"/>
        </w:rPr>
        <w:t xml:space="preserve">Regulatory or </w:t>
      </w:r>
      <w:r>
        <w:rPr>
          <w:rFonts w:eastAsiaTheme="majorEastAsia"/>
          <w:i/>
          <w:iCs/>
          <w:lang w:val="en-NL"/>
        </w:rPr>
        <w:t>g</w:t>
      </w:r>
      <w:r w:rsidRPr="00DE5454">
        <w:rPr>
          <w:rFonts w:eastAsiaTheme="majorEastAsia"/>
          <w:i/>
          <w:iCs/>
          <w:lang w:val="en-NL"/>
        </w:rPr>
        <w:t>overnment</w:t>
      </w:r>
      <w:r>
        <w:rPr>
          <w:rFonts w:eastAsiaTheme="majorEastAsia"/>
          <w:i/>
          <w:iCs/>
          <w:lang w:val="en-NL"/>
        </w:rPr>
        <w:t xml:space="preserve"> ap</w:t>
      </w:r>
      <w:r w:rsidRPr="00DE5454">
        <w:rPr>
          <w:rFonts w:eastAsiaTheme="majorEastAsia"/>
          <w:i/>
          <w:iCs/>
          <w:lang w:val="en-NL"/>
        </w:rPr>
        <w:t>proval</w:t>
      </w:r>
      <w:r>
        <w:rPr>
          <w:rFonts w:eastAsiaTheme="majorEastAsia"/>
          <w:i/>
          <w:iCs/>
          <w:lang w:val="en-NL"/>
        </w:rPr>
        <w:t xml:space="preserve"> p</w:t>
      </w:r>
      <w:r w:rsidRPr="00DE5454">
        <w:rPr>
          <w:rFonts w:eastAsiaTheme="majorEastAsia"/>
          <w:i/>
          <w:iCs/>
          <w:lang w:val="en-NL"/>
        </w:rPr>
        <w:t xml:space="preserve">rocesses in </w:t>
      </w:r>
      <w:r>
        <w:rPr>
          <w:rFonts w:eastAsiaTheme="majorEastAsia"/>
          <w:i/>
          <w:iCs/>
          <w:lang w:val="en-NL"/>
        </w:rPr>
        <w:t>t</w:t>
      </w:r>
      <w:r w:rsidRPr="00DE5454">
        <w:rPr>
          <w:rFonts w:eastAsiaTheme="majorEastAsia"/>
          <w:i/>
          <w:iCs/>
          <w:lang w:val="en-NL"/>
        </w:rPr>
        <w:t xml:space="preserve">hird </w:t>
      </w:r>
      <w:r>
        <w:rPr>
          <w:rFonts w:eastAsiaTheme="majorEastAsia"/>
          <w:i/>
          <w:iCs/>
          <w:lang w:val="en-NL"/>
        </w:rPr>
        <w:t>c</w:t>
      </w:r>
      <w:r w:rsidRPr="00DE5454">
        <w:rPr>
          <w:rFonts w:eastAsiaTheme="majorEastAsia"/>
          <w:i/>
          <w:iCs/>
          <w:lang w:val="en-NL"/>
        </w:rPr>
        <w:t>ountries</w:t>
      </w:r>
    </w:p>
    <w:p w14:paraId="3885F089" w14:textId="77777777" w:rsidR="00A562A8" w:rsidRPr="002729A7" w:rsidRDefault="00A562A8" w:rsidP="00A562A8">
      <w:pPr>
        <w:pStyle w:val="ELA1"/>
        <w:numPr>
          <w:ilvl w:val="0"/>
          <w:numId w:val="0"/>
        </w:numPr>
        <w:ind w:left="1418"/>
        <w:rPr>
          <w:rFonts w:eastAsiaTheme="majorEastAsia"/>
          <w:i/>
          <w:iCs/>
          <w:lang w:val="en-NL"/>
        </w:rPr>
      </w:pPr>
      <w:r w:rsidRPr="002729A7">
        <w:rPr>
          <w:lang w:val="en-NL"/>
        </w:rPr>
        <w:t>Where an issuer has received a preliminary approval or a conditional authorisation from a third-country regulator, and premature disclosure could prejudice the finalisation of that approval (e.g., by attracting political opposition or triggering competing applications), there may be a legitimate interest in delay. This is analogous to point (f) of existing Guideline 1 (now proposed for deletion as a protracted process)</w:t>
      </w:r>
      <w:r>
        <w:rPr>
          <w:lang w:val="en-NL"/>
        </w:rPr>
        <w:t xml:space="preserve"> but</w:t>
      </w:r>
      <w:r w:rsidRPr="002729A7">
        <w:rPr>
          <w:lang w:val="en-NL"/>
        </w:rPr>
        <w:t xml:space="preserve"> may arise in the context of one-off events rather than protracted processes.</w:t>
      </w:r>
    </w:p>
    <w:p w14:paraId="05698B05" w14:textId="77777777" w:rsidR="00A562A8" w:rsidRDefault="00A562A8" w:rsidP="00A562A8">
      <w:pPr>
        <w:pStyle w:val="ELA1"/>
        <w:rPr>
          <w:rFonts w:eastAsiaTheme="majorEastAsia"/>
          <w:i/>
          <w:iCs/>
          <w:lang w:val="en-NL"/>
        </w:rPr>
      </w:pPr>
      <w:r w:rsidRPr="00DE5454">
        <w:rPr>
          <w:rFonts w:eastAsiaTheme="majorEastAsia"/>
          <w:i/>
          <w:iCs/>
          <w:lang w:val="en-NL"/>
        </w:rPr>
        <w:t xml:space="preserve">Research and </w:t>
      </w:r>
      <w:r>
        <w:rPr>
          <w:rFonts w:eastAsiaTheme="majorEastAsia"/>
          <w:i/>
          <w:iCs/>
          <w:lang w:val="en-NL"/>
        </w:rPr>
        <w:t>d</w:t>
      </w:r>
      <w:r w:rsidRPr="00DE5454">
        <w:rPr>
          <w:rFonts w:eastAsiaTheme="majorEastAsia"/>
          <w:i/>
          <w:iCs/>
          <w:lang w:val="en-NL"/>
        </w:rPr>
        <w:t xml:space="preserve">evelopment / </w:t>
      </w:r>
      <w:r>
        <w:rPr>
          <w:rFonts w:eastAsiaTheme="majorEastAsia"/>
          <w:i/>
          <w:iCs/>
          <w:lang w:val="en-NL"/>
        </w:rPr>
        <w:t>c</w:t>
      </w:r>
      <w:r w:rsidRPr="00DE5454">
        <w:rPr>
          <w:rFonts w:eastAsiaTheme="majorEastAsia"/>
          <w:i/>
          <w:iCs/>
          <w:lang w:val="en-NL"/>
        </w:rPr>
        <w:t xml:space="preserve">linical </w:t>
      </w:r>
      <w:r>
        <w:rPr>
          <w:rFonts w:eastAsiaTheme="majorEastAsia"/>
          <w:i/>
          <w:iCs/>
          <w:lang w:val="en-NL"/>
        </w:rPr>
        <w:t>t</w:t>
      </w:r>
      <w:r w:rsidRPr="00DE5454">
        <w:rPr>
          <w:rFonts w:eastAsiaTheme="majorEastAsia"/>
          <w:i/>
          <w:iCs/>
          <w:lang w:val="en-NL"/>
        </w:rPr>
        <w:t xml:space="preserve">rial </w:t>
      </w:r>
      <w:r>
        <w:rPr>
          <w:rFonts w:eastAsiaTheme="majorEastAsia"/>
          <w:i/>
          <w:iCs/>
          <w:lang w:val="en-NL"/>
        </w:rPr>
        <w:t>o</w:t>
      </w:r>
      <w:r w:rsidRPr="00DE5454">
        <w:rPr>
          <w:rFonts w:eastAsiaTheme="majorEastAsia"/>
          <w:i/>
          <w:iCs/>
          <w:lang w:val="en-NL"/>
        </w:rPr>
        <w:t>utcomes</w:t>
      </w:r>
    </w:p>
    <w:p w14:paraId="3D06EABA" w14:textId="77777777" w:rsidR="00A562A8" w:rsidRPr="00DE5454" w:rsidRDefault="00A562A8" w:rsidP="00A562A8">
      <w:pPr>
        <w:pStyle w:val="ELA1"/>
        <w:numPr>
          <w:ilvl w:val="0"/>
          <w:numId w:val="0"/>
        </w:numPr>
        <w:spacing w:after="160" w:line="278" w:lineRule="auto"/>
        <w:ind w:left="1418"/>
        <w:rPr>
          <w:lang w:val="en-NL"/>
        </w:rPr>
      </w:pPr>
      <w:r w:rsidRPr="00DE5454">
        <w:rPr>
          <w:lang w:val="en-NL"/>
        </w:rPr>
        <w:t>Where an issuer is engaged in a regulatory approval process for a new product (e.g., a pharmaceutical obtaining marketing authorisation) and receives a preliminary positive signal from regulators prior to formal approval, early disclosure could trigger a market reaction that attracts unwanted competitive attention. While IP rights are addressed in existing point (d) (now to be deleted as a protracted process), the specific scenario of pre-approval regulatory communications may warrant a distinct treatment.</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10794F6A" w14:textId="77777777" w:rsidR="00A562A8" w:rsidRPr="008334F8" w:rsidRDefault="00A562A8" w:rsidP="00A562A8">
      <w:pPr>
        <w:pStyle w:val="Level2Heading"/>
        <w:numPr>
          <w:ilvl w:val="0"/>
          <w:numId w:val="0"/>
        </w:numPr>
        <w:spacing w:after="160" w:line="278" w:lineRule="auto"/>
        <w:ind w:left="709"/>
        <w:rPr>
          <w:b w:val="0"/>
          <w:bCs/>
          <w:lang w:val="en-NL"/>
        </w:rPr>
      </w:pPr>
      <w:permStart w:id="1788426663" w:edGrp="everyone"/>
      <w:r w:rsidRPr="008334F8">
        <w:rPr>
          <w:b w:val="0"/>
          <w:bCs/>
          <w:lang w:val="en-NL"/>
        </w:rPr>
        <w:t>In addition to the scenarios raised under Question 3, we recommend ESMA consider the following further legitimate interests:</w:t>
      </w:r>
    </w:p>
    <w:p w14:paraId="18E8604A" w14:textId="77777777" w:rsidR="00A562A8" w:rsidRPr="00325D6D" w:rsidRDefault="00A562A8" w:rsidP="00A562A8">
      <w:pPr>
        <w:pStyle w:val="ELA1"/>
        <w:numPr>
          <w:ilvl w:val="1"/>
          <w:numId w:val="21"/>
        </w:numPr>
        <w:rPr>
          <w:rFonts w:eastAsiaTheme="majorEastAsia"/>
          <w:i/>
          <w:iCs/>
          <w:lang w:val="en-NL"/>
        </w:rPr>
      </w:pPr>
      <w:r w:rsidRPr="00325D6D">
        <w:rPr>
          <w:rFonts w:eastAsiaTheme="majorEastAsia"/>
          <w:i/>
          <w:iCs/>
          <w:lang w:val="en-NL"/>
        </w:rPr>
        <w:t xml:space="preserve">Legal </w:t>
      </w:r>
      <w:r>
        <w:rPr>
          <w:rFonts w:eastAsiaTheme="majorEastAsia"/>
          <w:i/>
          <w:iCs/>
          <w:lang w:val="en-NL"/>
        </w:rPr>
        <w:t>p</w:t>
      </w:r>
      <w:r w:rsidRPr="00325D6D">
        <w:rPr>
          <w:rFonts w:eastAsiaTheme="majorEastAsia"/>
          <w:i/>
          <w:iCs/>
          <w:lang w:val="en-NL"/>
        </w:rPr>
        <w:t xml:space="preserve">rofessional </w:t>
      </w:r>
      <w:r>
        <w:rPr>
          <w:rFonts w:eastAsiaTheme="majorEastAsia"/>
          <w:i/>
          <w:iCs/>
          <w:lang w:val="en-NL"/>
        </w:rPr>
        <w:t>p</w:t>
      </w:r>
      <w:r w:rsidRPr="00325D6D">
        <w:rPr>
          <w:rFonts w:eastAsiaTheme="majorEastAsia"/>
          <w:i/>
          <w:iCs/>
          <w:lang w:val="en-NL"/>
        </w:rPr>
        <w:t xml:space="preserve">rivilege and </w:t>
      </w:r>
      <w:r>
        <w:rPr>
          <w:rFonts w:eastAsiaTheme="majorEastAsia"/>
          <w:i/>
          <w:iCs/>
          <w:lang w:val="en-NL"/>
        </w:rPr>
        <w:t>r</w:t>
      </w:r>
      <w:r w:rsidRPr="00325D6D">
        <w:rPr>
          <w:rFonts w:eastAsiaTheme="majorEastAsia"/>
          <w:i/>
          <w:iCs/>
          <w:lang w:val="en-NL"/>
        </w:rPr>
        <w:t xml:space="preserve">egulatory </w:t>
      </w:r>
      <w:r>
        <w:rPr>
          <w:rFonts w:eastAsiaTheme="majorEastAsia"/>
          <w:i/>
          <w:iCs/>
          <w:lang w:val="en-NL"/>
        </w:rPr>
        <w:t>i</w:t>
      </w:r>
      <w:r w:rsidRPr="00325D6D">
        <w:rPr>
          <w:rFonts w:eastAsiaTheme="majorEastAsia"/>
          <w:i/>
          <w:iCs/>
          <w:lang w:val="en-NL"/>
        </w:rPr>
        <w:t xml:space="preserve">nvestigation </w:t>
      </w:r>
      <w:r>
        <w:rPr>
          <w:rFonts w:eastAsiaTheme="majorEastAsia"/>
          <w:i/>
          <w:iCs/>
          <w:lang w:val="en-NL"/>
        </w:rPr>
        <w:t>c</w:t>
      </w:r>
      <w:r w:rsidRPr="00325D6D">
        <w:rPr>
          <w:rFonts w:eastAsiaTheme="majorEastAsia"/>
          <w:i/>
          <w:iCs/>
          <w:lang w:val="en-NL"/>
        </w:rPr>
        <w:t>onfidentiality</w:t>
      </w:r>
    </w:p>
    <w:p w14:paraId="25C2B500" w14:textId="77777777" w:rsidR="00A562A8" w:rsidRPr="00325D6D" w:rsidRDefault="00A562A8" w:rsidP="00A562A8">
      <w:pPr>
        <w:pStyle w:val="ELA1"/>
        <w:numPr>
          <w:ilvl w:val="0"/>
          <w:numId w:val="0"/>
        </w:numPr>
        <w:ind w:left="1418"/>
        <w:rPr>
          <w:rFonts w:eastAsiaTheme="majorEastAsia"/>
          <w:i/>
          <w:iCs/>
          <w:lang w:val="en-NL"/>
        </w:rPr>
      </w:pPr>
      <w:r w:rsidRPr="00325D6D">
        <w:rPr>
          <w:lang w:val="en-NL"/>
        </w:rPr>
        <w:t>Where inside information is subject to legal professional privilege, or where its disclosure is restricted by the terms of a regulatory investigation (e.g., a competition authority investigation, a</w:t>
      </w:r>
      <w:r>
        <w:rPr>
          <w:lang w:val="en-NL"/>
        </w:rPr>
        <w:t xml:space="preserve"> </w:t>
      </w:r>
      <w:r w:rsidRPr="00325D6D">
        <w:rPr>
          <w:lang w:val="en-NL"/>
        </w:rPr>
        <w:t>NCA investigation, or an ESMA inquiry), the issuer may have a legitimate interest in delay</w:t>
      </w:r>
      <w:r>
        <w:rPr>
          <w:lang w:val="en-NL"/>
        </w:rPr>
        <w:t>ing disclosure</w:t>
      </w:r>
      <w:r w:rsidRPr="00325D6D">
        <w:rPr>
          <w:lang w:val="en-NL"/>
        </w:rPr>
        <w:t>. This would apply where a public authority has requested or required the issuer</w:t>
      </w:r>
      <w:r>
        <w:rPr>
          <w:lang w:val="en-NL"/>
        </w:rPr>
        <w:t xml:space="preserve"> to</w:t>
      </w:r>
      <w:r w:rsidRPr="00325D6D">
        <w:rPr>
          <w:lang w:val="en-NL"/>
        </w:rPr>
        <w:t xml:space="preserve"> </w:t>
      </w:r>
      <w:r>
        <w:rPr>
          <w:lang w:val="en-NL"/>
        </w:rPr>
        <w:t>refrain from</w:t>
      </w:r>
      <w:r w:rsidRPr="00325D6D">
        <w:rPr>
          <w:lang w:val="en-NL"/>
        </w:rPr>
        <w:t xml:space="preserve"> disclosure pending the investigation. This overlaps with the "public authority order" category but is sufficiently distinct </w:t>
      </w:r>
      <w:r>
        <w:rPr>
          <w:lang w:val="en-NL"/>
        </w:rPr>
        <w:t xml:space="preserve">– </w:t>
      </w:r>
      <w:r w:rsidRPr="00325D6D">
        <w:rPr>
          <w:lang w:val="en-NL"/>
        </w:rPr>
        <w:t xml:space="preserve">particularly in the context of competition law </w:t>
      </w:r>
      <w:r>
        <w:rPr>
          <w:lang w:val="en-NL"/>
        </w:rPr>
        <w:t xml:space="preserve">– </w:t>
      </w:r>
      <w:r w:rsidRPr="00325D6D">
        <w:rPr>
          <w:lang w:val="en-NL"/>
        </w:rPr>
        <w:t>to merit express mention.</w:t>
      </w:r>
    </w:p>
    <w:p w14:paraId="39A68ABB" w14:textId="77777777" w:rsidR="00A562A8" w:rsidRPr="00DE5454" w:rsidRDefault="00A562A8" w:rsidP="00A562A8">
      <w:pPr>
        <w:pStyle w:val="ELA1"/>
        <w:numPr>
          <w:ilvl w:val="1"/>
          <w:numId w:val="20"/>
        </w:numPr>
        <w:rPr>
          <w:rFonts w:eastAsiaTheme="majorEastAsia"/>
          <w:i/>
          <w:iCs/>
          <w:lang w:val="en-NL"/>
        </w:rPr>
      </w:pPr>
      <w:r w:rsidRPr="00DE5454">
        <w:rPr>
          <w:rFonts w:eastAsiaTheme="majorEastAsia"/>
          <w:i/>
          <w:iCs/>
          <w:lang w:val="en-NL"/>
        </w:rPr>
        <w:t xml:space="preserve">Court </w:t>
      </w:r>
      <w:r>
        <w:rPr>
          <w:rFonts w:eastAsiaTheme="majorEastAsia"/>
          <w:i/>
          <w:iCs/>
          <w:lang w:val="en-NL"/>
        </w:rPr>
        <w:t>o</w:t>
      </w:r>
      <w:r w:rsidRPr="00DE5454">
        <w:rPr>
          <w:rFonts w:eastAsiaTheme="majorEastAsia"/>
          <w:i/>
          <w:iCs/>
          <w:lang w:val="en-NL"/>
        </w:rPr>
        <w:t xml:space="preserve">rders and </w:t>
      </w:r>
      <w:r>
        <w:rPr>
          <w:rFonts w:eastAsiaTheme="majorEastAsia"/>
          <w:i/>
          <w:iCs/>
          <w:lang w:val="en-NL"/>
        </w:rPr>
        <w:t>i</w:t>
      </w:r>
      <w:r w:rsidRPr="00DE5454">
        <w:rPr>
          <w:rFonts w:eastAsiaTheme="majorEastAsia"/>
          <w:i/>
          <w:iCs/>
          <w:lang w:val="en-NL"/>
        </w:rPr>
        <w:t>njunctions</w:t>
      </w:r>
    </w:p>
    <w:p w14:paraId="4524F795" w14:textId="77777777" w:rsidR="00A562A8" w:rsidRPr="00DE5454" w:rsidRDefault="00A562A8" w:rsidP="00A562A8">
      <w:pPr>
        <w:pStyle w:val="ELA1"/>
        <w:numPr>
          <w:ilvl w:val="0"/>
          <w:numId w:val="0"/>
        </w:numPr>
        <w:ind w:left="1418"/>
        <w:rPr>
          <w:lang w:val="en-NL"/>
        </w:rPr>
      </w:pPr>
      <w:r w:rsidRPr="00DE5454">
        <w:rPr>
          <w:lang w:val="en-NL"/>
        </w:rPr>
        <w:t>Where a competent court has issued an order (including an interim injunction) preventing the issuer from making a disclosure</w:t>
      </w:r>
      <w:r>
        <w:rPr>
          <w:lang w:val="en-NL"/>
        </w:rPr>
        <w:t xml:space="preserve"> (</w:t>
      </w:r>
      <w:r w:rsidRPr="00DE5454">
        <w:rPr>
          <w:lang w:val="en-NL"/>
        </w:rPr>
        <w:t>for example, in the context of disputed transactions or injunctions sought by counterparties</w:t>
      </w:r>
      <w:r>
        <w:rPr>
          <w:lang w:val="en-NL"/>
        </w:rPr>
        <w:t xml:space="preserve">) </w:t>
      </w:r>
      <w:r w:rsidRPr="00DE5454">
        <w:rPr>
          <w:lang w:val="en-NL"/>
        </w:rPr>
        <w:t>the issuer should be able to rely on this as a legitimate interest. ESMA should confirm that compliance with a binding court order constitutes a legitimate interest for these purposes.</w:t>
      </w:r>
    </w:p>
    <w:p w14:paraId="363AEC31" w14:textId="77777777" w:rsidR="00A562A8" w:rsidRPr="00DE5454" w:rsidRDefault="00A562A8" w:rsidP="00A562A8">
      <w:pPr>
        <w:pStyle w:val="ELA1"/>
        <w:numPr>
          <w:ilvl w:val="1"/>
          <w:numId w:val="20"/>
        </w:numPr>
        <w:rPr>
          <w:rFonts w:eastAsiaTheme="majorEastAsia"/>
          <w:i/>
          <w:iCs/>
          <w:lang w:val="en-NL"/>
        </w:rPr>
      </w:pPr>
      <w:r w:rsidRPr="00DE5454">
        <w:rPr>
          <w:rFonts w:eastAsiaTheme="majorEastAsia"/>
          <w:i/>
          <w:iCs/>
          <w:lang w:val="en-NL"/>
        </w:rPr>
        <w:t xml:space="preserve">Tax </w:t>
      </w:r>
      <w:r>
        <w:rPr>
          <w:rFonts w:eastAsiaTheme="majorEastAsia"/>
          <w:i/>
          <w:iCs/>
          <w:lang w:val="en-NL"/>
        </w:rPr>
        <w:t>r</w:t>
      </w:r>
      <w:r w:rsidRPr="00DE5454">
        <w:rPr>
          <w:rFonts w:eastAsiaTheme="majorEastAsia"/>
          <w:i/>
          <w:iCs/>
          <w:lang w:val="en-NL"/>
        </w:rPr>
        <w:t xml:space="preserve">ulings and </w:t>
      </w:r>
      <w:r>
        <w:rPr>
          <w:rFonts w:eastAsiaTheme="majorEastAsia"/>
          <w:i/>
          <w:iCs/>
          <w:lang w:val="en-NL"/>
        </w:rPr>
        <w:t>r</w:t>
      </w:r>
      <w:r w:rsidRPr="00DE5454">
        <w:rPr>
          <w:rFonts w:eastAsiaTheme="majorEastAsia"/>
          <w:i/>
          <w:iCs/>
          <w:lang w:val="en-NL"/>
        </w:rPr>
        <w:t xml:space="preserve">egulatory </w:t>
      </w:r>
      <w:r>
        <w:rPr>
          <w:rFonts w:eastAsiaTheme="majorEastAsia"/>
          <w:i/>
          <w:iCs/>
          <w:lang w:val="en-NL"/>
        </w:rPr>
        <w:t>se</w:t>
      </w:r>
      <w:r w:rsidRPr="00DE5454">
        <w:rPr>
          <w:rFonts w:eastAsiaTheme="majorEastAsia"/>
          <w:i/>
          <w:iCs/>
          <w:lang w:val="en-NL"/>
        </w:rPr>
        <w:t xml:space="preserve">ttlements </w:t>
      </w:r>
      <w:r>
        <w:rPr>
          <w:rFonts w:eastAsiaTheme="majorEastAsia"/>
          <w:i/>
          <w:iCs/>
          <w:lang w:val="en-NL"/>
        </w:rPr>
        <w:t>u</w:t>
      </w:r>
      <w:r w:rsidRPr="00DE5454">
        <w:rPr>
          <w:rFonts w:eastAsiaTheme="majorEastAsia"/>
          <w:i/>
          <w:iCs/>
          <w:lang w:val="en-NL"/>
        </w:rPr>
        <w:t xml:space="preserve">nder </w:t>
      </w:r>
      <w:r>
        <w:rPr>
          <w:rFonts w:eastAsiaTheme="majorEastAsia"/>
          <w:i/>
          <w:iCs/>
          <w:lang w:val="en-NL"/>
        </w:rPr>
        <w:t>n</w:t>
      </w:r>
      <w:r w:rsidRPr="00DE5454">
        <w:rPr>
          <w:rFonts w:eastAsiaTheme="majorEastAsia"/>
          <w:i/>
          <w:iCs/>
          <w:lang w:val="en-NL"/>
        </w:rPr>
        <w:t>egotiation</w:t>
      </w:r>
    </w:p>
    <w:p w14:paraId="0D83DE35" w14:textId="77777777" w:rsidR="00A562A8" w:rsidRPr="00F246DB" w:rsidRDefault="00A562A8" w:rsidP="00A562A8">
      <w:pPr>
        <w:pStyle w:val="ELA1"/>
        <w:numPr>
          <w:ilvl w:val="0"/>
          <w:numId w:val="0"/>
        </w:numPr>
        <w:ind w:left="1418"/>
        <w:rPr>
          <w:rFonts w:eastAsiaTheme="majorEastAsia"/>
          <w:lang w:val="en-NL"/>
        </w:rPr>
      </w:pPr>
      <w:r w:rsidRPr="00F246DB">
        <w:rPr>
          <w:rFonts w:eastAsiaTheme="majorEastAsia"/>
          <w:lang w:val="en-NL"/>
        </w:rPr>
        <w:t>Where an issuer is in active negotiations with a tax authority or a regulatory body regarding a significant tax ruling, penalty settlement, or consent order, premature disclosure of the negotiations or their preliminary outcomes could jeopardise the outcome and cause material harm to the issuer and its shareholders. The final resolution of such negotiations would typically trigger a separate disclosure obligation, making a delay during the negotiation phase proportionate and justified.</w:t>
      </w:r>
    </w:p>
    <w:p w14:paraId="16F058E5" w14:textId="77777777" w:rsidR="00A562A8" w:rsidRDefault="00A562A8" w:rsidP="00A562A8">
      <w:pPr>
        <w:pStyle w:val="ELA1"/>
        <w:numPr>
          <w:ilvl w:val="1"/>
          <w:numId w:val="20"/>
        </w:numPr>
        <w:rPr>
          <w:rFonts w:eastAsiaTheme="majorEastAsia"/>
          <w:i/>
          <w:iCs/>
          <w:lang w:val="en-NL"/>
        </w:rPr>
      </w:pPr>
      <w:r w:rsidRPr="00327991">
        <w:rPr>
          <w:rFonts w:eastAsiaTheme="majorEastAsia"/>
          <w:i/>
          <w:iCs/>
          <w:lang w:val="en-NL"/>
        </w:rPr>
        <w:t xml:space="preserve">The nemo </w:t>
      </w:r>
      <w:proofErr w:type="spellStart"/>
      <w:r w:rsidRPr="00327991">
        <w:rPr>
          <w:rFonts w:eastAsiaTheme="majorEastAsia"/>
          <w:i/>
          <w:iCs/>
          <w:lang w:val="en-NL"/>
        </w:rPr>
        <w:t>tenetur</w:t>
      </w:r>
      <w:proofErr w:type="spellEnd"/>
      <w:r w:rsidRPr="00327991">
        <w:rPr>
          <w:rFonts w:eastAsiaTheme="majorEastAsia"/>
          <w:i/>
          <w:iCs/>
          <w:lang w:val="en-NL"/>
        </w:rPr>
        <w:t xml:space="preserve"> principle</w:t>
      </w:r>
    </w:p>
    <w:p w14:paraId="1D8F012A" w14:textId="77777777" w:rsidR="00A562A8" w:rsidRPr="00327991" w:rsidRDefault="00A562A8" w:rsidP="00A562A8">
      <w:pPr>
        <w:pStyle w:val="ELA1"/>
        <w:numPr>
          <w:ilvl w:val="0"/>
          <w:numId w:val="0"/>
        </w:numPr>
        <w:ind w:left="1418"/>
        <w:rPr>
          <w:rFonts w:eastAsiaTheme="majorEastAsia"/>
          <w:lang w:val="en-NL"/>
        </w:rPr>
      </w:pPr>
      <w:r w:rsidRPr="00327991">
        <w:rPr>
          <w:rFonts w:eastAsiaTheme="majorEastAsia"/>
          <w:lang w:val="en-NL"/>
        </w:rPr>
        <w:t xml:space="preserve">We submit that ESMA should consider whether the nemo </w:t>
      </w:r>
      <w:proofErr w:type="spellStart"/>
      <w:r w:rsidRPr="00327991">
        <w:rPr>
          <w:rFonts w:eastAsiaTheme="majorEastAsia"/>
          <w:lang w:val="en-NL"/>
        </w:rPr>
        <w:t>tenetur</w:t>
      </w:r>
      <w:proofErr w:type="spellEnd"/>
      <w:r w:rsidRPr="00327991">
        <w:rPr>
          <w:rFonts w:eastAsiaTheme="majorEastAsia"/>
          <w:lang w:val="en-NL"/>
        </w:rPr>
        <w:t xml:space="preserve"> principle </w:t>
      </w:r>
      <w:r>
        <w:rPr>
          <w:rFonts w:eastAsiaTheme="majorEastAsia"/>
          <w:lang w:val="en-NL"/>
        </w:rPr>
        <w:t>(t</w:t>
      </w:r>
      <w:r w:rsidRPr="00327991">
        <w:rPr>
          <w:rFonts w:eastAsiaTheme="majorEastAsia"/>
          <w:lang w:val="en-NL"/>
        </w:rPr>
        <w:t>he fundamental right not to incriminate oneself</w:t>
      </w:r>
      <w:r>
        <w:rPr>
          <w:rFonts w:eastAsiaTheme="majorEastAsia"/>
          <w:lang w:val="en-NL"/>
        </w:rPr>
        <w:t xml:space="preserve">) </w:t>
      </w:r>
      <w:r w:rsidRPr="00327991">
        <w:rPr>
          <w:rFonts w:eastAsiaTheme="majorEastAsia"/>
          <w:lang w:val="en-NL"/>
        </w:rPr>
        <w:t xml:space="preserve">may, in certain circumstances, constitute or support a legitimate interest for delaying the disclosure of inside information, and that </w:t>
      </w:r>
      <w:proofErr w:type="gramStart"/>
      <w:r w:rsidRPr="00327991">
        <w:rPr>
          <w:rFonts w:eastAsiaTheme="majorEastAsia"/>
          <w:lang w:val="en-NL"/>
        </w:rPr>
        <w:t>this merits</w:t>
      </w:r>
      <w:proofErr w:type="gramEnd"/>
      <w:r w:rsidRPr="00327991">
        <w:rPr>
          <w:rFonts w:eastAsiaTheme="majorEastAsia"/>
          <w:lang w:val="en-NL"/>
        </w:rPr>
        <w:t xml:space="preserve"> express recognition in the Guidelines.</w:t>
      </w:r>
    </w:p>
    <w:p w14:paraId="122C7609" w14:textId="77777777" w:rsidR="00A562A8" w:rsidRPr="00327991" w:rsidRDefault="00A562A8" w:rsidP="00A562A8">
      <w:pPr>
        <w:pStyle w:val="ELA1"/>
        <w:numPr>
          <w:ilvl w:val="0"/>
          <w:numId w:val="0"/>
        </w:numPr>
        <w:ind w:left="1418"/>
        <w:rPr>
          <w:rFonts w:eastAsiaTheme="majorEastAsia"/>
          <w:lang w:val="en-NL"/>
        </w:rPr>
      </w:pPr>
      <w:r w:rsidRPr="00327991">
        <w:rPr>
          <w:rFonts w:eastAsiaTheme="majorEastAsia"/>
          <w:lang w:val="en-NL"/>
        </w:rPr>
        <w:t xml:space="preserve">The relevance of the principle arises where an issuer is the subject of, or a suspect in, a regulatory or criminal investigation, and the inside information whose disclosure is required under Article 17(1) MAR concerns facts or circumstances that are directly implicated in that investigation. In such cases, compelling the issuer to make immediate public disclosure could effectively force it to produce evidence against itself, in tension with the right against self-incrimination as recognised in EU law </w:t>
      </w:r>
      <w:r>
        <w:rPr>
          <w:rFonts w:eastAsiaTheme="majorEastAsia"/>
          <w:lang w:val="en-NL"/>
        </w:rPr>
        <w:t xml:space="preserve">and EU </w:t>
      </w:r>
      <w:r w:rsidRPr="00327991">
        <w:rPr>
          <w:rFonts w:eastAsiaTheme="majorEastAsia"/>
          <w:lang w:val="en-NL"/>
        </w:rPr>
        <w:t>case law of the Court of Justice of the European Union.</w:t>
      </w:r>
    </w:p>
    <w:p w14:paraId="4EB8FF93" w14:textId="77777777" w:rsidR="00A562A8" w:rsidRDefault="00A562A8" w:rsidP="00A562A8">
      <w:pPr>
        <w:pStyle w:val="ELA1"/>
        <w:numPr>
          <w:ilvl w:val="0"/>
          <w:numId w:val="0"/>
        </w:numPr>
        <w:ind w:left="1418"/>
        <w:rPr>
          <w:rFonts w:eastAsiaTheme="majorEastAsia"/>
          <w:lang w:val="en-NL"/>
        </w:rPr>
      </w:pPr>
      <w:r w:rsidRPr="00327991">
        <w:rPr>
          <w:rFonts w:eastAsiaTheme="majorEastAsia"/>
          <w:lang w:val="en-NL"/>
        </w:rPr>
        <w:t xml:space="preserve">We therefore suggest that the revised Guidelines acknowledge that, where an issuer can demonstrate that immediate disclosure of inside information would directly and materially prejudice its rights of defence in ongoing criminal or regulatory proceedings </w:t>
      </w:r>
      <w:r>
        <w:rPr>
          <w:rFonts w:eastAsiaTheme="majorEastAsia"/>
          <w:lang w:val="en-NL"/>
        </w:rPr>
        <w:t>(</w:t>
      </w:r>
      <w:r w:rsidRPr="00327991">
        <w:rPr>
          <w:rFonts w:eastAsiaTheme="majorEastAsia"/>
          <w:lang w:val="en-NL"/>
        </w:rPr>
        <w:t>including by constituting a form of compelled self-incrimination</w:t>
      </w:r>
      <w:r>
        <w:rPr>
          <w:rFonts w:eastAsiaTheme="majorEastAsia"/>
          <w:lang w:val="en-NL"/>
        </w:rPr>
        <w:t>)</w:t>
      </w:r>
      <w:r w:rsidRPr="00327991">
        <w:rPr>
          <w:rFonts w:eastAsiaTheme="majorEastAsia"/>
          <w:lang w:val="en-NL"/>
        </w:rPr>
        <w:t xml:space="preserve"> this may qualify as a legitimate interest for delay under Article 17(4)(a) MAR. We recognise that this legitimate interest would be of an exceptional character and subject to a strict necessity test. </w:t>
      </w:r>
    </w:p>
    <w:p w14:paraId="2A318F1C" w14:textId="77777777" w:rsidR="00A562A8" w:rsidRPr="00327991" w:rsidRDefault="00A562A8" w:rsidP="00A562A8">
      <w:pPr>
        <w:pStyle w:val="ELA1"/>
        <w:numPr>
          <w:ilvl w:val="0"/>
          <w:numId w:val="0"/>
        </w:numPr>
        <w:ind w:left="1418"/>
        <w:rPr>
          <w:rFonts w:eastAsiaTheme="majorEastAsia"/>
          <w:lang w:val="en-NL"/>
        </w:rPr>
      </w:pPr>
      <w:r>
        <w:rPr>
          <w:rFonts w:eastAsiaTheme="majorEastAsia"/>
          <w:lang w:val="en-NL"/>
        </w:rPr>
        <w:t>W</w:t>
      </w:r>
      <w:r w:rsidRPr="00327991">
        <w:rPr>
          <w:rFonts w:eastAsiaTheme="majorEastAsia"/>
          <w:lang w:val="en-NL"/>
        </w:rPr>
        <w:t>e consider that the absence of any guidance on this point leaves issuers and their advisers without clarity on a question of genuine practical importance, particularly in the context of multi-jurisdictional investigations where the risk of self-incrimination may be acute.</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18E9" w14:textId="77777777" w:rsidR="00E64C09" w:rsidRDefault="00E64C09" w:rsidP="007E7997">
      <w:pPr>
        <w:spacing w:line="240" w:lineRule="auto"/>
      </w:pPr>
      <w:r>
        <w:separator/>
      </w:r>
    </w:p>
  </w:endnote>
  <w:endnote w:type="continuationSeparator" w:id="0">
    <w:p w14:paraId="4D9FCBDD" w14:textId="77777777" w:rsidR="00E64C09" w:rsidRDefault="00E64C09" w:rsidP="007E7997">
      <w:pPr>
        <w:spacing w:line="240" w:lineRule="auto"/>
      </w:pPr>
      <w:r>
        <w:continuationSeparator/>
      </w:r>
    </w:p>
  </w:endnote>
  <w:endnote w:type="continuationNotice" w:id="1">
    <w:p w14:paraId="2F9C24C5" w14:textId="77777777" w:rsidR="00E64C09" w:rsidRDefault="00E64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FD2C" w14:textId="77777777" w:rsidR="00E64C09" w:rsidRDefault="00E64C09" w:rsidP="007E7997">
      <w:pPr>
        <w:spacing w:line="240" w:lineRule="auto"/>
      </w:pPr>
      <w:r>
        <w:separator/>
      </w:r>
    </w:p>
  </w:footnote>
  <w:footnote w:type="continuationSeparator" w:id="0">
    <w:p w14:paraId="7E5A5513" w14:textId="77777777" w:rsidR="00E64C09" w:rsidRDefault="00E64C09" w:rsidP="007E7997">
      <w:pPr>
        <w:spacing w:line="240" w:lineRule="auto"/>
      </w:pPr>
      <w:r>
        <w:continuationSeparator/>
      </w:r>
    </w:p>
  </w:footnote>
  <w:footnote w:type="continuationNotice" w:id="1">
    <w:p w14:paraId="18356C53" w14:textId="77777777" w:rsidR="00E64C09" w:rsidRDefault="00E64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Header"/>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A6881"/>
    <w:multiLevelType w:val="multilevel"/>
    <w:tmpl w:val="3ADEB896"/>
    <w:name w:val="LTBulletDot"/>
    <w:lvl w:ilvl="0">
      <w:start w:val="1"/>
      <w:numFmt w:val="bullet"/>
      <w:pStyle w:val="BulletDot"/>
      <w:lvlText w:val="•"/>
      <w:lvlJc w:val="left"/>
      <w:pPr>
        <w:tabs>
          <w:tab w:val="num" w:pos="709"/>
        </w:tabs>
        <w:ind w:left="709" w:hanging="709"/>
      </w:pPr>
    </w:lvl>
    <w:lvl w:ilvl="1">
      <w:start w:val="1"/>
      <w:numFmt w:val="bullet"/>
      <w:pStyle w:val="BulletDot1"/>
      <w:lvlText w:val="•"/>
      <w:lvlJc w:val="left"/>
      <w:pPr>
        <w:tabs>
          <w:tab w:val="num" w:pos="1559"/>
        </w:tabs>
        <w:ind w:left="1559" w:hanging="850"/>
      </w:pPr>
    </w:lvl>
    <w:lvl w:ilvl="2">
      <w:start w:val="1"/>
      <w:numFmt w:val="bullet"/>
      <w:pStyle w:val="BulletDot2"/>
      <w:lvlText w:val="•"/>
      <w:lvlJc w:val="left"/>
      <w:pPr>
        <w:tabs>
          <w:tab w:val="num" w:pos="2268"/>
        </w:tabs>
        <w:ind w:left="2268" w:hanging="709"/>
      </w:pPr>
    </w:lvl>
    <w:lvl w:ilvl="3">
      <w:start w:val="1"/>
      <w:numFmt w:val="bullet"/>
      <w:pStyle w:val="BulletDot3"/>
      <w:lvlText w:val="•"/>
      <w:lvlJc w:val="left"/>
      <w:pPr>
        <w:tabs>
          <w:tab w:val="num" w:pos="2125"/>
        </w:tabs>
        <w:ind w:left="2125" w:hanging="708"/>
      </w:pPr>
    </w:lvl>
    <w:lvl w:ilvl="4">
      <w:start w:val="1"/>
      <w:numFmt w:val="bullet"/>
      <w:pStyle w:val="BulletDot4"/>
      <w:lvlText w:val="•"/>
      <w:lvlJc w:val="left"/>
      <w:pPr>
        <w:tabs>
          <w:tab w:val="num" w:pos="3685"/>
        </w:tabs>
        <w:ind w:left="3685" w:hanging="709"/>
      </w:pPr>
    </w:lvl>
    <w:lvl w:ilvl="5">
      <w:start w:val="1"/>
      <w:numFmt w:val="bullet"/>
      <w:pStyle w:val="BulletDot5"/>
      <w:lvlText w:val="•"/>
      <w:lvlJc w:val="left"/>
      <w:pPr>
        <w:tabs>
          <w:tab w:val="num" w:pos="4394"/>
        </w:tabs>
        <w:ind w:left="4394" w:hanging="709"/>
      </w:pPr>
    </w:lvl>
    <w:lvl w:ilvl="6">
      <w:start w:val="1"/>
      <w:numFmt w:val="bullet"/>
      <w:pStyle w:val="BulletDot6"/>
      <w:lvlText w:val="•"/>
      <w:lvlJc w:val="left"/>
      <w:pPr>
        <w:tabs>
          <w:tab w:val="num" w:pos="5102"/>
        </w:tabs>
        <w:ind w:left="5102" w:hanging="708"/>
      </w:pPr>
    </w:lvl>
    <w:lvl w:ilvl="7">
      <w:start w:val="1"/>
      <w:numFmt w:val="bullet"/>
      <w:pStyle w:val="BulletDot7"/>
      <w:lvlText w:val="•"/>
      <w:lvlJc w:val="left"/>
      <w:pPr>
        <w:tabs>
          <w:tab w:val="num" w:pos="5811"/>
        </w:tabs>
        <w:ind w:left="5811" w:hanging="709"/>
      </w:pPr>
    </w:lvl>
    <w:lvl w:ilvl="8">
      <w:start w:val="1"/>
      <w:numFmt w:val="bullet"/>
      <w:pStyle w:val="BulletDot8"/>
      <w:lvlText w:val="•"/>
      <w:lvlJc w:val="left"/>
      <w:pPr>
        <w:tabs>
          <w:tab w:val="num" w:pos="6520"/>
        </w:tabs>
        <w:ind w:left="6520" w:hanging="709"/>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3246E3"/>
    <w:multiLevelType w:val="multilevel"/>
    <w:tmpl w:val="E2185CE2"/>
    <w:name w:val="LTELA"/>
    <w:lvl w:ilvl="0">
      <w:start w:val="1"/>
      <w:numFmt w:val="lowerLetter"/>
      <w:pStyle w:val="ELA"/>
      <w:lvlText w:val="(%1)"/>
      <w:lvlJc w:val="left"/>
      <w:pPr>
        <w:ind w:left="709" w:hanging="709"/>
      </w:pPr>
      <w:rPr>
        <w:rFonts w:hint="default"/>
      </w:rPr>
    </w:lvl>
    <w:lvl w:ilvl="1">
      <w:start w:val="1"/>
      <w:numFmt w:val="lowerLetter"/>
      <w:pStyle w:val="ELA1"/>
      <w:lvlText w:val="(%2)"/>
      <w:lvlJc w:val="left"/>
      <w:pPr>
        <w:ind w:left="1418" w:hanging="709"/>
      </w:pPr>
      <w:rPr>
        <w:rFonts w:hint="default"/>
      </w:rPr>
    </w:lvl>
    <w:lvl w:ilvl="2">
      <w:start w:val="1"/>
      <w:numFmt w:val="lowerLetter"/>
      <w:pStyle w:val="ELA2"/>
      <w:lvlText w:val="(%3)"/>
      <w:lvlJc w:val="left"/>
      <w:pPr>
        <w:ind w:left="2127" w:hanging="709"/>
      </w:pPr>
      <w:rPr>
        <w:rFonts w:hint="default"/>
      </w:rPr>
    </w:lvl>
    <w:lvl w:ilvl="3">
      <w:start w:val="1"/>
      <w:numFmt w:val="lowerLetter"/>
      <w:pStyle w:val="ELA3"/>
      <w:lvlText w:val="(%4)"/>
      <w:lvlJc w:val="left"/>
      <w:pPr>
        <w:ind w:left="2836" w:hanging="709"/>
      </w:pPr>
      <w:rPr>
        <w:rFonts w:hint="default"/>
      </w:rPr>
    </w:lvl>
    <w:lvl w:ilvl="4">
      <w:start w:val="1"/>
      <w:numFmt w:val="lowerLetter"/>
      <w:pStyle w:val="ELA4"/>
      <w:lvlText w:val="(%5)"/>
      <w:lvlJc w:val="left"/>
      <w:pPr>
        <w:ind w:left="3545" w:hanging="709"/>
      </w:pPr>
      <w:rPr>
        <w:rFonts w:hint="default"/>
      </w:rPr>
    </w:lvl>
    <w:lvl w:ilvl="5">
      <w:start w:val="1"/>
      <w:numFmt w:val="lowerLetter"/>
      <w:pStyle w:val="ELA5"/>
      <w:lvlText w:val="(%6)"/>
      <w:lvlJc w:val="left"/>
      <w:pPr>
        <w:ind w:left="4254" w:hanging="709"/>
      </w:pPr>
      <w:rPr>
        <w:rFonts w:hint="default"/>
      </w:rPr>
    </w:lvl>
    <w:lvl w:ilvl="6">
      <w:start w:val="1"/>
      <w:numFmt w:val="lowerLetter"/>
      <w:pStyle w:val="ELA6"/>
      <w:lvlText w:val="(%7)"/>
      <w:lvlJc w:val="left"/>
      <w:pPr>
        <w:ind w:left="4963" w:hanging="709"/>
      </w:pPr>
      <w:rPr>
        <w:rFonts w:hint="default"/>
      </w:rPr>
    </w:lvl>
    <w:lvl w:ilvl="7">
      <w:start w:val="1"/>
      <w:numFmt w:val="lowerLetter"/>
      <w:pStyle w:val="ELA7"/>
      <w:lvlText w:val="(%8)"/>
      <w:lvlJc w:val="left"/>
      <w:pPr>
        <w:ind w:left="5672" w:hanging="709"/>
      </w:pPr>
      <w:rPr>
        <w:rFonts w:hint="default"/>
      </w:rPr>
    </w:lvl>
    <w:lvl w:ilvl="8">
      <w:start w:val="1"/>
      <w:numFmt w:val="lowerLetter"/>
      <w:pStyle w:val="ELA8"/>
      <w:lvlText w:val="(%9)"/>
      <w:lvlJc w:val="left"/>
      <w:pPr>
        <w:ind w:left="6381" w:hanging="709"/>
      </w:pPr>
      <w:rPr>
        <w:rFonts w:hint="default"/>
      </w:rPr>
    </w:lvl>
  </w:abstractNum>
  <w:abstractNum w:abstractNumId="9"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B1131F"/>
    <w:multiLevelType w:val="multilevel"/>
    <w:tmpl w:val="22348870"/>
    <w:styleLink w:val="NumbListLegal"/>
    <w:lvl w:ilvl="0">
      <w:start w:val="1"/>
      <w:numFmt w:val="decimal"/>
      <w:pStyle w:val="Level1Heading"/>
      <w:lvlText w:val="%1."/>
      <w:lvlJc w:val="left"/>
      <w:pPr>
        <w:tabs>
          <w:tab w:val="num" w:pos="709"/>
        </w:tabs>
        <w:ind w:left="709" w:hanging="709"/>
      </w:pPr>
      <w:rPr>
        <w:rFonts w:hint="default"/>
      </w:rPr>
    </w:lvl>
    <w:lvl w:ilvl="1">
      <w:start w:val="1"/>
      <w:numFmt w:val="decimal"/>
      <w:pStyle w:val="Level2Heading"/>
      <w:lvlText w:val="%1.%2"/>
      <w:lvlJc w:val="left"/>
      <w:pPr>
        <w:tabs>
          <w:tab w:val="num" w:pos="709"/>
        </w:tabs>
        <w:ind w:left="709" w:hanging="709"/>
      </w:pPr>
      <w:rPr>
        <w:rFonts w:hint="default"/>
        <w:b w:val="0"/>
        <w:i w:val="0"/>
      </w:rPr>
    </w:lvl>
    <w:lvl w:ilvl="2">
      <w:start w:val="1"/>
      <w:numFmt w:val="decimal"/>
      <w:pStyle w:val="Level3Heading"/>
      <w:lvlText w:val="%1.%2.%3"/>
      <w:lvlJc w:val="left"/>
      <w:pPr>
        <w:tabs>
          <w:tab w:val="num" w:pos="1559"/>
        </w:tabs>
        <w:ind w:left="1559" w:hanging="850"/>
      </w:pPr>
      <w:rPr>
        <w:rFonts w:hint="default"/>
      </w:rPr>
    </w:lvl>
    <w:lvl w:ilvl="3">
      <w:start w:val="1"/>
      <w:numFmt w:val="upperLetter"/>
      <w:pStyle w:val="Level4Number"/>
      <w:lvlText w:val="(%4)"/>
      <w:lvlJc w:val="left"/>
      <w:pPr>
        <w:tabs>
          <w:tab w:val="num" w:pos="2268"/>
        </w:tabs>
        <w:ind w:left="2268" w:hanging="709"/>
      </w:pPr>
      <w:rPr>
        <w:rFonts w:hint="default"/>
      </w:rPr>
    </w:lvl>
    <w:lvl w:ilvl="4">
      <w:start w:val="1"/>
      <w:numFmt w:val="decimal"/>
      <w:lvlText w:val="(%5)"/>
      <w:lvlJc w:val="left"/>
      <w:pPr>
        <w:tabs>
          <w:tab w:val="num" w:pos="2977"/>
        </w:tabs>
        <w:ind w:left="2977" w:hanging="709"/>
      </w:pPr>
      <w:rPr>
        <w:rFonts w:hint="default"/>
      </w:rPr>
    </w:lvl>
    <w:lvl w:ilvl="5">
      <w:start w:val="1"/>
      <w:numFmt w:val="lowerLetter"/>
      <w:lvlText w:val="(%6)"/>
      <w:lvlJc w:val="left"/>
      <w:pPr>
        <w:tabs>
          <w:tab w:val="num" w:pos="3686"/>
        </w:tabs>
        <w:ind w:left="3686" w:hanging="709"/>
      </w:pPr>
      <w:rPr>
        <w:rFonts w:hint="default"/>
      </w:rPr>
    </w:lvl>
    <w:lvl w:ilvl="6">
      <w:start w:val="1"/>
      <w:numFmt w:val="lowerRoman"/>
      <w:lvlText w:val="(%7)"/>
      <w:lvlJc w:val="left"/>
      <w:pPr>
        <w:ind w:left="4394" w:hanging="708"/>
      </w:pPr>
      <w:rPr>
        <w:rFonts w:hint="default"/>
      </w:rPr>
    </w:lvl>
    <w:lvl w:ilvl="7">
      <w:start w:val="1"/>
      <w:numFmt w:val="upperRoman"/>
      <w:lvlText w:val="(%8)"/>
      <w:lvlJc w:val="left"/>
      <w:pPr>
        <w:ind w:left="5103" w:hanging="709"/>
      </w:pPr>
      <w:rPr>
        <w:rFonts w:hint="default"/>
      </w:rPr>
    </w:lvl>
    <w:lvl w:ilvl="8">
      <w:start w:val="1"/>
      <w:numFmt w:val="decimal"/>
      <w:lvlText w:val="(%9)"/>
      <w:lvlJc w:val="left"/>
      <w:pPr>
        <w:ind w:left="5812" w:hanging="709"/>
      </w:pPr>
      <w:rPr>
        <w:rFonts w:hint="default"/>
      </w:rPr>
    </w:lvl>
  </w:abstractNum>
  <w:abstractNum w:abstractNumId="13"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4"/>
  </w:num>
  <w:num w:numId="2" w16cid:durableId="270287514">
    <w:abstractNumId w:val="5"/>
  </w:num>
  <w:num w:numId="3" w16cid:durableId="1675497260">
    <w:abstractNumId w:val="11"/>
  </w:num>
  <w:num w:numId="4" w16cid:durableId="1146706333">
    <w:abstractNumId w:val="4"/>
  </w:num>
  <w:num w:numId="5" w16cid:durableId="1502348752">
    <w:abstractNumId w:val="0"/>
  </w:num>
  <w:num w:numId="6" w16cid:durableId="1544101585">
    <w:abstractNumId w:val="6"/>
  </w:num>
  <w:num w:numId="7" w16cid:durableId="896626050">
    <w:abstractNumId w:val="15"/>
  </w:num>
  <w:num w:numId="8" w16cid:durableId="806780153">
    <w:abstractNumId w:val="2"/>
  </w:num>
  <w:num w:numId="9" w16cid:durableId="1677002603">
    <w:abstractNumId w:val="13"/>
  </w:num>
  <w:num w:numId="10" w16cid:durableId="22487393">
    <w:abstractNumId w:val="10"/>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020937855">
    <w:abstractNumId w:val="12"/>
  </w:num>
  <w:num w:numId="18" w16cid:durableId="1271741174">
    <w:abstractNumId w:val="8"/>
  </w:num>
  <w:num w:numId="19" w16cid:durableId="162860179">
    <w:abstractNumId w:val="3"/>
  </w:num>
  <w:num w:numId="20" w16cid:durableId="9295034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65755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36429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2C6"/>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57D37"/>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28A"/>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50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2A8"/>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4C09"/>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 w:type="paragraph" w:customStyle="1" w:styleId="Level1Heading">
    <w:name w:val="Level 1 Heading"/>
    <w:basedOn w:val="Normal"/>
    <w:next w:val="Level2Heading"/>
    <w:uiPriority w:val="4"/>
    <w:semiHidden/>
    <w:qFormat/>
    <w:rsid w:val="00A562A8"/>
    <w:pPr>
      <w:numPr>
        <w:numId w:val="17"/>
      </w:numPr>
      <w:tabs>
        <w:tab w:val="clear" w:pos="709"/>
        <w:tab w:val="num" w:pos="360"/>
      </w:tabs>
      <w:spacing w:before="360" w:after="260" w:line="260" w:lineRule="atLeast"/>
      <w:ind w:left="0" w:firstLine="0"/>
      <w:outlineLvl w:val="0"/>
    </w:pPr>
    <w:rPr>
      <w:rFonts w:ascii="Times New Roman" w:eastAsiaTheme="minorHAnsi" w:hAnsi="Times New Roman"/>
      <w:b/>
      <w:caps/>
      <w:color w:val="auto"/>
      <w:szCs w:val="22"/>
    </w:rPr>
  </w:style>
  <w:style w:type="paragraph" w:customStyle="1" w:styleId="Level2Heading">
    <w:name w:val="Level 2 Heading"/>
    <w:basedOn w:val="Normal"/>
    <w:next w:val="Normal"/>
    <w:uiPriority w:val="5"/>
    <w:semiHidden/>
    <w:qFormat/>
    <w:rsid w:val="00A562A8"/>
    <w:pPr>
      <w:numPr>
        <w:ilvl w:val="1"/>
        <w:numId w:val="17"/>
      </w:numPr>
      <w:spacing w:before="240" w:after="260" w:line="260" w:lineRule="atLeast"/>
      <w:outlineLvl w:val="1"/>
    </w:pPr>
    <w:rPr>
      <w:rFonts w:ascii="Times New Roman" w:eastAsiaTheme="minorHAnsi" w:hAnsi="Times New Roman"/>
      <w:b/>
      <w:color w:val="auto"/>
      <w:szCs w:val="22"/>
    </w:rPr>
  </w:style>
  <w:style w:type="paragraph" w:customStyle="1" w:styleId="Level3Heading">
    <w:name w:val="Level 3 Heading"/>
    <w:basedOn w:val="Normal"/>
    <w:uiPriority w:val="6"/>
    <w:semiHidden/>
    <w:qFormat/>
    <w:rsid w:val="00A562A8"/>
    <w:pPr>
      <w:numPr>
        <w:ilvl w:val="2"/>
        <w:numId w:val="17"/>
      </w:numPr>
      <w:spacing w:before="240" w:after="260" w:line="260" w:lineRule="atLeast"/>
      <w:outlineLvl w:val="2"/>
    </w:pPr>
    <w:rPr>
      <w:rFonts w:ascii="Times New Roman" w:eastAsiaTheme="minorHAnsi" w:hAnsi="Times New Roman"/>
      <w:b/>
      <w:color w:val="auto"/>
      <w:szCs w:val="22"/>
    </w:rPr>
  </w:style>
  <w:style w:type="paragraph" w:customStyle="1" w:styleId="Level4Number">
    <w:name w:val="Level 4 Number"/>
    <w:basedOn w:val="Normal"/>
    <w:uiPriority w:val="8"/>
    <w:semiHidden/>
    <w:qFormat/>
    <w:rsid w:val="00A562A8"/>
    <w:pPr>
      <w:numPr>
        <w:ilvl w:val="3"/>
        <w:numId w:val="17"/>
      </w:numPr>
      <w:tabs>
        <w:tab w:val="clear" w:pos="2268"/>
        <w:tab w:val="num" w:pos="360"/>
      </w:tabs>
      <w:spacing w:before="240" w:after="260" w:line="260" w:lineRule="atLeast"/>
      <w:ind w:left="2127" w:firstLine="0"/>
      <w:outlineLvl w:val="3"/>
    </w:pPr>
    <w:rPr>
      <w:rFonts w:ascii="Times New Roman" w:eastAsiaTheme="minorHAnsi" w:hAnsi="Times New Roman"/>
      <w:color w:val="auto"/>
      <w:szCs w:val="22"/>
    </w:rPr>
  </w:style>
  <w:style w:type="numbering" w:customStyle="1" w:styleId="NumbListLegal">
    <w:name w:val="NumbList Legal"/>
    <w:uiPriority w:val="99"/>
    <w:rsid w:val="00A562A8"/>
    <w:pPr>
      <w:numPr>
        <w:numId w:val="17"/>
      </w:numPr>
    </w:pPr>
  </w:style>
  <w:style w:type="paragraph" w:customStyle="1" w:styleId="ELA">
    <w:name w:val="ELA"/>
    <w:basedOn w:val="Normal"/>
    <w:semiHidden/>
    <w:rsid w:val="00A562A8"/>
    <w:pPr>
      <w:numPr>
        <w:numId w:val="18"/>
      </w:numPr>
      <w:spacing w:after="260" w:line="260" w:lineRule="atLeast"/>
    </w:pPr>
    <w:rPr>
      <w:rFonts w:ascii="Times New Roman" w:eastAsia="Times New Roman" w:hAnsi="Times New Roman" w:cs="Times New Roman"/>
      <w:color w:val="auto"/>
      <w:szCs w:val="22"/>
    </w:rPr>
  </w:style>
  <w:style w:type="paragraph" w:customStyle="1" w:styleId="ELA1">
    <w:name w:val="ELA 1"/>
    <w:basedOn w:val="ELA"/>
    <w:semiHidden/>
    <w:rsid w:val="00A562A8"/>
    <w:pPr>
      <w:numPr>
        <w:ilvl w:val="1"/>
      </w:numPr>
    </w:pPr>
  </w:style>
  <w:style w:type="paragraph" w:customStyle="1" w:styleId="ELA2">
    <w:name w:val="ELA 2"/>
    <w:basedOn w:val="ELA"/>
    <w:semiHidden/>
    <w:rsid w:val="00A562A8"/>
    <w:pPr>
      <w:numPr>
        <w:ilvl w:val="2"/>
      </w:numPr>
      <w:tabs>
        <w:tab w:val="num" w:pos="360"/>
      </w:tabs>
      <w:ind w:left="709"/>
    </w:pPr>
  </w:style>
  <w:style w:type="paragraph" w:customStyle="1" w:styleId="ELA3">
    <w:name w:val="ELA 3"/>
    <w:basedOn w:val="ELA"/>
    <w:semiHidden/>
    <w:rsid w:val="00A562A8"/>
    <w:pPr>
      <w:numPr>
        <w:ilvl w:val="3"/>
      </w:numPr>
      <w:tabs>
        <w:tab w:val="num" w:pos="360"/>
      </w:tabs>
      <w:ind w:left="2835"/>
    </w:pPr>
  </w:style>
  <w:style w:type="paragraph" w:customStyle="1" w:styleId="ELA4">
    <w:name w:val="ELA 4"/>
    <w:basedOn w:val="ELA"/>
    <w:semiHidden/>
    <w:rsid w:val="00A562A8"/>
    <w:pPr>
      <w:numPr>
        <w:ilvl w:val="4"/>
      </w:numPr>
      <w:tabs>
        <w:tab w:val="num" w:pos="360"/>
      </w:tabs>
      <w:ind w:left="3544"/>
    </w:pPr>
  </w:style>
  <w:style w:type="paragraph" w:customStyle="1" w:styleId="ELA5">
    <w:name w:val="ELA 5"/>
    <w:basedOn w:val="ELA"/>
    <w:semiHidden/>
    <w:rsid w:val="00A562A8"/>
    <w:pPr>
      <w:numPr>
        <w:ilvl w:val="5"/>
      </w:numPr>
      <w:tabs>
        <w:tab w:val="num" w:pos="360"/>
      </w:tabs>
      <w:ind w:left="4253"/>
    </w:pPr>
  </w:style>
  <w:style w:type="paragraph" w:customStyle="1" w:styleId="ELA6">
    <w:name w:val="ELA 6"/>
    <w:basedOn w:val="ELA"/>
    <w:semiHidden/>
    <w:rsid w:val="00A562A8"/>
    <w:pPr>
      <w:numPr>
        <w:ilvl w:val="6"/>
      </w:numPr>
      <w:tabs>
        <w:tab w:val="num" w:pos="360"/>
      </w:tabs>
      <w:ind w:left="4962"/>
    </w:pPr>
  </w:style>
  <w:style w:type="paragraph" w:customStyle="1" w:styleId="ELA7">
    <w:name w:val="ELA 7"/>
    <w:basedOn w:val="ELA6"/>
    <w:semiHidden/>
    <w:rsid w:val="00A562A8"/>
    <w:pPr>
      <w:numPr>
        <w:ilvl w:val="7"/>
      </w:numPr>
      <w:tabs>
        <w:tab w:val="num" w:pos="360"/>
      </w:tabs>
      <w:ind w:left="4962"/>
    </w:pPr>
  </w:style>
  <w:style w:type="paragraph" w:customStyle="1" w:styleId="ELA8">
    <w:name w:val="ELA 8"/>
    <w:basedOn w:val="ELA7"/>
    <w:semiHidden/>
    <w:rsid w:val="00A562A8"/>
    <w:pPr>
      <w:numPr>
        <w:ilvl w:val="8"/>
      </w:numPr>
      <w:tabs>
        <w:tab w:val="num" w:pos="360"/>
      </w:tabs>
      <w:ind w:left="4962"/>
    </w:pPr>
  </w:style>
  <w:style w:type="paragraph" w:customStyle="1" w:styleId="BulletDot">
    <w:name w:val="BulletDot"/>
    <w:uiPriority w:val="34"/>
    <w:semiHidden/>
    <w:rsid w:val="00A562A8"/>
    <w:pPr>
      <w:widowControl w:val="0"/>
      <w:numPr>
        <w:numId w:val="19"/>
      </w:numPr>
      <w:spacing w:after="260" w:line="260" w:lineRule="atLeast"/>
      <w:jc w:val="both"/>
    </w:pPr>
    <w:rPr>
      <w:rFonts w:ascii="Times New Roman" w:eastAsia="Times New Roman" w:hAnsi="Times New Roman" w:cs="Times New Roman"/>
      <w:sz w:val="22"/>
      <w:szCs w:val="22"/>
      <w:lang w:val="nl-NL"/>
    </w:rPr>
  </w:style>
  <w:style w:type="paragraph" w:customStyle="1" w:styleId="BulletDot1">
    <w:name w:val="BulletDot 1"/>
    <w:basedOn w:val="BulletDot"/>
    <w:uiPriority w:val="35"/>
    <w:semiHidden/>
    <w:rsid w:val="00A562A8"/>
    <w:pPr>
      <w:numPr>
        <w:ilvl w:val="1"/>
      </w:numPr>
      <w:ind w:left="1418" w:hanging="709"/>
    </w:pPr>
  </w:style>
  <w:style w:type="paragraph" w:customStyle="1" w:styleId="BulletDot2">
    <w:name w:val="BulletDot 2"/>
    <w:basedOn w:val="BulletDot1"/>
    <w:uiPriority w:val="36"/>
    <w:semiHidden/>
    <w:rsid w:val="00A562A8"/>
    <w:pPr>
      <w:numPr>
        <w:ilvl w:val="2"/>
      </w:numPr>
    </w:pPr>
  </w:style>
  <w:style w:type="paragraph" w:customStyle="1" w:styleId="BulletDot3">
    <w:name w:val="BulletDot 3"/>
    <w:basedOn w:val="BulletDot2"/>
    <w:uiPriority w:val="37"/>
    <w:semiHidden/>
    <w:rsid w:val="00A562A8"/>
    <w:pPr>
      <w:numPr>
        <w:ilvl w:val="3"/>
      </w:numPr>
      <w:tabs>
        <w:tab w:val="clear" w:pos="2125"/>
        <w:tab w:val="num" w:pos="2976"/>
      </w:tabs>
      <w:ind w:left="2976"/>
    </w:pPr>
  </w:style>
  <w:style w:type="paragraph" w:customStyle="1" w:styleId="BulletDot4">
    <w:name w:val="BulletDot 4"/>
    <w:basedOn w:val="BulletDot3"/>
    <w:uiPriority w:val="38"/>
    <w:semiHidden/>
    <w:rsid w:val="00A562A8"/>
    <w:pPr>
      <w:numPr>
        <w:ilvl w:val="4"/>
      </w:numPr>
      <w:ind w:left="3544"/>
    </w:pPr>
  </w:style>
  <w:style w:type="paragraph" w:customStyle="1" w:styleId="BulletDot5">
    <w:name w:val="BulletDot 5"/>
    <w:basedOn w:val="BulletDot4"/>
    <w:uiPriority w:val="39"/>
    <w:semiHidden/>
    <w:rsid w:val="00A562A8"/>
    <w:pPr>
      <w:numPr>
        <w:ilvl w:val="5"/>
      </w:numPr>
      <w:ind w:left="4253"/>
    </w:pPr>
  </w:style>
  <w:style w:type="paragraph" w:customStyle="1" w:styleId="BulletDot6">
    <w:name w:val="BulletDot 6"/>
    <w:basedOn w:val="BulletDot5"/>
    <w:uiPriority w:val="40"/>
    <w:semiHidden/>
    <w:rsid w:val="00A562A8"/>
    <w:pPr>
      <w:numPr>
        <w:ilvl w:val="6"/>
      </w:numPr>
      <w:ind w:left="4962" w:hanging="709"/>
    </w:pPr>
  </w:style>
  <w:style w:type="paragraph" w:customStyle="1" w:styleId="BulletDot7">
    <w:name w:val="BulletDot 7"/>
    <w:basedOn w:val="BulletDot6"/>
    <w:uiPriority w:val="41"/>
    <w:semiHidden/>
    <w:rsid w:val="00A562A8"/>
    <w:pPr>
      <w:numPr>
        <w:ilvl w:val="7"/>
      </w:numPr>
    </w:pPr>
  </w:style>
  <w:style w:type="paragraph" w:customStyle="1" w:styleId="BulletDot8">
    <w:name w:val="BulletDot 8"/>
    <w:basedOn w:val="BulletDot7"/>
    <w:uiPriority w:val="42"/>
    <w:semiHidden/>
    <w:rsid w:val="00A562A8"/>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012C6"/>
    <w:rsid w:val="000B5175"/>
    <w:rsid w:val="00102DC8"/>
    <w:rsid w:val="0015768C"/>
    <w:rsid w:val="001D0361"/>
    <w:rsid w:val="002B46E7"/>
    <w:rsid w:val="0034145D"/>
    <w:rsid w:val="003D1413"/>
    <w:rsid w:val="00400F2F"/>
    <w:rsid w:val="00481174"/>
    <w:rsid w:val="004C7C86"/>
    <w:rsid w:val="004D67E0"/>
    <w:rsid w:val="004E4CF9"/>
    <w:rsid w:val="00591427"/>
    <w:rsid w:val="005D66AB"/>
    <w:rsid w:val="006216AC"/>
    <w:rsid w:val="006D3543"/>
    <w:rsid w:val="00736117"/>
    <w:rsid w:val="00740052"/>
    <w:rsid w:val="00813189"/>
    <w:rsid w:val="00813EAE"/>
    <w:rsid w:val="008222A0"/>
    <w:rsid w:val="00836D47"/>
    <w:rsid w:val="00854506"/>
    <w:rsid w:val="00982D57"/>
    <w:rsid w:val="00993537"/>
    <w:rsid w:val="009B6B9C"/>
    <w:rsid w:val="009C0B17"/>
    <w:rsid w:val="00A44918"/>
    <w:rsid w:val="00A563E1"/>
    <w:rsid w:val="00B22006"/>
    <w:rsid w:val="00B46CAE"/>
    <w:rsid w:val="00BE5C87"/>
    <w:rsid w:val="00C006E6"/>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Props1.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2533</Words>
  <Characters>13174</Characters>
  <Application>Microsoft Office Word</Application>
  <DocSecurity>8</DocSecurity>
  <Lines>223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Haïthem Akile</cp:lastModifiedBy>
  <cp:revision>2</cp:revision>
  <cp:lastPrinted>2023-09-09T00:53:00Z</cp:lastPrinted>
  <dcterms:created xsi:type="dcterms:W3CDTF">2026-03-06T15:22:00Z</dcterms:created>
  <dcterms:modified xsi:type="dcterms:W3CDTF">2026-03-06T15:22:00Z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