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4930"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EB4138">
        <w:t>PART</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EB4138">
        <w:t>PART</w:t>
      </w:r>
      <w:r w:rsidRPr="00863BFD">
        <w:t>_nameofrespondent</w:t>
      </w:r>
      <w:proofErr w:type="spellEnd"/>
      <w:r w:rsidRPr="00863BFD">
        <w:t xml:space="preserve">. </w:t>
      </w:r>
    </w:p>
    <w:p w14:paraId="115A7ABF" w14:textId="4EDA3A20"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432CE6C9" w:rsidR="00C2682A" w:rsidRPr="00104E00" w:rsidRDefault="00DE3F91" w:rsidP="00104E00">
                <w:pPr>
                  <w:jc w:val="left"/>
                  <w:rPr>
                    <w:rStyle w:val="PlaceholderText"/>
                  </w:rPr>
                </w:pPr>
                <w:r>
                  <w:rPr>
                    <w:rStyle w:val="PlaceholderText"/>
                  </w:rPr>
                  <w:t xml:space="preserve">SKDD-CCP Smart Clear </w:t>
                </w:r>
                <w:proofErr w:type="spellStart"/>
                <w:r>
                  <w:rPr>
                    <w:rStyle w:val="PlaceholderText"/>
                  </w:rPr>
                  <w:t>d.d.</w:t>
                </w:r>
                <w:proofErr w:type="spellEnd"/>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37156563" w:rsidR="00C2682A" w:rsidRPr="00104E00" w:rsidRDefault="008F2677"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370D3">
                  <w:t>Central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2CE8DF65" w:rsidR="00C2682A" w:rsidRPr="00104E00" w:rsidRDefault="000370D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29A71F67" w:rsidR="00C2682A" w:rsidRPr="00104E00" w:rsidRDefault="000370D3" w:rsidP="00104E00">
                <w:pPr>
                  <w:jc w:val="left"/>
                </w:pPr>
                <w:r>
                  <w:t>Croatia</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3452262D" w:rsidR="00693907" w:rsidRPr="00B15006" w:rsidRDefault="0042141E" w:rsidP="00693907">
      <w:pPr>
        <w:pStyle w:val="Questionstyle"/>
      </w:pPr>
      <w:r w:rsidRPr="0042141E">
        <w:t>Do you agree with the suggested elements with regard to fair and open access and transparency? Should the CCP consider other elements? Please justify your response and provide evidence.</w:t>
      </w:r>
      <w:r w:rsidR="00693907" w:rsidRPr="00B15006">
        <w:t xml:space="preserve">    </w:t>
      </w:r>
    </w:p>
    <w:p w14:paraId="1E634CEC" w14:textId="3A8C710D" w:rsidR="00693907" w:rsidRDefault="00693907" w:rsidP="00693907">
      <w:r>
        <w:t>&lt;ESMA_QUESTION_</w:t>
      </w:r>
      <w:r w:rsidR="004F1A78">
        <w:t>PART</w:t>
      </w:r>
      <w:r>
        <w:t>_1&gt;</w:t>
      </w:r>
    </w:p>
    <w:p w14:paraId="619B74E3" w14:textId="5E2378D1" w:rsidR="00BE0994" w:rsidRPr="00BE0994" w:rsidRDefault="00BE0994" w:rsidP="00BE0994">
      <w:pPr>
        <w:spacing w:before="100" w:beforeAutospacing="1" w:after="100" w:afterAutospacing="1" w:line="240" w:lineRule="auto"/>
        <w:jc w:val="left"/>
        <w:rPr>
          <w:rFonts w:ascii="Times New Roman" w:eastAsia="Times New Roman" w:hAnsi="Times New Roman" w:cs="Times New Roman"/>
          <w:color w:val="auto"/>
          <w:sz w:val="24"/>
          <w:szCs w:val="24"/>
          <w:lang w:val="hr-HR" w:eastAsia="hr-HR"/>
        </w:rPr>
      </w:pPr>
      <w:permStart w:id="910108688" w:edGrp="everyone"/>
      <w:r w:rsidRPr="00BE0994">
        <w:rPr>
          <w:rFonts w:ascii="Times New Roman" w:eastAsia="Times New Roman" w:hAnsi="Times New Roman" w:cs="Times New Roman"/>
          <w:color w:val="auto"/>
          <w:sz w:val="24"/>
          <w:szCs w:val="24"/>
          <w:lang w:val="hr-HR" w:eastAsia="hr-HR"/>
        </w:rPr>
        <w:t>TYPE YOUR TEXT HERE</w:t>
      </w:r>
    </w:p>
    <w:permEnd w:id="910108688"/>
    <w:p w14:paraId="7D4640BC" w14:textId="3D1EB77E" w:rsidR="00693907" w:rsidRDefault="00693907" w:rsidP="00693907">
      <w:r>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t>Do you agree with the suggested elements with regard to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552D5860" w14:textId="5D4FD1D4" w:rsidR="00BE0994" w:rsidRPr="00BE0994" w:rsidRDefault="008665C5" w:rsidP="00DE3F91">
      <w:pPr>
        <w:spacing w:before="100" w:beforeAutospacing="1" w:after="100" w:afterAutospacing="1" w:line="240" w:lineRule="auto"/>
        <w:rPr>
          <w:rFonts w:ascii="Times New Roman" w:eastAsia="Times New Roman" w:hAnsi="Times New Roman" w:cs="Times New Roman"/>
          <w:color w:val="auto"/>
          <w:sz w:val="24"/>
          <w:szCs w:val="24"/>
          <w:lang w:val="hr-HR" w:eastAsia="hr-HR"/>
        </w:rPr>
      </w:pPr>
      <w:permStart w:id="834943991" w:edGrp="everyone"/>
      <w:r>
        <w:rPr>
          <w:rFonts w:ascii="Times New Roman" w:eastAsia="Times New Roman" w:hAnsi="Times New Roman" w:cs="Times New Roman"/>
          <w:color w:val="auto"/>
          <w:sz w:val="24"/>
          <w:szCs w:val="24"/>
          <w:lang w:val="hr-HR" w:eastAsia="hr-HR"/>
        </w:rPr>
        <w:t>SKDD-</w:t>
      </w:r>
      <w:r w:rsidR="00BE0994" w:rsidRPr="00BE0994">
        <w:rPr>
          <w:rFonts w:ascii="Times New Roman" w:eastAsia="Times New Roman" w:hAnsi="Times New Roman" w:cs="Times New Roman"/>
          <w:color w:val="auto"/>
          <w:sz w:val="24"/>
          <w:szCs w:val="24"/>
          <w:lang w:val="hr-HR" w:eastAsia="hr-HR"/>
        </w:rPr>
        <w:t xml:space="preserve">CCP </w:t>
      </w:r>
      <w:proofErr w:type="spellStart"/>
      <w:r w:rsidR="00BE0994" w:rsidRPr="00BE0994">
        <w:rPr>
          <w:rFonts w:ascii="Times New Roman" w:eastAsia="Times New Roman" w:hAnsi="Times New Roman" w:cs="Times New Roman"/>
          <w:color w:val="auto"/>
          <w:sz w:val="24"/>
          <w:szCs w:val="24"/>
          <w:lang w:val="hr-HR" w:eastAsia="hr-HR"/>
        </w:rPr>
        <w:t>proposes</w:t>
      </w:r>
      <w:proofErr w:type="spellEnd"/>
      <w:r w:rsidR="00BE0994" w:rsidRPr="00BE0994">
        <w:rPr>
          <w:rFonts w:ascii="Times New Roman" w:eastAsia="Times New Roman" w:hAnsi="Times New Roman" w:cs="Times New Roman"/>
          <w:color w:val="auto"/>
          <w:sz w:val="24"/>
          <w:szCs w:val="24"/>
          <w:lang w:val="hr-HR" w:eastAsia="hr-HR"/>
        </w:rPr>
        <w:t xml:space="preserve"> to </w:t>
      </w:r>
      <w:proofErr w:type="spellStart"/>
      <w:r w:rsidR="00BE0994" w:rsidRPr="00BE0994">
        <w:rPr>
          <w:rFonts w:ascii="Times New Roman" w:eastAsia="Times New Roman" w:hAnsi="Times New Roman" w:cs="Times New Roman"/>
          <w:color w:val="auto"/>
          <w:sz w:val="24"/>
          <w:szCs w:val="24"/>
          <w:lang w:val="hr-HR" w:eastAsia="hr-HR"/>
        </w:rPr>
        <w:t>focus</w:t>
      </w:r>
      <w:proofErr w:type="spellEnd"/>
      <w:r w:rsidR="00BE0994" w:rsidRPr="00BE0994">
        <w:rPr>
          <w:rFonts w:ascii="Times New Roman" w:eastAsia="Times New Roman" w:hAnsi="Times New Roman" w:cs="Times New Roman"/>
          <w:color w:val="auto"/>
          <w:sz w:val="24"/>
          <w:szCs w:val="24"/>
          <w:lang w:val="hr-HR" w:eastAsia="hr-HR"/>
        </w:rPr>
        <w:t xml:space="preserve"> on </w:t>
      </w:r>
      <w:proofErr w:type="spellStart"/>
      <w:r w:rsidR="00BE0994" w:rsidRPr="00BE0994">
        <w:rPr>
          <w:rFonts w:ascii="Times New Roman" w:eastAsia="Times New Roman" w:hAnsi="Times New Roman" w:cs="Times New Roman"/>
          <w:color w:val="auto"/>
          <w:sz w:val="24"/>
          <w:szCs w:val="24"/>
          <w:lang w:val="hr-HR" w:eastAsia="hr-HR"/>
        </w:rPr>
        <w:t>the</w:t>
      </w:r>
      <w:proofErr w:type="spellEnd"/>
      <w:r>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key</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information</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related</w:t>
      </w:r>
      <w:proofErr w:type="spellEnd"/>
      <w:r w:rsidR="00BE0994" w:rsidRPr="00BE0994">
        <w:rPr>
          <w:rFonts w:ascii="Times New Roman" w:eastAsia="Times New Roman" w:hAnsi="Times New Roman" w:cs="Times New Roman"/>
          <w:color w:val="auto"/>
          <w:sz w:val="24"/>
          <w:szCs w:val="24"/>
          <w:lang w:val="hr-HR" w:eastAsia="hr-HR"/>
        </w:rPr>
        <w:t xml:space="preserve"> to </w:t>
      </w:r>
      <w:proofErr w:type="spellStart"/>
      <w:r w:rsidR="00BE0994" w:rsidRPr="00BE0994">
        <w:rPr>
          <w:rFonts w:ascii="Times New Roman" w:eastAsia="Times New Roman" w:hAnsi="Times New Roman" w:cs="Times New Roman"/>
          <w:color w:val="auto"/>
          <w:sz w:val="24"/>
          <w:szCs w:val="24"/>
          <w:lang w:val="hr-HR" w:eastAsia="hr-HR"/>
        </w:rPr>
        <w:t>clearing</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members</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access</w:t>
      </w:r>
      <w:proofErr w:type="spellEnd"/>
      <w:r w:rsidR="00BE0994" w:rsidRPr="00BE0994">
        <w:rPr>
          <w:rFonts w:ascii="Times New Roman" w:eastAsia="Times New Roman" w:hAnsi="Times New Roman" w:cs="Times New Roman"/>
          <w:color w:val="auto"/>
          <w:sz w:val="24"/>
          <w:szCs w:val="24"/>
          <w:lang w:val="hr-HR" w:eastAsia="hr-HR"/>
        </w:rPr>
        <w:t xml:space="preserve"> to </w:t>
      </w:r>
      <w:proofErr w:type="spellStart"/>
      <w:r w:rsidR="00BE0994" w:rsidRPr="00BE0994">
        <w:rPr>
          <w:rFonts w:ascii="Times New Roman" w:eastAsia="Times New Roman" w:hAnsi="Times New Roman" w:cs="Times New Roman"/>
          <w:color w:val="auto"/>
          <w:sz w:val="24"/>
          <w:szCs w:val="24"/>
          <w:lang w:val="hr-HR" w:eastAsia="hr-HR"/>
        </w:rPr>
        <w:t>liquidity</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and</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overall</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creditworthiness</w:t>
      </w:r>
      <w:proofErr w:type="spellEnd"/>
      <w:r w:rsidR="00BE0994" w:rsidRPr="00BE0994">
        <w:rPr>
          <w:rFonts w:ascii="Times New Roman" w:eastAsia="Times New Roman" w:hAnsi="Times New Roman" w:cs="Times New Roman"/>
          <w:color w:val="auto"/>
          <w:sz w:val="24"/>
          <w:szCs w:val="24"/>
          <w:lang w:val="hr-HR" w:eastAsia="hr-HR"/>
        </w:rPr>
        <w:t xml:space="preserve"> as </w:t>
      </w:r>
      <w:proofErr w:type="spellStart"/>
      <w:r w:rsidR="00BE0994" w:rsidRPr="00BE0994">
        <w:rPr>
          <w:rFonts w:ascii="Times New Roman" w:eastAsia="Times New Roman" w:hAnsi="Times New Roman" w:cs="Times New Roman"/>
          <w:color w:val="auto"/>
          <w:sz w:val="24"/>
          <w:szCs w:val="24"/>
          <w:lang w:val="hr-HR" w:eastAsia="hr-HR"/>
        </w:rPr>
        <w:t>part</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of</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the</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admission</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criteria</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Any</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further</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or</w:t>
      </w:r>
      <w:proofErr w:type="spellEnd"/>
      <w:r w:rsidR="00BE0994" w:rsidRPr="00BE0994">
        <w:rPr>
          <w:rFonts w:ascii="Times New Roman" w:eastAsia="Times New Roman" w:hAnsi="Times New Roman" w:cs="Times New Roman"/>
          <w:color w:val="auto"/>
          <w:sz w:val="24"/>
          <w:szCs w:val="24"/>
          <w:lang w:val="hr-HR" w:eastAsia="hr-HR"/>
        </w:rPr>
        <w:t xml:space="preserve"> more </w:t>
      </w:r>
      <w:proofErr w:type="spellStart"/>
      <w:r w:rsidR="00BE0994" w:rsidRPr="00BE0994">
        <w:rPr>
          <w:rFonts w:ascii="Times New Roman" w:eastAsia="Times New Roman" w:hAnsi="Times New Roman" w:cs="Times New Roman"/>
          <w:color w:val="auto"/>
          <w:sz w:val="24"/>
          <w:szCs w:val="24"/>
          <w:lang w:val="hr-HR" w:eastAsia="hr-HR"/>
        </w:rPr>
        <w:t>detailed</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assessment</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should</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be</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conducted</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only</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where</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warranted</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based</w:t>
      </w:r>
      <w:proofErr w:type="spellEnd"/>
      <w:r w:rsidR="00BE0994" w:rsidRPr="00BE0994">
        <w:rPr>
          <w:rFonts w:ascii="Times New Roman" w:eastAsia="Times New Roman" w:hAnsi="Times New Roman" w:cs="Times New Roman"/>
          <w:color w:val="auto"/>
          <w:sz w:val="24"/>
          <w:szCs w:val="24"/>
          <w:lang w:val="hr-HR" w:eastAsia="hr-HR"/>
        </w:rPr>
        <w:t xml:space="preserve"> on </w:t>
      </w:r>
      <w:proofErr w:type="spellStart"/>
      <w:r w:rsidR="00BE0994" w:rsidRPr="00BE0994">
        <w:rPr>
          <w:rFonts w:ascii="Times New Roman" w:eastAsia="Times New Roman" w:hAnsi="Times New Roman" w:cs="Times New Roman"/>
          <w:color w:val="auto"/>
          <w:sz w:val="24"/>
          <w:szCs w:val="24"/>
          <w:lang w:val="hr-HR" w:eastAsia="hr-HR"/>
        </w:rPr>
        <w:t>identified</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risk</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indicators</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or</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specific</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supervisory</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or</w:t>
      </w:r>
      <w:proofErr w:type="spellEnd"/>
      <w:r w:rsidR="00BE0994" w:rsidRPr="00BE0994">
        <w:rPr>
          <w:rFonts w:ascii="Times New Roman" w:eastAsia="Times New Roman" w:hAnsi="Times New Roman" w:cs="Times New Roman"/>
          <w:color w:val="auto"/>
          <w:sz w:val="24"/>
          <w:szCs w:val="24"/>
          <w:lang w:val="hr-HR" w:eastAsia="hr-HR"/>
        </w:rPr>
        <w:t xml:space="preserve"> </w:t>
      </w:r>
      <w:proofErr w:type="spellStart"/>
      <w:r w:rsidR="00BE0994" w:rsidRPr="00BE0994">
        <w:rPr>
          <w:rFonts w:ascii="Times New Roman" w:eastAsia="Times New Roman" w:hAnsi="Times New Roman" w:cs="Times New Roman"/>
          <w:color w:val="auto"/>
          <w:sz w:val="24"/>
          <w:szCs w:val="24"/>
          <w:lang w:val="hr-HR" w:eastAsia="hr-HR"/>
        </w:rPr>
        <w:t>risk</w:t>
      </w:r>
      <w:proofErr w:type="spellEnd"/>
      <w:r w:rsidR="00BE0994" w:rsidRPr="00BE0994">
        <w:rPr>
          <w:rFonts w:ascii="Times New Roman" w:eastAsia="Times New Roman" w:hAnsi="Times New Roman" w:cs="Times New Roman"/>
          <w:color w:val="auto"/>
          <w:sz w:val="24"/>
          <w:szCs w:val="24"/>
          <w:lang w:val="hr-HR" w:eastAsia="hr-HR"/>
        </w:rPr>
        <w:t xml:space="preserve"> management </w:t>
      </w:r>
      <w:proofErr w:type="spellStart"/>
      <w:r w:rsidR="00BE0994" w:rsidRPr="00BE0994">
        <w:rPr>
          <w:rFonts w:ascii="Times New Roman" w:eastAsia="Times New Roman" w:hAnsi="Times New Roman" w:cs="Times New Roman"/>
          <w:color w:val="auto"/>
          <w:sz w:val="24"/>
          <w:szCs w:val="24"/>
          <w:lang w:val="hr-HR" w:eastAsia="hr-HR"/>
        </w:rPr>
        <w:t>needs</w:t>
      </w:r>
      <w:proofErr w:type="spellEnd"/>
      <w:r w:rsidR="00BE0994" w:rsidRPr="00BE0994">
        <w:rPr>
          <w:rFonts w:ascii="Times New Roman" w:eastAsia="Times New Roman" w:hAnsi="Times New Roman" w:cs="Times New Roman"/>
          <w:color w:val="auto"/>
          <w:sz w:val="24"/>
          <w:szCs w:val="24"/>
          <w:lang w:val="hr-HR" w:eastAsia="hr-HR"/>
        </w:rPr>
        <w:t>.</w:t>
      </w:r>
    </w:p>
    <w:p w14:paraId="47A42B59" w14:textId="3B8D9021" w:rsidR="00BE0994" w:rsidRPr="008665C5" w:rsidRDefault="00BE0994" w:rsidP="00DE3F91">
      <w:pPr>
        <w:spacing w:before="100" w:beforeAutospacing="1" w:after="100" w:afterAutospacing="1" w:line="240" w:lineRule="auto"/>
        <w:rPr>
          <w:rFonts w:ascii="Times New Roman" w:eastAsia="Times New Roman" w:hAnsi="Times New Roman" w:cs="Times New Roman"/>
          <w:color w:val="auto"/>
          <w:sz w:val="24"/>
          <w:szCs w:val="24"/>
          <w:lang w:val="hr-HR" w:eastAsia="hr-HR"/>
        </w:rPr>
      </w:pPr>
      <w:proofErr w:type="spellStart"/>
      <w:r w:rsidRPr="00BE0994">
        <w:rPr>
          <w:rFonts w:ascii="Times New Roman" w:eastAsia="Times New Roman" w:hAnsi="Times New Roman" w:cs="Times New Roman"/>
          <w:color w:val="auto"/>
          <w:sz w:val="24"/>
          <w:szCs w:val="24"/>
          <w:lang w:val="hr-HR" w:eastAsia="hr-HR"/>
        </w:rPr>
        <w:t>This</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approach</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would</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ensure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that</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the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assessment</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remains</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proportionate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and</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risk-based</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while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allowing</w:t>
      </w:r>
      <w:proofErr w:type="spellEnd"/>
      <w:r w:rsidRPr="008665C5">
        <w:rPr>
          <w:rFonts w:ascii="Times New Roman" w:eastAsia="Times New Roman" w:hAnsi="Times New Roman" w:cs="Times New Roman"/>
          <w:color w:val="auto"/>
          <w:sz w:val="24"/>
          <w:szCs w:val="24"/>
          <w:lang w:val="hr-HR" w:eastAsia="hr-HR"/>
        </w:rPr>
        <w:t xml:space="preserve"> </w:t>
      </w:r>
      <w:proofErr w:type="spellStart"/>
      <w:r w:rsidRPr="008665C5">
        <w:rPr>
          <w:rFonts w:ascii="Times New Roman" w:eastAsia="Times New Roman" w:hAnsi="Times New Roman" w:cs="Times New Roman"/>
          <w:color w:val="auto"/>
          <w:sz w:val="24"/>
          <w:szCs w:val="24"/>
          <w:lang w:val="hr-HR" w:eastAsia="hr-HR"/>
        </w:rPr>
        <w:t>CCPs</w:t>
      </w:r>
      <w:proofErr w:type="spellEnd"/>
      <w:r w:rsidRPr="008665C5">
        <w:rPr>
          <w:rFonts w:ascii="Times New Roman" w:eastAsia="Times New Roman" w:hAnsi="Times New Roman" w:cs="Times New Roman"/>
          <w:color w:val="auto"/>
          <w:sz w:val="24"/>
          <w:szCs w:val="24"/>
          <w:lang w:val="hr-HR" w:eastAsia="hr-HR"/>
        </w:rPr>
        <w:t xml:space="preserve"> to </w:t>
      </w:r>
      <w:proofErr w:type="spellStart"/>
      <w:r w:rsidRPr="008665C5">
        <w:rPr>
          <w:rFonts w:ascii="Times New Roman" w:eastAsia="Times New Roman" w:hAnsi="Times New Roman" w:cs="Times New Roman"/>
          <w:color w:val="auto"/>
          <w:sz w:val="24"/>
          <w:szCs w:val="24"/>
          <w:lang w:val="hr-HR" w:eastAsia="hr-HR"/>
        </w:rPr>
        <w:t>allocate</w:t>
      </w:r>
      <w:proofErr w:type="spellEnd"/>
      <w:r w:rsidRPr="008665C5">
        <w:rPr>
          <w:rFonts w:ascii="Times New Roman" w:eastAsia="Times New Roman" w:hAnsi="Times New Roman" w:cs="Times New Roman"/>
          <w:color w:val="auto"/>
          <w:sz w:val="24"/>
          <w:szCs w:val="24"/>
          <w:lang w:val="hr-HR" w:eastAsia="hr-HR"/>
        </w:rPr>
        <w:t xml:space="preserve"> resources efficiently and avoid operational complexity.</w:t>
      </w:r>
    </w:p>
    <w:p w14:paraId="32B784C4" w14:textId="0C8FB841" w:rsidR="00693907" w:rsidRPr="00BE0994" w:rsidRDefault="00BE0994" w:rsidP="00DE3F91">
      <w:pPr>
        <w:spacing w:before="100" w:beforeAutospacing="1" w:after="100" w:afterAutospacing="1" w:line="240" w:lineRule="auto"/>
        <w:rPr>
          <w:rFonts w:ascii="Times New Roman" w:eastAsia="Times New Roman" w:hAnsi="Times New Roman" w:cs="Times New Roman"/>
          <w:color w:val="auto"/>
          <w:sz w:val="24"/>
          <w:szCs w:val="24"/>
          <w:lang w:val="hr-HR" w:eastAsia="hr-HR"/>
        </w:rPr>
      </w:pPr>
      <w:proofErr w:type="spellStart"/>
      <w:r w:rsidRPr="00BE0994">
        <w:rPr>
          <w:rFonts w:ascii="Times New Roman" w:eastAsia="Times New Roman" w:hAnsi="Times New Roman" w:cs="Times New Roman"/>
          <w:color w:val="auto"/>
          <w:sz w:val="24"/>
          <w:szCs w:val="24"/>
          <w:lang w:val="hr-HR" w:eastAsia="hr-HR"/>
        </w:rPr>
        <w:t>Furthermore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with</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respect</w:t>
      </w:r>
      <w:proofErr w:type="spellEnd"/>
      <w:r w:rsidRPr="00BE0994">
        <w:rPr>
          <w:rFonts w:ascii="Times New Roman" w:eastAsia="Times New Roman" w:hAnsi="Times New Roman" w:cs="Times New Roman"/>
          <w:color w:val="auto"/>
          <w:sz w:val="24"/>
          <w:szCs w:val="24"/>
          <w:lang w:val="hr-HR" w:eastAsia="hr-HR"/>
        </w:rPr>
        <w:t xml:space="preserve"> to </w:t>
      </w:r>
      <w:proofErr w:type="spellStart"/>
      <w:r w:rsidRPr="00BE0994">
        <w:rPr>
          <w:rFonts w:ascii="Times New Roman" w:eastAsia="Times New Roman" w:hAnsi="Times New Roman" w:cs="Times New Roman"/>
          <w:color w:val="auto"/>
          <w:sz w:val="24"/>
          <w:szCs w:val="24"/>
          <w:lang w:val="hr-HR" w:eastAsia="hr-HR"/>
        </w:rPr>
        <w:t>the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assessment</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of</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group-level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financial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support</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CCPs</w:t>
      </w:r>
      <w:proofErr w:type="spellEnd"/>
      <w:r w:rsidRPr="00BE0994">
        <w:rPr>
          <w:rFonts w:ascii="Times New Roman" w:eastAsia="Times New Roman" w:hAnsi="Times New Roman" w:cs="Times New Roman"/>
          <w:color w:val="auto"/>
          <w:sz w:val="24"/>
          <w:szCs w:val="24"/>
          <w:lang w:val="hr-HR" w:eastAsia="hr-HR"/>
        </w:rPr>
        <w:t xml:space="preserve"> note </w:t>
      </w:r>
      <w:proofErr w:type="spellStart"/>
      <w:r w:rsidRPr="00BE0994">
        <w:rPr>
          <w:rFonts w:ascii="Times New Roman" w:eastAsia="Times New Roman" w:hAnsi="Times New Roman" w:cs="Times New Roman"/>
          <w:color w:val="auto"/>
          <w:sz w:val="24"/>
          <w:szCs w:val="24"/>
          <w:lang w:val="hr-HR" w:eastAsia="hr-HR"/>
        </w:rPr>
        <w:t>potential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practical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limitations</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in</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verifying</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the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existence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reliability</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and</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availability</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of</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such</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support</w:t>
      </w:r>
      <w:proofErr w:type="spellEnd"/>
      <w:r w:rsidRPr="00BE0994">
        <w:rPr>
          <w:rFonts w:ascii="Times New Roman" w:eastAsia="Times New Roman" w:hAnsi="Times New Roman" w:cs="Times New Roman"/>
          <w:color w:val="auto"/>
          <w:sz w:val="24"/>
          <w:szCs w:val="24"/>
          <w:lang w:val="hr-HR" w:eastAsia="hr-HR"/>
        </w:rPr>
        <w:t xml:space="preserve">, as </w:t>
      </w:r>
      <w:proofErr w:type="spellStart"/>
      <w:r w:rsidRPr="00BE0994">
        <w:rPr>
          <w:rFonts w:ascii="Times New Roman" w:eastAsia="Times New Roman" w:hAnsi="Times New Roman" w:cs="Times New Roman"/>
          <w:color w:val="auto"/>
          <w:sz w:val="24"/>
          <w:szCs w:val="24"/>
          <w:lang w:val="hr-HR" w:eastAsia="hr-HR"/>
        </w:rPr>
        <w:t>well</w:t>
      </w:r>
      <w:proofErr w:type="spellEnd"/>
      <w:r w:rsidRPr="00BE0994">
        <w:rPr>
          <w:rFonts w:ascii="Times New Roman" w:eastAsia="Times New Roman" w:hAnsi="Times New Roman" w:cs="Times New Roman"/>
          <w:color w:val="auto"/>
          <w:sz w:val="24"/>
          <w:szCs w:val="24"/>
          <w:lang w:val="hr-HR" w:eastAsia="hr-HR"/>
        </w:rPr>
        <w:t xml:space="preserve"> as </w:t>
      </w:r>
      <w:proofErr w:type="spellStart"/>
      <w:r w:rsidRPr="00BE0994">
        <w:rPr>
          <w:rFonts w:ascii="Times New Roman" w:eastAsia="Times New Roman" w:hAnsi="Times New Roman" w:cs="Times New Roman"/>
          <w:color w:val="auto"/>
          <w:sz w:val="24"/>
          <w:szCs w:val="24"/>
          <w:lang w:val="hr-HR" w:eastAsia="hr-HR"/>
        </w:rPr>
        <w:t>in</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assessing</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the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financial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and</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operational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resilience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of</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the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group</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These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assessments</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would</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in</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many</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cases</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require</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access</w:t>
      </w:r>
      <w:proofErr w:type="spellEnd"/>
      <w:r w:rsidRPr="00BE0994">
        <w:rPr>
          <w:rFonts w:ascii="Times New Roman" w:eastAsia="Times New Roman" w:hAnsi="Times New Roman" w:cs="Times New Roman"/>
          <w:color w:val="auto"/>
          <w:sz w:val="24"/>
          <w:szCs w:val="24"/>
          <w:lang w:val="hr-HR" w:eastAsia="hr-HR"/>
        </w:rPr>
        <w:t xml:space="preserve"> to </w:t>
      </w:r>
      <w:proofErr w:type="spellStart"/>
      <w:r w:rsidRPr="00BE0994">
        <w:rPr>
          <w:rFonts w:ascii="Times New Roman" w:eastAsia="Times New Roman" w:hAnsi="Times New Roman" w:cs="Times New Roman"/>
          <w:color w:val="auto"/>
          <w:sz w:val="24"/>
          <w:szCs w:val="24"/>
          <w:lang w:val="hr-HR" w:eastAsia="hr-HR"/>
        </w:rPr>
        <w:t>confidential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group-level</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information</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that</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is</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not</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ordinarily</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Pr="00BE0994">
        <w:rPr>
          <w:rFonts w:ascii="Times New Roman" w:eastAsia="Times New Roman" w:hAnsi="Times New Roman" w:cs="Times New Roman"/>
          <w:color w:val="auto"/>
          <w:sz w:val="24"/>
          <w:szCs w:val="24"/>
          <w:lang w:val="hr-HR" w:eastAsia="hr-HR"/>
        </w:rPr>
        <w:t>accessible</w:t>
      </w:r>
      <w:proofErr w:type="spellEnd"/>
      <w:r w:rsidRPr="00BE0994">
        <w:rPr>
          <w:rFonts w:ascii="Times New Roman" w:eastAsia="Times New Roman" w:hAnsi="Times New Roman" w:cs="Times New Roman"/>
          <w:color w:val="auto"/>
          <w:sz w:val="24"/>
          <w:szCs w:val="24"/>
          <w:lang w:val="hr-HR" w:eastAsia="hr-HR"/>
        </w:rPr>
        <w:t xml:space="preserve"> </w:t>
      </w:r>
      <w:r w:rsidRPr="00BE0994">
        <w:rPr>
          <w:rFonts w:ascii="Times New Roman" w:eastAsia="Times New Roman" w:hAnsi="Times New Roman" w:cs="Times New Roman"/>
          <w:color w:val="auto"/>
          <w:sz w:val="24"/>
          <w:szCs w:val="24"/>
          <w:lang w:val="hr-HR" w:eastAsia="hr-HR"/>
        </w:rPr>
        <w:lastRenderedPageBreak/>
        <w:t xml:space="preserve">to </w:t>
      </w:r>
      <w:proofErr w:type="spellStart"/>
      <w:r w:rsidRPr="00BE0994">
        <w:rPr>
          <w:rFonts w:ascii="Times New Roman" w:eastAsia="Times New Roman" w:hAnsi="Times New Roman" w:cs="Times New Roman"/>
          <w:color w:val="auto"/>
          <w:sz w:val="24"/>
          <w:szCs w:val="24"/>
          <w:lang w:val="hr-HR" w:eastAsia="hr-HR"/>
        </w:rPr>
        <w:t>CCPs</w:t>
      </w:r>
      <w:proofErr w:type="spellEnd"/>
      <w:r w:rsidRPr="00BE0994">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We</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propose</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that</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these</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practical</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limitations</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be</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taken</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into</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account</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when</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defining</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the</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scope</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of</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the</w:t>
      </w:r>
      <w:proofErr w:type="spellEnd"/>
      <w:r w:rsidR="00DE3F91" w:rsidRPr="00DE3F91">
        <w:rPr>
          <w:rFonts w:ascii="Times New Roman" w:eastAsia="Times New Roman" w:hAnsi="Times New Roman" w:cs="Times New Roman"/>
          <w:color w:val="auto"/>
          <w:sz w:val="24"/>
          <w:szCs w:val="24"/>
          <w:lang w:val="hr-HR" w:eastAsia="hr-HR"/>
        </w:rPr>
        <w:t xml:space="preserve"> </w:t>
      </w:r>
      <w:proofErr w:type="spellStart"/>
      <w:r w:rsidR="00DE3F91" w:rsidRPr="00DE3F91">
        <w:rPr>
          <w:rFonts w:ascii="Times New Roman" w:eastAsia="Times New Roman" w:hAnsi="Times New Roman" w:cs="Times New Roman"/>
          <w:color w:val="auto"/>
          <w:sz w:val="24"/>
          <w:szCs w:val="24"/>
          <w:lang w:val="hr-HR" w:eastAsia="hr-HR"/>
        </w:rPr>
        <w:t>requirement</w:t>
      </w:r>
      <w:proofErr w:type="spellEnd"/>
      <w:r w:rsidR="00DE3F91" w:rsidRPr="00DE3F91">
        <w:rPr>
          <w:rFonts w:ascii="Times New Roman" w:eastAsia="Times New Roman" w:hAnsi="Times New Roman" w:cs="Times New Roman"/>
          <w:color w:val="auto"/>
          <w:sz w:val="24"/>
          <w:szCs w:val="24"/>
          <w:lang w:val="hr-HR" w:eastAsia="hr-HR"/>
        </w:rPr>
        <w:t>.</w:t>
      </w:r>
    </w:p>
    <w:permEnd w:id="834943991"/>
    <w:p w14:paraId="456D2494" w14:textId="4A27DFAC"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Do you agree with the suggested elements with regard to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1ACF08C2" w14:textId="6D2522A9" w:rsidR="00196BAE" w:rsidRPr="00497E40" w:rsidRDefault="00196BAE" w:rsidP="00693907">
      <w:pPr>
        <w:rPr>
          <w:rFonts w:ascii="Times New Roman" w:hAnsi="Times New Roman" w:cs="Times New Roman"/>
          <w:sz w:val="24"/>
          <w:szCs w:val="24"/>
        </w:rPr>
      </w:pPr>
      <w:permStart w:id="1178823114" w:edGrp="everyone"/>
      <w:r>
        <w:t xml:space="preserve"> </w:t>
      </w:r>
      <w:r w:rsidR="00725F98" w:rsidRPr="00497E40">
        <w:rPr>
          <w:rFonts w:ascii="Times New Roman" w:hAnsi="Times New Roman" w:cs="Times New Roman"/>
          <w:sz w:val="24"/>
          <w:szCs w:val="24"/>
        </w:rPr>
        <w:t xml:space="preserve">We note a potential concern that the proposed DORA-related requirements could place additional demands on the CCP, </w:t>
      </w:r>
      <w:r w:rsidR="00F45570">
        <w:rPr>
          <w:rFonts w:ascii="Times New Roman" w:hAnsi="Times New Roman" w:cs="Times New Roman"/>
          <w:sz w:val="24"/>
          <w:szCs w:val="24"/>
        </w:rPr>
        <w:t xml:space="preserve">especially considering that </w:t>
      </w:r>
      <w:r w:rsidR="00725F98" w:rsidRPr="00497E40">
        <w:rPr>
          <w:rFonts w:ascii="Times New Roman" w:hAnsi="Times New Roman" w:cs="Times New Roman"/>
          <w:sz w:val="24"/>
          <w:szCs w:val="24"/>
        </w:rPr>
        <w:t>financial counterparties are already subject to supervisory oversight in this area. For smaller or less complex clearing members, detailed assessments of IT systems, staff training, third-party arrangements, and business continuity frameworks could be applied in a proportionate manner and aligned with existing supervisory requirements</w:t>
      </w:r>
      <w:r w:rsidR="00D01BD4">
        <w:rPr>
          <w:rFonts w:ascii="Times New Roman" w:hAnsi="Times New Roman" w:cs="Times New Roman"/>
          <w:sz w:val="24"/>
          <w:szCs w:val="24"/>
        </w:rPr>
        <w:t>, since</w:t>
      </w:r>
      <w:r w:rsidR="008C42DB">
        <w:rPr>
          <w:rFonts w:ascii="Times New Roman" w:hAnsi="Times New Roman" w:cs="Times New Roman"/>
          <w:sz w:val="24"/>
          <w:szCs w:val="24"/>
        </w:rPr>
        <w:t xml:space="preserve"> </w:t>
      </w:r>
      <w:r w:rsidR="008F190A" w:rsidRPr="008F190A">
        <w:rPr>
          <w:rFonts w:ascii="Times New Roman" w:hAnsi="Times New Roman" w:cs="Times New Roman"/>
          <w:sz w:val="24"/>
          <w:szCs w:val="24"/>
        </w:rPr>
        <w:t>C</w:t>
      </w:r>
      <w:r w:rsidR="008C42DB">
        <w:rPr>
          <w:rFonts w:ascii="Times New Roman" w:hAnsi="Times New Roman" w:cs="Times New Roman"/>
          <w:sz w:val="24"/>
          <w:szCs w:val="24"/>
        </w:rPr>
        <w:t>C</w:t>
      </w:r>
      <w:r w:rsidR="008F190A" w:rsidRPr="008F190A">
        <w:rPr>
          <w:rFonts w:ascii="Times New Roman" w:hAnsi="Times New Roman" w:cs="Times New Roman"/>
          <w:sz w:val="24"/>
          <w:szCs w:val="24"/>
        </w:rPr>
        <w:t xml:space="preserve">P </w:t>
      </w:r>
      <w:r w:rsidR="008F190A">
        <w:rPr>
          <w:rFonts w:ascii="Times New Roman" w:hAnsi="Times New Roman" w:cs="Times New Roman"/>
          <w:sz w:val="24"/>
          <w:szCs w:val="24"/>
        </w:rPr>
        <w:t>would need to determine</w:t>
      </w:r>
      <w:r w:rsidR="008F190A" w:rsidRPr="008F190A">
        <w:rPr>
          <w:rFonts w:ascii="Times New Roman" w:hAnsi="Times New Roman" w:cs="Times New Roman"/>
          <w:sz w:val="24"/>
          <w:szCs w:val="24"/>
        </w:rPr>
        <w:t xml:space="preserve"> if they meet comparable requirements. We suggest that ESMA provide clearer guidelines for assessing "appropriate IT systems" to ensure small CCPs do not have to perform redundant, deep-dive technical audits that they may lack the staff to conduct</w:t>
      </w:r>
    </w:p>
    <w:permEnd w:id="1178823114"/>
    <w:p w14:paraId="7EF07F00" w14:textId="7FB07346" w:rsidR="00693907" w:rsidRDefault="00693907" w:rsidP="00693907">
      <w:r>
        <w:t>&lt;ESMA_QUESTION_</w:t>
      </w:r>
      <w:r w:rsidR="004F1A78">
        <w:t>PART</w:t>
      </w:r>
      <w:r>
        <w:t>_3&gt;</w:t>
      </w:r>
    </w:p>
    <w:p w14:paraId="6B4516C3" w14:textId="77777777" w:rsidR="00693907" w:rsidRDefault="00693907" w:rsidP="00693907"/>
    <w:p w14:paraId="5487291B" w14:textId="0ABA2BDC" w:rsidR="00693907" w:rsidRPr="007966CD" w:rsidRDefault="00CC2B8D" w:rsidP="00693907">
      <w:pPr>
        <w:pStyle w:val="Questionstyle"/>
      </w:pPr>
      <w:r w:rsidRPr="00CC2B8D">
        <w:t>Do you agree with the suggested elements with regard to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5213595B" w14:textId="2EB7F0BE" w:rsidR="008665C5" w:rsidRPr="008665C5" w:rsidRDefault="008665C5" w:rsidP="008665C5">
      <w:pPr>
        <w:rPr>
          <w:rFonts w:ascii="Times New Roman" w:hAnsi="Times New Roman" w:cs="Times New Roman"/>
          <w:sz w:val="24"/>
          <w:szCs w:val="24"/>
        </w:rPr>
      </w:pPr>
      <w:permStart w:id="2012300575" w:edGrp="everyone"/>
      <w:r w:rsidRPr="008665C5">
        <w:rPr>
          <w:rFonts w:ascii="Times New Roman" w:hAnsi="Times New Roman" w:cs="Times New Roman"/>
          <w:sz w:val="24"/>
          <w:szCs w:val="24"/>
        </w:rPr>
        <w:t>Article 4(2) - The primary concern is that the CCP does not have access to all relevant information required for the fulfilment of this requirement. In this context, it would be appropriate to define the requirement in an alternative manner, for example by establishing an obligation for the applicant CM to provide the relevant information by means of official documents and/or formal declarations</w:t>
      </w:r>
      <w:r w:rsidR="006511BE">
        <w:rPr>
          <w:rFonts w:ascii="Times New Roman" w:hAnsi="Times New Roman" w:cs="Times New Roman"/>
          <w:sz w:val="24"/>
          <w:szCs w:val="24"/>
        </w:rPr>
        <w:t xml:space="preserve"> to the CCP</w:t>
      </w:r>
      <w:r w:rsidRPr="008665C5">
        <w:rPr>
          <w:rFonts w:ascii="Times New Roman" w:hAnsi="Times New Roman" w:cs="Times New Roman"/>
          <w:sz w:val="24"/>
          <w:szCs w:val="24"/>
        </w:rPr>
        <w:t>.</w:t>
      </w:r>
    </w:p>
    <w:p w14:paraId="4B57D5B8" w14:textId="3D04403E" w:rsidR="008665C5" w:rsidRPr="008665C5" w:rsidRDefault="008665C5" w:rsidP="008665C5">
      <w:pPr>
        <w:rPr>
          <w:rFonts w:ascii="Times New Roman" w:hAnsi="Times New Roman" w:cs="Times New Roman"/>
          <w:sz w:val="24"/>
          <w:szCs w:val="24"/>
        </w:rPr>
      </w:pPr>
      <w:r w:rsidRPr="008665C5">
        <w:rPr>
          <w:rFonts w:ascii="Times New Roman" w:hAnsi="Times New Roman" w:cs="Times New Roman"/>
          <w:sz w:val="24"/>
          <w:szCs w:val="24"/>
        </w:rPr>
        <w:t>Article 4(3) - CCP’s ability to assess in detail the internal risk management framework and internal control systems of a clearing member may be limited. Such frameworks are primarily subject to supervisory oversight by competent authorities, and full access to the relevant information may not be available to the CCP.</w:t>
      </w:r>
    </w:p>
    <w:p w14:paraId="03AECFA3" w14:textId="77777777" w:rsidR="008665C5" w:rsidRPr="008665C5" w:rsidRDefault="008665C5" w:rsidP="008665C5">
      <w:pPr>
        <w:rPr>
          <w:rFonts w:ascii="Times New Roman" w:hAnsi="Times New Roman" w:cs="Times New Roman"/>
          <w:sz w:val="24"/>
          <w:szCs w:val="24"/>
        </w:rPr>
      </w:pPr>
      <w:r w:rsidRPr="008665C5">
        <w:rPr>
          <w:rFonts w:ascii="Times New Roman" w:hAnsi="Times New Roman" w:cs="Times New Roman"/>
          <w:sz w:val="24"/>
          <w:szCs w:val="24"/>
        </w:rPr>
        <w:lastRenderedPageBreak/>
        <w:t>In this context, further clarification of the scope of this requirement, as well as the possibility for the CCP to rely on information and documentation provided by the clearing member, would support a proportionate and practicable application.</w:t>
      </w:r>
    </w:p>
    <w:p w14:paraId="646040E2" w14:textId="3A419901" w:rsidR="008665C5" w:rsidRPr="008665C5" w:rsidRDefault="008665C5" w:rsidP="008665C5">
      <w:pPr>
        <w:rPr>
          <w:rFonts w:ascii="Times New Roman" w:hAnsi="Times New Roman" w:cs="Times New Roman"/>
          <w:sz w:val="24"/>
          <w:szCs w:val="24"/>
        </w:rPr>
      </w:pPr>
      <w:r w:rsidRPr="008665C5">
        <w:rPr>
          <w:rFonts w:ascii="Times New Roman" w:hAnsi="Times New Roman" w:cs="Times New Roman"/>
          <w:sz w:val="24"/>
          <w:szCs w:val="24"/>
        </w:rPr>
        <w:t>Article 4(</w:t>
      </w:r>
      <w:proofErr w:type="gramStart"/>
      <w:r w:rsidRPr="008665C5">
        <w:rPr>
          <w:rFonts w:ascii="Times New Roman" w:hAnsi="Times New Roman" w:cs="Times New Roman"/>
          <w:sz w:val="24"/>
          <w:szCs w:val="24"/>
        </w:rPr>
        <w:t>4);(</w:t>
      </w:r>
      <w:proofErr w:type="gramEnd"/>
      <w:r w:rsidRPr="008665C5">
        <w:rPr>
          <w:rFonts w:ascii="Times New Roman" w:hAnsi="Times New Roman" w:cs="Times New Roman"/>
          <w:sz w:val="24"/>
          <w:szCs w:val="24"/>
        </w:rPr>
        <w:t xml:space="preserve">6) - the CCP’s ability to assess legal capacity, enforceability of its rules, potential conflicts of laws, anti-money </w:t>
      </w:r>
      <w:proofErr w:type="gramStart"/>
      <w:r w:rsidRPr="008665C5">
        <w:rPr>
          <w:rFonts w:ascii="Times New Roman" w:hAnsi="Times New Roman" w:cs="Times New Roman"/>
          <w:sz w:val="24"/>
          <w:szCs w:val="24"/>
        </w:rPr>
        <w:t>laundering</w:t>
      </w:r>
      <w:proofErr w:type="gramEnd"/>
      <w:r w:rsidRPr="008665C5">
        <w:rPr>
          <w:rFonts w:ascii="Times New Roman" w:hAnsi="Times New Roman" w:cs="Times New Roman"/>
          <w:sz w:val="24"/>
          <w:szCs w:val="24"/>
        </w:rPr>
        <w:t xml:space="preserve"> and counter</w:t>
      </w:r>
      <w:r w:rsidR="00297979">
        <w:rPr>
          <w:rFonts w:ascii="Times New Roman" w:hAnsi="Times New Roman" w:cs="Times New Roman"/>
          <w:sz w:val="24"/>
          <w:szCs w:val="24"/>
        </w:rPr>
        <w:t>-</w:t>
      </w:r>
      <w:r w:rsidRPr="008665C5">
        <w:rPr>
          <w:rFonts w:ascii="Times New Roman" w:hAnsi="Times New Roman" w:cs="Times New Roman"/>
          <w:sz w:val="24"/>
          <w:szCs w:val="24"/>
        </w:rPr>
        <w:t>terrorist financing, particularly for clearing members established outside the European Union, may be limited. Further clarification on the scope and depth of these assessments, as well as explicit recognition of the possibility for CCPs to rely on formal declarations, legal opinions and supporting documentation provided by clearing members, would support a proportionate and consistent application of the provision.</w:t>
      </w:r>
    </w:p>
    <w:p w14:paraId="1559EF05" w14:textId="67216449" w:rsidR="008665C5" w:rsidRPr="008665C5" w:rsidRDefault="008665C5" w:rsidP="00693907">
      <w:pPr>
        <w:rPr>
          <w:rFonts w:ascii="Times New Roman" w:hAnsi="Times New Roman" w:cs="Times New Roman"/>
          <w:sz w:val="24"/>
          <w:szCs w:val="24"/>
        </w:rPr>
      </w:pPr>
      <w:r w:rsidRPr="008665C5">
        <w:rPr>
          <w:rFonts w:ascii="Times New Roman" w:hAnsi="Times New Roman" w:cs="Times New Roman"/>
          <w:sz w:val="24"/>
          <w:szCs w:val="24"/>
        </w:rPr>
        <w:t>Article 4(5) - the CCP may experience limitations and practical difficulties in assessing the requirements of resolution framework when evaluating a clearing member. It could therefore be appropriate to clarify that the CCP’s assessment may rely on information provided by the competent authorities or by the clearing member itself through official documents or declarations.</w:t>
      </w:r>
    </w:p>
    <w:permEnd w:id="2012300575"/>
    <w:p w14:paraId="0AB70AFF" w14:textId="36AC52DF"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Do you agree with the suggested elements with regard to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678F8F23" w14:textId="357E03FD" w:rsidR="00297979" w:rsidRDefault="00297979" w:rsidP="00693907">
      <w:pPr>
        <w:rPr>
          <w:rFonts w:ascii="Times New Roman" w:hAnsi="Times New Roman" w:cs="Times New Roman"/>
          <w:sz w:val="24"/>
          <w:szCs w:val="24"/>
        </w:rPr>
      </w:pPr>
      <w:permStart w:id="185675235" w:edGrp="everyone"/>
      <w:r w:rsidRPr="00297979">
        <w:rPr>
          <w:rFonts w:ascii="Times New Roman" w:hAnsi="Times New Roman" w:cs="Times New Roman"/>
          <w:sz w:val="24"/>
          <w:szCs w:val="24"/>
        </w:rPr>
        <w:t xml:space="preserve">Article 5(1)(b) - The assessment of whether clearing members have implemented a robust risk management framework for client clearing may be challenging for the CCP, given </w:t>
      </w:r>
      <w:r>
        <w:rPr>
          <w:rFonts w:ascii="Times New Roman" w:hAnsi="Times New Roman" w:cs="Times New Roman"/>
          <w:sz w:val="24"/>
          <w:szCs w:val="24"/>
        </w:rPr>
        <w:t xml:space="preserve">also </w:t>
      </w:r>
      <w:r w:rsidRPr="00297979">
        <w:rPr>
          <w:rFonts w:ascii="Times New Roman" w:hAnsi="Times New Roman" w:cs="Times New Roman"/>
          <w:sz w:val="24"/>
          <w:szCs w:val="24"/>
        </w:rPr>
        <w:t xml:space="preserve">that key elements of such frameworks are internal and not fully accessible. </w:t>
      </w:r>
      <w:r w:rsidR="00DE3F91" w:rsidRPr="00DE3F91">
        <w:rPr>
          <w:rFonts w:ascii="Times New Roman" w:hAnsi="Times New Roman" w:cs="Times New Roman"/>
          <w:sz w:val="24"/>
          <w:szCs w:val="24"/>
        </w:rPr>
        <w:t>Clarification of the scope and depth of the assessment expected from the CCP, including the possibility to rely on information</w:t>
      </w:r>
      <w:r w:rsidR="00DE3F91">
        <w:rPr>
          <w:rFonts w:ascii="Times New Roman" w:hAnsi="Times New Roman" w:cs="Times New Roman"/>
          <w:sz w:val="24"/>
          <w:szCs w:val="24"/>
        </w:rPr>
        <w:t xml:space="preserve"> and</w:t>
      </w:r>
      <w:r w:rsidR="00DE3F91" w:rsidRPr="00DE3F91">
        <w:rPr>
          <w:rFonts w:ascii="Times New Roman" w:hAnsi="Times New Roman" w:cs="Times New Roman"/>
          <w:sz w:val="24"/>
          <w:szCs w:val="24"/>
        </w:rPr>
        <w:t xml:space="preserve"> documentation provided by the clearing member, would support a proportionate and practicable application of this requirement.</w:t>
      </w:r>
    </w:p>
    <w:permEnd w:id="185675235"/>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t>Do you agree with the suggested elements with regard to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64E3603A" w14:textId="77777777" w:rsidR="00693907" w:rsidRDefault="00693907" w:rsidP="00693907">
      <w:permStart w:id="1016208263" w:edGrp="everyone"/>
      <w:r>
        <w:lastRenderedPageBreak/>
        <w:t>TYPE YOUR TEXT HERE</w:t>
      </w:r>
    </w:p>
    <w:permEnd w:id="1016208263"/>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268F1B7E" w14:textId="77777777" w:rsidR="00693907" w:rsidRDefault="00693907" w:rsidP="00693907">
      <w:permStart w:id="90601763" w:edGrp="everyone"/>
      <w:r>
        <w:t>TYPE YOUR TEXT HERE</w:t>
      </w:r>
    </w:p>
    <w:permEnd w:id="90601763"/>
    <w:p w14:paraId="5B1E788E" w14:textId="48778C07" w:rsidR="00693907" w:rsidRDefault="00693907" w:rsidP="00693907">
      <w:r>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6ABDE3F2" w14:textId="77777777" w:rsidR="00693907" w:rsidRDefault="00693907" w:rsidP="00693907">
      <w:permStart w:id="689849779" w:edGrp="everyone"/>
      <w:r>
        <w:t>TYPE YOUR TEXT HERE</w:t>
      </w:r>
    </w:p>
    <w:permEnd w:id="689849779"/>
    <w:p w14:paraId="11DE980E" w14:textId="4FFC169B" w:rsidR="00693907" w:rsidRDefault="00693907" w:rsidP="00693907">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6205" w14:textId="77777777" w:rsidR="00B666D7" w:rsidRDefault="00B666D7" w:rsidP="00F716D4">
      <w:r>
        <w:separator/>
      </w:r>
    </w:p>
    <w:p w14:paraId="2B6744BE" w14:textId="77777777" w:rsidR="00B666D7" w:rsidRDefault="00B666D7" w:rsidP="00F716D4"/>
  </w:endnote>
  <w:endnote w:type="continuationSeparator" w:id="0">
    <w:p w14:paraId="240D72DA" w14:textId="77777777" w:rsidR="00B666D7" w:rsidRDefault="00B666D7" w:rsidP="00F716D4">
      <w:r>
        <w:continuationSeparator/>
      </w:r>
    </w:p>
    <w:p w14:paraId="32FBEC1D" w14:textId="77777777" w:rsidR="00B666D7" w:rsidRDefault="00B666D7" w:rsidP="00F716D4"/>
  </w:endnote>
  <w:endnote w:type="continuationNotice" w:id="1">
    <w:p w14:paraId="1519BE35" w14:textId="77777777" w:rsidR="00B666D7" w:rsidRDefault="00B666D7"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80C5" w14:textId="77777777" w:rsidR="00B666D7" w:rsidRDefault="00B666D7" w:rsidP="00F716D4">
      <w:r>
        <w:separator/>
      </w:r>
    </w:p>
    <w:p w14:paraId="2CD8AE7B" w14:textId="77777777" w:rsidR="00B666D7" w:rsidRDefault="00B666D7" w:rsidP="00F716D4"/>
  </w:footnote>
  <w:footnote w:type="continuationSeparator" w:id="0">
    <w:p w14:paraId="1607A2EE" w14:textId="77777777" w:rsidR="00B666D7" w:rsidRDefault="00B666D7" w:rsidP="00F716D4">
      <w:r>
        <w:continuationSeparator/>
      </w:r>
    </w:p>
    <w:p w14:paraId="3E02443A" w14:textId="77777777" w:rsidR="00B666D7" w:rsidRDefault="00B666D7" w:rsidP="00F716D4"/>
  </w:footnote>
  <w:footnote w:type="continuationNotice" w:id="1">
    <w:p w14:paraId="3A0A7E61" w14:textId="77777777" w:rsidR="00B666D7" w:rsidRDefault="00B666D7"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2248671">
    <w:abstractNumId w:val="14"/>
  </w:num>
  <w:num w:numId="2" w16cid:durableId="1149709712">
    <w:abstractNumId w:val="17"/>
  </w:num>
  <w:num w:numId="3" w16cid:durableId="1029601855">
    <w:abstractNumId w:val="9"/>
  </w:num>
  <w:num w:numId="4" w16cid:durableId="251932775">
    <w:abstractNumId w:val="22"/>
  </w:num>
  <w:num w:numId="5" w16cid:durableId="1046295271">
    <w:abstractNumId w:val="0"/>
  </w:num>
  <w:num w:numId="6" w16cid:durableId="1445609334">
    <w:abstractNumId w:val="3"/>
  </w:num>
  <w:num w:numId="7" w16cid:durableId="1622683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412778">
    <w:abstractNumId w:val="29"/>
  </w:num>
  <w:num w:numId="9" w16cid:durableId="18618910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3531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596209">
    <w:abstractNumId w:val="25"/>
  </w:num>
  <w:num w:numId="12" w16cid:durableId="2143957848">
    <w:abstractNumId w:val="28"/>
  </w:num>
  <w:num w:numId="13" w16cid:durableId="173960913">
    <w:abstractNumId w:val="21"/>
  </w:num>
  <w:num w:numId="14" w16cid:durableId="1010303530">
    <w:abstractNumId w:val="8"/>
  </w:num>
  <w:num w:numId="15" w16cid:durableId="2099599923">
    <w:abstractNumId w:val="1"/>
  </w:num>
  <w:num w:numId="16" w16cid:durableId="1105929558">
    <w:abstractNumId w:val="12"/>
  </w:num>
  <w:num w:numId="17" w16cid:durableId="1694569014">
    <w:abstractNumId w:val="13"/>
  </w:num>
  <w:num w:numId="18" w16cid:durableId="143744301">
    <w:abstractNumId w:val="15"/>
  </w:num>
  <w:num w:numId="19" w16cid:durableId="1417434508">
    <w:abstractNumId w:val="24"/>
  </w:num>
  <w:num w:numId="20" w16cid:durableId="304119325">
    <w:abstractNumId w:val="33"/>
  </w:num>
  <w:num w:numId="21" w16cid:durableId="328483882">
    <w:abstractNumId w:val="23"/>
  </w:num>
  <w:num w:numId="22" w16cid:durableId="1362584519">
    <w:abstractNumId w:val="7"/>
  </w:num>
  <w:num w:numId="23" w16cid:durableId="357387578">
    <w:abstractNumId w:val="27"/>
  </w:num>
  <w:num w:numId="24" w16cid:durableId="842548661">
    <w:abstractNumId w:val="26"/>
  </w:num>
  <w:num w:numId="25" w16cid:durableId="409500455">
    <w:abstractNumId w:val="18"/>
  </w:num>
  <w:num w:numId="26" w16cid:durableId="841775472">
    <w:abstractNumId w:val="30"/>
  </w:num>
  <w:num w:numId="27" w16cid:durableId="2000110534">
    <w:abstractNumId w:val="35"/>
  </w:num>
  <w:num w:numId="28" w16cid:durableId="185139920">
    <w:abstractNumId w:val="5"/>
  </w:num>
  <w:num w:numId="29" w16cid:durableId="1516766689">
    <w:abstractNumId w:val="2"/>
  </w:num>
  <w:num w:numId="30" w16cid:durableId="318387310">
    <w:abstractNumId w:val="20"/>
  </w:num>
  <w:num w:numId="31" w16cid:durableId="1681472893">
    <w:abstractNumId w:val="19"/>
  </w:num>
  <w:num w:numId="32" w16cid:durableId="1582982316">
    <w:abstractNumId w:val="32"/>
  </w:num>
  <w:num w:numId="33" w16cid:durableId="1287275957">
    <w:abstractNumId w:val="31"/>
  </w:num>
  <w:num w:numId="34" w16cid:durableId="1330910378">
    <w:abstractNumId w:val="10"/>
  </w:num>
  <w:num w:numId="35" w16cid:durableId="965550912">
    <w:abstractNumId w:val="16"/>
  </w:num>
  <w:num w:numId="36" w16cid:durableId="1519930328">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1128"/>
    <w:rsid w:val="00033A94"/>
    <w:rsid w:val="000344D6"/>
    <w:rsid w:val="00034960"/>
    <w:rsid w:val="00036D22"/>
    <w:rsid w:val="00036FAE"/>
    <w:rsid w:val="000370D3"/>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4B6A"/>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6CE2"/>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346"/>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6BAE"/>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0E00"/>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4A4"/>
    <w:rsid w:val="00287BBB"/>
    <w:rsid w:val="00287E3B"/>
    <w:rsid w:val="00290638"/>
    <w:rsid w:val="00291763"/>
    <w:rsid w:val="00291D80"/>
    <w:rsid w:val="00292E82"/>
    <w:rsid w:val="00293156"/>
    <w:rsid w:val="00293BE7"/>
    <w:rsid w:val="00293D78"/>
    <w:rsid w:val="002946DC"/>
    <w:rsid w:val="0029493B"/>
    <w:rsid w:val="00297979"/>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6E07"/>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3C1E"/>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97E40"/>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0154"/>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25B1"/>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5E28"/>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11BE"/>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31F"/>
    <w:rsid w:val="00716774"/>
    <w:rsid w:val="0071740A"/>
    <w:rsid w:val="007209DD"/>
    <w:rsid w:val="007214DD"/>
    <w:rsid w:val="00722E49"/>
    <w:rsid w:val="00723A08"/>
    <w:rsid w:val="00723B5C"/>
    <w:rsid w:val="00724391"/>
    <w:rsid w:val="00724C18"/>
    <w:rsid w:val="00725233"/>
    <w:rsid w:val="00725F9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5C5"/>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2D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190A"/>
    <w:rsid w:val="008F2413"/>
    <w:rsid w:val="008F248D"/>
    <w:rsid w:val="008F2677"/>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131D"/>
    <w:rsid w:val="00952F2C"/>
    <w:rsid w:val="009532E3"/>
    <w:rsid w:val="00953615"/>
    <w:rsid w:val="00954BAF"/>
    <w:rsid w:val="00955F48"/>
    <w:rsid w:val="009560B3"/>
    <w:rsid w:val="0095745E"/>
    <w:rsid w:val="00957CE0"/>
    <w:rsid w:val="0096002E"/>
    <w:rsid w:val="0096039E"/>
    <w:rsid w:val="009617C7"/>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1B"/>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36EA"/>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6D7"/>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C4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099"/>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0994"/>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917"/>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D4"/>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0F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3F91"/>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4C2D"/>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570"/>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00FF6923"/>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sma.europa.eu/about-esma/data-protection" TargetMode="External"/><Relationship Id="rId28" Type="http://schemas.openxmlformats.org/officeDocument/2006/relationships/footer" Target="footer4.xml"/><Relationship Id="rId10" Type="http://schemas.openxmlformats.org/officeDocument/2006/relationships/webSettings" Target="webSetting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esma.europa.eu" TargetMode="External"/><Relationship Id="rId27" Type="http://schemas.openxmlformats.org/officeDocument/2006/relationships/header" Target="header5.xml"/><Relationship Id="rId30" Type="http://schemas.openxmlformats.org/officeDocument/2006/relationships/footer" Target="footer5.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606</Value>
      <Value>10</Value>
      <Value>17</Value>
      <Value>469</Value>
    </TaxCatchAll>
    <_dlc_DocId xmlns="d0fb0f98-34f9-4d57-9559-eb8efd17aa5e">ESMA91-1505572268-4497</_dlc_DocId>
    <_dlc_DocIdUrl xmlns="d0fb0f98-34f9-4d57-9559-eb8efd17aa5e">
      <Url>https://securitiesandmarketsauth.sharepoint.com/sites/sherpa-ccp/_layouts/15/DocIdRedir.aspx?ID=ESMA91-1505572268-4497</Url>
      <Description>ESMA91-1505572268-4497</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Participation requirements</TermName>
          <TermId xmlns="http://schemas.microsoft.com/office/infopath/2007/PartnerControls">018c9db9-b83f-494a-9356-2d7b5cc90d25</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7</Pages>
  <Words>1280</Words>
  <Characters>7730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iva</cp:lastModifiedBy>
  <cp:revision>38</cp:revision>
  <cp:lastPrinted>2015-02-18T20:01:00Z</cp:lastPrinted>
  <dcterms:created xsi:type="dcterms:W3CDTF">2025-12-31T10:19:00Z</dcterms:created>
  <dcterms:modified xsi:type="dcterms:W3CDTF">2026-01-05T12:20:00Z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0aa9a312-a318-40a8-8057-8b3250272324</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606;#Participation requirements|018c9db9-b83f-494a-9356-2d7b5cc90d25</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y fmtid="{D5CDD505-2E9C-101B-9397-08002B2CF9AE}" pid="29" name="GrammarlyDocumentId">
    <vt:lpwstr>fbef7c96-2f44-49d3-8e94-f89ae3428f4d</vt:lpwstr>
  </property>
</Properties>
</file>