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B7B7FF7" w:rsidR="004E60D2" w:rsidRPr="00252134" w:rsidRDefault="007C5962" w:rsidP="004E60D2">
      <w:pPr>
        <w:pStyle w:val="Subtitle"/>
        <w:spacing w:after="0"/>
        <w:rPr>
          <w:b w:val="0"/>
          <w:bCs w:val="0"/>
        </w:rPr>
        <w:sectPr w:rsidR="004E60D2" w:rsidRPr="00252134" w:rsidSect="004E60D2">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862" w:footer="862" w:gutter="0"/>
          <w:pgNumType w:start="0"/>
          <w:cols w:space="708"/>
          <w:titlePg/>
          <w:docGrid w:linePitch="360"/>
        </w:sectPr>
      </w:pPr>
      <w:r>
        <w:t>Consultation Paper on a d</w:t>
      </w:r>
      <w:r w:rsidRPr="007C5962">
        <w:t xml:space="preserve">raft RTS on </w:t>
      </w:r>
      <w:r w:rsidR="00766647">
        <w:t>Participation Requirements</w:t>
      </w:r>
      <w:r w:rsidRPr="007C5962">
        <w:t xml:space="preserve"> under </w:t>
      </w:r>
      <w:r w:rsidR="009013B5">
        <w:t xml:space="preserve">Article 37(7) of </w:t>
      </w:r>
      <w:r w:rsidRPr="007C5962">
        <w:t xml:space="preserve">EMIR </w:t>
      </w:r>
      <w:r w:rsidRPr="00840209">
        <w:rPr>
          <w:b w:val="0"/>
          <w:bCs w:val="0"/>
          <w:noProof/>
        </w:rPr>
        <w:t xml:space="preserve"> </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8"/>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84930"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20"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24F4AE66"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Paragraph"/>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7EC3F978" w:rsidR="00E70E2E" w:rsidRDefault="00E70E2E" w:rsidP="00E70E2E">
      <w:pPr>
        <w:rPr>
          <w:b/>
        </w:rPr>
      </w:pPr>
      <w:r w:rsidRPr="00517886">
        <w:t xml:space="preserve">ESMA will consider all comments received by </w:t>
      </w:r>
      <w:r w:rsidR="009013B5">
        <w:rPr>
          <w:b/>
        </w:rPr>
        <w:t>5 January 2026</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7D597908"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EB4138">
        <w:t>PART</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79796B11"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EB4138">
        <w:t>PART</w:t>
      </w:r>
      <w:r w:rsidRPr="00863BFD">
        <w:t>_nameofrespondent</w:t>
      </w:r>
      <w:proofErr w:type="spellEnd"/>
      <w:r w:rsidRPr="00863BFD">
        <w:t xml:space="preserve">. </w:t>
      </w:r>
    </w:p>
    <w:p w14:paraId="115A7ABF" w14:textId="4EDA3A20"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2D2D9F">
        <w:t>PART</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4"/>
          <w:headerReference w:type="default" r:id="rId25"/>
          <w:footerReference w:type="default" r:id="rId26"/>
          <w:headerReference w:type="first" r:id="rId27"/>
          <w:footerReference w:type="first" r:id="rId28"/>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vAlign w:val="center"/>
              </w:tcPr>
              <w:p w14:paraId="633DB1B6" w14:textId="5D63212D" w:rsidR="00C2682A" w:rsidRPr="00104E00" w:rsidRDefault="00616DBF" w:rsidP="00104E00">
                <w:pPr>
                  <w:jc w:val="left"/>
                  <w:rPr>
                    <w:rStyle w:val="PlaceholderText"/>
                  </w:rPr>
                </w:pPr>
                <w:r>
                  <w:rPr>
                    <w:rStyle w:val="PlaceholderText"/>
                  </w:rPr>
                  <w:t>World Federation of Exchanges</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5CBB81C0" w:rsidR="00C2682A" w:rsidRPr="00104E00" w:rsidRDefault="00107247"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16DBF">
                  <w:t>Regulated markets/Exchanges/Trading Systems</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vAlign w:val="center"/>
              </w:tcPr>
              <w:p w14:paraId="4BD68813" w14:textId="63C19EF7" w:rsidR="00C2682A" w:rsidRPr="00104E00" w:rsidRDefault="00616DBF"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vAlign w:val="center"/>
              </w:tcPr>
              <w:p w14:paraId="204E7C89" w14:textId="4C557D5E" w:rsidR="00C2682A" w:rsidRPr="00104E00" w:rsidRDefault="00616DBF" w:rsidP="00104E00">
                <w:pPr>
                  <w:jc w:val="left"/>
                </w:pPr>
                <w:r>
                  <w:t>International</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3452262D" w:rsidR="00693907" w:rsidRPr="00B15006" w:rsidRDefault="0042141E" w:rsidP="00693907">
      <w:pPr>
        <w:pStyle w:val="Questionstyle"/>
      </w:pPr>
      <w:r w:rsidRPr="0042141E">
        <w:t xml:space="preserve">Do you agree with the suggested elements </w:t>
      </w:r>
      <w:proofErr w:type="gramStart"/>
      <w:r w:rsidRPr="0042141E">
        <w:t>with regard to</w:t>
      </w:r>
      <w:proofErr w:type="gramEnd"/>
      <w:r w:rsidRPr="0042141E">
        <w:t xml:space="preserve"> fair and open access and transparency? Should the CCP consider other elements? Please justify your response and provide evidence.</w:t>
      </w:r>
      <w:r w:rsidR="00693907" w:rsidRPr="00B15006">
        <w:t xml:space="preserve">    </w:t>
      </w:r>
    </w:p>
    <w:p w14:paraId="1E634CEC" w14:textId="3A8C710D" w:rsidR="00693907" w:rsidRDefault="00693907" w:rsidP="00693907">
      <w:r>
        <w:t>&lt;ESMA_QUESTION_</w:t>
      </w:r>
      <w:r w:rsidR="004F1A78">
        <w:t>PART</w:t>
      </w:r>
      <w:r>
        <w:t>_1&gt;</w:t>
      </w:r>
    </w:p>
    <w:p w14:paraId="7FF2393D" w14:textId="34350BA1" w:rsidR="0050530E" w:rsidRPr="00DD100A" w:rsidRDefault="0050530E" w:rsidP="005247CD">
      <w:pPr>
        <w:jc w:val="left"/>
        <w:rPr>
          <w:rFonts w:ascii="Segoe UI" w:eastAsia="Times New Roman" w:hAnsi="Segoe UI" w:cs="Segoe UI"/>
          <w:sz w:val="18"/>
          <w:szCs w:val="18"/>
        </w:rPr>
      </w:pPr>
      <w:r w:rsidRPr="00EF69D3">
        <w:rPr>
          <w:rFonts w:ascii="Segoe UI" w:eastAsia="Times New Roman" w:hAnsi="Segoe UI" w:cs="Segoe UI"/>
          <w:sz w:val="18"/>
          <w:szCs w:val="18"/>
        </w:rPr>
        <w:t xml:space="preserve">Several provisions risk turning CCP admission criteria into a duplication of CCPs’ ongoing, resource-intensive risk management processes. In particular, the draft text suggests that CCPs should assess forward-looking drivers such as increases in portfolio risk arising from activity, concentration, wrong-way or liquidity risk as part of static admission criteria. In practice, this type of analysis relies on continuous monitoring, dynamic data and stress testing frameworks that are already embedded in CCPs’ day-to-day risk </w:t>
      </w:r>
      <w:proofErr w:type="gramStart"/>
      <w:r w:rsidRPr="00EF69D3">
        <w:rPr>
          <w:rFonts w:ascii="Segoe UI" w:eastAsia="Times New Roman" w:hAnsi="Segoe UI" w:cs="Segoe UI"/>
          <w:sz w:val="18"/>
          <w:szCs w:val="18"/>
        </w:rPr>
        <w:t>management, and</w:t>
      </w:r>
      <w:proofErr w:type="gramEnd"/>
      <w:r w:rsidRPr="00EF69D3">
        <w:rPr>
          <w:rFonts w:ascii="Segoe UI" w:eastAsia="Times New Roman" w:hAnsi="Segoe UI" w:cs="Segoe UI"/>
          <w:sz w:val="18"/>
          <w:szCs w:val="18"/>
        </w:rPr>
        <w:t xml:space="preserve"> would therefore require CCPs to replicate those processes at the point of admission. This would create material additional operational burden while blurring the important distinction between one-off gateway assessments at onboarding and ongoing risk management and supervision. We therefore recommend that the RTS make this distinction </w:t>
      </w:r>
      <w:proofErr w:type="gramStart"/>
      <w:r w:rsidRPr="00EF69D3">
        <w:rPr>
          <w:rFonts w:ascii="Segoe UI" w:eastAsia="Times New Roman" w:hAnsi="Segoe UI" w:cs="Segoe UI"/>
          <w:sz w:val="18"/>
          <w:szCs w:val="18"/>
        </w:rPr>
        <w:t>explicit, and</w:t>
      </w:r>
      <w:proofErr w:type="gramEnd"/>
      <w:r w:rsidRPr="00EF69D3">
        <w:rPr>
          <w:rFonts w:ascii="Segoe UI" w:eastAsia="Times New Roman" w:hAnsi="Segoe UI" w:cs="Segoe UI"/>
          <w:sz w:val="18"/>
          <w:szCs w:val="18"/>
        </w:rPr>
        <w:t xml:space="preserve"> clarify that admission criteria should focus on baseline capability and eligibility, with evolving portfolio-level risks addressed through existing risk management tools once a member is admitted.</w:t>
      </w:r>
    </w:p>
    <w:p w14:paraId="0A8ADD7D" w14:textId="77777777" w:rsidR="0050530E" w:rsidRPr="00B121A3" w:rsidRDefault="0050530E" w:rsidP="005247CD">
      <w:pPr>
        <w:jc w:val="left"/>
        <w:rPr>
          <w:rFonts w:ascii="Segoe UI" w:eastAsia="Times New Roman" w:hAnsi="Segoe UI" w:cs="Segoe UI"/>
          <w:sz w:val="18"/>
          <w:szCs w:val="18"/>
        </w:rPr>
      </w:pPr>
      <w:r>
        <w:rPr>
          <w:rFonts w:ascii="Segoe UI" w:eastAsia="Times New Roman" w:hAnsi="Segoe UI" w:cs="Segoe UI"/>
          <w:sz w:val="18"/>
          <w:szCs w:val="18"/>
        </w:rPr>
        <w:t xml:space="preserve">We </w:t>
      </w:r>
      <w:r w:rsidRPr="00B121A3">
        <w:rPr>
          <w:rFonts w:ascii="Segoe UI" w:eastAsia="Times New Roman" w:hAnsi="Segoe UI" w:cs="Segoe UI"/>
          <w:sz w:val="18"/>
          <w:szCs w:val="18"/>
        </w:rPr>
        <w:t>welcome</w:t>
      </w:r>
      <w:r w:rsidRPr="00DD100A">
        <w:rPr>
          <w:rFonts w:ascii="Segoe UI" w:eastAsia="Times New Roman" w:hAnsi="Segoe UI" w:cs="Segoe UI"/>
          <w:sz w:val="18"/>
          <w:szCs w:val="18"/>
        </w:rPr>
        <w:t xml:space="preserve"> ESMA’s recognition of different member types</w:t>
      </w:r>
      <w:r>
        <w:rPr>
          <w:rFonts w:ascii="Segoe UI" w:eastAsia="Times New Roman" w:hAnsi="Segoe UI" w:cs="Segoe UI"/>
          <w:sz w:val="18"/>
          <w:szCs w:val="18"/>
        </w:rPr>
        <w:t xml:space="preserve"> but</w:t>
      </w:r>
      <w:r w:rsidRPr="00DD100A">
        <w:rPr>
          <w:rFonts w:ascii="Segoe UI" w:eastAsia="Times New Roman" w:hAnsi="Segoe UI" w:cs="Segoe UI"/>
          <w:sz w:val="18"/>
          <w:szCs w:val="18"/>
        </w:rPr>
        <w:t xml:space="preserve"> emphasise that proportionality must remain at the CCP’s discretion</w:t>
      </w:r>
      <w:r>
        <w:rPr>
          <w:rFonts w:ascii="Segoe UI" w:eastAsia="Times New Roman" w:hAnsi="Segoe UI" w:cs="Segoe UI"/>
          <w:sz w:val="18"/>
          <w:szCs w:val="18"/>
        </w:rPr>
        <w:t xml:space="preserve">, as </w:t>
      </w:r>
      <w:r w:rsidRPr="000A1155">
        <w:rPr>
          <w:rFonts w:ascii="Segoe UI" w:eastAsia="Times New Roman" w:hAnsi="Segoe UI" w:cs="Segoe UI"/>
          <w:sz w:val="18"/>
          <w:szCs w:val="18"/>
        </w:rPr>
        <w:t>CCPs must retain flexibility to calibrate and adjust criteria according to evolving market structure, participant behaviour and stress experience</w:t>
      </w:r>
      <w:r>
        <w:rPr>
          <w:rFonts w:ascii="Segoe UI" w:eastAsia="Times New Roman" w:hAnsi="Segoe UI" w:cs="Segoe UI"/>
          <w:sz w:val="18"/>
          <w:szCs w:val="18"/>
        </w:rPr>
        <w:t xml:space="preserve">. </w:t>
      </w:r>
      <w:r w:rsidRPr="00DD100A">
        <w:rPr>
          <w:rFonts w:ascii="Segoe UI" w:eastAsia="Times New Roman" w:hAnsi="Segoe UI" w:cs="Segoe UI"/>
          <w:sz w:val="18"/>
          <w:szCs w:val="18"/>
        </w:rPr>
        <w:t xml:space="preserve">This includes limiting certain admission criteria to </w:t>
      </w:r>
      <w:r>
        <w:rPr>
          <w:rFonts w:ascii="Segoe UI" w:eastAsia="Times New Roman" w:hAnsi="Segoe UI" w:cs="Segoe UI"/>
          <w:sz w:val="18"/>
          <w:szCs w:val="18"/>
        </w:rPr>
        <w:t>specific</w:t>
      </w:r>
      <w:r w:rsidRPr="00DD100A">
        <w:rPr>
          <w:rFonts w:ascii="Segoe UI" w:eastAsia="Times New Roman" w:hAnsi="Segoe UI" w:cs="Segoe UI"/>
          <w:sz w:val="18"/>
          <w:szCs w:val="18"/>
        </w:rPr>
        <w:t xml:space="preserve"> products, services or segments.</w:t>
      </w:r>
      <w:r>
        <w:rPr>
          <w:rFonts w:ascii="Segoe UI" w:eastAsia="Times New Roman" w:hAnsi="Segoe UI" w:cs="Segoe UI"/>
          <w:sz w:val="18"/>
          <w:szCs w:val="18"/>
        </w:rPr>
        <w:t xml:space="preserve"> While we support the publishing</w:t>
      </w:r>
      <w:r w:rsidRPr="00DD100A">
        <w:rPr>
          <w:rFonts w:ascii="Segoe UI" w:eastAsia="Times New Roman" w:hAnsi="Segoe UI" w:cs="Segoe UI"/>
          <w:sz w:val="18"/>
          <w:szCs w:val="18"/>
        </w:rPr>
        <w:t xml:space="preserve"> of admission criteria, </w:t>
      </w:r>
      <w:r w:rsidRPr="00D75FE4">
        <w:rPr>
          <w:rFonts w:ascii="Segoe UI" w:eastAsia="Times New Roman" w:hAnsi="Segoe UI" w:cs="Segoe UI"/>
          <w:sz w:val="18"/>
          <w:szCs w:val="18"/>
        </w:rPr>
        <w:t>this ought not to</w:t>
      </w:r>
      <w:r w:rsidRPr="00DF6CB2">
        <w:rPr>
          <w:rFonts w:ascii="Segoe UI" w:eastAsia="Times New Roman" w:hAnsi="Segoe UI" w:cs="Segoe UI"/>
          <w:sz w:val="18"/>
          <w:szCs w:val="18"/>
        </w:rPr>
        <w:t xml:space="preserve"> include</w:t>
      </w:r>
      <w:r>
        <w:rPr>
          <w:rFonts w:ascii="Segoe UI" w:eastAsia="Times New Roman" w:hAnsi="Segoe UI" w:cs="Segoe UI"/>
          <w:sz w:val="18"/>
          <w:szCs w:val="18"/>
        </w:rPr>
        <w:t xml:space="preserve"> aspects which should </w:t>
      </w:r>
      <w:r w:rsidRPr="00DD100A">
        <w:rPr>
          <w:rFonts w:ascii="Segoe UI" w:eastAsia="Times New Roman" w:hAnsi="Segoe UI" w:cs="Segoe UI"/>
          <w:sz w:val="18"/>
          <w:szCs w:val="18"/>
        </w:rPr>
        <w:t>remain confidential</w:t>
      </w:r>
      <w:r>
        <w:rPr>
          <w:rFonts w:ascii="Segoe UI" w:eastAsia="Times New Roman" w:hAnsi="Segoe UI" w:cs="Segoe UI"/>
          <w:sz w:val="18"/>
          <w:szCs w:val="18"/>
        </w:rPr>
        <w:t xml:space="preserve">. CCPs should </w:t>
      </w:r>
      <w:r w:rsidRPr="00044C81">
        <w:rPr>
          <w:rFonts w:ascii="Segoe UI" w:eastAsia="Times New Roman" w:hAnsi="Segoe UI" w:cs="Segoe UI"/>
          <w:sz w:val="18"/>
          <w:szCs w:val="18"/>
        </w:rPr>
        <w:t>not</w:t>
      </w:r>
      <w:r>
        <w:rPr>
          <w:rFonts w:ascii="Segoe UI" w:eastAsia="Times New Roman" w:hAnsi="Segoe UI" w:cs="Segoe UI"/>
          <w:sz w:val="18"/>
          <w:szCs w:val="18"/>
        </w:rPr>
        <w:t xml:space="preserve"> be</w:t>
      </w:r>
      <w:r w:rsidRPr="00044C81">
        <w:rPr>
          <w:rFonts w:ascii="Segoe UI" w:eastAsia="Times New Roman" w:hAnsi="Segoe UI" w:cs="Segoe UI"/>
          <w:sz w:val="18"/>
          <w:szCs w:val="18"/>
        </w:rPr>
        <w:t xml:space="preserve"> expected to disclose specific internal risk limits, models or thresholds that could undermine risk management or reveal commercially sensitive information.</w:t>
      </w:r>
    </w:p>
    <w:p w14:paraId="7D4640BC" w14:textId="3D1EB77E" w:rsidR="00693907" w:rsidRDefault="00693907" w:rsidP="00693907">
      <w:r>
        <w:t>&lt;ESMA_QUESTION_</w:t>
      </w:r>
      <w:r w:rsidR="004F1A78">
        <w:t>PART</w:t>
      </w:r>
      <w:r>
        <w:t>_1&gt;</w:t>
      </w:r>
    </w:p>
    <w:p w14:paraId="0B2E60F7" w14:textId="77777777" w:rsidR="00693907" w:rsidRDefault="00693907" w:rsidP="00693907"/>
    <w:p w14:paraId="0D4A902B" w14:textId="40070A66" w:rsidR="00693907" w:rsidRPr="00C57036" w:rsidRDefault="007C5CE7" w:rsidP="00693907">
      <w:pPr>
        <w:pStyle w:val="Questionstyle"/>
      </w:pPr>
      <w:r w:rsidRPr="007C5CE7">
        <w:lastRenderedPageBreak/>
        <w:t xml:space="preserve">Do you agree with the suggested elements </w:t>
      </w:r>
      <w:proofErr w:type="gramStart"/>
      <w:r w:rsidRPr="007C5CE7">
        <w:t>with regard to</w:t>
      </w:r>
      <w:proofErr w:type="gramEnd"/>
      <w:r w:rsidRPr="007C5CE7">
        <w:t xml:space="preserve"> the clearing member’s financial resources? Should the CCP consider other elements? Please justify your response and provide quantitative evidence.</w:t>
      </w:r>
      <w:r w:rsidR="00693907" w:rsidRPr="00C57036">
        <w:t xml:space="preserve">   </w:t>
      </w:r>
    </w:p>
    <w:p w14:paraId="00896A16" w14:textId="5C3130D3" w:rsidR="00693907" w:rsidRDefault="00693907" w:rsidP="00693907">
      <w:r>
        <w:t>&lt;ESMA_QUESTION_</w:t>
      </w:r>
      <w:r w:rsidR="004F1A78">
        <w:t>PART</w:t>
      </w:r>
      <w:r>
        <w:t>_2&gt;</w:t>
      </w:r>
    </w:p>
    <w:p w14:paraId="71510F32" w14:textId="732BC377" w:rsidR="00B704BC" w:rsidRPr="00DD100A" w:rsidRDefault="00B704BC" w:rsidP="00B704BC">
      <w:pPr>
        <w:rPr>
          <w:rFonts w:ascii="Segoe UI" w:eastAsia="Times New Roman" w:hAnsi="Segoe UI" w:cs="Segoe UI"/>
          <w:b/>
          <w:bCs/>
          <w:sz w:val="18"/>
          <w:szCs w:val="18"/>
        </w:rPr>
      </w:pPr>
      <w:r w:rsidRPr="00E6255D">
        <w:rPr>
          <w:rFonts w:ascii="Segoe UI" w:eastAsia="Times New Roman" w:hAnsi="Segoe UI" w:cs="Segoe UI"/>
          <w:sz w:val="18"/>
          <w:szCs w:val="18"/>
        </w:rPr>
        <w:t>CCPs should not act as first line prudential supervisors. Requirements should focus on confirming a clearing member’s ability to meet its obligations to the CCP across a range of plausible stress scenarios, rather than replicating a prudential supervisory regime through prescriptive inputs or ongoing supervisory-style assessments. An outcomes-based approach is important not only for proportionality, but also to support fair and open access to clearing and a diverse clearing membership, which in turn strengthens market resilience and reduces concentration risk. Replicating prudential supervision would significantly expand CCP responsibilities and require substantial additional staffing without clear risk-management benefits.</w:t>
      </w:r>
    </w:p>
    <w:p w14:paraId="4DC0D7D1" w14:textId="77777777" w:rsidR="00B704BC" w:rsidRPr="00B121A3" w:rsidRDefault="00B704BC" w:rsidP="00B704BC">
      <w:pPr>
        <w:numPr>
          <w:ilvl w:val="0"/>
          <w:numId w:val="37"/>
        </w:numPr>
        <w:spacing w:after="0" w:line="240" w:lineRule="auto"/>
        <w:jc w:val="left"/>
        <w:rPr>
          <w:rFonts w:ascii="Segoe UI" w:eastAsia="Times New Roman" w:hAnsi="Segoe UI" w:cs="Segoe UI"/>
          <w:sz w:val="18"/>
          <w:szCs w:val="18"/>
        </w:rPr>
      </w:pPr>
      <w:r w:rsidRPr="0008244A">
        <w:rPr>
          <w:rFonts w:ascii="Segoe UI" w:eastAsia="Times New Roman" w:hAnsi="Segoe UI" w:cs="Segoe UI"/>
          <w:sz w:val="18"/>
          <w:szCs w:val="18"/>
        </w:rPr>
        <w:t>Market-based indicators</w:t>
      </w:r>
      <w:r>
        <w:rPr>
          <w:rFonts w:ascii="Segoe UI" w:eastAsia="Times New Roman" w:hAnsi="Segoe UI" w:cs="Segoe UI"/>
          <w:sz w:val="18"/>
          <w:szCs w:val="18"/>
        </w:rPr>
        <w:t>:</w:t>
      </w:r>
      <w:r w:rsidRPr="0008244A">
        <w:rPr>
          <w:rFonts w:ascii="Segoe UI" w:eastAsia="Times New Roman" w:hAnsi="Segoe UI" w:cs="Segoe UI"/>
          <w:sz w:val="18"/>
          <w:szCs w:val="18"/>
        </w:rPr>
        <w:t xml:space="preserve"> References to external credit ratings, share prices and CDS spreads should be framed as optional tools rather than mandatory inputs. In practice, this information may be unavailable, incomplete, or not meaningful for certain entities, particularly non-bank or privately held members.</w:t>
      </w:r>
    </w:p>
    <w:p w14:paraId="7A244111" w14:textId="77777777" w:rsidR="00B704BC" w:rsidRPr="00DD100A" w:rsidRDefault="00B704BC" w:rsidP="00B704BC">
      <w:pPr>
        <w:rPr>
          <w:rFonts w:ascii="Segoe UI" w:eastAsia="Times New Roman" w:hAnsi="Segoe UI" w:cs="Segoe UI"/>
          <w:sz w:val="18"/>
          <w:szCs w:val="18"/>
        </w:rPr>
      </w:pPr>
    </w:p>
    <w:p w14:paraId="5BE128B4" w14:textId="77777777" w:rsidR="00B704BC" w:rsidRPr="00B121A3" w:rsidRDefault="00B704BC" w:rsidP="00B704BC">
      <w:pPr>
        <w:numPr>
          <w:ilvl w:val="0"/>
          <w:numId w:val="37"/>
        </w:numPr>
        <w:spacing w:after="0" w:line="240" w:lineRule="auto"/>
        <w:jc w:val="left"/>
        <w:rPr>
          <w:rFonts w:ascii="Segoe UI" w:eastAsia="Times New Roman" w:hAnsi="Segoe UI" w:cs="Segoe UI"/>
          <w:sz w:val="18"/>
          <w:szCs w:val="18"/>
        </w:rPr>
      </w:pPr>
      <w:r w:rsidRPr="00715AA9">
        <w:rPr>
          <w:rFonts w:ascii="Segoe UI" w:eastAsia="Times New Roman" w:hAnsi="Segoe UI" w:cs="Segoe UI"/>
          <w:sz w:val="18"/>
          <w:szCs w:val="18"/>
        </w:rPr>
        <w:t>Outsourcing and third-party reliance</w:t>
      </w:r>
      <w:r>
        <w:rPr>
          <w:rFonts w:ascii="Segoe UI" w:eastAsia="Times New Roman" w:hAnsi="Segoe UI" w:cs="Segoe UI"/>
          <w:sz w:val="18"/>
          <w:szCs w:val="18"/>
        </w:rPr>
        <w:t>:</w:t>
      </w:r>
      <w:r w:rsidRPr="00715AA9">
        <w:rPr>
          <w:rFonts w:ascii="Segoe UI" w:eastAsia="Times New Roman" w:hAnsi="Segoe UI" w:cs="Segoe UI"/>
          <w:sz w:val="18"/>
          <w:szCs w:val="18"/>
        </w:rPr>
        <w:t xml:space="preserve"> CCPs should be able to understand and </w:t>
      </w:r>
      <w:proofErr w:type="gramStart"/>
      <w:r w:rsidRPr="00715AA9">
        <w:rPr>
          <w:rFonts w:ascii="Segoe UI" w:eastAsia="Times New Roman" w:hAnsi="Segoe UI" w:cs="Segoe UI"/>
          <w:sz w:val="18"/>
          <w:szCs w:val="18"/>
        </w:rPr>
        <w:t>take into account</w:t>
      </w:r>
      <w:proofErr w:type="gramEnd"/>
      <w:r w:rsidRPr="00715AA9">
        <w:rPr>
          <w:rFonts w:ascii="Segoe UI" w:eastAsia="Times New Roman" w:hAnsi="Segoe UI" w:cs="Segoe UI"/>
          <w:sz w:val="18"/>
          <w:szCs w:val="18"/>
        </w:rPr>
        <w:t xml:space="preserve"> material third-party dependencies where a clearing member relies on them to meet obligations to the CCP. However, CCPs should not be expected to conduct granular assessments of outsourcing chains across a clearing member’s wider group structure or to assume a supervisory role over third-party providers. It should be sufficient for CCPs to assess that the clearing member has appropriate governance, due diligence, contractual protections and contingency arrangements in place, consistent with its own regulatory obligations.</w:t>
      </w:r>
    </w:p>
    <w:p w14:paraId="67E36139" w14:textId="77777777" w:rsidR="00B704BC" w:rsidRPr="00DD100A" w:rsidRDefault="00B704BC" w:rsidP="00B704BC">
      <w:pPr>
        <w:rPr>
          <w:rFonts w:ascii="Segoe UI" w:eastAsia="Times New Roman" w:hAnsi="Segoe UI" w:cs="Segoe UI"/>
          <w:sz w:val="18"/>
          <w:szCs w:val="18"/>
        </w:rPr>
      </w:pPr>
    </w:p>
    <w:p w14:paraId="1915ADC3" w14:textId="77777777" w:rsidR="00B704BC" w:rsidRPr="00B121A3" w:rsidRDefault="00B704BC" w:rsidP="00B704BC">
      <w:pPr>
        <w:numPr>
          <w:ilvl w:val="0"/>
          <w:numId w:val="37"/>
        </w:numPr>
        <w:spacing w:after="0" w:line="240" w:lineRule="auto"/>
        <w:jc w:val="left"/>
        <w:rPr>
          <w:rFonts w:ascii="Segoe UI" w:eastAsia="Times New Roman" w:hAnsi="Segoe UI" w:cs="Segoe UI"/>
          <w:sz w:val="18"/>
          <w:szCs w:val="18"/>
        </w:rPr>
      </w:pPr>
      <w:r w:rsidRPr="00717DA6">
        <w:rPr>
          <w:rFonts w:ascii="Segoe UI" w:eastAsia="Times New Roman" w:hAnsi="Segoe UI" w:cs="Segoe UI"/>
          <w:sz w:val="18"/>
          <w:szCs w:val="18"/>
        </w:rPr>
        <w:t>Central bank access</w:t>
      </w:r>
      <w:r>
        <w:rPr>
          <w:rFonts w:ascii="Segoe UI" w:eastAsia="Times New Roman" w:hAnsi="Segoe UI" w:cs="Segoe UI"/>
          <w:sz w:val="18"/>
          <w:szCs w:val="18"/>
        </w:rPr>
        <w:t>:</w:t>
      </w:r>
      <w:r w:rsidRPr="00717DA6">
        <w:rPr>
          <w:rFonts w:ascii="Segoe UI" w:eastAsia="Times New Roman" w:hAnsi="Segoe UI" w:cs="Segoe UI"/>
          <w:sz w:val="18"/>
          <w:szCs w:val="18"/>
        </w:rPr>
        <w:t xml:space="preserve"> CCPs should be permitted to calibrate appropriate safeguards for members without access to central bank facilities, rather than treating central bank access as a binary eligibility criterion.</w:t>
      </w:r>
    </w:p>
    <w:p w14:paraId="6FB7D473" w14:textId="77777777" w:rsidR="00B704BC" w:rsidRDefault="00B704BC" w:rsidP="00B704BC">
      <w:pPr>
        <w:rPr>
          <w:rFonts w:ascii="Segoe UI" w:eastAsia="Times New Roman" w:hAnsi="Segoe UI" w:cs="Segoe UI"/>
          <w:sz w:val="18"/>
          <w:szCs w:val="18"/>
        </w:rPr>
      </w:pPr>
    </w:p>
    <w:p w14:paraId="7A5E2BF8" w14:textId="77777777" w:rsidR="00B704BC" w:rsidRPr="00DD100A" w:rsidRDefault="00B704BC" w:rsidP="00B704BC">
      <w:pPr>
        <w:rPr>
          <w:rFonts w:ascii="Segoe UI" w:eastAsia="Times New Roman" w:hAnsi="Segoe UI" w:cs="Segoe UI"/>
          <w:sz w:val="18"/>
          <w:szCs w:val="18"/>
        </w:rPr>
      </w:pPr>
      <w:r w:rsidRPr="00F81B8D">
        <w:rPr>
          <w:rFonts w:ascii="Segoe UI" w:eastAsia="Times New Roman" w:hAnsi="Segoe UI" w:cs="Segoe UI"/>
          <w:sz w:val="18"/>
          <w:szCs w:val="18"/>
        </w:rPr>
        <w:t>Overall, we recommend that the RTS focus on the outcome that a clearing member can reliably meet its obligations to the CCP under stress, without mandating specific ratios, metrics or rating thresholds that could unintentionally restrict access or discourage a broader and more resilient clearing ecosystem.</w:t>
      </w:r>
    </w:p>
    <w:p w14:paraId="456D2494" w14:textId="58428063" w:rsidR="00693907" w:rsidRDefault="00693907" w:rsidP="00693907">
      <w:r>
        <w:t>&lt;ESMA_QUESTION_</w:t>
      </w:r>
      <w:r w:rsidR="004F1A78">
        <w:t>PART</w:t>
      </w:r>
      <w:r>
        <w:t>_2&gt;</w:t>
      </w:r>
    </w:p>
    <w:p w14:paraId="07210AC9" w14:textId="77777777" w:rsidR="00693907" w:rsidRDefault="00693907" w:rsidP="00693907"/>
    <w:p w14:paraId="19A7880E" w14:textId="38362F1E" w:rsidR="00693907" w:rsidRPr="00EB5987" w:rsidRDefault="006901CE" w:rsidP="00693907">
      <w:pPr>
        <w:pStyle w:val="Questionstyle"/>
      </w:pPr>
      <w:r w:rsidRPr="006901CE">
        <w:t xml:space="preserve">Do you agree with the suggested elements </w:t>
      </w:r>
      <w:proofErr w:type="gramStart"/>
      <w:r w:rsidRPr="006901CE">
        <w:t>with regard to</w:t>
      </w:r>
      <w:proofErr w:type="gramEnd"/>
      <w:r w:rsidRPr="006901CE">
        <w:t xml:space="preserve"> the clearing member’s operational capacity? Should the CCP consider other elements? Please justify your response and provide evidence.</w:t>
      </w:r>
      <w:r>
        <w:t xml:space="preserve"> </w:t>
      </w:r>
      <w:r w:rsidR="00693907" w:rsidRPr="00EB5987">
        <w:t xml:space="preserve">    </w:t>
      </w:r>
    </w:p>
    <w:p w14:paraId="4B1B3C0E" w14:textId="57429172" w:rsidR="00693907" w:rsidRDefault="00693907" w:rsidP="00693907">
      <w:r>
        <w:t>&lt;ESMA_QUESTION_</w:t>
      </w:r>
      <w:r w:rsidR="004F1A78">
        <w:t>PART</w:t>
      </w:r>
      <w:r>
        <w:t>_3&gt;</w:t>
      </w:r>
    </w:p>
    <w:p w14:paraId="0F790762" w14:textId="55B8F8FE" w:rsidR="007A5848" w:rsidRPr="00DD100A" w:rsidRDefault="007A5848" w:rsidP="007A5848">
      <w:pPr>
        <w:rPr>
          <w:rFonts w:ascii="Segoe UI" w:eastAsia="Times New Roman" w:hAnsi="Segoe UI" w:cs="Segoe UI"/>
          <w:sz w:val="18"/>
          <w:szCs w:val="18"/>
        </w:rPr>
      </w:pPr>
      <w:r w:rsidRPr="00DD100A">
        <w:rPr>
          <w:rFonts w:ascii="Segoe UI" w:eastAsia="Times New Roman" w:hAnsi="Segoe UI" w:cs="Segoe UI"/>
          <w:sz w:val="18"/>
          <w:szCs w:val="18"/>
        </w:rPr>
        <w:t>Operational capacity is important, but several provisions must be recalibrated for feasibility and proportionality</w:t>
      </w:r>
      <w:r>
        <w:rPr>
          <w:rFonts w:ascii="Segoe UI" w:eastAsia="Times New Roman" w:hAnsi="Segoe UI" w:cs="Segoe UI"/>
          <w:sz w:val="18"/>
          <w:szCs w:val="18"/>
        </w:rPr>
        <w:t xml:space="preserve">. Firstly, </w:t>
      </w:r>
      <w:r w:rsidRPr="00DD100A">
        <w:rPr>
          <w:rFonts w:ascii="Segoe UI" w:eastAsia="Times New Roman" w:hAnsi="Segoe UI" w:cs="Segoe UI"/>
          <w:sz w:val="18"/>
          <w:szCs w:val="18"/>
        </w:rPr>
        <w:t xml:space="preserve">CCPs should not be placed in a position of enforcing DORA on clearing members. </w:t>
      </w:r>
      <w:r>
        <w:rPr>
          <w:rFonts w:ascii="Segoe UI" w:eastAsia="Times New Roman" w:hAnsi="Segoe UI" w:cs="Segoe UI"/>
          <w:sz w:val="18"/>
          <w:szCs w:val="18"/>
        </w:rPr>
        <w:t>We</w:t>
      </w:r>
      <w:r w:rsidRPr="00DD100A">
        <w:rPr>
          <w:rFonts w:ascii="Segoe UI" w:eastAsia="Times New Roman" w:hAnsi="Segoe UI" w:cs="Segoe UI"/>
          <w:sz w:val="18"/>
          <w:szCs w:val="18"/>
        </w:rPr>
        <w:t xml:space="preserve"> </w:t>
      </w:r>
      <w:r>
        <w:rPr>
          <w:rFonts w:ascii="Segoe UI" w:eastAsia="Times New Roman" w:hAnsi="Segoe UI" w:cs="Segoe UI"/>
          <w:sz w:val="18"/>
          <w:szCs w:val="18"/>
        </w:rPr>
        <w:t>believe</w:t>
      </w:r>
      <w:r w:rsidRPr="00DD100A">
        <w:rPr>
          <w:rFonts w:ascii="Segoe UI" w:eastAsia="Times New Roman" w:hAnsi="Segoe UI" w:cs="Segoe UI"/>
          <w:sz w:val="18"/>
          <w:szCs w:val="18"/>
        </w:rPr>
        <w:t xml:space="preserve"> that CCPs should not</w:t>
      </w:r>
      <w:r>
        <w:rPr>
          <w:rFonts w:ascii="Segoe UI" w:eastAsia="Times New Roman" w:hAnsi="Segoe UI" w:cs="Segoe UI"/>
          <w:sz w:val="18"/>
          <w:szCs w:val="18"/>
        </w:rPr>
        <w:t xml:space="preserve"> be </w:t>
      </w:r>
      <w:r>
        <w:rPr>
          <w:rFonts w:ascii="Segoe UI" w:eastAsia="Times New Roman" w:hAnsi="Segoe UI" w:cs="Segoe UI"/>
          <w:sz w:val="18"/>
          <w:szCs w:val="18"/>
        </w:rPr>
        <w:lastRenderedPageBreak/>
        <w:t>expected to</w:t>
      </w:r>
      <w:r w:rsidRPr="00DD100A">
        <w:rPr>
          <w:rFonts w:ascii="Segoe UI" w:eastAsia="Times New Roman" w:hAnsi="Segoe UI" w:cs="Segoe UI"/>
          <w:sz w:val="18"/>
          <w:szCs w:val="18"/>
        </w:rPr>
        <w:t xml:space="preserve"> verify a member’s </w:t>
      </w:r>
      <w:r>
        <w:rPr>
          <w:rFonts w:ascii="Segoe UI" w:eastAsia="Times New Roman" w:hAnsi="Segoe UI" w:cs="Segoe UI"/>
          <w:sz w:val="18"/>
          <w:szCs w:val="18"/>
        </w:rPr>
        <w:t xml:space="preserve">ongoing </w:t>
      </w:r>
      <w:r w:rsidRPr="00DD100A">
        <w:rPr>
          <w:rFonts w:ascii="Segoe UI" w:eastAsia="Times New Roman" w:hAnsi="Segoe UI" w:cs="Segoe UI"/>
          <w:sz w:val="18"/>
          <w:szCs w:val="18"/>
        </w:rPr>
        <w:t xml:space="preserve">compliance with ICT or cyber frameworks </w:t>
      </w:r>
      <w:r>
        <w:rPr>
          <w:rFonts w:ascii="Segoe UI" w:eastAsia="Times New Roman" w:hAnsi="Segoe UI" w:cs="Segoe UI"/>
          <w:sz w:val="18"/>
          <w:szCs w:val="18"/>
        </w:rPr>
        <w:t xml:space="preserve">that are </w:t>
      </w:r>
      <w:r w:rsidRPr="00DD100A">
        <w:rPr>
          <w:rFonts w:ascii="Segoe UI" w:eastAsia="Times New Roman" w:hAnsi="Segoe UI" w:cs="Segoe UI"/>
          <w:sz w:val="18"/>
          <w:szCs w:val="18"/>
        </w:rPr>
        <w:t>already overseen by competent authorities.</w:t>
      </w:r>
      <w:r>
        <w:rPr>
          <w:rFonts w:ascii="Segoe UI" w:eastAsia="Times New Roman" w:hAnsi="Segoe UI" w:cs="Segoe UI"/>
          <w:sz w:val="18"/>
          <w:szCs w:val="18"/>
        </w:rPr>
        <w:t xml:space="preserve"> </w:t>
      </w:r>
      <w:r w:rsidRPr="00DD100A">
        <w:rPr>
          <w:rFonts w:ascii="Segoe UI" w:eastAsia="Times New Roman" w:hAnsi="Segoe UI" w:cs="Segoe UI"/>
          <w:sz w:val="18"/>
          <w:szCs w:val="18"/>
        </w:rPr>
        <w:t xml:space="preserve">The RTS should allow CCPs to rely on DORA where applicable, and apply proportionate checks for </w:t>
      </w:r>
      <w:r w:rsidRPr="004722E9">
        <w:rPr>
          <w:rFonts w:ascii="Segoe UI" w:eastAsia="Times New Roman" w:hAnsi="Segoe UI" w:cs="Segoe UI"/>
          <w:sz w:val="18"/>
          <w:szCs w:val="18"/>
        </w:rPr>
        <w:t>non-DORA</w:t>
      </w:r>
      <w:r w:rsidRPr="00DD100A">
        <w:rPr>
          <w:rFonts w:ascii="Segoe UI" w:eastAsia="Times New Roman" w:hAnsi="Segoe UI" w:cs="Segoe UI"/>
          <w:sz w:val="18"/>
          <w:szCs w:val="18"/>
        </w:rPr>
        <w:t xml:space="preserve"> firms</w:t>
      </w:r>
      <w:r>
        <w:rPr>
          <w:rFonts w:ascii="Segoe UI" w:eastAsia="Times New Roman" w:hAnsi="Segoe UI" w:cs="Segoe UI"/>
          <w:sz w:val="18"/>
          <w:szCs w:val="18"/>
        </w:rPr>
        <w:t>,</w:t>
      </w:r>
      <w:r w:rsidRPr="00F34353">
        <w:t xml:space="preserve"> </w:t>
      </w:r>
      <w:r>
        <w:rPr>
          <w:rFonts w:ascii="Segoe UI" w:eastAsia="Times New Roman" w:hAnsi="Segoe UI" w:cs="Segoe UI"/>
          <w:sz w:val="18"/>
          <w:szCs w:val="18"/>
        </w:rPr>
        <w:t>allowing</w:t>
      </w:r>
      <w:r w:rsidRPr="00F34353">
        <w:rPr>
          <w:rFonts w:ascii="Segoe UI" w:eastAsia="Times New Roman" w:hAnsi="Segoe UI" w:cs="Segoe UI"/>
          <w:sz w:val="18"/>
          <w:szCs w:val="18"/>
        </w:rPr>
        <w:t xml:space="preserve"> CCPs to assess whether non</w:t>
      </w:r>
      <w:r>
        <w:rPr>
          <w:rFonts w:ascii="Segoe UI" w:eastAsia="Times New Roman" w:hAnsi="Segoe UI" w:cs="Segoe UI"/>
          <w:sz w:val="18"/>
          <w:szCs w:val="18"/>
        </w:rPr>
        <w:t>-</w:t>
      </w:r>
      <w:r w:rsidRPr="00F34353">
        <w:rPr>
          <w:rFonts w:ascii="Segoe UI" w:eastAsia="Times New Roman" w:hAnsi="Segoe UI" w:cs="Segoe UI"/>
          <w:sz w:val="18"/>
          <w:szCs w:val="18"/>
        </w:rPr>
        <w:t>DORA entities have equivalent or otherwise adequate ICT and cyber arrangements.</w:t>
      </w:r>
      <w:r>
        <w:rPr>
          <w:rFonts w:ascii="Segoe UI" w:eastAsia="Times New Roman" w:hAnsi="Segoe UI" w:cs="Segoe UI"/>
          <w:sz w:val="18"/>
          <w:szCs w:val="18"/>
        </w:rPr>
        <w:t xml:space="preserve"> </w:t>
      </w:r>
      <w:r w:rsidDel="00D76C19">
        <w:rPr>
          <w:rFonts w:ascii="Segoe UI" w:eastAsia="Times New Roman" w:hAnsi="Segoe UI" w:cs="Segoe UI"/>
          <w:sz w:val="18"/>
          <w:szCs w:val="18"/>
        </w:rPr>
        <w:t xml:space="preserve"> </w:t>
      </w:r>
    </w:p>
    <w:p w14:paraId="311CEAEE" w14:textId="77777777" w:rsidR="007A5848" w:rsidRDefault="007A5848" w:rsidP="007A5848">
      <w:pPr>
        <w:rPr>
          <w:rFonts w:ascii="Segoe UI" w:eastAsia="Times New Roman" w:hAnsi="Segoe UI" w:cs="Segoe UI"/>
          <w:sz w:val="18"/>
          <w:szCs w:val="18"/>
        </w:rPr>
      </w:pPr>
      <w:r w:rsidRPr="004722E9">
        <w:rPr>
          <w:rFonts w:ascii="Segoe UI" w:eastAsia="Times New Roman" w:hAnsi="Segoe UI" w:cs="Segoe UI"/>
          <w:sz w:val="18"/>
          <w:szCs w:val="18"/>
        </w:rPr>
        <w:t xml:space="preserve">Secondly, </w:t>
      </w:r>
      <w:r w:rsidRPr="00DD100A">
        <w:rPr>
          <w:rFonts w:ascii="Segoe UI" w:eastAsia="Times New Roman" w:hAnsi="Segoe UI" w:cs="Segoe UI"/>
          <w:sz w:val="18"/>
          <w:szCs w:val="18"/>
        </w:rPr>
        <w:t xml:space="preserve">IT change process expectations </w:t>
      </w:r>
      <w:r>
        <w:rPr>
          <w:rFonts w:ascii="Segoe UI" w:eastAsia="Times New Roman" w:hAnsi="Segoe UI" w:cs="Segoe UI"/>
          <w:sz w:val="18"/>
          <w:szCs w:val="18"/>
        </w:rPr>
        <w:t>should</w:t>
      </w:r>
      <w:r w:rsidRPr="00DD100A">
        <w:rPr>
          <w:rFonts w:ascii="Segoe UI" w:eastAsia="Times New Roman" w:hAnsi="Segoe UI" w:cs="Segoe UI"/>
          <w:sz w:val="18"/>
          <w:szCs w:val="18"/>
        </w:rPr>
        <w:t xml:space="preserve"> be realistic</w:t>
      </w:r>
      <w:r w:rsidRPr="004722E9">
        <w:rPr>
          <w:rFonts w:ascii="Segoe UI" w:eastAsia="Times New Roman" w:hAnsi="Segoe UI" w:cs="Segoe UI"/>
          <w:sz w:val="18"/>
          <w:szCs w:val="18"/>
        </w:rPr>
        <w:t xml:space="preserve">. </w:t>
      </w:r>
      <w:r w:rsidRPr="00DD100A">
        <w:rPr>
          <w:rFonts w:ascii="Segoe UI" w:eastAsia="Times New Roman" w:hAnsi="Segoe UI" w:cs="Segoe UI"/>
          <w:sz w:val="18"/>
          <w:szCs w:val="18"/>
        </w:rPr>
        <w:t>The current wording suggests CCPs must be involved in every IT system change</w:t>
      </w:r>
      <w:r>
        <w:rPr>
          <w:rFonts w:ascii="Segoe UI" w:eastAsia="Times New Roman" w:hAnsi="Segoe UI" w:cs="Segoe UI"/>
          <w:sz w:val="18"/>
          <w:szCs w:val="18"/>
        </w:rPr>
        <w:t xml:space="preserve"> that may affect operational performance</w:t>
      </w:r>
      <w:r w:rsidRPr="00DD100A">
        <w:rPr>
          <w:rFonts w:ascii="Segoe UI" w:eastAsia="Times New Roman" w:hAnsi="Segoe UI" w:cs="Segoe UI"/>
          <w:sz w:val="18"/>
          <w:szCs w:val="18"/>
        </w:rPr>
        <w:t xml:space="preserve"> for every member. With</w:t>
      </w:r>
      <w:r w:rsidRPr="004722E9">
        <w:rPr>
          <w:rFonts w:ascii="Segoe UI" w:eastAsia="Times New Roman" w:hAnsi="Segoe UI" w:cs="Segoe UI"/>
          <w:sz w:val="18"/>
          <w:szCs w:val="18"/>
        </w:rPr>
        <w:t xml:space="preserve"> some CCPs having</w:t>
      </w:r>
      <w:r w:rsidRPr="00DD100A">
        <w:rPr>
          <w:rFonts w:ascii="Segoe UI" w:eastAsia="Times New Roman" w:hAnsi="Segoe UI" w:cs="Segoe UI"/>
          <w:sz w:val="18"/>
          <w:szCs w:val="18"/>
        </w:rPr>
        <w:t xml:space="preserve"> hundreds of members, this is unworkable. CCPs should receive appropriate notifications through due diligence or annual attestations, not participate in member level IT governance.</w:t>
      </w:r>
      <w:r>
        <w:rPr>
          <w:rFonts w:ascii="Segoe UI" w:eastAsia="Times New Roman" w:hAnsi="Segoe UI" w:cs="Segoe UI"/>
          <w:sz w:val="18"/>
          <w:szCs w:val="18"/>
        </w:rPr>
        <w:t xml:space="preserve"> </w:t>
      </w:r>
      <w:r w:rsidRPr="005B6DE3">
        <w:rPr>
          <w:rFonts w:ascii="Segoe UI" w:eastAsia="Times New Roman" w:hAnsi="Segoe UI" w:cs="Segoe UI"/>
          <w:sz w:val="18"/>
          <w:szCs w:val="18"/>
        </w:rPr>
        <w:t xml:space="preserve">The draft </w:t>
      </w:r>
      <w:r>
        <w:rPr>
          <w:rFonts w:ascii="Segoe UI" w:eastAsia="Times New Roman" w:hAnsi="Segoe UI" w:cs="Segoe UI"/>
          <w:sz w:val="18"/>
          <w:szCs w:val="18"/>
        </w:rPr>
        <w:t>also</w:t>
      </w:r>
      <w:r w:rsidRPr="005B6DE3">
        <w:rPr>
          <w:rFonts w:ascii="Segoe UI" w:eastAsia="Times New Roman" w:hAnsi="Segoe UI" w:cs="Segoe UI"/>
          <w:sz w:val="18"/>
          <w:szCs w:val="18"/>
        </w:rPr>
        <w:t xml:space="preserve"> notes that CCPs should consider reliance on third party service providers. We support </w:t>
      </w:r>
      <w:proofErr w:type="gramStart"/>
      <w:r w:rsidRPr="005B6DE3">
        <w:rPr>
          <w:rFonts w:ascii="Segoe UI" w:eastAsia="Times New Roman" w:hAnsi="Segoe UI" w:cs="Segoe UI"/>
          <w:sz w:val="18"/>
          <w:szCs w:val="18"/>
        </w:rPr>
        <w:t>this, but</w:t>
      </w:r>
      <w:proofErr w:type="gramEnd"/>
      <w:r w:rsidRPr="005B6DE3">
        <w:rPr>
          <w:rFonts w:ascii="Segoe UI" w:eastAsia="Times New Roman" w:hAnsi="Segoe UI" w:cs="Segoe UI"/>
          <w:sz w:val="18"/>
          <w:szCs w:val="18"/>
        </w:rPr>
        <w:t xml:space="preserve"> would encourage ESMA to make clear that CCPs should focus on the robustness of contractual rights, operational resilience</w:t>
      </w:r>
      <w:r>
        <w:rPr>
          <w:rFonts w:ascii="Segoe UI" w:eastAsia="Times New Roman" w:hAnsi="Segoe UI" w:cs="Segoe UI"/>
          <w:sz w:val="18"/>
          <w:szCs w:val="18"/>
        </w:rPr>
        <w:t>,</w:t>
      </w:r>
      <w:r w:rsidRPr="005B6DE3">
        <w:rPr>
          <w:rFonts w:ascii="Segoe UI" w:eastAsia="Times New Roman" w:hAnsi="Segoe UI" w:cs="Segoe UI"/>
          <w:sz w:val="18"/>
          <w:szCs w:val="18"/>
        </w:rPr>
        <w:t xml:space="preserve"> and substitution possibilities, rather than attempting to supervise the third parties directly.</w:t>
      </w:r>
      <w:r>
        <w:rPr>
          <w:rFonts w:ascii="Segoe UI" w:eastAsia="Times New Roman" w:hAnsi="Segoe UI" w:cs="Segoe UI"/>
          <w:sz w:val="18"/>
          <w:szCs w:val="18"/>
        </w:rPr>
        <w:t xml:space="preserve"> Furthermore, </w:t>
      </w:r>
      <w:r w:rsidRPr="00DD100A">
        <w:rPr>
          <w:rFonts w:ascii="Segoe UI" w:eastAsia="Times New Roman" w:hAnsi="Segoe UI" w:cs="Segoe UI"/>
          <w:sz w:val="18"/>
          <w:szCs w:val="18"/>
        </w:rPr>
        <w:t>CCPs should not be required to verify the functionality of every backup arrangement</w:t>
      </w:r>
      <w:r>
        <w:rPr>
          <w:rFonts w:ascii="Segoe UI" w:eastAsia="Times New Roman" w:hAnsi="Segoe UI" w:cs="Segoe UI"/>
          <w:sz w:val="18"/>
          <w:szCs w:val="18"/>
        </w:rPr>
        <w:t xml:space="preserve"> as due</w:t>
      </w:r>
      <w:r w:rsidRPr="00DD100A">
        <w:rPr>
          <w:rFonts w:ascii="Segoe UI" w:eastAsia="Times New Roman" w:hAnsi="Segoe UI" w:cs="Segoe UI"/>
          <w:sz w:val="18"/>
          <w:szCs w:val="18"/>
        </w:rPr>
        <w:t xml:space="preserve"> diligence questionnaires and existing regulatory frameworks (including DORA where relevant) should be relied upon.</w:t>
      </w:r>
    </w:p>
    <w:p w14:paraId="7EF07F00" w14:textId="7FB07346" w:rsidR="00693907" w:rsidRDefault="00693907" w:rsidP="00693907">
      <w:r>
        <w:t>&lt;ESMA_QUESTION_</w:t>
      </w:r>
      <w:r w:rsidR="004F1A78">
        <w:t>PART</w:t>
      </w:r>
      <w:r>
        <w:t>_3&gt;</w:t>
      </w:r>
    </w:p>
    <w:p w14:paraId="6B4516C3" w14:textId="77777777" w:rsidR="00693907" w:rsidRDefault="00693907" w:rsidP="00693907"/>
    <w:p w14:paraId="5487291B" w14:textId="0ABA2BDC" w:rsidR="00693907" w:rsidRPr="007966CD" w:rsidRDefault="00CC2B8D" w:rsidP="00693907">
      <w:pPr>
        <w:pStyle w:val="Questionstyle"/>
      </w:pPr>
      <w:r w:rsidRPr="00CC2B8D">
        <w:t xml:space="preserve">Do you agree with the suggested elements </w:t>
      </w:r>
      <w:proofErr w:type="gramStart"/>
      <w:r w:rsidRPr="00CC2B8D">
        <w:t>with regard to</w:t>
      </w:r>
      <w:proofErr w:type="gramEnd"/>
      <w:r w:rsidRPr="00CC2B8D">
        <w:t xml:space="preserve"> other considerations and risks? Should the CCP consider other elements? Please justify your response and provide evidence.</w:t>
      </w:r>
      <w:r w:rsidR="00693907" w:rsidRPr="007966CD">
        <w:t xml:space="preserve">    </w:t>
      </w:r>
    </w:p>
    <w:p w14:paraId="6040CACC" w14:textId="67EBFC14" w:rsidR="00693907" w:rsidRDefault="00693907" w:rsidP="00693907">
      <w:r>
        <w:t>&lt;ESMA_QUESTION_</w:t>
      </w:r>
      <w:r w:rsidR="004F1A78">
        <w:t>PART</w:t>
      </w:r>
      <w:r>
        <w:t>_4&gt;</w:t>
      </w:r>
    </w:p>
    <w:p w14:paraId="1CDA5711" w14:textId="77777777" w:rsidR="00FB37DD" w:rsidRPr="005E7792" w:rsidRDefault="00FB37DD" w:rsidP="00FB37DD">
      <w:pPr>
        <w:rPr>
          <w:rFonts w:ascii="Segoe UI" w:eastAsia="Times New Roman" w:hAnsi="Segoe UI" w:cs="Segoe UI"/>
          <w:sz w:val="18"/>
          <w:szCs w:val="18"/>
        </w:rPr>
      </w:pPr>
      <w:r w:rsidRPr="005E7792">
        <w:rPr>
          <w:rFonts w:ascii="Segoe UI" w:eastAsia="Times New Roman" w:hAnsi="Segoe UI" w:cs="Segoe UI"/>
          <w:sz w:val="18"/>
          <w:szCs w:val="18"/>
        </w:rPr>
        <w:t xml:space="preserve">We agree that admission criteria must take account of legal, compliance and broader risk considerations that may affect a clearing member’s ability to meet its obligations, and that legal enforceability and clarity of obligations are essential. </w:t>
      </w:r>
      <w:proofErr w:type="gramStart"/>
      <w:r w:rsidRPr="005E7792">
        <w:rPr>
          <w:rFonts w:ascii="Segoe UI" w:eastAsia="Times New Roman" w:hAnsi="Segoe UI" w:cs="Segoe UI"/>
          <w:sz w:val="18"/>
          <w:szCs w:val="18"/>
        </w:rPr>
        <w:t>In particular, CCPs</w:t>
      </w:r>
      <w:proofErr w:type="gramEnd"/>
      <w:r w:rsidRPr="005E7792">
        <w:rPr>
          <w:rFonts w:ascii="Segoe UI" w:eastAsia="Times New Roman" w:hAnsi="Segoe UI" w:cs="Segoe UI"/>
          <w:sz w:val="18"/>
          <w:szCs w:val="18"/>
        </w:rPr>
        <w:t xml:space="preserve"> should ensure that their own rules, default management processes and netting arrangements are legally enforceable in the relevant jurisdictions, including through appropriate legal opinions where a clearing member is established in a foreign jurisdiction. However, several aspects of the draft RTS should be recalibrated to avoid supervisory overreach.</w:t>
      </w:r>
    </w:p>
    <w:p w14:paraId="78DAC5FF" w14:textId="77777777" w:rsidR="00FB37DD" w:rsidRPr="005E7792" w:rsidRDefault="00FB37DD" w:rsidP="00FB37DD">
      <w:pPr>
        <w:rPr>
          <w:rFonts w:ascii="Segoe UI" w:eastAsia="Times New Roman" w:hAnsi="Segoe UI" w:cs="Segoe UI"/>
          <w:sz w:val="18"/>
          <w:szCs w:val="18"/>
        </w:rPr>
      </w:pPr>
      <w:r w:rsidRPr="005E7792">
        <w:rPr>
          <w:rFonts w:ascii="Segoe UI" w:eastAsia="Times New Roman" w:hAnsi="Segoe UI" w:cs="Segoe UI"/>
          <w:sz w:val="18"/>
          <w:szCs w:val="18"/>
        </w:rPr>
        <w:t>CCPs’ legal assessment at admission should be focused on those legal elements that are directly relevant to the CCP’s risk exposure, such as enforceability of default management actions, close-out netting, collateral arrangements and choice of law. CCPs should not be required to assess or continuously monitor the entirety of a clearing member’s domestic legal and regulatory framework, as this would effectively place CCPs in the role of jurisdiction-level legal supervisors. The RTS should therefore allow CCPs to apply a risk-based approach to the depth of analysis and frequency of refresh, reflecting the materiality of exposures and the complexity of the relevant jurisdictions.</w:t>
      </w:r>
    </w:p>
    <w:p w14:paraId="77E1E1C8" w14:textId="77777777" w:rsidR="00FB37DD" w:rsidRDefault="00FB37DD" w:rsidP="00FB37DD">
      <w:pPr>
        <w:rPr>
          <w:rFonts w:ascii="Segoe UI" w:eastAsia="Times New Roman" w:hAnsi="Segoe UI" w:cs="Segoe UI"/>
          <w:sz w:val="18"/>
          <w:szCs w:val="18"/>
        </w:rPr>
      </w:pPr>
      <w:r w:rsidRPr="005E7792">
        <w:rPr>
          <w:rFonts w:ascii="Segoe UI" w:eastAsia="Times New Roman" w:hAnsi="Segoe UI" w:cs="Segoe UI"/>
          <w:sz w:val="18"/>
          <w:szCs w:val="18"/>
        </w:rPr>
        <w:t>CCPs should be permitted to treat licensing and prudential supervision as strong positive indicators when assessing legal and compliance risk, without making them determinative. The absence of a financial services licence or prudential regime should not automatically preclude an entity from clearing membership, particularly where alternative safeguards can be demonstrated. The RTS should also clearly distinguish between onboarding checks and periodic reviews, recognising that many legal elements change infrequently and do not warrant continuous reassessment.</w:t>
      </w:r>
    </w:p>
    <w:p w14:paraId="0AB70AFF" w14:textId="1AFCEF48" w:rsidR="00693907" w:rsidRDefault="00693907" w:rsidP="00693907">
      <w:r>
        <w:t>&lt;ESMA_QUESTION_</w:t>
      </w:r>
      <w:r w:rsidR="004F1A78">
        <w:t>PART</w:t>
      </w:r>
      <w:r>
        <w:t>_4&gt;</w:t>
      </w:r>
    </w:p>
    <w:p w14:paraId="2B2D8140" w14:textId="77777777" w:rsidR="00693907" w:rsidRDefault="00693907" w:rsidP="00693907"/>
    <w:p w14:paraId="0BC438F6" w14:textId="3679C330" w:rsidR="00693907" w:rsidRPr="007966CD" w:rsidRDefault="00C321A6" w:rsidP="00693907">
      <w:pPr>
        <w:pStyle w:val="Questionstyle"/>
      </w:pPr>
      <w:r w:rsidRPr="00C321A6">
        <w:t xml:space="preserve">Do you agree with the suggested elements </w:t>
      </w:r>
      <w:proofErr w:type="gramStart"/>
      <w:r w:rsidRPr="00C321A6">
        <w:t>with regard to</w:t>
      </w:r>
      <w:proofErr w:type="gramEnd"/>
      <w:r w:rsidRPr="00C321A6">
        <w:t xml:space="preserve"> the specific risks of clearing members offering clearing services to clients? Should the CCP consider other elements? Please justify your response and provide quantitative evidence.</w:t>
      </w:r>
      <w:r w:rsidR="00693907" w:rsidRPr="007966CD">
        <w:t xml:space="preserve">    </w:t>
      </w:r>
    </w:p>
    <w:p w14:paraId="01C9FE80" w14:textId="2FFF5FBD" w:rsidR="00693907" w:rsidRDefault="00693907" w:rsidP="00693907">
      <w:r>
        <w:t>&lt;ESMA_QUESTION_</w:t>
      </w:r>
      <w:r w:rsidR="004F1A78">
        <w:t>PART</w:t>
      </w:r>
      <w:r>
        <w:t>_5&gt;</w:t>
      </w:r>
    </w:p>
    <w:p w14:paraId="4C384E92" w14:textId="53549F8F" w:rsidR="00F0601E" w:rsidRPr="00DD100A" w:rsidRDefault="00F0601E" w:rsidP="00F0601E">
      <w:pPr>
        <w:rPr>
          <w:rFonts w:ascii="Segoe UI" w:eastAsia="Times New Roman" w:hAnsi="Segoe UI" w:cs="Segoe UI"/>
          <w:sz w:val="18"/>
          <w:szCs w:val="18"/>
        </w:rPr>
      </w:pPr>
      <w:r>
        <w:rPr>
          <w:rFonts w:ascii="Segoe UI" w:eastAsia="Times New Roman" w:hAnsi="Segoe UI" w:cs="Segoe UI"/>
          <w:sz w:val="18"/>
          <w:szCs w:val="18"/>
        </w:rPr>
        <w:t xml:space="preserve">The WFE has </w:t>
      </w:r>
      <w:r w:rsidRPr="00347F00">
        <w:rPr>
          <w:rFonts w:ascii="Segoe UI" w:eastAsia="Times New Roman" w:hAnsi="Segoe UI" w:cs="Segoe UI"/>
          <w:sz w:val="18"/>
          <w:szCs w:val="18"/>
        </w:rPr>
        <w:t>concerns regarding to the calculation of c</w:t>
      </w:r>
      <w:r w:rsidRPr="00DD100A">
        <w:rPr>
          <w:rFonts w:ascii="Segoe UI" w:eastAsia="Times New Roman" w:hAnsi="Segoe UI" w:cs="Segoe UI"/>
          <w:sz w:val="18"/>
          <w:szCs w:val="18"/>
        </w:rPr>
        <w:t>oncentration risk and visibility of clients</w:t>
      </w:r>
      <w:r w:rsidRPr="00347F00">
        <w:rPr>
          <w:rFonts w:ascii="Segoe UI" w:eastAsia="Times New Roman" w:hAnsi="Segoe UI" w:cs="Segoe UI"/>
          <w:sz w:val="18"/>
          <w:szCs w:val="18"/>
        </w:rPr>
        <w:t>, as t</w:t>
      </w:r>
      <w:r w:rsidRPr="00DD100A">
        <w:rPr>
          <w:rFonts w:ascii="Segoe UI" w:eastAsia="Times New Roman" w:hAnsi="Segoe UI" w:cs="Segoe UI"/>
          <w:sz w:val="18"/>
          <w:szCs w:val="18"/>
        </w:rPr>
        <w:t xml:space="preserve">he RTS language </w:t>
      </w:r>
      <w:r w:rsidRPr="00347F00">
        <w:rPr>
          <w:rFonts w:ascii="Segoe UI" w:eastAsia="Times New Roman" w:hAnsi="Segoe UI" w:cs="Segoe UI"/>
          <w:sz w:val="18"/>
          <w:szCs w:val="18"/>
        </w:rPr>
        <w:t>implies that</w:t>
      </w:r>
      <w:r w:rsidRPr="00DD100A">
        <w:rPr>
          <w:rFonts w:ascii="Segoe UI" w:eastAsia="Times New Roman" w:hAnsi="Segoe UI" w:cs="Segoe UI"/>
          <w:sz w:val="18"/>
          <w:szCs w:val="18"/>
        </w:rPr>
        <w:t xml:space="preserve"> CCPs </w:t>
      </w:r>
      <w:r w:rsidRPr="00347F00">
        <w:rPr>
          <w:rFonts w:ascii="Segoe UI" w:eastAsia="Times New Roman" w:hAnsi="Segoe UI" w:cs="Segoe UI"/>
          <w:sz w:val="18"/>
          <w:szCs w:val="18"/>
        </w:rPr>
        <w:t>should have visibility o</w:t>
      </w:r>
      <w:r>
        <w:rPr>
          <w:rFonts w:ascii="Segoe UI" w:eastAsia="Times New Roman" w:hAnsi="Segoe UI" w:cs="Segoe UI"/>
          <w:sz w:val="18"/>
          <w:szCs w:val="18"/>
        </w:rPr>
        <w:t>n</w:t>
      </w:r>
      <w:r w:rsidRPr="00347F00">
        <w:rPr>
          <w:rFonts w:ascii="Segoe UI" w:eastAsia="Times New Roman" w:hAnsi="Segoe UI" w:cs="Segoe UI"/>
          <w:sz w:val="18"/>
          <w:szCs w:val="18"/>
        </w:rPr>
        <w:t xml:space="preserve"> all</w:t>
      </w:r>
      <w:r w:rsidRPr="00DD100A">
        <w:rPr>
          <w:rFonts w:ascii="Segoe UI" w:eastAsia="Times New Roman" w:hAnsi="Segoe UI" w:cs="Segoe UI"/>
          <w:sz w:val="18"/>
          <w:szCs w:val="18"/>
        </w:rPr>
        <w:t xml:space="preserve"> clients in all models. This is not operationally feasible and contradicts existing omnibus structures. </w:t>
      </w:r>
    </w:p>
    <w:p w14:paraId="272B257C" w14:textId="77777777" w:rsidR="00F0601E" w:rsidRPr="00347F00" w:rsidRDefault="00F0601E" w:rsidP="00F0601E">
      <w:pPr>
        <w:rPr>
          <w:rFonts w:ascii="Segoe UI" w:eastAsia="Times New Roman" w:hAnsi="Segoe UI" w:cs="Segoe UI"/>
          <w:sz w:val="18"/>
          <w:szCs w:val="18"/>
        </w:rPr>
      </w:pPr>
      <w:proofErr w:type="gramStart"/>
      <w:r w:rsidRPr="00347F00">
        <w:rPr>
          <w:rFonts w:ascii="Segoe UI" w:eastAsia="Times New Roman" w:hAnsi="Segoe UI" w:cs="Segoe UI"/>
          <w:sz w:val="18"/>
          <w:szCs w:val="18"/>
        </w:rPr>
        <w:t>In regards to</w:t>
      </w:r>
      <w:proofErr w:type="gramEnd"/>
      <w:r w:rsidRPr="00347F00">
        <w:rPr>
          <w:rFonts w:ascii="Segoe UI" w:eastAsia="Times New Roman" w:hAnsi="Segoe UI" w:cs="Segoe UI"/>
          <w:sz w:val="18"/>
          <w:szCs w:val="18"/>
        </w:rPr>
        <w:t xml:space="preserve"> p</w:t>
      </w:r>
      <w:r w:rsidRPr="00DD100A">
        <w:rPr>
          <w:rFonts w:ascii="Segoe UI" w:eastAsia="Times New Roman" w:hAnsi="Segoe UI" w:cs="Segoe UI"/>
          <w:sz w:val="18"/>
          <w:szCs w:val="18"/>
        </w:rPr>
        <w:t>roportionality and model neutrality</w:t>
      </w:r>
      <w:r w:rsidRPr="00347F00">
        <w:rPr>
          <w:rFonts w:ascii="Segoe UI" w:eastAsia="Times New Roman" w:hAnsi="Segoe UI" w:cs="Segoe UI"/>
          <w:sz w:val="18"/>
          <w:szCs w:val="18"/>
        </w:rPr>
        <w:t xml:space="preserve">, </w:t>
      </w:r>
      <w:r w:rsidRPr="00DD100A">
        <w:rPr>
          <w:rFonts w:ascii="Segoe UI" w:eastAsia="Times New Roman" w:hAnsi="Segoe UI" w:cs="Segoe UI"/>
          <w:sz w:val="18"/>
          <w:szCs w:val="18"/>
        </w:rPr>
        <w:t xml:space="preserve">CCPs </w:t>
      </w:r>
      <w:r w:rsidRPr="00347F00">
        <w:rPr>
          <w:rFonts w:ascii="Segoe UI" w:eastAsia="Times New Roman" w:hAnsi="Segoe UI" w:cs="Segoe UI"/>
          <w:sz w:val="18"/>
          <w:szCs w:val="18"/>
        </w:rPr>
        <w:t>should</w:t>
      </w:r>
      <w:r w:rsidRPr="00DD100A">
        <w:rPr>
          <w:rFonts w:ascii="Segoe UI" w:eastAsia="Times New Roman" w:hAnsi="Segoe UI" w:cs="Segoe UI"/>
          <w:sz w:val="18"/>
          <w:szCs w:val="18"/>
        </w:rPr>
        <w:t xml:space="preserve"> retain flexibility to calibrate expectations across different client clearing models and segregation options.</w:t>
      </w:r>
      <w:r>
        <w:rPr>
          <w:rFonts w:ascii="Segoe UI" w:eastAsia="Times New Roman" w:hAnsi="Segoe UI" w:cs="Segoe UI"/>
          <w:sz w:val="18"/>
          <w:szCs w:val="18"/>
        </w:rPr>
        <w:t xml:space="preserve"> </w:t>
      </w:r>
      <w:r w:rsidRPr="00B8126B">
        <w:rPr>
          <w:rFonts w:ascii="Segoe UI" w:eastAsia="Times New Roman" w:hAnsi="Segoe UI" w:cs="Segoe UI"/>
          <w:sz w:val="18"/>
          <w:szCs w:val="18"/>
        </w:rPr>
        <w:t>The RTS should permit CCPs to calibrate client clearing related criteria in a way that is consistent with their existing account structures, netting arrangements and default management plans, rather than implying a single model.</w:t>
      </w:r>
    </w:p>
    <w:p w14:paraId="3CE960DF" w14:textId="040F0097" w:rsidR="00693907" w:rsidRDefault="00693907" w:rsidP="00693907">
      <w:r>
        <w:t>&lt;ESMA_QUESTION_</w:t>
      </w:r>
      <w:r w:rsidR="004F1A78">
        <w:t>PART</w:t>
      </w:r>
      <w:r>
        <w:t>_5&gt;</w:t>
      </w:r>
    </w:p>
    <w:p w14:paraId="6036296B" w14:textId="77777777" w:rsidR="00693907" w:rsidRDefault="00693907" w:rsidP="00693907"/>
    <w:p w14:paraId="18DFE8FB" w14:textId="14CBC303" w:rsidR="00693907" w:rsidRDefault="00EC4293" w:rsidP="00693907">
      <w:pPr>
        <w:pStyle w:val="Questionstyle"/>
      </w:pPr>
      <w:r w:rsidRPr="00EC4293">
        <w:t xml:space="preserve">Do you agree with the suggested elements </w:t>
      </w:r>
      <w:proofErr w:type="gramStart"/>
      <w:r w:rsidRPr="00EC4293">
        <w:t>with regard to</w:t>
      </w:r>
      <w:proofErr w:type="gramEnd"/>
      <w:r w:rsidRPr="00EC4293">
        <w:t xml:space="preserve"> sponsored models? Should the CCP consider other elements? Please justify your response and provide evidence</w:t>
      </w:r>
      <w:r w:rsidR="0043138A">
        <w:t>.</w:t>
      </w:r>
    </w:p>
    <w:p w14:paraId="60F9A95E" w14:textId="6390B5D2" w:rsidR="00693907" w:rsidRDefault="00693907" w:rsidP="00693907">
      <w:r>
        <w:t>&lt;ESMA_QUESTION_</w:t>
      </w:r>
      <w:r w:rsidR="004F1A78">
        <w:t>PART</w:t>
      </w:r>
      <w:r>
        <w:t>_6&gt;</w:t>
      </w:r>
    </w:p>
    <w:p w14:paraId="413249B1" w14:textId="77777777" w:rsidR="004C7F7A" w:rsidRDefault="004C7F7A" w:rsidP="004C7F7A">
      <w:pPr>
        <w:rPr>
          <w:rFonts w:ascii="Segoe UI" w:eastAsia="Times New Roman" w:hAnsi="Segoe UI" w:cs="Segoe UI"/>
          <w:sz w:val="18"/>
          <w:szCs w:val="18"/>
        </w:rPr>
      </w:pPr>
      <w:r w:rsidRPr="007E46B5">
        <w:rPr>
          <w:rFonts w:ascii="Segoe UI" w:eastAsia="Times New Roman" w:hAnsi="Segoe UI" w:cs="Segoe UI"/>
          <w:sz w:val="18"/>
          <w:szCs w:val="18"/>
        </w:rPr>
        <w:t>We agree with ESMA’s assessment that sponsored models can be a useful mechanism to broaden direct access while preserving robust risk management</w:t>
      </w:r>
      <w:r>
        <w:rPr>
          <w:rFonts w:ascii="Segoe UI" w:eastAsia="Times New Roman" w:hAnsi="Segoe UI" w:cs="Segoe UI"/>
          <w:sz w:val="18"/>
          <w:szCs w:val="18"/>
        </w:rPr>
        <w:t xml:space="preserve">. However, we recommend that </w:t>
      </w:r>
      <w:r w:rsidRPr="004C5907">
        <w:rPr>
          <w:rFonts w:ascii="Segoe UI" w:eastAsia="Times New Roman" w:hAnsi="Segoe UI" w:cs="Segoe UI"/>
          <w:sz w:val="18"/>
          <w:szCs w:val="18"/>
        </w:rPr>
        <w:t>CCPs should not need to review all aspects of the contractual arrangements between sponsor and participant. They should focus only on those directly relevant to the CCP’s risk exposure.</w:t>
      </w:r>
      <w:r>
        <w:rPr>
          <w:rFonts w:ascii="Segoe UI" w:eastAsia="Times New Roman" w:hAnsi="Segoe UI" w:cs="Segoe UI"/>
          <w:sz w:val="18"/>
          <w:szCs w:val="18"/>
        </w:rPr>
        <w:t xml:space="preserve"> In addition, the</w:t>
      </w:r>
      <w:r w:rsidRPr="00DD100A">
        <w:rPr>
          <w:rFonts w:ascii="Segoe UI" w:eastAsia="Times New Roman" w:hAnsi="Segoe UI" w:cs="Segoe UI"/>
          <w:sz w:val="18"/>
          <w:szCs w:val="18"/>
        </w:rPr>
        <w:t xml:space="preserve"> reference to backup sponsors </w:t>
      </w:r>
      <w:r>
        <w:rPr>
          <w:rFonts w:ascii="Segoe UI" w:eastAsia="Times New Roman" w:hAnsi="Segoe UI" w:cs="Segoe UI"/>
          <w:sz w:val="18"/>
          <w:szCs w:val="18"/>
        </w:rPr>
        <w:t>should</w:t>
      </w:r>
      <w:r w:rsidRPr="00DD100A">
        <w:rPr>
          <w:rFonts w:ascii="Segoe UI" w:eastAsia="Times New Roman" w:hAnsi="Segoe UI" w:cs="Segoe UI"/>
          <w:sz w:val="18"/>
          <w:szCs w:val="18"/>
        </w:rPr>
        <w:t xml:space="preserve"> not</w:t>
      </w:r>
      <w:r>
        <w:rPr>
          <w:rFonts w:ascii="Segoe UI" w:eastAsia="Times New Roman" w:hAnsi="Segoe UI" w:cs="Segoe UI"/>
          <w:sz w:val="18"/>
          <w:szCs w:val="18"/>
        </w:rPr>
        <w:t xml:space="preserve"> be</w:t>
      </w:r>
      <w:r w:rsidRPr="00DD100A">
        <w:rPr>
          <w:rFonts w:ascii="Segoe UI" w:eastAsia="Times New Roman" w:hAnsi="Segoe UI" w:cs="Segoe UI"/>
          <w:sz w:val="18"/>
          <w:szCs w:val="18"/>
        </w:rPr>
        <w:t xml:space="preserve"> </w:t>
      </w:r>
      <w:r>
        <w:rPr>
          <w:rFonts w:ascii="Segoe UI" w:eastAsia="Times New Roman" w:hAnsi="Segoe UI" w:cs="Segoe UI"/>
          <w:sz w:val="18"/>
          <w:szCs w:val="18"/>
        </w:rPr>
        <w:t>seen</w:t>
      </w:r>
      <w:r w:rsidRPr="00DD100A">
        <w:rPr>
          <w:rFonts w:ascii="Segoe UI" w:eastAsia="Times New Roman" w:hAnsi="Segoe UI" w:cs="Segoe UI"/>
          <w:sz w:val="18"/>
          <w:szCs w:val="18"/>
        </w:rPr>
        <w:t xml:space="preserve"> as a requirement</w:t>
      </w:r>
      <w:r>
        <w:rPr>
          <w:rFonts w:ascii="Segoe UI" w:eastAsia="Times New Roman" w:hAnsi="Segoe UI" w:cs="Segoe UI"/>
          <w:sz w:val="18"/>
          <w:szCs w:val="18"/>
        </w:rPr>
        <w:t xml:space="preserve"> - t</w:t>
      </w:r>
      <w:r w:rsidRPr="00DD100A">
        <w:rPr>
          <w:rFonts w:ascii="Segoe UI" w:eastAsia="Times New Roman" w:hAnsi="Segoe UI" w:cs="Segoe UI"/>
          <w:sz w:val="18"/>
          <w:szCs w:val="18"/>
        </w:rPr>
        <w:t>he RTS should make this explicit, as</w:t>
      </w:r>
      <w:r>
        <w:rPr>
          <w:rFonts w:ascii="Segoe UI" w:eastAsia="Times New Roman" w:hAnsi="Segoe UI" w:cs="Segoe UI"/>
          <w:sz w:val="18"/>
          <w:szCs w:val="18"/>
        </w:rPr>
        <w:t xml:space="preserve"> stating that CCPs</w:t>
      </w:r>
      <w:r w:rsidRPr="00DD100A">
        <w:rPr>
          <w:rFonts w:ascii="Segoe UI" w:eastAsia="Times New Roman" w:hAnsi="Segoe UI" w:cs="Segoe UI"/>
          <w:sz w:val="18"/>
          <w:szCs w:val="18"/>
        </w:rPr>
        <w:t xml:space="preserve"> “shall consider” </w:t>
      </w:r>
      <w:r>
        <w:rPr>
          <w:rFonts w:ascii="Segoe UI" w:eastAsia="Times New Roman" w:hAnsi="Segoe UI" w:cs="Segoe UI"/>
          <w:sz w:val="18"/>
          <w:szCs w:val="18"/>
        </w:rPr>
        <w:t xml:space="preserve">such arrangements </w:t>
      </w:r>
      <w:r w:rsidRPr="00DD100A">
        <w:rPr>
          <w:rFonts w:ascii="Segoe UI" w:eastAsia="Times New Roman" w:hAnsi="Segoe UI" w:cs="Segoe UI"/>
          <w:sz w:val="18"/>
          <w:szCs w:val="18"/>
        </w:rPr>
        <w:t>may otherwise be interpreted by NCAs as</w:t>
      </w:r>
      <w:r>
        <w:rPr>
          <w:rFonts w:ascii="Segoe UI" w:eastAsia="Times New Roman" w:hAnsi="Segoe UI" w:cs="Segoe UI"/>
          <w:sz w:val="18"/>
          <w:szCs w:val="18"/>
        </w:rPr>
        <w:t xml:space="preserve"> a</w:t>
      </w:r>
      <w:r w:rsidRPr="00DD100A">
        <w:rPr>
          <w:rFonts w:ascii="Segoe UI" w:eastAsia="Times New Roman" w:hAnsi="Segoe UI" w:cs="Segoe UI"/>
          <w:sz w:val="18"/>
          <w:szCs w:val="18"/>
        </w:rPr>
        <w:t xml:space="preserve"> mandatory</w:t>
      </w:r>
      <w:r>
        <w:rPr>
          <w:rFonts w:ascii="Segoe UI" w:eastAsia="Times New Roman" w:hAnsi="Segoe UI" w:cs="Segoe UI"/>
          <w:sz w:val="18"/>
          <w:szCs w:val="18"/>
        </w:rPr>
        <w:t xml:space="preserve"> requirement</w:t>
      </w:r>
      <w:r w:rsidRPr="00DD100A">
        <w:rPr>
          <w:rFonts w:ascii="Segoe UI" w:eastAsia="Times New Roman" w:hAnsi="Segoe UI" w:cs="Segoe UI"/>
          <w:sz w:val="18"/>
          <w:szCs w:val="18"/>
        </w:rPr>
        <w:t>.</w:t>
      </w:r>
      <w:r>
        <w:rPr>
          <w:rFonts w:ascii="Segoe UI" w:eastAsia="Times New Roman" w:hAnsi="Segoe UI" w:cs="Segoe UI"/>
          <w:sz w:val="18"/>
          <w:szCs w:val="18"/>
        </w:rPr>
        <w:t xml:space="preserve"> Finally, while t</w:t>
      </w:r>
      <w:r w:rsidRPr="00DD100A">
        <w:rPr>
          <w:rFonts w:ascii="Segoe UI" w:eastAsia="Times New Roman" w:hAnsi="Segoe UI" w:cs="Segoe UI"/>
          <w:sz w:val="18"/>
          <w:szCs w:val="18"/>
        </w:rPr>
        <w:t xml:space="preserve">he term “clearing member in a sponsored model” </w:t>
      </w:r>
      <w:r>
        <w:rPr>
          <w:rFonts w:ascii="Segoe UI" w:eastAsia="Times New Roman" w:hAnsi="Segoe UI" w:cs="Segoe UI"/>
          <w:sz w:val="18"/>
          <w:szCs w:val="18"/>
        </w:rPr>
        <w:t>may be deemed to be</w:t>
      </w:r>
      <w:r w:rsidRPr="00DD100A">
        <w:rPr>
          <w:rFonts w:ascii="Segoe UI" w:eastAsia="Times New Roman" w:hAnsi="Segoe UI" w:cs="Segoe UI"/>
          <w:sz w:val="18"/>
          <w:szCs w:val="18"/>
        </w:rPr>
        <w:t xml:space="preserve"> technically inaccurate</w:t>
      </w:r>
      <w:r>
        <w:rPr>
          <w:rFonts w:ascii="Segoe UI" w:eastAsia="Times New Roman" w:hAnsi="Segoe UI" w:cs="Segoe UI"/>
          <w:sz w:val="18"/>
          <w:szCs w:val="18"/>
        </w:rPr>
        <w:t xml:space="preserve">, we appreciate </w:t>
      </w:r>
      <w:r w:rsidRPr="00DD100A">
        <w:rPr>
          <w:rFonts w:ascii="Segoe UI" w:eastAsia="Times New Roman" w:hAnsi="Segoe UI" w:cs="Segoe UI"/>
          <w:sz w:val="18"/>
          <w:szCs w:val="18"/>
        </w:rPr>
        <w:t>that</w:t>
      </w:r>
      <w:r>
        <w:rPr>
          <w:rFonts w:ascii="Segoe UI" w:eastAsia="Times New Roman" w:hAnsi="Segoe UI" w:cs="Segoe UI"/>
          <w:sz w:val="18"/>
          <w:szCs w:val="18"/>
        </w:rPr>
        <w:t xml:space="preserve"> the</w:t>
      </w:r>
      <w:r w:rsidRPr="00DD100A">
        <w:rPr>
          <w:rFonts w:ascii="Segoe UI" w:eastAsia="Times New Roman" w:hAnsi="Segoe UI" w:cs="Segoe UI"/>
          <w:sz w:val="18"/>
          <w:szCs w:val="18"/>
        </w:rPr>
        <w:t xml:space="preserve"> Level 1 </w:t>
      </w:r>
      <w:r>
        <w:rPr>
          <w:rFonts w:ascii="Segoe UI" w:eastAsia="Times New Roman" w:hAnsi="Segoe UI" w:cs="Segoe UI"/>
          <w:sz w:val="18"/>
          <w:szCs w:val="18"/>
        </w:rPr>
        <w:t>text only refers to a</w:t>
      </w:r>
      <w:r w:rsidRPr="00DD100A">
        <w:rPr>
          <w:rFonts w:ascii="Segoe UI" w:eastAsia="Times New Roman" w:hAnsi="Segoe UI" w:cs="Segoe UI"/>
          <w:sz w:val="18"/>
          <w:szCs w:val="18"/>
        </w:rPr>
        <w:t xml:space="preserve"> “clearing member” and </w:t>
      </w:r>
      <w:r>
        <w:rPr>
          <w:rFonts w:ascii="Segoe UI" w:eastAsia="Times New Roman" w:hAnsi="Segoe UI" w:cs="Segoe UI"/>
          <w:sz w:val="18"/>
          <w:szCs w:val="18"/>
        </w:rPr>
        <w:t>that it is not feasible to</w:t>
      </w:r>
      <w:r w:rsidRPr="00DD100A">
        <w:rPr>
          <w:rFonts w:ascii="Segoe UI" w:eastAsia="Times New Roman" w:hAnsi="Segoe UI" w:cs="Segoe UI"/>
          <w:sz w:val="18"/>
          <w:szCs w:val="18"/>
        </w:rPr>
        <w:t xml:space="preserve"> introduce new definitions</w:t>
      </w:r>
      <w:r>
        <w:rPr>
          <w:rFonts w:ascii="Segoe UI" w:eastAsia="Times New Roman" w:hAnsi="Segoe UI" w:cs="Segoe UI"/>
          <w:sz w:val="18"/>
          <w:szCs w:val="18"/>
        </w:rPr>
        <w:t xml:space="preserve"> such as “participant in a sponsored access model”</w:t>
      </w:r>
      <w:r w:rsidRPr="00DD100A">
        <w:rPr>
          <w:rFonts w:ascii="Segoe UI" w:eastAsia="Times New Roman" w:hAnsi="Segoe UI" w:cs="Segoe UI"/>
          <w:sz w:val="18"/>
          <w:szCs w:val="18"/>
        </w:rPr>
        <w:t xml:space="preserve">. </w:t>
      </w:r>
      <w:r>
        <w:rPr>
          <w:rFonts w:ascii="Segoe UI" w:eastAsia="Times New Roman" w:hAnsi="Segoe UI" w:cs="Segoe UI"/>
          <w:sz w:val="18"/>
          <w:szCs w:val="18"/>
        </w:rPr>
        <w:t>With this in mind,</w:t>
      </w:r>
      <w:r w:rsidRPr="00DD100A">
        <w:rPr>
          <w:rFonts w:ascii="Segoe UI" w:eastAsia="Times New Roman" w:hAnsi="Segoe UI" w:cs="Segoe UI"/>
          <w:sz w:val="18"/>
          <w:szCs w:val="18"/>
        </w:rPr>
        <w:t xml:space="preserve"> </w:t>
      </w:r>
      <w:r>
        <w:rPr>
          <w:rFonts w:ascii="Segoe UI" w:eastAsia="Times New Roman" w:hAnsi="Segoe UI" w:cs="Segoe UI"/>
          <w:sz w:val="18"/>
          <w:szCs w:val="18"/>
        </w:rPr>
        <w:t xml:space="preserve">we </w:t>
      </w:r>
      <w:r w:rsidRPr="00DD100A">
        <w:rPr>
          <w:rFonts w:ascii="Segoe UI" w:eastAsia="Times New Roman" w:hAnsi="Segoe UI" w:cs="Segoe UI"/>
          <w:sz w:val="18"/>
          <w:szCs w:val="18"/>
        </w:rPr>
        <w:t xml:space="preserve">recommend adding </w:t>
      </w:r>
      <w:r>
        <w:rPr>
          <w:rFonts w:ascii="Segoe UI" w:eastAsia="Times New Roman" w:hAnsi="Segoe UI" w:cs="Segoe UI"/>
          <w:sz w:val="18"/>
          <w:szCs w:val="18"/>
        </w:rPr>
        <w:t>clarification</w:t>
      </w:r>
      <w:r w:rsidRPr="00DD100A">
        <w:rPr>
          <w:rFonts w:ascii="Segoe UI" w:eastAsia="Times New Roman" w:hAnsi="Segoe UI" w:cs="Segoe UI"/>
          <w:sz w:val="18"/>
          <w:szCs w:val="18"/>
        </w:rPr>
        <w:t xml:space="preserve"> that the term is used to reflect the Level 1</w:t>
      </w:r>
      <w:r>
        <w:rPr>
          <w:rFonts w:ascii="Segoe UI" w:eastAsia="Times New Roman" w:hAnsi="Segoe UI" w:cs="Segoe UI"/>
          <w:sz w:val="18"/>
          <w:szCs w:val="18"/>
        </w:rPr>
        <w:t xml:space="preserve"> text</w:t>
      </w:r>
      <w:r w:rsidRPr="00DD100A">
        <w:rPr>
          <w:rFonts w:ascii="Segoe UI" w:eastAsia="Times New Roman" w:hAnsi="Segoe UI" w:cs="Segoe UI"/>
          <w:sz w:val="18"/>
          <w:szCs w:val="18"/>
        </w:rPr>
        <w:t xml:space="preserve"> structure, not to imply equal rights or obligations.</w:t>
      </w:r>
    </w:p>
    <w:p w14:paraId="01EF6C30" w14:textId="09F6E3AB" w:rsidR="00693907" w:rsidRDefault="00693907" w:rsidP="00693907">
      <w:r>
        <w:t>&lt;ESMA_QUESTION_</w:t>
      </w:r>
      <w:r w:rsidR="004F1A78">
        <w:t>PART</w:t>
      </w:r>
      <w:r>
        <w:t>_6&gt;</w:t>
      </w:r>
    </w:p>
    <w:p w14:paraId="59161C1E" w14:textId="77777777" w:rsidR="00693907" w:rsidRDefault="00693907" w:rsidP="00693907"/>
    <w:p w14:paraId="40418AF6" w14:textId="6BC61238" w:rsidR="00693907" w:rsidRDefault="005424B8" w:rsidP="00693907">
      <w:pPr>
        <w:pStyle w:val="Questionstyle"/>
      </w:pPr>
      <w:r w:rsidRPr="005424B8">
        <w:t>Do you agree with the suggested safeguards in relation to the access to reliable liquidity? Should ESMA consider other safeguards? Please justify your response and provide quantitative evidence.</w:t>
      </w:r>
      <w:r w:rsidR="00693907" w:rsidRPr="00F31533">
        <w:t xml:space="preserve"> </w:t>
      </w:r>
    </w:p>
    <w:p w14:paraId="2D7CC49A" w14:textId="2811C52E" w:rsidR="00693907" w:rsidRDefault="00693907" w:rsidP="00693907">
      <w:r>
        <w:t>&lt;ESMA_QUESTION_</w:t>
      </w:r>
      <w:r w:rsidR="00E0200F">
        <w:t>PART</w:t>
      </w:r>
      <w:r>
        <w:t>_7&gt;</w:t>
      </w:r>
    </w:p>
    <w:p w14:paraId="5473FBFE" w14:textId="77777777" w:rsidR="00650084" w:rsidRDefault="00650084" w:rsidP="00650084">
      <w:pPr>
        <w:rPr>
          <w:rFonts w:ascii="Segoe UI" w:eastAsia="Times New Roman" w:hAnsi="Segoe UI" w:cs="Segoe UI"/>
          <w:sz w:val="18"/>
          <w:szCs w:val="18"/>
        </w:rPr>
      </w:pPr>
      <w:r w:rsidRPr="00DD100A">
        <w:rPr>
          <w:rFonts w:ascii="Segoe UI" w:eastAsia="Times New Roman" w:hAnsi="Segoe UI" w:cs="Segoe UI"/>
          <w:sz w:val="18"/>
          <w:szCs w:val="18"/>
        </w:rPr>
        <w:lastRenderedPageBreak/>
        <w:t>We support flexible safeguards that allow CCPs to safely admit NFCs without imposing barriers that amount to de facto exclusion</w:t>
      </w:r>
      <w:r>
        <w:rPr>
          <w:rFonts w:ascii="Segoe UI" w:eastAsia="Times New Roman" w:hAnsi="Segoe UI" w:cs="Segoe UI"/>
          <w:sz w:val="18"/>
          <w:szCs w:val="18"/>
        </w:rPr>
        <w:t xml:space="preserve">. </w:t>
      </w:r>
      <w:r w:rsidRPr="00013979">
        <w:rPr>
          <w:rFonts w:ascii="Segoe UI" w:eastAsia="Times New Roman" w:hAnsi="Segoe UI" w:cs="Segoe UI"/>
          <w:sz w:val="18"/>
          <w:szCs w:val="18"/>
        </w:rPr>
        <w:t xml:space="preserve">CCPs should remain free to combine </w:t>
      </w:r>
      <w:r>
        <w:rPr>
          <w:rFonts w:ascii="Segoe UI" w:eastAsia="Times New Roman" w:hAnsi="Segoe UI" w:cs="Segoe UI"/>
          <w:sz w:val="18"/>
          <w:szCs w:val="18"/>
        </w:rPr>
        <w:t>safeguards</w:t>
      </w:r>
      <w:r w:rsidRPr="00013979">
        <w:rPr>
          <w:rFonts w:ascii="Segoe UI" w:eastAsia="Times New Roman" w:hAnsi="Segoe UI" w:cs="Segoe UI"/>
          <w:sz w:val="18"/>
          <w:szCs w:val="18"/>
        </w:rPr>
        <w:t xml:space="preserve">, or to apply alternative mitigants, depending on the NFC’s characteristics, the CCP’s risk </w:t>
      </w:r>
      <w:r>
        <w:rPr>
          <w:rFonts w:ascii="Segoe UI" w:eastAsia="Times New Roman" w:hAnsi="Segoe UI" w:cs="Segoe UI"/>
          <w:sz w:val="18"/>
          <w:szCs w:val="18"/>
        </w:rPr>
        <w:t>procedures,</w:t>
      </w:r>
      <w:r w:rsidRPr="00013979">
        <w:rPr>
          <w:rFonts w:ascii="Segoe UI" w:eastAsia="Times New Roman" w:hAnsi="Segoe UI" w:cs="Segoe UI"/>
          <w:sz w:val="18"/>
          <w:szCs w:val="18"/>
        </w:rPr>
        <w:t xml:space="preserve"> and supervisory expectations.</w:t>
      </w:r>
      <w:r>
        <w:rPr>
          <w:rFonts w:ascii="Segoe UI" w:eastAsia="Times New Roman" w:hAnsi="Segoe UI" w:cs="Segoe UI"/>
          <w:sz w:val="18"/>
          <w:szCs w:val="18"/>
        </w:rPr>
        <w:t xml:space="preserve"> </w:t>
      </w:r>
      <w:r w:rsidRPr="00DD100A">
        <w:rPr>
          <w:rFonts w:ascii="Segoe UI" w:eastAsia="Times New Roman" w:hAnsi="Segoe UI" w:cs="Segoe UI"/>
          <w:sz w:val="18"/>
          <w:szCs w:val="18"/>
        </w:rPr>
        <w:t xml:space="preserve">EMIR allows </w:t>
      </w:r>
      <w:r w:rsidRPr="00CA6AA9">
        <w:rPr>
          <w:rFonts w:ascii="Segoe UI" w:eastAsia="Times New Roman" w:hAnsi="Segoe UI" w:cs="Segoe UI"/>
          <w:sz w:val="18"/>
          <w:szCs w:val="18"/>
        </w:rPr>
        <w:t>for the f</w:t>
      </w:r>
      <w:r w:rsidRPr="00DD100A">
        <w:rPr>
          <w:rFonts w:ascii="Segoe UI" w:eastAsia="Times New Roman" w:hAnsi="Segoe UI" w:cs="Segoe UI"/>
          <w:sz w:val="18"/>
          <w:szCs w:val="18"/>
        </w:rPr>
        <w:t>lexibility to differentiate criteria across products</w:t>
      </w:r>
      <w:r w:rsidRPr="00CA6AA9">
        <w:rPr>
          <w:rFonts w:ascii="Segoe UI" w:eastAsia="Times New Roman" w:hAnsi="Segoe UI" w:cs="Segoe UI"/>
          <w:sz w:val="18"/>
          <w:szCs w:val="18"/>
        </w:rPr>
        <w:t>, and it</w:t>
      </w:r>
      <w:r w:rsidRPr="00DD100A">
        <w:rPr>
          <w:rFonts w:ascii="Segoe UI" w:eastAsia="Times New Roman" w:hAnsi="Segoe UI" w:cs="Segoe UI"/>
          <w:sz w:val="18"/>
          <w:szCs w:val="18"/>
        </w:rPr>
        <w:t xml:space="preserve"> is important that </w:t>
      </w:r>
      <w:r w:rsidRPr="00CA6AA9">
        <w:rPr>
          <w:rFonts w:ascii="Segoe UI" w:eastAsia="Times New Roman" w:hAnsi="Segoe UI" w:cs="Segoe UI"/>
          <w:sz w:val="18"/>
          <w:szCs w:val="18"/>
        </w:rPr>
        <w:t>this is maintained in the</w:t>
      </w:r>
      <w:r w:rsidRPr="00DD100A">
        <w:rPr>
          <w:rFonts w:ascii="Segoe UI" w:eastAsia="Times New Roman" w:hAnsi="Segoe UI" w:cs="Segoe UI"/>
          <w:sz w:val="18"/>
          <w:szCs w:val="18"/>
        </w:rPr>
        <w:t xml:space="preserve"> RTS</w:t>
      </w:r>
      <w:r>
        <w:rPr>
          <w:rFonts w:ascii="Segoe UI" w:eastAsia="Times New Roman" w:hAnsi="Segoe UI" w:cs="Segoe UI"/>
          <w:sz w:val="18"/>
          <w:szCs w:val="18"/>
        </w:rPr>
        <w:t xml:space="preserve"> to ensure </w:t>
      </w:r>
      <w:r w:rsidRPr="008F5457">
        <w:rPr>
          <w:rFonts w:ascii="Segoe UI" w:eastAsia="Times New Roman" w:hAnsi="Segoe UI" w:cs="Segoe UI"/>
          <w:sz w:val="18"/>
          <w:szCs w:val="18"/>
        </w:rPr>
        <w:t xml:space="preserve">that </w:t>
      </w:r>
      <w:r>
        <w:rPr>
          <w:rFonts w:ascii="Segoe UI" w:eastAsia="Times New Roman" w:hAnsi="Segoe UI" w:cs="Segoe UI"/>
          <w:sz w:val="18"/>
          <w:szCs w:val="18"/>
        </w:rPr>
        <w:t>standards do not</w:t>
      </w:r>
      <w:r w:rsidRPr="008F5457">
        <w:rPr>
          <w:rFonts w:ascii="Segoe UI" w:eastAsia="Times New Roman" w:hAnsi="Segoe UI" w:cs="Segoe UI"/>
          <w:sz w:val="18"/>
          <w:szCs w:val="18"/>
        </w:rPr>
        <w:t xml:space="preserve"> amount to a de facto prohibition of NFC clearing membership where the NFC can otherwise demonstrate sound risk management.</w:t>
      </w:r>
    </w:p>
    <w:p w14:paraId="5B1E788E" w14:textId="48778C07" w:rsidR="00693907" w:rsidRDefault="00693907" w:rsidP="00693907">
      <w:r>
        <w:t>&lt;ESMA_QUESTION_</w:t>
      </w:r>
      <w:r w:rsidR="00E0200F">
        <w:t>P</w:t>
      </w:r>
      <w:r w:rsidR="00545B8D">
        <w:t>ART</w:t>
      </w:r>
      <w:r>
        <w:t>_7&gt;</w:t>
      </w:r>
    </w:p>
    <w:p w14:paraId="3B03B9E0" w14:textId="77777777" w:rsidR="00693907" w:rsidRDefault="00693907" w:rsidP="00693907"/>
    <w:p w14:paraId="18FE9B7F" w14:textId="3C9B7F2B" w:rsidR="00693907" w:rsidRDefault="004344B8" w:rsidP="00693907">
      <w:pPr>
        <w:pStyle w:val="Questionstyle"/>
      </w:pPr>
      <w:r w:rsidRPr="004344B8">
        <w:t>Do you agree with the suggested alternative elements that a CCP could consider when an NFC is not subject authorisation or licencing requirements resulting in capital and prudential regulation and supervision</w:t>
      </w:r>
      <w:r w:rsidR="00693907">
        <w:t xml:space="preserve">? </w:t>
      </w:r>
    </w:p>
    <w:p w14:paraId="7AA017CC" w14:textId="7834DB77" w:rsidR="00693907" w:rsidRDefault="00693907" w:rsidP="00693907">
      <w:r>
        <w:t>&lt;ESMA_QUESTION_</w:t>
      </w:r>
      <w:r w:rsidR="00545B8D">
        <w:t>PART</w:t>
      </w:r>
      <w:r>
        <w:t>_8&gt;</w:t>
      </w:r>
    </w:p>
    <w:p w14:paraId="12D8011B" w14:textId="6B115413" w:rsidR="000C1AED" w:rsidRPr="0032589F" w:rsidRDefault="000C1AED" w:rsidP="000C1AED">
      <w:pPr>
        <w:rPr>
          <w:rFonts w:ascii="Segoe UI" w:eastAsia="Times New Roman" w:hAnsi="Segoe UI" w:cs="Segoe UI"/>
          <w:sz w:val="18"/>
          <w:szCs w:val="18"/>
        </w:rPr>
      </w:pPr>
      <w:r w:rsidRPr="0032589F">
        <w:rPr>
          <w:rFonts w:ascii="Segoe UI" w:eastAsia="Times New Roman" w:hAnsi="Segoe UI" w:cs="Segoe UI"/>
          <w:sz w:val="18"/>
          <w:szCs w:val="18"/>
        </w:rPr>
        <w:t>We agree that the absence of a financial services licence or prudential regime should not automatically preclude NFCs from becoming clearing members, and we support the proposal to allow CCPs to consider alternative elements when assessing such entities. This flexibility is important given that many NFCs are not prudentially supervised but are nevertheless subject to regulatory oversight under sectoral regimes. Any NFC seeking clearing membership should, however, be able to demonstrate that it can meet the applicable membership requirements and its ongoing operational and financial obligations to the CCP on a day-to-day basis, in the same manner as any other clearing member.</w:t>
      </w:r>
    </w:p>
    <w:p w14:paraId="03AF36BD" w14:textId="77777777" w:rsidR="000C1AED" w:rsidRPr="0032589F" w:rsidRDefault="000C1AED" w:rsidP="000C1AED">
      <w:pPr>
        <w:rPr>
          <w:rFonts w:ascii="Segoe UI" w:eastAsia="Times New Roman" w:hAnsi="Segoe UI" w:cs="Segoe UI"/>
          <w:sz w:val="18"/>
          <w:szCs w:val="18"/>
        </w:rPr>
      </w:pPr>
      <w:r w:rsidRPr="0032589F">
        <w:rPr>
          <w:rFonts w:ascii="Segoe UI" w:eastAsia="Times New Roman" w:hAnsi="Segoe UI" w:cs="Segoe UI"/>
          <w:sz w:val="18"/>
          <w:szCs w:val="18"/>
        </w:rPr>
        <w:t>We consider the alternative elements identified in the RTS particularly relevant in this context, including oversight under sectoral regimes (for example energy or commodities regulators, which can provide assurance on governance and conduct), as well as mature internal risk management frameworks, such as board oversight of market, liquidity and operational risk, clear risk limits and stress-testing practices. CCPs should be able to treat the presence of a licence, whether sectoral or otherwise, as a positive indicator where relevant, without this being determinative. The RTS should focus on whether the NFC can meet CCP rulebook obligations, rather than requiring CCPs to assess and map in detail each NFC’s broader regulatory framework, which would be a significant and disproportionate undertaking. Where an NFC can demonstrate that it can meet the same obligations as a financial counterparty, certain admission elements may be less relevant.</w:t>
      </w:r>
    </w:p>
    <w:p w14:paraId="11DE980E" w14:textId="4FFC169B" w:rsidR="00693907" w:rsidRDefault="00693907" w:rsidP="00693907">
      <w:r>
        <w:t>&lt;ESMA_QUESTION_</w:t>
      </w:r>
      <w:r w:rsidR="00545B8D">
        <w:t>PART</w:t>
      </w:r>
      <w:r>
        <w:t>_8&gt;</w:t>
      </w:r>
    </w:p>
    <w:p w14:paraId="237BFC19" w14:textId="77777777" w:rsidR="00693907" w:rsidRDefault="00693907" w:rsidP="00693907"/>
    <w:p w14:paraId="1EC367CD" w14:textId="67C1E71A" w:rsidR="00E619AB" w:rsidRPr="00B25E0D" w:rsidRDefault="00E619AB" w:rsidP="00693907"/>
    <w:sectPr w:rsidR="00E619AB" w:rsidRPr="00B25E0D" w:rsidSect="00A8728B">
      <w:headerReference w:type="default" r:id="rId29"/>
      <w:footerReference w:type="default" r:id="rId3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430A" w14:textId="77777777" w:rsidR="00467E56" w:rsidRDefault="00467E56" w:rsidP="00F716D4">
      <w:r>
        <w:separator/>
      </w:r>
    </w:p>
    <w:p w14:paraId="6F8B7D25" w14:textId="77777777" w:rsidR="00467E56" w:rsidRDefault="00467E56" w:rsidP="00F716D4"/>
  </w:endnote>
  <w:endnote w:type="continuationSeparator" w:id="0">
    <w:p w14:paraId="00A919DA" w14:textId="77777777" w:rsidR="00467E56" w:rsidRDefault="00467E56" w:rsidP="00F716D4">
      <w:r>
        <w:continuationSeparator/>
      </w:r>
    </w:p>
    <w:p w14:paraId="72517AF0" w14:textId="77777777" w:rsidR="00467E56" w:rsidRDefault="00467E56" w:rsidP="00F716D4"/>
  </w:endnote>
  <w:endnote w:type="continuationNotice" w:id="1">
    <w:p w14:paraId="2C3085EE" w14:textId="77777777" w:rsidR="00467E56" w:rsidRDefault="00467E56"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B112" w14:textId="77777777" w:rsidR="00C34FE2" w:rsidRDefault="00C34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4B25" w14:textId="77777777" w:rsidR="00467E56" w:rsidRDefault="00467E56" w:rsidP="00F716D4">
      <w:r>
        <w:separator/>
      </w:r>
    </w:p>
    <w:p w14:paraId="3D007992" w14:textId="77777777" w:rsidR="00467E56" w:rsidRDefault="00467E56" w:rsidP="00F716D4"/>
  </w:footnote>
  <w:footnote w:type="continuationSeparator" w:id="0">
    <w:p w14:paraId="258EEBBB" w14:textId="77777777" w:rsidR="00467E56" w:rsidRDefault="00467E56" w:rsidP="00F716D4">
      <w:r>
        <w:continuationSeparator/>
      </w:r>
    </w:p>
    <w:p w14:paraId="76F61D6D" w14:textId="77777777" w:rsidR="00467E56" w:rsidRDefault="00467E56" w:rsidP="00F716D4"/>
  </w:footnote>
  <w:footnote w:type="continuationNotice" w:id="1">
    <w:p w14:paraId="0CD7F311" w14:textId="77777777" w:rsidR="00467E56" w:rsidRDefault="00467E56"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5FD7" w14:textId="77777777" w:rsidR="00C34FE2" w:rsidRDefault="00C34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1416CDE0" w:rsidR="004E60D2" w:rsidRPr="004E058E" w:rsidRDefault="004E60D2" w:rsidP="004E60D2">
    <w:pPr>
      <w:spacing w:after="0"/>
      <w:jc w:val="right"/>
      <w:rPr>
        <w:rStyle w:val="normaltextrun"/>
        <w:color w:val="001B4F"/>
        <w:sz w:val="16"/>
        <w:szCs w:val="16"/>
        <w:shd w:val="clear" w:color="auto" w:fill="FFFFFF"/>
      </w:rPr>
    </w:pPr>
    <w:r w:rsidRPr="004E058E">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547728" w:rsidRPr="004E058E">
      <w:rPr>
        <w:rStyle w:val="normaltextrun"/>
        <w:color w:val="001B4F"/>
        <w:sz w:val="16"/>
        <w:szCs w:val="16"/>
        <w:shd w:val="clear" w:color="auto" w:fill="FFFFFF"/>
      </w:rPr>
      <w:t>9 October</w:t>
    </w:r>
    <w:r w:rsidRPr="004E058E">
      <w:rPr>
        <w:rStyle w:val="normaltextrun"/>
        <w:color w:val="001B4F"/>
        <w:sz w:val="16"/>
        <w:szCs w:val="16"/>
        <w:shd w:val="clear" w:color="auto" w:fill="FFFFFF"/>
      </w:rPr>
      <w:t xml:space="preserve"> 202</w:t>
    </w:r>
    <w:r w:rsidR="007C5962" w:rsidRPr="004E058E">
      <w:rPr>
        <w:rStyle w:val="normaltextrun"/>
        <w:color w:val="001B4F"/>
        <w:sz w:val="16"/>
        <w:szCs w:val="16"/>
        <w:shd w:val="clear" w:color="auto" w:fill="FFFFFF"/>
      </w:rPr>
      <w:t>5</w:t>
    </w:r>
  </w:p>
  <w:p w14:paraId="5AC1769D" w14:textId="4096C7B9" w:rsidR="004E60D2" w:rsidRDefault="004E60D2" w:rsidP="000710C1">
    <w:pPr>
      <w:jc w:val="right"/>
    </w:pPr>
    <w:r w:rsidRPr="00C34FE2">
      <w:rPr>
        <w:rStyle w:val="normaltextrun"/>
        <w:color w:val="001B4F"/>
        <w:sz w:val="16"/>
        <w:szCs w:val="16"/>
        <w:shd w:val="clear" w:color="auto" w:fill="FFFFFF"/>
      </w:rPr>
      <w:t>ESMA</w:t>
    </w:r>
    <w:r w:rsidR="00C34FE2" w:rsidRPr="00C34FE2">
      <w:rPr>
        <w:rStyle w:val="normaltextrun"/>
        <w:color w:val="001B4F"/>
        <w:sz w:val="16"/>
        <w:szCs w:val="16"/>
        <w:shd w:val="clear" w:color="auto" w:fill="FFFFFF"/>
      </w:rPr>
      <w:t>91-1505572268-4497</w:t>
    </w:r>
  </w:p>
  <w:p w14:paraId="4AF05B1F" w14:textId="77777777" w:rsidR="004E60D2" w:rsidRDefault="004E60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D04CA9"/>
    <w:multiLevelType w:val="multilevel"/>
    <w:tmpl w:val="8C52C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3"/>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2"/>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5"/>
  </w:num>
  <w:num w:numId="20" w16cid:durableId="1805388212">
    <w:abstractNumId w:val="34"/>
  </w:num>
  <w:num w:numId="21" w16cid:durableId="538709007">
    <w:abstractNumId w:val="24"/>
  </w:num>
  <w:num w:numId="22" w16cid:durableId="104540172">
    <w:abstractNumId w:val="7"/>
  </w:num>
  <w:num w:numId="23" w16cid:durableId="1824349076">
    <w:abstractNumId w:val="28"/>
  </w:num>
  <w:num w:numId="24" w16cid:durableId="672032853">
    <w:abstractNumId w:val="27"/>
  </w:num>
  <w:num w:numId="25" w16cid:durableId="48917541">
    <w:abstractNumId w:val="18"/>
  </w:num>
  <w:num w:numId="26" w16cid:durableId="978925443">
    <w:abstractNumId w:val="31"/>
  </w:num>
  <w:num w:numId="27" w16cid:durableId="1036613928">
    <w:abstractNumId w:val="36"/>
  </w:num>
  <w:num w:numId="28" w16cid:durableId="872039349">
    <w:abstractNumId w:val="5"/>
  </w:num>
  <w:num w:numId="29" w16cid:durableId="924530660">
    <w:abstractNumId w:val="2"/>
  </w:num>
  <w:num w:numId="30" w16cid:durableId="419180233">
    <w:abstractNumId w:val="21"/>
  </w:num>
  <w:num w:numId="31" w16cid:durableId="276761337">
    <w:abstractNumId w:val="19"/>
  </w:num>
  <w:num w:numId="32" w16cid:durableId="1166238383">
    <w:abstractNumId w:val="33"/>
  </w:num>
  <w:num w:numId="33" w16cid:durableId="2076850202">
    <w:abstractNumId w:val="32"/>
  </w:num>
  <w:num w:numId="34" w16cid:durableId="469176496">
    <w:abstractNumId w:val="10"/>
  </w:num>
  <w:num w:numId="35" w16cid:durableId="674843309">
    <w:abstractNumId w:val="16"/>
  </w:num>
  <w:num w:numId="36" w16cid:durableId="1954971501">
    <w:abstractNumId w:val="37"/>
  </w:num>
  <w:num w:numId="37" w16cid:durableId="153492002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D22"/>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AED"/>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47"/>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D9F"/>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7BE"/>
    <w:rsid w:val="00315E96"/>
    <w:rsid w:val="00316E7D"/>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141E"/>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38A"/>
    <w:rsid w:val="0043173B"/>
    <w:rsid w:val="00431B0A"/>
    <w:rsid w:val="00431DA4"/>
    <w:rsid w:val="00432A91"/>
    <w:rsid w:val="004332A4"/>
    <w:rsid w:val="004344B8"/>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67E56"/>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C7F7A"/>
    <w:rsid w:val="004D1410"/>
    <w:rsid w:val="004D1478"/>
    <w:rsid w:val="004D19EE"/>
    <w:rsid w:val="004D1CF2"/>
    <w:rsid w:val="004D2D3A"/>
    <w:rsid w:val="004D374D"/>
    <w:rsid w:val="004D3DEC"/>
    <w:rsid w:val="004D42C8"/>
    <w:rsid w:val="004D4F57"/>
    <w:rsid w:val="004D50F6"/>
    <w:rsid w:val="004D5A0D"/>
    <w:rsid w:val="004D7910"/>
    <w:rsid w:val="004D7DEA"/>
    <w:rsid w:val="004E058E"/>
    <w:rsid w:val="004E0A28"/>
    <w:rsid w:val="004E1A0F"/>
    <w:rsid w:val="004E2E89"/>
    <w:rsid w:val="004E33C2"/>
    <w:rsid w:val="004E3B9A"/>
    <w:rsid w:val="004E49B0"/>
    <w:rsid w:val="004E60D2"/>
    <w:rsid w:val="004E62DE"/>
    <w:rsid w:val="004E6B05"/>
    <w:rsid w:val="004E76A1"/>
    <w:rsid w:val="004F05DE"/>
    <w:rsid w:val="004F1A78"/>
    <w:rsid w:val="004F6376"/>
    <w:rsid w:val="004F6A93"/>
    <w:rsid w:val="004F6F14"/>
    <w:rsid w:val="004F728D"/>
    <w:rsid w:val="004F76D9"/>
    <w:rsid w:val="004F79A6"/>
    <w:rsid w:val="00501BF5"/>
    <w:rsid w:val="00501D8B"/>
    <w:rsid w:val="00503A3E"/>
    <w:rsid w:val="00503F59"/>
    <w:rsid w:val="005049A7"/>
    <w:rsid w:val="0050530E"/>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47CD"/>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8"/>
    <w:rsid w:val="005424BC"/>
    <w:rsid w:val="00542A28"/>
    <w:rsid w:val="005441D4"/>
    <w:rsid w:val="00545B8D"/>
    <w:rsid w:val="0054672D"/>
    <w:rsid w:val="00547728"/>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6DBF"/>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084"/>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1CE"/>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387B"/>
    <w:rsid w:val="0070421B"/>
    <w:rsid w:val="00704380"/>
    <w:rsid w:val="007043F0"/>
    <w:rsid w:val="0070482E"/>
    <w:rsid w:val="00704D25"/>
    <w:rsid w:val="0070755A"/>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233"/>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47"/>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848"/>
    <w:rsid w:val="007A5C2C"/>
    <w:rsid w:val="007A7678"/>
    <w:rsid w:val="007B0CD8"/>
    <w:rsid w:val="007B0DE0"/>
    <w:rsid w:val="007B21DE"/>
    <w:rsid w:val="007B2BB9"/>
    <w:rsid w:val="007B43E8"/>
    <w:rsid w:val="007B4740"/>
    <w:rsid w:val="007B502C"/>
    <w:rsid w:val="007B5F3B"/>
    <w:rsid w:val="007C02B0"/>
    <w:rsid w:val="007C063E"/>
    <w:rsid w:val="007C1901"/>
    <w:rsid w:val="007C3932"/>
    <w:rsid w:val="007C49C0"/>
    <w:rsid w:val="007C55C1"/>
    <w:rsid w:val="007C5738"/>
    <w:rsid w:val="007C5772"/>
    <w:rsid w:val="007C5962"/>
    <w:rsid w:val="007C5AC3"/>
    <w:rsid w:val="007C5BD5"/>
    <w:rsid w:val="007C5CE7"/>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13B5"/>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04BC"/>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2B9A"/>
    <w:rsid w:val="00C23412"/>
    <w:rsid w:val="00C264C7"/>
    <w:rsid w:val="00C2682A"/>
    <w:rsid w:val="00C271C4"/>
    <w:rsid w:val="00C274F3"/>
    <w:rsid w:val="00C30A54"/>
    <w:rsid w:val="00C316F7"/>
    <w:rsid w:val="00C31DF0"/>
    <w:rsid w:val="00C321A6"/>
    <w:rsid w:val="00C33916"/>
    <w:rsid w:val="00C33BCF"/>
    <w:rsid w:val="00C34FE2"/>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2B8D"/>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9F1"/>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200F"/>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138"/>
    <w:rsid w:val="00EB4763"/>
    <w:rsid w:val="00EB6CB7"/>
    <w:rsid w:val="00EC078B"/>
    <w:rsid w:val="00EC07A0"/>
    <w:rsid w:val="00EC08E4"/>
    <w:rsid w:val="00EC3086"/>
    <w:rsid w:val="00EC3CB4"/>
    <w:rsid w:val="00EC4293"/>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01E"/>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3FF3"/>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5F2F"/>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7DD"/>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sma.europa.eu/about-esma/data-protection" TargetMode="External"/><Relationship Id="rId28"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esma.europa.eu" TargetMode="External"/><Relationship Id="rId27" Type="http://schemas.openxmlformats.org/officeDocument/2006/relationships/header" Target="header6.xml"/><Relationship Id="rId30"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49df65-7daa-43e0-a7c2-db33cdc70afd" xsi:nil="true"/>
    <SharedWithUsers xmlns="ff49df65-7daa-43e0-a7c2-db33cdc70afd">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c66b2575-1ee8-487c-9ee4-d2db9c595b79">
      <Terms xmlns="http://schemas.microsoft.com/office/infopath/2007/PartnerControls"/>
    </lcf76f155ced4ddcb4097134ff3c332f>
    <Date xmlns="c66b2575-1ee8-487c-9ee4-d2db9c595b7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C92C0B80F7C14BAC9FB27FAE268A17" ma:contentTypeVersion="22" ma:contentTypeDescription="Create a new document." ma:contentTypeScope="" ma:versionID="8a865effcc9ee565062b05d684d438a4">
  <xsd:schema xmlns:xsd="http://www.w3.org/2001/XMLSchema" xmlns:xs="http://www.w3.org/2001/XMLSchema" xmlns:p="http://schemas.microsoft.com/office/2006/metadata/properties" xmlns:ns2="c66b2575-1ee8-487c-9ee4-d2db9c595b79" xmlns:ns3="ff49df65-7daa-43e0-a7c2-db33cdc70afd" targetNamespace="http://schemas.microsoft.com/office/2006/metadata/properties" ma:root="true" ma:fieldsID="96a392c738520e25672679d4811078d6" ns2:_="" ns3:_="">
    <xsd:import namespace="c66b2575-1ee8-487c-9ee4-d2db9c595b79"/>
    <xsd:import namespace="ff49df65-7daa-43e0-a7c2-db33cdc70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Dat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b2575-1ee8-487c-9ee4-d2db9c595b79"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MediaServiceAutoTags" ma:hidden="true" ma:internalName="MediaServiceAutoTags"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Location" ma:index="12" nillable="true" ma:displayName="MediaServiceLocation" ma:hidden="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28f19b5-48f4-4f0a-be1e-e2a58f6539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9df65-7daa-43e0-a7c2-db33cdc70af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af4473f-2343-453a-b24c-54e2a478cee1}" ma:internalName="TaxCatchAll" ma:showField="CatchAllData" ma:web="ff49df65-7daa-43e0-a7c2-db33cdc70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ff49df65-7daa-43e0-a7c2-db33cdc70afd"/>
    <ds:schemaRef ds:uri="c66b2575-1ee8-487c-9ee4-d2db9c595b79"/>
  </ds:schemaRefs>
</ds:datastoreItem>
</file>

<file path=customXml/itemProps5.xml><?xml version="1.0" encoding="utf-8"?>
<ds:datastoreItem xmlns:ds="http://schemas.openxmlformats.org/officeDocument/2006/customXml" ds:itemID="{14527E28-6315-4E65-8E67-C3C4987A4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b2575-1ee8-487c-9ee4-d2db9c595b79"/>
    <ds:schemaRef ds:uri="ff49df65-7daa-43e0-a7c2-db33cdc70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2286</Words>
  <Characters>13585</Characters>
  <Application>Microsoft Office Word</Application>
  <DocSecurity>0</DocSecurity>
  <Lines>222</Lines>
  <Paragraphs>73</Paragraphs>
  <ScaleCrop>false</ScaleCrop>
  <Company>ESMA</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Charlie Ryder</cp:lastModifiedBy>
  <cp:revision>15</cp:revision>
  <cp:lastPrinted>2015-02-18T20:01:00Z</cp:lastPrinted>
  <dcterms:created xsi:type="dcterms:W3CDTF">2025-10-09T13:36:00Z</dcterms:created>
  <dcterms:modified xsi:type="dcterms:W3CDTF">2026-01-04T22:15:00Z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0aa9a312-a318-40a8-8057-8b3250272324</vt:lpwstr>
  </property>
  <property fmtid="{D5CDD505-2E9C-101B-9397-08002B2CF9AE}" pid="3" name="TeamName">
    <vt:lpwstr>10;#CCP|cfa1e806-4441-4d82-a168-2bc2f7f5a273</vt:lpwstr>
  </property>
  <property fmtid="{D5CDD505-2E9C-101B-9397-08002B2CF9AE}" pid="4" name="Topic">
    <vt:lpwstr>469;#EMIR 3|f931d6ea-49c1-471a-b933-589830532ca3</vt:lpwstr>
  </property>
  <property fmtid="{D5CDD505-2E9C-101B-9397-08002B2CF9AE}" pid="5" name="ConfidentialityLevel">
    <vt:lpwstr>17;#Regular|07f1e362-856b-423d-bea6-a14079762141</vt:lpwstr>
  </property>
  <property fmtid="{D5CDD505-2E9C-101B-9397-08002B2CF9AE}" pid="6" name="DocumentType">
    <vt:lpwstr>61;#Form / Request|efe27f23-61a2-47e7-916e-544dd02c80f4</vt:lpwstr>
  </property>
  <property fmtid="{D5CDD505-2E9C-101B-9397-08002B2CF9AE}" pid="7" name="mf50acab3f6949599688191e8740e810">
    <vt:lpwstr>Regular|07f1e362-856b-423d-bea6-a14079762141</vt:lpwstr>
  </property>
  <property fmtid="{D5CDD505-2E9C-101B-9397-08002B2CF9AE}" pid="8" name="ESMATemplatesConfidentialityLevel">
    <vt:lpwstr>8;#Public|a0c619ff-bd46-48f0-b213-6b7c03fe156d</vt:lpwstr>
  </property>
  <property fmtid="{D5CDD505-2E9C-101B-9397-08002B2CF9AE}" pid="9" name="ESMATemplatesTopic">
    <vt:lpwstr>105;#Report|6152310e-8bc8-447a-92f1-7d43d5ef86b8</vt:lpwstr>
  </property>
  <property fmtid="{D5CDD505-2E9C-101B-9397-08002B2CF9AE}" pid="10" name="n84bf37b4eaf4fd99e887816221de8a8">
    <vt:lpwstr>EN|f7e7f686-dfa7-4032-a218-a5881e990598</vt:lpwstr>
  </property>
  <property fmtid="{D5CDD505-2E9C-101B-9397-08002B2CF9AE}" pid="11" name="DocumentSetDescription">
    <vt:lpwstr/>
  </property>
  <property fmtid="{D5CDD505-2E9C-101B-9397-08002B2CF9AE}" pid="12" name="_ExtendedDescription">
    <vt:lpwstr/>
  </property>
  <property fmtid="{D5CDD505-2E9C-101B-9397-08002B2CF9AE}" pid="13" name="URL">
    <vt:lpwstr/>
  </property>
  <property fmtid="{D5CDD505-2E9C-101B-9397-08002B2CF9AE}" pid="14" name="MediaServiceImageTags">
    <vt:lpwstr/>
  </property>
  <property fmtid="{D5CDD505-2E9C-101B-9397-08002B2CF9AE}" pid="15" name="_docset_NoMedatataSyncRequired">
    <vt:lpwstr>False</vt:lpwstr>
  </property>
  <property fmtid="{D5CDD505-2E9C-101B-9397-08002B2CF9AE}" pid="16" name="MultiTopic">
    <vt:lpwstr/>
  </property>
  <property fmtid="{D5CDD505-2E9C-101B-9397-08002B2CF9AE}" pid="17" name="EsmaAudience">
    <vt:lpwstr/>
  </property>
  <property fmtid="{D5CDD505-2E9C-101B-9397-08002B2CF9AE}" pid="18" name="SubTopic">
    <vt:lpwstr>606;#Participation requirements|018c9db9-b83f-494a-9356-2d7b5cc90d25</vt:lpwstr>
  </property>
  <property fmtid="{D5CDD505-2E9C-101B-9397-08002B2CF9AE}" pid="19" name="MSIP_Label_05ae7051-b702-462d-8e81-9ac0b6085f00_Extended_MSFT_Method">
    <vt:lpwstr>Standard</vt:lpwstr>
  </property>
  <property fmtid="{D5CDD505-2E9C-101B-9397-08002B2CF9AE}" pid="20" name="MSIP_Label_05ae7051-b702-462d-8e81-9ac0b6085f00_Removed">
    <vt:lpwstr>False</vt:lpwstr>
  </property>
  <property fmtid="{D5CDD505-2E9C-101B-9397-08002B2CF9AE}" pid="21" name="MSIP_Label_05ae7051-b702-462d-8e81-9ac0b6085f00_ActionId">
    <vt:lpwstr>a2cf8dee-15b1-4b34-8492-7a43b92a8920</vt:lpwstr>
  </property>
  <property fmtid="{D5CDD505-2E9C-101B-9397-08002B2CF9AE}" pid="22" name="MSIP_Label_05ae7051-b702-462d-8e81-9ac0b6085f00_Name">
    <vt:lpwstr>Regular</vt:lpwstr>
  </property>
  <property fmtid="{D5CDD505-2E9C-101B-9397-08002B2CF9AE}" pid="23" name="MSIP_Label_05ae7051-b702-462d-8e81-9ac0b6085f00_SetDate">
    <vt:lpwstr>2025-06-21T04:45:36Z</vt:lpwstr>
  </property>
  <property fmtid="{D5CDD505-2E9C-101B-9397-08002B2CF9AE}" pid="24" name="MSIP_Label_05ae7051-b702-462d-8e81-9ac0b6085f00_SiteId">
    <vt:lpwstr>e406f268-4ae7-4c80-8994-02493da00c03</vt:lpwstr>
  </property>
  <property fmtid="{D5CDD505-2E9C-101B-9397-08002B2CF9AE}" pid="25" name="MSIP_Label_05ae7051-b702-462d-8e81-9ac0b6085f00_Enabled">
    <vt:lpwstr>True</vt:lpwstr>
  </property>
  <property fmtid="{D5CDD505-2E9C-101B-9397-08002B2CF9AE}" pid="26" name="Sensitivity">
    <vt:lpwstr>Regular</vt:lpwstr>
  </property>
  <property fmtid="{D5CDD505-2E9C-101B-9397-08002B2CF9AE}" pid="27" name="docLang">
    <vt:lpwstr>en</vt:lpwstr>
  </property>
  <property fmtid="{D5CDD505-2E9C-101B-9397-08002B2CF9AE}" pid="28" name="ContentTypeId">
    <vt:lpwstr>0x0101009AC92C0B80F7C14BAC9FB27FAE268A17</vt:lpwstr>
  </property>
</Properties>
</file>