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B91195" w:rsidRDefault="00C54034" w:rsidP="00F716D4">
      <w:pPr>
        <w:rPr>
          <w:lang w:val="fr-FR"/>
        </w:rPr>
      </w:pPr>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B7B7FF7" w:rsidR="004E60D2" w:rsidRPr="00252134" w:rsidRDefault="007C5962" w:rsidP="004E60D2">
      <w:pPr>
        <w:pStyle w:val="afff0"/>
        <w:spacing w:after="0"/>
        <w:rPr>
          <w:b w:val="0"/>
          <w:bCs w:val="0"/>
        </w:rPr>
        <w:sectPr w:rsidR="004E60D2" w:rsidRPr="00252134"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6647">
        <w:t>Participation Requirements</w:t>
      </w:r>
      <w:r w:rsidRPr="007C5962">
        <w:t xml:space="preserve"> under </w:t>
      </w:r>
      <w:r w:rsidR="009013B5">
        <w:t xml:space="preserve">Article 37(7) of </w:t>
      </w:r>
      <w:r w:rsidRPr="007C5962">
        <w:t xml:space="preserve">EMIR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4930"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afff0"/>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af7"/>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af7"/>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af7"/>
        <w:numPr>
          <w:ilvl w:val="0"/>
          <w:numId w:val="35"/>
        </w:numPr>
        <w:contextualSpacing w:val="0"/>
      </w:pPr>
      <w:r w:rsidRPr="005B6B12">
        <w:t>contain a clear rationale; and</w:t>
      </w:r>
    </w:p>
    <w:p w14:paraId="30D73002" w14:textId="77777777" w:rsidR="00E70E2E" w:rsidRPr="005B6B12" w:rsidRDefault="00E70E2E" w:rsidP="00E43387">
      <w:pPr>
        <w:pStyle w:val="af7"/>
        <w:numPr>
          <w:ilvl w:val="0"/>
          <w:numId w:val="35"/>
        </w:numPr>
        <w:contextualSpacing w:val="0"/>
      </w:pPr>
      <w:r w:rsidRPr="005B6B12">
        <w:t>describe any alternatives ESMA should consider.</w:t>
      </w:r>
    </w:p>
    <w:p w14:paraId="4A599464" w14:textId="7EC3F978" w:rsidR="00E70E2E" w:rsidRDefault="00E70E2E" w:rsidP="00E70E2E">
      <w:pPr>
        <w:rPr>
          <w:b/>
        </w:rPr>
      </w:pPr>
      <w:r w:rsidRPr="00517886">
        <w:t xml:space="preserve">ESMA will consider all comments received by </w:t>
      </w:r>
      <w:r w:rsidR="009013B5">
        <w:rPr>
          <w:b/>
        </w:rPr>
        <w:t>5 January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af7"/>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7D597908" w:rsidR="009D6E99" w:rsidRPr="00863BFD" w:rsidRDefault="009D6E99" w:rsidP="00E43387">
      <w:pPr>
        <w:pStyle w:val="af7"/>
        <w:numPr>
          <w:ilvl w:val="0"/>
          <w:numId w:val="35"/>
        </w:numPr>
        <w:contextualSpacing w:val="0"/>
      </w:pPr>
      <w:r w:rsidRPr="00863BFD">
        <w:t>Please do not remove tags of the type &lt;ESMA_QUESTION</w:t>
      </w:r>
      <w:r w:rsidR="00C05202">
        <w:t>_</w:t>
      </w:r>
      <w:r w:rsidR="00EB4138">
        <w:t>PART</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af7"/>
        <w:numPr>
          <w:ilvl w:val="0"/>
          <w:numId w:val="35"/>
        </w:numPr>
        <w:contextualSpacing w:val="0"/>
      </w:pPr>
      <w:r w:rsidRPr="00863BFD">
        <w:t>If you do not wish to respond to a given question, please do not delete it but simply leave the text “TYPE YOUR TEXT HERE” between the tags.</w:t>
      </w:r>
    </w:p>
    <w:p w14:paraId="399C1605" w14:textId="79796B11" w:rsidR="009D6E99" w:rsidRDefault="009D6E99" w:rsidP="00E43387">
      <w:pPr>
        <w:pStyle w:val="af7"/>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EB4138">
        <w:t>PART</w:t>
      </w:r>
      <w:r w:rsidRPr="00863BFD">
        <w:t>_nameofrespondent</w:t>
      </w:r>
      <w:proofErr w:type="spellEnd"/>
      <w:r w:rsidRPr="00863BFD">
        <w:t xml:space="preserve">. </w:t>
      </w:r>
    </w:p>
    <w:p w14:paraId="115A7ABF" w14:textId="4EDA3A20" w:rsidR="009D6E99" w:rsidRDefault="009D6E99" w:rsidP="009D6E99">
      <w:pPr>
        <w:pStyle w:val="af7"/>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2D2D9F">
        <w:t>PART</w:t>
      </w:r>
      <w:r>
        <w:t>_</w:t>
      </w:r>
      <w:r w:rsidRPr="00863BFD">
        <w:t>ABCD.</w:t>
      </w:r>
    </w:p>
    <w:p w14:paraId="175B3887" w14:textId="22A43A3A" w:rsidR="009D6E99" w:rsidRDefault="009D6E99" w:rsidP="00E43387">
      <w:pPr>
        <w:pStyle w:val="af7"/>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ac"/>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ac"/>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ac"/>
        </w:rPr>
        <w:t>‘</w:t>
      </w:r>
      <w:hyperlink r:id="rId23" w:history="1">
        <w:r>
          <w:rPr>
            <w:rStyle w:val="ac"/>
          </w:rPr>
          <w:t>Data protection</w:t>
        </w:r>
      </w:hyperlink>
      <w:r>
        <w:rPr>
          <w:rStyle w:val="ac"/>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default" r:id="rId25"/>
          <w:footerReference w:type="default" r:id="rId26"/>
          <w:headerReference w:type="first" r:id="rId27"/>
          <w:footerReference w:type="first" r:id="rId28"/>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aff9"/>
            </w:rPr>
            <w:id w:val="651570699"/>
            <w:text/>
          </w:sdtPr>
          <w:sdtContent>
            <w:tc>
              <w:tcPr>
                <w:tcW w:w="5595" w:type="dxa"/>
                <w:vAlign w:val="center"/>
              </w:tcPr>
              <w:p w14:paraId="633DB1B6" w14:textId="4241364D" w:rsidR="00C2682A" w:rsidRPr="00104E00" w:rsidRDefault="00B91195" w:rsidP="00104E00">
                <w:pPr>
                  <w:jc w:val="left"/>
                  <w:rPr>
                    <w:rStyle w:val="aff9"/>
                  </w:rPr>
                </w:pPr>
                <w:r>
                  <w:rPr>
                    <w:rStyle w:val="aff9"/>
                  </w:rPr>
                  <w:t>ARGA Observatory</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01FCF1A0"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B91195">
                  <w:t>Audit/Legal/Individual</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05024415" w:rsidR="00C2682A" w:rsidRPr="00104E00" w:rsidRDefault="00B91195"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13E76DA2" w:rsidR="00C2682A" w:rsidRPr="00104E00" w:rsidRDefault="00B91195" w:rsidP="00104E00">
                <w:pPr>
                  <w:jc w:val="left"/>
                </w:pPr>
                <w:r>
                  <w:t>France</w:t>
                </w:r>
              </w:p>
            </w:tc>
          </w:sdtContent>
        </w:sdt>
      </w:tr>
      <w:permEnd w:id="1727412903"/>
    </w:tbl>
    <w:p w14:paraId="398E9C9E" w14:textId="10C9CC3D" w:rsidR="00C2682A" w:rsidRDefault="00C2682A" w:rsidP="00F716D4"/>
    <w:p w14:paraId="7F986E69" w14:textId="77777777" w:rsidR="00FA4100" w:rsidRDefault="00BB1973" w:rsidP="00FA4100">
      <w:pPr>
        <w:pStyle w:val="1"/>
      </w:pPr>
      <w:r>
        <w:t>Questions</w:t>
      </w:r>
      <w:bookmarkStart w:id="8" w:name="_Hlk124780170"/>
    </w:p>
    <w:bookmarkEnd w:id="7"/>
    <w:bookmarkEnd w:id="8"/>
    <w:p w14:paraId="127B4719" w14:textId="3452262D" w:rsidR="00693907" w:rsidRPr="00B15006" w:rsidRDefault="0042141E" w:rsidP="00693907">
      <w:pPr>
        <w:pStyle w:val="Questionstyle"/>
      </w:pPr>
      <w:r w:rsidRPr="0042141E">
        <w:t xml:space="preserve">Do you agree with the suggested elements </w:t>
      </w:r>
      <w:proofErr w:type="gramStart"/>
      <w:r w:rsidRPr="0042141E">
        <w:t>with regard to</w:t>
      </w:r>
      <w:proofErr w:type="gramEnd"/>
      <w:r w:rsidRPr="0042141E">
        <w:t xml:space="preserve"> fair and open access and transparency? Should the CCP consider other elements? Please justify your response and provide evidence.</w:t>
      </w:r>
      <w:r w:rsidR="00693907" w:rsidRPr="00B15006">
        <w:t xml:space="preserve">    </w:t>
      </w:r>
    </w:p>
    <w:p w14:paraId="1E634CEC" w14:textId="3A8C710D" w:rsidR="00693907" w:rsidRDefault="00693907" w:rsidP="00693907">
      <w:r>
        <w:t>&lt;ESMA_QUESTION_</w:t>
      </w:r>
      <w:r w:rsidR="004F1A78">
        <w:t>PART</w:t>
      </w:r>
      <w:r>
        <w:t>_1&gt;</w:t>
      </w:r>
    </w:p>
    <w:p w14:paraId="51CD9702" w14:textId="76D6724C" w:rsidR="0064028E" w:rsidRPr="00130174" w:rsidRDefault="0064028E" w:rsidP="0064028E">
      <w:pPr>
        <w:spacing w:before="100" w:beforeAutospacing="1" w:after="100" w:afterAutospacing="1" w:line="240" w:lineRule="auto"/>
        <w:rPr>
          <w:rFonts w:ascii="Times New Roman" w:hAnsi="Times New Roman" w:cs="Times New Roman"/>
        </w:rPr>
      </w:pPr>
      <w:permStart w:id="910108688" w:edGrp="everyone"/>
      <w:r w:rsidRPr="00130174">
        <w:rPr>
          <w:rFonts w:ascii="Times New Roman" w:hAnsi="Times New Roman" w:cs="Times New Roman"/>
        </w:rPr>
        <w:t>ARGA supports the principle of fair, open and non-discriminatory access to central clearing. We observe that overly rigid or blanket eligibility criteria can unintentionally exclude bona-fide market participants and raise systemic concentration risks.</w:t>
      </w:r>
    </w:p>
    <w:p w14:paraId="5726F5F3"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Empirical data collected by ARGA Observatory in prior regulatory consultations (e.g., ESMA EMIR Q&amp;As, EBA consultation points on access criteria) consistently show that:</w:t>
      </w:r>
    </w:p>
    <w:p w14:paraId="0CB65D66" w14:textId="77777777" w:rsidR="0064028E" w:rsidRPr="00130174" w:rsidRDefault="0064028E" w:rsidP="0064028E">
      <w:pPr>
        <w:numPr>
          <w:ilvl w:val="0"/>
          <w:numId w:val="37"/>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access barriers that are not risk-based lead to market segmentation and decreased </w:t>
      </w:r>
      <w:proofErr w:type="gramStart"/>
      <w:r w:rsidRPr="00130174">
        <w:rPr>
          <w:rFonts w:ascii="Times New Roman" w:hAnsi="Times New Roman" w:cs="Times New Roman"/>
        </w:rPr>
        <w:t>competition;</w:t>
      </w:r>
      <w:proofErr w:type="gramEnd"/>
    </w:p>
    <w:p w14:paraId="1A77FC02" w14:textId="40EE6AB3" w:rsidR="0064028E" w:rsidRPr="0064028E" w:rsidRDefault="0064028E" w:rsidP="0064028E">
      <w:pPr>
        <w:numPr>
          <w:ilvl w:val="0"/>
          <w:numId w:val="37"/>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uniform standards without proportionality increase costs for smaller clearing members and non-financial participants, thereby reducing overall market resilience.</w:t>
      </w:r>
    </w:p>
    <w:p w14:paraId="080B86E3"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We recommend that the final RTS explicitly require proportionality in access criteria, ensuring:</w:t>
      </w:r>
    </w:p>
    <w:p w14:paraId="3D4261BF" w14:textId="77777777" w:rsidR="0064028E" w:rsidRPr="00130174" w:rsidRDefault="0064028E" w:rsidP="0064028E">
      <w:pPr>
        <w:numPr>
          <w:ilvl w:val="0"/>
          <w:numId w:val="38"/>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Objective, risk-based thresholds that distinguish between different categories of clearing members (e.g., financial, non-financial, sponsored models</w:t>
      </w:r>
      <w:proofErr w:type="gramStart"/>
      <w:r w:rsidRPr="00130174">
        <w:rPr>
          <w:rFonts w:ascii="Times New Roman" w:hAnsi="Times New Roman" w:cs="Times New Roman"/>
        </w:rPr>
        <w:t>);</w:t>
      </w:r>
      <w:proofErr w:type="gramEnd"/>
    </w:p>
    <w:p w14:paraId="36ACA777" w14:textId="77777777" w:rsidR="0064028E" w:rsidRPr="00130174" w:rsidRDefault="0064028E" w:rsidP="0064028E">
      <w:pPr>
        <w:numPr>
          <w:ilvl w:val="0"/>
          <w:numId w:val="38"/>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Transparent publication by CCPs of participation criteria and decision </w:t>
      </w:r>
      <w:proofErr w:type="gramStart"/>
      <w:r w:rsidRPr="00130174">
        <w:rPr>
          <w:rFonts w:ascii="Times New Roman" w:hAnsi="Times New Roman" w:cs="Times New Roman"/>
        </w:rPr>
        <w:t>pathways;</w:t>
      </w:r>
      <w:proofErr w:type="gramEnd"/>
    </w:p>
    <w:p w14:paraId="010EF5F5" w14:textId="0A0A4D0A" w:rsidR="0064028E" w:rsidRPr="0064028E" w:rsidRDefault="0064028E" w:rsidP="0064028E">
      <w:pPr>
        <w:numPr>
          <w:ilvl w:val="0"/>
          <w:numId w:val="38"/>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Mandatory documentation of reasons if access is denied, including quantitative risk metrics where relevant.</w:t>
      </w:r>
    </w:p>
    <w:p w14:paraId="35FE62CA"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This aligns with ARGA’s participation in previous consultations on CCP access where a risk-based, transparent approach was repeatedly emphasized.</w:t>
      </w:r>
    </w:p>
    <w:p w14:paraId="628AAE1C" w14:textId="51180D0E" w:rsidR="00693907" w:rsidRDefault="00693907" w:rsidP="00693907"/>
    <w:permEnd w:id="910108688"/>
    <w:p w14:paraId="7D4640BC" w14:textId="3D1EB77E" w:rsidR="00693907" w:rsidRDefault="00693907" w:rsidP="00693907">
      <w:r>
        <w:t>&lt;ESMA_QUESTION_</w:t>
      </w:r>
      <w:r w:rsidR="004F1A78">
        <w:t>PART</w:t>
      </w:r>
      <w:r>
        <w:t>_1&gt;</w:t>
      </w:r>
    </w:p>
    <w:p w14:paraId="0B2E60F7" w14:textId="77777777" w:rsidR="00693907" w:rsidRDefault="00693907" w:rsidP="00693907"/>
    <w:p w14:paraId="0D4A902B" w14:textId="40070A66" w:rsidR="00693907" w:rsidRPr="00C57036" w:rsidRDefault="007C5CE7" w:rsidP="00693907">
      <w:pPr>
        <w:pStyle w:val="Questionstyle"/>
      </w:pPr>
      <w:r w:rsidRPr="007C5CE7">
        <w:t xml:space="preserve">Do you agree with the suggested elements </w:t>
      </w:r>
      <w:proofErr w:type="gramStart"/>
      <w:r w:rsidRPr="007C5CE7">
        <w:t>with regard to</w:t>
      </w:r>
      <w:proofErr w:type="gramEnd"/>
      <w:r w:rsidRPr="007C5CE7">
        <w:t xml:space="preserve"> the clearing member’s financial resources? Should the CCP consider other elements? Please justify your response and provide quantitative evidence.</w:t>
      </w:r>
      <w:r w:rsidR="00693907" w:rsidRPr="00C57036">
        <w:t xml:space="preserve">   </w:t>
      </w:r>
    </w:p>
    <w:p w14:paraId="00896A16" w14:textId="5C3130D3" w:rsidR="00693907" w:rsidRDefault="00693907" w:rsidP="00693907">
      <w:r>
        <w:t>&lt;ESMA_QUESTION_</w:t>
      </w:r>
      <w:r w:rsidR="004F1A78">
        <w:t>PART</w:t>
      </w:r>
      <w:r>
        <w:t>_2&gt;</w:t>
      </w:r>
    </w:p>
    <w:p w14:paraId="110FA82E" w14:textId="55CB07B5" w:rsidR="0064028E" w:rsidRPr="00130174" w:rsidRDefault="0064028E" w:rsidP="0064028E">
      <w:pPr>
        <w:spacing w:before="100" w:beforeAutospacing="1" w:after="100" w:afterAutospacing="1" w:line="240" w:lineRule="auto"/>
        <w:rPr>
          <w:rFonts w:ascii="Times New Roman" w:hAnsi="Times New Roman" w:cs="Times New Roman"/>
        </w:rPr>
      </w:pPr>
      <w:permStart w:id="834943991" w:edGrp="everyone"/>
      <w:r w:rsidRPr="00130174">
        <w:rPr>
          <w:rFonts w:ascii="Times New Roman" w:hAnsi="Times New Roman" w:cs="Times New Roman"/>
        </w:rPr>
        <w:t>ARGA agrees that a clearing member must demonstrate financial capacity to meet potential obligations, including margin and default fund contributions.</w:t>
      </w:r>
    </w:p>
    <w:p w14:paraId="20B3A6C8"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However, we emphasize that financial resource requirements must be aligned with actual risk exposure rather than arbitrary thresholds. Our observations across EU and global markets indicate that:</w:t>
      </w:r>
    </w:p>
    <w:p w14:paraId="271217BB" w14:textId="77777777" w:rsidR="0064028E" w:rsidRPr="00130174" w:rsidRDefault="0064028E" w:rsidP="0064028E">
      <w:pPr>
        <w:numPr>
          <w:ilvl w:val="0"/>
          <w:numId w:val="39"/>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overly conservative capital floors can deter participation without materially improving systemic </w:t>
      </w:r>
      <w:proofErr w:type="gramStart"/>
      <w:r w:rsidRPr="00130174">
        <w:rPr>
          <w:rFonts w:ascii="Times New Roman" w:hAnsi="Times New Roman" w:cs="Times New Roman"/>
        </w:rPr>
        <w:t>safety;</w:t>
      </w:r>
      <w:proofErr w:type="gramEnd"/>
    </w:p>
    <w:p w14:paraId="38A06E62" w14:textId="54C48C80" w:rsidR="0064028E" w:rsidRPr="0064028E" w:rsidRDefault="0064028E" w:rsidP="0064028E">
      <w:pPr>
        <w:numPr>
          <w:ilvl w:val="0"/>
          <w:numId w:val="39"/>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current industry practices vary based on clearing model, product types, and client profiles.</w:t>
      </w:r>
    </w:p>
    <w:p w14:paraId="7DB76E5A"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ARGA recommends:</w:t>
      </w:r>
    </w:p>
    <w:p w14:paraId="01118137" w14:textId="77777777" w:rsidR="0064028E" w:rsidRPr="00130174" w:rsidRDefault="0064028E" w:rsidP="0064028E">
      <w:pPr>
        <w:numPr>
          <w:ilvl w:val="0"/>
          <w:numId w:val="40"/>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Allowing CCPs to use refined risk-sensitivity methodologies (e.g., stress scenarios based on historical and simulated data) with clear governance and </w:t>
      </w:r>
      <w:proofErr w:type="gramStart"/>
      <w:r w:rsidRPr="00130174">
        <w:rPr>
          <w:rFonts w:ascii="Times New Roman" w:hAnsi="Times New Roman" w:cs="Times New Roman"/>
        </w:rPr>
        <w:t>oversight;</w:t>
      </w:r>
      <w:proofErr w:type="gramEnd"/>
    </w:p>
    <w:p w14:paraId="1796BA87" w14:textId="77777777" w:rsidR="0064028E" w:rsidRPr="00130174" w:rsidRDefault="0064028E" w:rsidP="0064028E">
      <w:pPr>
        <w:numPr>
          <w:ilvl w:val="0"/>
          <w:numId w:val="40"/>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Explicit criteria under which alternative measures (e.g., guarantee arrangements, insurance wraps, collateral substitutes) may be accepted, especially for NFC-clients with low systemic </w:t>
      </w:r>
      <w:proofErr w:type="gramStart"/>
      <w:r w:rsidRPr="00130174">
        <w:rPr>
          <w:rFonts w:ascii="Times New Roman" w:hAnsi="Times New Roman" w:cs="Times New Roman"/>
        </w:rPr>
        <w:t>footprint;</w:t>
      </w:r>
      <w:proofErr w:type="gramEnd"/>
    </w:p>
    <w:p w14:paraId="6ECA0C52" w14:textId="35C69C2B" w:rsidR="0064028E" w:rsidRPr="0064028E" w:rsidRDefault="0064028E" w:rsidP="0064028E">
      <w:pPr>
        <w:numPr>
          <w:ilvl w:val="0"/>
          <w:numId w:val="40"/>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Disclosure by clearing members of their internal risk calibration models — in anonymized form where confidentiality requires — to support assessment by CCP risk committees.</w:t>
      </w:r>
    </w:p>
    <w:p w14:paraId="58479219"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These suggestions are grounded in ARGA’s analytical work on risk populations and capital adequacy across international markets.</w:t>
      </w:r>
    </w:p>
    <w:p w14:paraId="32B784C4" w14:textId="0498F353" w:rsidR="00693907" w:rsidRDefault="00693907" w:rsidP="00693907"/>
    <w:permEnd w:id="834943991"/>
    <w:p w14:paraId="456D2494" w14:textId="58428063" w:rsidR="00693907" w:rsidRDefault="00693907" w:rsidP="00693907">
      <w:r>
        <w:t>&lt;ESMA_QUESTION_</w:t>
      </w:r>
      <w:r w:rsidR="004F1A78">
        <w:t>PART</w:t>
      </w:r>
      <w:r>
        <w:t>_2&gt;</w:t>
      </w:r>
    </w:p>
    <w:p w14:paraId="07210AC9" w14:textId="77777777" w:rsidR="00693907" w:rsidRDefault="00693907" w:rsidP="00693907"/>
    <w:p w14:paraId="19A7880E" w14:textId="38362F1E" w:rsidR="00693907" w:rsidRPr="00EB5987" w:rsidRDefault="006901CE" w:rsidP="00693907">
      <w:pPr>
        <w:pStyle w:val="Questionstyle"/>
      </w:pPr>
      <w:r w:rsidRPr="006901CE">
        <w:t xml:space="preserve">Do you agree with the suggested elements </w:t>
      </w:r>
      <w:proofErr w:type="gramStart"/>
      <w:r w:rsidRPr="006901CE">
        <w:t>with regard to</w:t>
      </w:r>
      <w:proofErr w:type="gramEnd"/>
      <w:r w:rsidRPr="006901CE">
        <w:t xml:space="preserve"> the clearing member’s operational capacity? Should the CCP consider other elements? Please justify your response and provide evidence.</w:t>
      </w:r>
      <w:r>
        <w:t xml:space="preserve"> </w:t>
      </w:r>
      <w:r w:rsidR="00693907" w:rsidRPr="00EB5987">
        <w:t xml:space="preserve">    </w:t>
      </w:r>
    </w:p>
    <w:p w14:paraId="4B1B3C0E" w14:textId="57429172" w:rsidR="00693907" w:rsidRDefault="00693907" w:rsidP="00693907">
      <w:r>
        <w:t>&lt;ESMA_QUESTION_</w:t>
      </w:r>
      <w:r w:rsidR="004F1A78">
        <w:t>PART</w:t>
      </w:r>
      <w:r>
        <w:t>_3&gt;</w:t>
      </w:r>
    </w:p>
    <w:p w14:paraId="3893BC42" w14:textId="77777777" w:rsidR="0064028E" w:rsidRPr="00130174" w:rsidRDefault="0064028E" w:rsidP="0064028E">
      <w:pPr>
        <w:spacing w:before="100" w:beforeAutospacing="1" w:after="100" w:afterAutospacing="1" w:line="240" w:lineRule="auto"/>
        <w:rPr>
          <w:rFonts w:ascii="Times New Roman" w:hAnsi="Times New Roman" w:cs="Times New Roman"/>
        </w:rPr>
      </w:pPr>
      <w:permStart w:id="1178823114" w:edGrp="everyone"/>
      <w:r w:rsidRPr="00130174">
        <w:rPr>
          <w:rFonts w:ascii="Times New Roman" w:hAnsi="Times New Roman" w:cs="Times New Roman"/>
        </w:rPr>
        <w:t>Operational readiness is essential for safe participation in CCP activities. ARGA notes that operational capacity cannot be evaluated solely by static checklists; it must reflect dynamic capabilities such as:</w:t>
      </w:r>
    </w:p>
    <w:p w14:paraId="16AA1535" w14:textId="77777777" w:rsidR="0064028E" w:rsidRPr="00130174" w:rsidRDefault="0064028E" w:rsidP="0064028E">
      <w:pPr>
        <w:numPr>
          <w:ilvl w:val="0"/>
          <w:numId w:val="41"/>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real-time risk </w:t>
      </w:r>
      <w:proofErr w:type="gramStart"/>
      <w:r w:rsidRPr="00130174">
        <w:rPr>
          <w:rFonts w:ascii="Times New Roman" w:hAnsi="Times New Roman" w:cs="Times New Roman"/>
        </w:rPr>
        <w:t>monitoring;</w:t>
      </w:r>
      <w:proofErr w:type="gramEnd"/>
    </w:p>
    <w:p w14:paraId="15FC54F1" w14:textId="77777777" w:rsidR="0064028E" w:rsidRPr="00130174" w:rsidRDefault="0064028E" w:rsidP="0064028E">
      <w:pPr>
        <w:numPr>
          <w:ilvl w:val="0"/>
          <w:numId w:val="41"/>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contingency procedures for stressed market </w:t>
      </w:r>
      <w:proofErr w:type="gramStart"/>
      <w:r w:rsidRPr="00130174">
        <w:rPr>
          <w:rFonts w:ascii="Times New Roman" w:hAnsi="Times New Roman" w:cs="Times New Roman"/>
        </w:rPr>
        <w:t>conditions;</w:t>
      </w:r>
      <w:proofErr w:type="gramEnd"/>
    </w:p>
    <w:p w14:paraId="77BD5380" w14:textId="03508678" w:rsidR="0064028E" w:rsidRPr="0064028E" w:rsidRDefault="0064028E" w:rsidP="0064028E">
      <w:pPr>
        <w:numPr>
          <w:ilvl w:val="0"/>
          <w:numId w:val="41"/>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lastRenderedPageBreak/>
        <w:t>interoperability with CCP messaging and risk systems.</w:t>
      </w:r>
    </w:p>
    <w:p w14:paraId="3539496A"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We recommend the RTS require that CCPs evaluate:</w:t>
      </w:r>
    </w:p>
    <w:p w14:paraId="71C24158" w14:textId="77777777" w:rsidR="0064028E" w:rsidRPr="00130174" w:rsidRDefault="0064028E" w:rsidP="0064028E">
      <w:pPr>
        <w:numPr>
          <w:ilvl w:val="0"/>
          <w:numId w:val="42"/>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Operational resilience metrics (e.g., uptime SLAs, incident recovery times) with historical performance </w:t>
      </w:r>
      <w:proofErr w:type="gramStart"/>
      <w:r w:rsidRPr="00130174">
        <w:rPr>
          <w:rFonts w:ascii="Times New Roman" w:hAnsi="Times New Roman" w:cs="Times New Roman"/>
        </w:rPr>
        <w:t>data;</w:t>
      </w:r>
      <w:proofErr w:type="gramEnd"/>
    </w:p>
    <w:p w14:paraId="4451C501" w14:textId="77777777" w:rsidR="0064028E" w:rsidRPr="00130174" w:rsidRDefault="0064028E" w:rsidP="0064028E">
      <w:pPr>
        <w:numPr>
          <w:ilvl w:val="0"/>
          <w:numId w:val="42"/>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Evidence of continuous testing of operational procedures, including external audit results where </w:t>
      </w:r>
      <w:proofErr w:type="gramStart"/>
      <w:r w:rsidRPr="00130174">
        <w:rPr>
          <w:rFonts w:ascii="Times New Roman" w:hAnsi="Times New Roman" w:cs="Times New Roman"/>
        </w:rPr>
        <w:t>available;</w:t>
      </w:r>
      <w:proofErr w:type="gramEnd"/>
    </w:p>
    <w:p w14:paraId="5A610A56" w14:textId="44367C98" w:rsidR="0064028E" w:rsidRPr="0064028E" w:rsidRDefault="0064028E" w:rsidP="0064028E">
      <w:pPr>
        <w:numPr>
          <w:ilvl w:val="0"/>
          <w:numId w:val="42"/>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Appropriateness of outsourced service providers and their integration into the participant’s risk framework.</w:t>
      </w:r>
    </w:p>
    <w:p w14:paraId="57D6775B"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These points reflect observed gaps in operational risk preparedness across markets documented by ARGA Observatory.</w:t>
      </w:r>
    </w:p>
    <w:p w14:paraId="6EDBBD0D" w14:textId="1D14A975" w:rsidR="00693907" w:rsidRDefault="00693907" w:rsidP="00693907"/>
    <w:permEnd w:id="1178823114"/>
    <w:p w14:paraId="7EF07F00" w14:textId="7FB07346" w:rsidR="00693907" w:rsidRDefault="00693907" w:rsidP="00693907">
      <w:r>
        <w:t>&lt;ESMA_QUESTION_</w:t>
      </w:r>
      <w:r w:rsidR="004F1A78">
        <w:t>PART</w:t>
      </w:r>
      <w:r>
        <w:t>_3&gt;</w:t>
      </w:r>
    </w:p>
    <w:p w14:paraId="6B4516C3" w14:textId="77777777" w:rsidR="00693907" w:rsidRDefault="00693907" w:rsidP="00693907"/>
    <w:p w14:paraId="5487291B" w14:textId="0ABA2BDC" w:rsidR="00693907" w:rsidRPr="007966CD" w:rsidRDefault="00CC2B8D" w:rsidP="00693907">
      <w:pPr>
        <w:pStyle w:val="Questionstyle"/>
      </w:pPr>
      <w:r w:rsidRPr="00CC2B8D">
        <w:t xml:space="preserve">Do you agree with the suggested elements </w:t>
      </w:r>
      <w:proofErr w:type="gramStart"/>
      <w:r w:rsidRPr="00CC2B8D">
        <w:t>with regard to</w:t>
      </w:r>
      <w:proofErr w:type="gramEnd"/>
      <w:r w:rsidRPr="00CC2B8D">
        <w:t xml:space="preserve"> other considerations and risks? Should the CCP consider other elements? Please justify your response and provide evidence.</w:t>
      </w:r>
      <w:r w:rsidR="00693907" w:rsidRPr="007966CD">
        <w:t xml:space="preserve">    </w:t>
      </w:r>
    </w:p>
    <w:p w14:paraId="6040CACC" w14:textId="67EBFC14" w:rsidR="00693907" w:rsidRDefault="00693907" w:rsidP="00693907">
      <w:r>
        <w:t>&lt;ESMA_QUESTION_</w:t>
      </w:r>
      <w:r w:rsidR="004F1A78">
        <w:t>PART</w:t>
      </w:r>
      <w:r>
        <w:t>_4&gt;</w:t>
      </w:r>
    </w:p>
    <w:p w14:paraId="69339FA4" w14:textId="77777777" w:rsidR="0064028E" w:rsidRPr="00130174" w:rsidRDefault="0064028E" w:rsidP="0064028E">
      <w:pPr>
        <w:spacing w:before="100" w:beforeAutospacing="1" w:after="100" w:afterAutospacing="1" w:line="240" w:lineRule="auto"/>
        <w:rPr>
          <w:rFonts w:ascii="Times New Roman" w:hAnsi="Times New Roman" w:cs="Times New Roman"/>
        </w:rPr>
      </w:pPr>
      <w:permStart w:id="2012300575" w:edGrp="everyone"/>
      <w:r w:rsidRPr="00130174">
        <w:rPr>
          <w:rFonts w:ascii="Times New Roman" w:hAnsi="Times New Roman" w:cs="Times New Roman"/>
        </w:rPr>
        <w:t>ESMA’s draft RTS should explicitly integrate AML/CFT risk considerations into participation requirements, consistent with risk-based international standards. ARGA’s observations suggest that:</w:t>
      </w:r>
    </w:p>
    <w:p w14:paraId="7C80501C" w14:textId="77777777" w:rsidR="0064028E" w:rsidRPr="00130174" w:rsidRDefault="0064028E" w:rsidP="0064028E">
      <w:pPr>
        <w:numPr>
          <w:ilvl w:val="0"/>
          <w:numId w:val="43"/>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compliance frameworks with documented AML/CFT controls reduce the probability of regulatory action that could disrupt clearing </w:t>
      </w:r>
      <w:proofErr w:type="gramStart"/>
      <w:r w:rsidRPr="00130174">
        <w:rPr>
          <w:rFonts w:ascii="Times New Roman" w:hAnsi="Times New Roman" w:cs="Times New Roman"/>
        </w:rPr>
        <w:t>operations;</w:t>
      </w:r>
      <w:proofErr w:type="gramEnd"/>
    </w:p>
    <w:p w14:paraId="276787B6" w14:textId="362DA6A6" w:rsidR="0064028E" w:rsidRPr="0064028E" w:rsidRDefault="0064028E" w:rsidP="0064028E">
      <w:pPr>
        <w:numPr>
          <w:ilvl w:val="0"/>
          <w:numId w:val="43"/>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uniform exclusion based solely on legal form (e.g., lack of prudential licence) is not risk-sensitive when strong internal compliance exists.</w:t>
      </w:r>
    </w:p>
    <w:p w14:paraId="49CE2B55"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 xml:space="preserve">ARGA recommends that CCPs assess </w:t>
      </w:r>
      <w:proofErr w:type="gramStart"/>
      <w:r w:rsidRPr="00130174">
        <w:rPr>
          <w:rFonts w:ascii="Times New Roman" w:hAnsi="Times New Roman" w:cs="Times New Roman"/>
        </w:rPr>
        <w:t>participants’</w:t>
      </w:r>
      <w:proofErr w:type="gramEnd"/>
      <w:r w:rsidRPr="00130174">
        <w:rPr>
          <w:rFonts w:ascii="Times New Roman" w:hAnsi="Times New Roman" w:cs="Times New Roman"/>
        </w:rPr>
        <w:t>:</w:t>
      </w:r>
    </w:p>
    <w:p w14:paraId="05612A08" w14:textId="77777777" w:rsidR="0064028E" w:rsidRPr="00130174" w:rsidRDefault="0064028E" w:rsidP="0064028E">
      <w:pPr>
        <w:numPr>
          <w:ilvl w:val="0"/>
          <w:numId w:val="44"/>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AML/CFT governance, including transaction monitoring </w:t>
      </w:r>
      <w:proofErr w:type="gramStart"/>
      <w:r w:rsidRPr="00130174">
        <w:rPr>
          <w:rFonts w:ascii="Times New Roman" w:hAnsi="Times New Roman" w:cs="Times New Roman"/>
        </w:rPr>
        <w:t>adequacy;</w:t>
      </w:r>
      <w:proofErr w:type="gramEnd"/>
    </w:p>
    <w:p w14:paraId="7B9639B0" w14:textId="77777777" w:rsidR="0064028E" w:rsidRPr="00130174" w:rsidRDefault="0064028E" w:rsidP="0064028E">
      <w:pPr>
        <w:numPr>
          <w:ilvl w:val="0"/>
          <w:numId w:val="44"/>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Historical record of compliance actions, including anonymized </w:t>
      </w:r>
      <w:proofErr w:type="gramStart"/>
      <w:r w:rsidRPr="00130174">
        <w:rPr>
          <w:rFonts w:ascii="Times New Roman" w:hAnsi="Times New Roman" w:cs="Times New Roman"/>
        </w:rPr>
        <w:t>patterns;</w:t>
      </w:r>
      <w:proofErr w:type="gramEnd"/>
    </w:p>
    <w:p w14:paraId="473228A3" w14:textId="7AA6E5FE" w:rsidR="0064028E" w:rsidRPr="0064028E" w:rsidRDefault="0064028E" w:rsidP="0064028E">
      <w:pPr>
        <w:numPr>
          <w:ilvl w:val="0"/>
          <w:numId w:val="44"/>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Interaction between AML/CFT controls and operational risk frameworks.</w:t>
      </w:r>
    </w:p>
    <w:p w14:paraId="6A4DD439"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This aligns with ARGA’s emphasis in prior consultations that financial integrity and counterparty risk are inseparable in the clearing context.</w:t>
      </w:r>
    </w:p>
    <w:p w14:paraId="30B0D3B8" w14:textId="1F7AF2C2" w:rsidR="00693907" w:rsidRDefault="00693907" w:rsidP="00693907"/>
    <w:permEnd w:id="2012300575"/>
    <w:p w14:paraId="0AB70AFF" w14:textId="1AFCEF48" w:rsidR="00693907" w:rsidRDefault="00693907" w:rsidP="00693907">
      <w:r>
        <w:t>&lt;ESMA_QUESTION_</w:t>
      </w:r>
      <w:r w:rsidR="004F1A78">
        <w:t>PART</w:t>
      </w:r>
      <w:r>
        <w:t>_4&gt;</w:t>
      </w:r>
    </w:p>
    <w:p w14:paraId="2B2D8140" w14:textId="77777777" w:rsidR="00693907" w:rsidRDefault="00693907" w:rsidP="00693907"/>
    <w:p w14:paraId="0BC438F6" w14:textId="3679C330" w:rsidR="00693907" w:rsidRPr="007966CD" w:rsidRDefault="00C321A6" w:rsidP="00693907">
      <w:pPr>
        <w:pStyle w:val="Questionstyle"/>
      </w:pPr>
      <w:r w:rsidRPr="00C321A6">
        <w:t xml:space="preserve">Do you agree with the suggested elements </w:t>
      </w:r>
      <w:proofErr w:type="gramStart"/>
      <w:r w:rsidRPr="00C321A6">
        <w:t>with regard to</w:t>
      </w:r>
      <w:proofErr w:type="gramEnd"/>
      <w:r w:rsidRPr="00C321A6">
        <w:t xml:space="preserve"> the specific risks of clearing members offering clearing services to clients? Should the CCP consider other elements? Please justify your response and provide quantitative evidence.</w:t>
      </w:r>
      <w:r w:rsidR="00693907" w:rsidRPr="007966CD">
        <w:t xml:space="preserve">    </w:t>
      </w:r>
    </w:p>
    <w:p w14:paraId="01C9FE80" w14:textId="2FFF5FBD" w:rsidR="00693907" w:rsidRDefault="00693907" w:rsidP="00693907">
      <w:r>
        <w:t>&lt;ESMA_QUESTION_</w:t>
      </w:r>
      <w:r w:rsidR="004F1A78">
        <w:t>PART</w:t>
      </w:r>
      <w:r>
        <w:t>_5&gt;</w:t>
      </w:r>
    </w:p>
    <w:p w14:paraId="5C880E6A" w14:textId="53F717A4" w:rsidR="0064028E" w:rsidRPr="00130174" w:rsidRDefault="0064028E" w:rsidP="0064028E">
      <w:pPr>
        <w:spacing w:before="100" w:beforeAutospacing="1" w:after="100" w:afterAutospacing="1" w:line="240" w:lineRule="auto"/>
        <w:rPr>
          <w:rFonts w:ascii="Times New Roman" w:hAnsi="Times New Roman" w:cs="Times New Roman"/>
        </w:rPr>
      </w:pPr>
      <w:permStart w:id="1536499182" w:edGrp="everyone"/>
      <w:r w:rsidRPr="00130174">
        <w:rPr>
          <w:rFonts w:ascii="Times New Roman" w:hAnsi="Times New Roman" w:cs="Times New Roman"/>
        </w:rPr>
        <w:t>ARGA recognises that clearing members clearing on behalf of clients introduce additional layers of risk. However, risk can be mitigated with appropriate safeguards rather than categorical barriers.</w:t>
      </w:r>
    </w:p>
    <w:p w14:paraId="6A9DD3D8"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We recommend that RTS clarify:</w:t>
      </w:r>
    </w:p>
    <w:p w14:paraId="43D4EF6B" w14:textId="77777777" w:rsidR="0064028E" w:rsidRPr="00130174" w:rsidRDefault="0064028E" w:rsidP="0064028E">
      <w:pPr>
        <w:numPr>
          <w:ilvl w:val="0"/>
          <w:numId w:val="45"/>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The minimum standards for client segregation models (e.g., IM segregation, porting mechanisms</w:t>
      </w:r>
      <w:proofErr w:type="gramStart"/>
      <w:r w:rsidRPr="00130174">
        <w:rPr>
          <w:rFonts w:ascii="Times New Roman" w:hAnsi="Times New Roman" w:cs="Times New Roman"/>
        </w:rPr>
        <w:t>);</w:t>
      </w:r>
      <w:proofErr w:type="gramEnd"/>
    </w:p>
    <w:p w14:paraId="5AF1AF91" w14:textId="77777777" w:rsidR="0064028E" w:rsidRPr="00130174" w:rsidRDefault="0064028E" w:rsidP="0064028E">
      <w:pPr>
        <w:numPr>
          <w:ilvl w:val="0"/>
          <w:numId w:val="45"/>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Requirements for recovery and resolution planning related to client </w:t>
      </w:r>
      <w:proofErr w:type="gramStart"/>
      <w:r w:rsidRPr="00130174">
        <w:rPr>
          <w:rFonts w:ascii="Times New Roman" w:hAnsi="Times New Roman" w:cs="Times New Roman"/>
        </w:rPr>
        <w:t>positions;</w:t>
      </w:r>
      <w:proofErr w:type="gramEnd"/>
    </w:p>
    <w:p w14:paraId="7EFFABBC" w14:textId="56151026" w:rsidR="0064028E" w:rsidRPr="0064028E" w:rsidRDefault="0064028E" w:rsidP="0064028E">
      <w:pPr>
        <w:numPr>
          <w:ilvl w:val="0"/>
          <w:numId w:val="45"/>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Reporting metrics CCPs should collect from clearing members on client-related exposures.</w:t>
      </w:r>
    </w:p>
    <w:p w14:paraId="316C4787"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ARGA Observatory data shows that when such standards are properly implemented, client clearing does not materially increase systemic risk but enhances market access and resilience.</w:t>
      </w:r>
    </w:p>
    <w:p w14:paraId="3D3532C4" w14:textId="7C1FA64F" w:rsidR="00693907" w:rsidRDefault="00693907" w:rsidP="00693907"/>
    <w:permEnd w:id="1536499182"/>
    <w:p w14:paraId="3CE960DF" w14:textId="040F0097" w:rsidR="00693907" w:rsidRDefault="00693907" w:rsidP="00693907">
      <w:r>
        <w:t>&lt;ESMA_QUESTION_</w:t>
      </w:r>
      <w:r w:rsidR="004F1A78">
        <w:t>PART</w:t>
      </w:r>
      <w:r>
        <w:t>_5&gt;</w:t>
      </w:r>
    </w:p>
    <w:p w14:paraId="6036296B" w14:textId="77777777" w:rsidR="00693907" w:rsidRDefault="00693907" w:rsidP="00693907"/>
    <w:p w14:paraId="18DFE8FB" w14:textId="14CBC303" w:rsidR="00693907" w:rsidRDefault="00EC4293" w:rsidP="00693907">
      <w:pPr>
        <w:pStyle w:val="Questionstyle"/>
      </w:pPr>
      <w:r w:rsidRPr="00EC4293">
        <w:t xml:space="preserve">Do you agree with the suggested elements </w:t>
      </w:r>
      <w:proofErr w:type="gramStart"/>
      <w:r w:rsidRPr="00EC4293">
        <w:t>with regard to</w:t>
      </w:r>
      <w:proofErr w:type="gramEnd"/>
      <w:r w:rsidRPr="00EC4293">
        <w:t xml:space="preserve"> sponsored models? Should the CCP consider other elements? Please justify your response and provide evidence</w:t>
      </w:r>
      <w:r w:rsidR="0043138A">
        <w:t>.</w:t>
      </w:r>
    </w:p>
    <w:p w14:paraId="60F9A95E" w14:textId="6390B5D2" w:rsidR="00693907" w:rsidRDefault="00693907" w:rsidP="00693907">
      <w:r>
        <w:t>&lt;ESMA_QUESTION_</w:t>
      </w:r>
      <w:r w:rsidR="004F1A78">
        <w:t>PART</w:t>
      </w:r>
      <w:r>
        <w:t>_6&gt;</w:t>
      </w:r>
    </w:p>
    <w:p w14:paraId="034D5C9E" w14:textId="77777777" w:rsidR="0064028E" w:rsidRPr="00130174" w:rsidRDefault="0064028E" w:rsidP="0064028E">
      <w:pPr>
        <w:spacing w:before="100" w:beforeAutospacing="1" w:after="100" w:afterAutospacing="1" w:line="240" w:lineRule="auto"/>
        <w:rPr>
          <w:rFonts w:ascii="Times New Roman" w:hAnsi="Times New Roman" w:cs="Times New Roman"/>
        </w:rPr>
      </w:pPr>
      <w:permStart w:id="1016208263" w:edGrp="everyone"/>
      <w:r w:rsidRPr="00130174">
        <w:rPr>
          <w:rFonts w:ascii="Times New Roman" w:hAnsi="Times New Roman" w:cs="Times New Roman"/>
        </w:rPr>
        <w:t>Sponsored access models expand market participation, especially for buy-side and non-systemic participants. ESMA’s draft RTS should promote clear, risk-based criteria for sponsored models, including:</w:t>
      </w:r>
    </w:p>
    <w:p w14:paraId="49E6C7B4" w14:textId="77777777" w:rsidR="0064028E" w:rsidRPr="00130174" w:rsidRDefault="0064028E" w:rsidP="0064028E">
      <w:pPr>
        <w:numPr>
          <w:ilvl w:val="0"/>
          <w:numId w:val="46"/>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Defined responsibilities of sponsors and sponsored entities, both financial and </w:t>
      </w:r>
      <w:proofErr w:type="gramStart"/>
      <w:r w:rsidRPr="00130174">
        <w:rPr>
          <w:rFonts w:ascii="Times New Roman" w:hAnsi="Times New Roman" w:cs="Times New Roman"/>
        </w:rPr>
        <w:t>operational;</w:t>
      </w:r>
      <w:proofErr w:type="gramEnd"/>
    </w:p>
    <w:p w14:paraId="358827F9" w14:textId="77777777" w:rsidR="0064028E" w:rsidRPr="00130174" w:rsidRDefault="0064028E" w:rsidP="0064028E">
      <w:pPr>
        <w:numPr>
          <w:ilvl w:val="0"/>
          <w:numId w:val="46"/>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Standardised contractual terms for liability, data sharing and risk </w:t>
      </w:r>
      <w:proofErr w:type="gramStart"/>
      <w:r w:rsidRPr="00130174">
        <w:rPr>
          <w:rFonts w:ascii="Times New Roman" w:hAnsi="Times New Roman" w:cs="Times New Roman"/>
        </w:rPr>
        <w:t>control;</w:t>
      </w:r>
      <w:proofErr w:type="gramEnd"/>
    </w:p>
    <w:p w14:paraId="143F1649" w14:textId="4A1C3E8B" w:rsidR="0064028E" w:rsidRPr="0064028E" w:rsidRDefault="0064028E" w:rsidP="0064028E">
      <w:pPr>
        <w:numPr>
          <w:ilvl w:val="0"/>
          <w:numId w:val="46"/>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Metrics to assess the sponsor’s capacity to absorb potential defaults related to sponsored positions.</w:t>
      </w:r>
    </w:p>
    <w:p w14:paraId="5346A18B"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ARGA has repeatedly advocated — including in EBA and ESMA consultations — that risk-mitigating frameworks for sponsored models strengthen market inclusion without compromising safety.</w:t>
      </w:r>
    </w:p>
    <w:p w14:paraId="64E3603A" w14:textId="1DF5372C" w:rsidR="00693907" w:rsidRDefault="00693907" w:rsidP="00693907"/>
    <w:permEnd w:id="1016208263"/>
    <w:p w14:paraId="01EF6C30" w14:textId="09F6E3AB" w:rsidR="00693907" w:rsidRDefault="00693907" w:rsidP="00693907">
      <w:r>
        <w:t>&lt;ESMA_QUESTION_</w:t>
      </w:r>
      <w:r w:rsidR="004F1A78">
        <w:t>PART</w:t>
      </w:r>
      <w:r>
        <w:t>_6&gt;</w:t>
      </w:r>
    </w:p>
    <w:p w14:paraId="59161C1E" w14:textId="77777777" w:rsidR="00693907" w:rsidRDefault="00693907" w:rsidP="00693907"/>
    <w:p w14:paraId="40418AF6" w14:textId="6BC61238" w:rsidR="00693907" w:rsidRDefault="005424B8" w:rsidP="00693907">
      <w:pPr>
        <w:pStyle w:val="Questionstyle"/>
      </w:pPr>
      <w:r w:rsidRPr="005424B8">
        <w:lastRenderedPageBreak/>
        <w:t>Do you agree with the suggested safeguards in relation to the access to reliable liquidity? Should ESMA consider other safeguards? Please justify your response and provide quantitative evidence.</w:t>
      </w:r>
      <w:r w:rsidR="00693907" w:rsidRPr="00F31533">
        <w:t xml:space="preserve"> </w:t>
      </w:r>
    </w:p>
    <w:p w14:paraId="2D7CC49A" w14:textId="2811C52E" w:rsidR="00693907" w:rsidRDefault="00693907" w:rsidP="00693907">
      <w:r>
        <w:t>&lt;ESMA_QUESTION_</w:t>
      </w:r>
      <w:r w:rsidR="00E0200F">
        <w:t>PART</w:t>
      </w:r>
      <w:r>
        <w:t>_7&gt;</w:t>
      </w:r>
    </w:p>
    <w:p w14:paraId="53F8858C" w14:textId="77777777" w:rsidR="0064028E" w:rsidRPr="00130174" w:rsidRDefault="0064028E" w:rsidP="0064028E">
      <w:pPr>
        <w:spacing w:before="100" w:beforeAutospacing="1" w:after="100" w:afterAutospacing="1" w:line="240" w:lineRule="auto"/>
        <w:rPr>
          <w:rFonts w:ascii="Times New Roman" w:hAnsi="Times New Roman" w:cs="Times New Roman"/>
        </w:rPr>
      </w:pPr>
      <w:permStart w:id="90601763" w:edGrp="everyone"/>
      <w:r w:rsidRPr="00130174">
        <w:rPr>
          <w:rFonts w:ascii="Times New Roman" w:hAnsi="Times New Roman" w:cs="Times New Roman"/>
        </w:rPr>
        <w:t>Reliable liquidity access is a cornerstone of safe clearing participation. ARGA supports criteria that assess:</w:t>
      </w:r>
    </w:p>
    <w:p w14:paraId="00282361" w14:textId="77777777" w:rsidR="0064028E" w:rsidRPr="00130174" w:rsidRDefault="0064028E" w:rsidP="0064028E">
      <w:pPr>
        <w:numPr>
          <w:ilvl w:val="0"/>
          <w:numId w:val="47"/>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Access to diversified liquidity </w:t>
      </w:r>
      <w:proofErr w:type="gramStart"/>
      <w:r w:rsidRPr="00130174">
        <w:rPr>
          <w:rFonts w:ascii="Times New Roman" w:hAnsi="Times New Roman" w:cs="Times New Roman"/>
        </w:rPr>
        <w:t>sources;</w:t>
      </w:r>
      <w:proofErr w:type="gramEnd"/>
    </w:p>
    <w:p w14:paraId="1EE1F9B6" w14:textId="77777777" w:rsidR="0064028E" w:rsidRPr="00130174" w:rsidRDefault="0064028E" w:rsidP="0064028E">
      <w:pPr>
        <w:numPr>
          <w:ilvl w:val="0"/>
          <w:numId w:val="47"/>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Contingency plans for margin </w:t>
      </w:r>
      <w:proofErr w:type="gramStart"/>
      <w:r w:rsidRPr="00130174">
        <w:rPr>
          <w:rFonts w:ascii="Times New Roman" w:hAnsi="Times New Roman" w:cs="Times New Roman"/>
        </w:rPr>
        <w:t>calls</w:t>
      </w:r>
      <w:proofErr w:type="gramEnd"/>
      <w:r w:rsidRPr="00130174">
        <w:rPr>
          <w:rFonts w:ascii="Times New Roman" w:hAnsi="Times New Roman" w:cs="Times New Roman"/>
        </w:rPr>
        <w:t xml:space="preserve"> under stressed </w:t>
      </w:r>
      <w:proofErr w:type="gramStart"/>
      <w:r w:rsidRPr="00130174">
        <w:rPr>
          <w:rFonts w:ascii="Times New Roman" w:hAnsi="Times New Roman" w:cs="Times New Roman"/>
        </w:rPr>
        <w:t>conditions;</w:t>
      </w:r>
      <w:proofErr w:type="gramEnd"/>
    </w:p>
    <w:p w14:paraId="44B52832" w14:textId="633C45EF" w:rsidR="0064028E" w:rsidRPr="0064028E" w:rsidRDefault="0064028E" w:rsidP="0064028E">
      <w:pPr>
        <w:numPr>
          <w:ilvl w:val="0"/>
          <w:numId w:val="47"/>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Dynamic liquidity stress tests at both participant and CCP level.</w:t>
      </w:r>
    </w:p>
    <w:p w14:paraId="74D3ED90"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We also recommend guidance on acceptable forms of liquidity commitments and quantification of liquidity buffer adequacy. This reflects documented liquidity stress events in OTC and listed markets tracked by ARGA Observatory.</w:t>
      </w:r>
    </w:p>
    <w:p w14:paraId="268F1B7E" w14:textId="13085E93" w:rsidR="00693907" w:rsidRDefault="00693907" w:rsidP="00693907"/>
    <w:permEnd w:id="90601763"/>
    <w:p w14:paraId="5B1E788E" w14:textId="48778C07" w:rsidR="00693907" w:rsidRDefault="00693907" w:rsidP="00693907">
      <w:r>
        <w:t>&lt;ESMA_QUESTION_</w:t>
      </w:r>
      <w:r w:rsidR="00E0200F">
        <w:t>P</w:t>
      </w:r>
      <w:r w:rsidR="00545B8D">
        <w:t>ART</w:t>
      </w:r>
      <w:r>
        <w:t>_7&gt;</w:t>
      </w:r>
    </w:p>
    <w:p w14:paraId="3B03B9E0" w14:textId="77777777" w:rsidR="00693907" w:rsidRDefault="00693907" w:rsidP="00693907"/>
    <w:p w14:paraId="18FE9B7F" w14:textId="3C9B7F2B" w:rsidR="00693907" w:rsidRDefault="004344B8" w:rsidP="00693907">
      <w:pPr>
        <w:pStyle w:val="Questionstyle"/>
      </w:pPr>
      <w:r w:rsidRPr="004344B8">
        <w:t>Do you agree with the suggested alternative elements that a CCP could consider when an NFC is not subject authorisation or licencing requirements resulting in capital and prudential regulation and supervision</w:t>
      </w:r>
      <w:r w:rsidR="00693907">
        <w:t xml:space="preserve">? </w:t>
      </w:r>
    </w:p>
    <w:p w14:paraId="7AA017CC" w14:textId="7834DB77" w:rsidR="00693907" w:rsidRDefault="00693907" w:rsidP="00693907">
      <w:r>
        <w:t>&lt;ESMA_QUESTION_</w:t>
      </w:r>
      <w:r w:rsidR="00545B8D">
        <w:t>PART</w:t>
      </w:r>
      <w:r>
        <w:t>_8&gt;</w:t>
      </w:r>
    </w:p>
    <w:p w14:paraId="1E66EFEF" w14:textId="77777777" w:rsidR="0064028E" w:rsidRPr="00130174" w:rsidRDefault="0064028E" w:rsidP="0064028E">
      <w:pPr>
        <w:spacing w:before="100" w:beforeAutospacing="1" w:after="100" w:afterAutospacing="1" w:line="240" w:lineRule="auto"/>
        <w:rPr>
          <w:rFonts w:ascii="Times New Roman" w:hAnsi="Times New Roman" w:cs="Times New Roman"/>
        </w:rPr>
      </w:pPr>
      <w:permStart w:id="689849779" w:edGrp="everyone"/>
      <w:r w:rsidRPr="00130174">
        <w:rPr>
          <w:rFonts w:ascii="Times New Roman" w:hAnsi="Times New Roman" w:cs="Times New Roman"/>
        </w:rPr>
        <w:t>ARGA supports allowing alternative pathways for NFCs and similar participants without prudential licences to demonstrate suitability. Alternative criteria might include:</w:t>
      </w:r>
    </w:p>
    <w:p w14:paraId="6E0F6875" w14:textId="77777777" w:rsidR="0064028E" w:rsidRPr="00130174" w:rsidRDefault="0064028E" w:rsidP="0064028E">
      <w:pPr>
        <w:numPr>
          <w:ilvl w:val="0"/>
          <w:numId w:val="48"/>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Demonstrated risk management frameworks proportionate to clearing </w:t>
      </w:r>
      <w:proofErr w:type="gramStart"/>
      <w:r w:rsidRPr="00130174">
        <w:rPr>
          <w:rFonts w:ascii="Times New Roman" w:hAnsi="Times New Roman" w:cs="Times New Roman"/>
        </w:rPr>
        <w:t>activities;</w:t>
      </w:r>
      <w:proofErr w:type="gramEnd"/>
    </w:p>
    <w:p w14:paraId="60273907" w14:textId="77777777" w:rsidR="0064028E" w:rsidRPr="00130174" w:rsidRDefault="0064028E" w:rsidP="0064028E">
      <w:pPr>
        <w:numPr>
          <w:ilvl w:val="0"/>
          <w:numId w:val="48"/>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 xml:space="preserve">Third-party attestation of financial and operational </w:t>
      </w:r>
      <w:proofErr w:type="gramStart"/>
      <w:r w:rsidRPr="00130174">
        <w:rPr>
          <w:rFonts w:ascii="Times New Roman" w:hAnsi="Times New Roman" w:cs="Times New Roman"/>
        </w:rPr>
        <w:t>capability;</w:t>
      </w:r>
      <w:proofErr w:type="gramEnd"/>
    </w:p>
    <w:p w14:paraId="7C6BB668" w14:textId="3E3CA361" w:rsidR="0064028E" w:rsidRPr="0064028E" w:rsidRDefault="0064028E" w:rsidP="0064028E">
      <w:pPr>
        <w:numPr>
          <w:ilvl w:val="0"/>
          <w:numId w:val="48"/>
        </w:numPr>
        <w:spacing w:before="100" w:beforeAutospacing="1" w:after="100" w:afterAutospacing="1" w:line="240" w:lineRule="auto"/>
        <w:jc w:val="left"/>
        <w:rPr>
          <w:rFonts w:ascii="Times New Roman" w:hAnsi="Times New Roman" w:cs="Times New Roman"/>
        </w:rPr>
      </w:pPr>
      <w:r w:rsidRPr="00130174">
        <w:rPr>
          <w:rFonts w:ascii="Times New Roman" w:hAnsi="Times New Roman" w:cs="Times New Roman"/>
        </w:rPr>
        <w:t>Documented AML/CFT controls and compliance frameworks.</w:t>
      </w:r>
    </w:p>
    <w:p w14:paraId="4B41A0F4" w14:textId="77777777" w:rsidR="0064028E" w:rsidRPr="00130174" w:rsidRDefault="0064028E" w:rsidP="0064028E">
      <w:pPr>
        <w:spacing w:before="100" w:beforeAutospacing="1" w:after="100" w:afterAutospacing="1" w:line="240" w:lineRule="auto"/>
        <w:rPr>
          <w:rFonts w:ascii="Times New Roman" w:hAnsi="Times New Roman" w:cs="Times New Roman"/>
        </w:rPr>
      </w:pPr>
      <w:r w:rsidRPr="00130174">
        <w:rPr>
          <w:rFonts w:ascii="Times New Roman" w:hAnsi="Times New Roman" w:cs="Times New Roman"/>
        </w:rPr>
        <w:t>These alternatives avoid automatic exclusion while preserving systemic safety — an approach ARGA has promoted across multiple regulatory consultations.</w:t>
      </w:r>
    </w:p>
    <w:p w14:paraId="6ABDE3F2" w14:textId="7BBDA02B" w:rsidR="00693907" w:rsidRDefault="00693907" w:rsidP="00693907"/>
    <w:permEnd w:id="689849779"/>
    <w:p w14:paraId="11DE980E" w14:textId="4FFC169B" w:rsidR="00693907" w:rsidRDefault="00693907" w:rsidP="00693907">
      <w:r>
        <w:t>&lt;ESMA_QUESTION_</w:t>
      </w:r>
      <w:r w:rsidR="00545B8D">
        <w:t>PART</w:t>
      </w:r>
      <w:r>
        <w:t>_8&gt;</w:t>
      </w:r>
    </w:p>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9"/>
      <w:footerReference w:type="default" r:id="rId3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2FAC" w14:textId="77777777" w:rsidR="008C073F" w:rsidRDefault="008C073F" w:rsidP="00F716D4">
      <w:r>
        <w:separator/>
      </w:r>
    </w:p>
    <w:p w14:paraId="1115D352" w14:textId="77777777" w:rsidR="008C073F" w:rsidRDefault="008C073F" w:rsidP="00F716D4"/>
  </w:endnote>
  <w:endnote w:type="continuationSeparator" w:id="0">
    <w:p w14:paraId="1EA23F5B" w14:textId="77777777" w:rsidR="008C073F" w:rsidRDefault="008C073F" w:rsidP="00F716D4">
      <w:r>
        <w:continuationSeparator/>
      </w:r>
    </w:p>
    <w:p w14:paraId="51655ACD" w14:textId="77777777" w:rsidR="008C073F" w:rsidRDefault="008C073F" w:rsidP="00F716D4"/>
  </w:endnote>
  <w:endnote w:type="continuationNotice" w:id="1">
    <w:p w14:paraId="561F85E5" w14:textId="77777777" w:rsidR="008C073F" w:rsidRDefault="008C073F"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80"/>
    <w:family w:val="swiss"/>
    <w:pitch w:val="default"/>
  </w:font>
  <w:font w:name="EUAlbertina">
    <w:altName w:val="Cambria"/>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112" w14:textId="77777777" w:rsidR="00C34FE2" w:rsidRDefault="00C34FE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a6"/>
            <w:ind w:left="-115"/>
            <w:jc w:val="left"/>
          </w:pPr>
        </w:p>
      </w:tc>
      <w:tc>
        <w:tcPr>
          <w:tcW w:w="3020" w:type="dxa"/>
        </w:tcPr>
        <w:p w14:paraId="31DF827A" w14:textId="32EA9807" w:rsidR="296079D6" w:rsidRDefault="296079D6" w:rsidP="296079D6">
          <w:pPr>
            <w:pStyle w:val="a6"/>
            <w:jc w:val="center"/>
          </w:pPr>
        </w:p>
      </w:tc>
      <w:tc>
        <w:tcPr>
          <w:tcW w:w="3020" w:type="dxa"/>
        </w:tcPr>
        <w:p w14:paraId="684BE38F" w14:textId="24CDFEA3" w:rsidR="296079D6" w:rsidRDefault="296079D6" w:rsidP="296079D6">
          <w:pPr>
            <w:pStyle w:val="a6"/>
            <w:ind w:right="-115"/>
            <w:jc w:val="right"/>
          </w:pPr>
        </w:p>
      </w:tc>
    </w:tr>
  </w:tbl>
  <w:p w14:paraId="1EA6AD30" w14:textId="508E27C7" w:rsidR="296079D6" w:rsidRDefault="296079D6" w:rsidP="296079D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a6"/>
            <w:ind w:left="-115"/>
            <w:jc w:val="left"/>
          </w:pPr>
        </w:p>
      </w:tc>
      <w:tc>
        <w:tcPr>
          <w:tcW w:w="3020" w:type="dxa"/>
        </w:tcPr>
        <w:p w14:paraId="60B14148" w14:textId="19E36BA0" w:rsidR="296079D6" w:rsidRDefault="296079D6" w:rsidP="296079D6">
          <w:pPr>
            <w:pStyle w:val="a6"/>
            <w:jc w:val="center"/>
          </w:pPr>
        </w:p>
      </w:tc>
      <w:tc>
        <w:tcPr>
          <w:tcW w:w="3020" w:type="dxa"/>
        </w:tcPr>
        <w:p w14:paraId="767ABF03" w14:textId="0FB96330" w:rsidR="296079D6" w:rsidRDefault="296079D6" w:rsidP="296079D6">
          <w:pPr>
            <w:pStyle w:val="a6"/>
            <w:ind w:right="-115"/>
            <w:jc w:val="right"/>
          </w:pPr>
        </w:p>
      </w:tc>
    </w:tr>
  </w:tbl>
  <w:p w14:paraId="31D907CC" w14:textId="0849D0C5" w:rsidR="296079D6" w:rsidRDefault="296079D6" w:rsidP="296079D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a6"/>
            <w:ind w:left="-115"/>
            <w:jc w:val="left"/>
          </w:pPr>
        </w:p>
      </w:tc>
      <w:tc>
        <w:tcPr>
          <w:tcW w:w="3135" w:type="dxa"/>
        </w:tcPr>
        <w:p w14:paraId="31FEBFF4" w14:textId="743D0A84" w:rsidR="296079D6" w:rsidRDefault="296079D6" w:rsidP="296079D6">
          <w:pPr>
            <w:pStyle w:val="a6"/>
            <w:jc w:val="center"/>
          </w:pPr>
        </w:p>
      </w:tc>
      <w:tc>
        <w:tcPr>
          <w:tcW w:w="3135" w:type="dxa"/>
        </w:tcPr>
        <w:p w14:paraId="66BF4A57" w14:textId="3665E6D3" w:rsidR="296079D6" w:rsidRDefault="296079D6" w:rsidP="296079D6">
          <w:pPr>
            <w:pStyle w:val="a6"/>
            <w:ind w:right="-115"/>
            <w:jc w:val="right"/>
          </w:pPr>
        </w:p>
      </w:tc>
    </w:tr>
  </w:tbl>
  <w:p w14:paraId="157512C3" w14:textId="4E034532" w:rsidR="296079D6" w:rsidRDefault="296079D6" w:rsidP="296079D6">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a8"/>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ac"/>
          <w:sz w:val="15"/>
          <w:szCs w:val="15"/>
          <w:lang w:val="fr-FR"/>
        </w:rPr>
        <w:t>www.esma.</w:t>
      </w:r>
      <w:proofErr w:type="spellStart"/>
      <w:r w:rsidRPr="00A8626B">
        <w:rPr>
          <w:rStyle w:val="ac"/>
          <w:sz w:val="15"/>
          <w:szCs w:val="15"/>
          <w:lang w:val="fr-BE"/>
        </w:rPr>
        <w:t>europa</w:t>
      </w:r>
      <w:proofErr w:type="spellEnd"/>
      <w:r w:rsidRPr="00A8626B">
        <w:rPr>
          <w:rStyle w:val="ac"/>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a6"/>
            <w:ind w:left="-115"/>
            <w:jc w:val="left"/>
          </w:pPr>
        </w:p>
      </w:tc>
      <w:tc>
        <w:tcPr>
          <w:tcW w:w="3135" w:type="dxa"/>
        </w:tcPr>
        <w:p w14:paraId="72746E3F" w14:textId="086867DB" w:rsidR="296079D6" w:rsidRDefault="296079D6" w:rsidP="296079D6">
          <w:pPr>
            <w:pStyle w:val="a6"/>
            <w:jc w:val="center"/>
          </w:pPr>
        </w:p>
      </w:tc>
      <w:tc>
        <w:tcPr>
          <w:tcW w:w="3135" w:type="dxa"/>
        </w:tcPr>
        <w:p w14:paraId="21F1D28C" w14:textId="1B826CAC" w:rsidR="296079D6" w:rsidRDefault="296079D6" w:rsidP="296079D6">
          <w:pPr>
            <w:pStyle w:val="a6"/>
            <w:ind w:right="-115"/>
            <w:jc w:val="right"/>
          </w:pPr>
        </w:p>
      </w:tc>
    </w:tr>
  </w:tbl>
  <w:p w14:paraId="6D27F183" w14:textId="7AC7FD41" w:rsidR="296079D6" w:rsidRDefault="296079D6" w:rsidP="296079D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1479" w14:textId="77777777" w:rsidR="008C073F" w:rsidRDefault="008C073F" w:rsidP="00F716D4">
      <w:r>
        <w:separator/>
      </w:r>
    </w:p>
    <w:p w14:paraId="04AC3B74" w14:textId="77777777" w:rsidR="008C073F" w:rsidRDefault="008C073F" w:rsidP="00F716D4"/>
  </w:footnote>
  <w:footnote w:type="continuationSeparator" w:id="0">
    <w:p w14:paraId="456C4263" w14:textId="77777777" w:rsidR="008C073F" w:rsidRDefault="008C073F" w:rsidP="00F716D4">
      <w:r>
        <w:continuationSeparator/>
      </w:r>
    </w:p>
    <w:p w14:paraId="653BAED2" w14:textId="77777777" w:rsidR="008C073F" w:rsidRDefault="008C073F" w:rsidP="00F716D4"/>
  </w:footnote>
  <w:footnote w:type="continuationNotice" w:id="1">
    <w:p w14:paraId="7129AC4A" w14:textId="77777777" w:rsidR="008C073F" w:rsidRDefault="008C073F"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5FD7" w14:textId="77777777" w:rsidR="00C34FE2" w:rsidRDefault="00C34FE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a6"/>
            <w:ind w:left="-115"/>
            <w:jc w:val="left"/>
          </w:pPr>
        </w:p>
      </w:tc>
      <w:tc>
        <w:tcPr>
          <w:tcW w:w="3020" w:type="dxa"/>
        </w:tcPr>
        <w:p w14:paraId="5F6E5D6D" w14:textId="78CCE3A7" w:rsidR="296079D6" w:rsidRDefault="296079D6" w:rsidP="296079D6">
          <w:pPr>
            <w:pStyle w:val="a6"/>
            <w:jc w:val="center"/>
          </w:pPr>
        </w:p>
      </w:tc>
      <w:tc>
        <w:tcPr>
          <w:tcW w:w="3020" w:type="dxa"/>
        </w:tcPr>
        <w:p w14:paraId="6E6D04F9" w14:textId="6B14CEDE" w:rsidR="296079D6" w:rsidRDefault="296079D6" w:rsidP="296079D6">
          <w:pPr>
            <w:pStyle w:val="a6"/>
            <w:ind w:right="-115"/>
            <w:jc w:val="right"/>
          </w:pPr>
        </w:p>
      </w:tc>
    </w:tr>
  </w:tbl>
  <w:p w14:paraId="6E7E6717" w14:textId="102B89E2" w:rsidR="296079D6" w:rsidRDefault="296079D6" w:rsidP="296079D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1416CDE0"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547728" w:rsidRPr="004E058E">
      <w:rPr>
        <w:rStyle w:val="normaltextrun"/>
        <w:color w:val="001B4F"/>
        <w:sz w:val="16"/>
        <w:szCs w:val="16"/>
        <w:shd w:val="clear" w:color="auto" w:fill="FFFFFF"/>
      </w:rPr>
      <w:t>9 October</w:t>
    </w:r>
    <w:r w:rsidRPr="004E058E">
      <w:rPr>
        <w:rStyle w:val="normaltextrun"/>
        <w:color w:val="001B4F"/>
        <w:sz w:val="16"/>
        <w:szCs w:val="16"/>
        <w:shd w:val="clear" w:color="auto" w:fill="FFFFFF"/>
      </w:rPr>
      <w:t xml:space="preserve"> 202</w:t>
    </w:r>
    <w:r w:rsidR="007C5962" w:rsidRPr="004E058E">
      <w:rPr>
        <w:rStyle w:val="normaltextrun"/>
        <w:color w:val="001B4F"/>
        <w:sz w:val="16"/>
        <w:szCs w:val="16"/>
        <w:shd w:val="clear" w:color="auto" w:fill="FFFFFF"/>
      </w:rPr>
      <w:t>5</w:t>
    </w:r>
  </w:p>
  <w:p w14:paraId="5AC1769D" w14:textId="4096C7B9" w:rsidR="004E60D2" w:rsidRDefault="004E60D2" w:rsidP="000710C1">
    <w:pPr>
      <w:jc w:val="right"/>
    </w:pPr>
    <w:r w:rsidRPr="00C34FE2">
      <w:rPr>
        <w:rStyle w:val="normaltextrun"/>
        <w:color w:val="001B4F"/>
        <w:sz w:val="16"/>
        <w:szCs w:val="16"/>
        <w:shd w:val="clear" w:color="auto" w:fill="FFFFFF"/>
      </w:rPr>
      <w:t>ESMA</w:t>
    </w:r>
    <w:r w:rsidR="00C34FE2" w:rsidRPr="00C34FE2">
      <w:rPr>
        <w:rStyle w:val="normaltextrun"/>
        <w:color w:val="001B4F"/>
        <w:sz w:val="16"/>
        <w:szCs w:val="16"/>
        <w:shd w:val="clear" w:color="auto" w:fill="FFFFFF"/>
      </w:rPr>
      <w:t>91-1505572268-4497</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a6"/>
            <w:ind w:left="-115"/>
            <w:jc w:val="left"/>
          </w:pPr>
        </w:p>
      </w:tc>
      <w:tc>
        <w:tcPr>
          <w:tcW w:w="3135" w:type="dxa"/>
        </w:tcPr>
        <w:p w14:paraId="0682432A" w14:textId="50492F17" w:rsidR="296079D6" w:rsidRDefault="296079D6" w:rsidP="296079D6">
          <w:pPr>
            <w:pStyle w:val="a6"/>
            <w:jc w:val="center"/>
          </w:pPr>
        </w:p>
      </w:tc>
      <w:tc>
        <w:tcPr>
          <w:tcW w:w="3135" w:type="dxa"/>
        </w:tcPr>
        <w:p w14:paraId="390C9734" w14:textId="5CD98D2D" w:rsidR="296079D6" w:rsidRDefault="296079D6" w:rsidP="296079D6">
          <w:pPr>
            <w:pStyle w:val="a6"/>
            <w:ind w:right="-115"/>
            <w:jc w:val="right"/>
          </w:pPr>
        </w:p>
      </w:tc>
    </w:tr>
  </w:tbl>
  <w:p w14:paraId="0B2F4F8F" w14:textId="20D35276" w:rsidR="296079D6" w:rsidRDefault="296079D6" w:rsidP="296079D6">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a6"/>
            <w:ind w:left="-115"/>
            <w:jc w:val="left"/>
          </w:pPr>
        </w:p>
      </w:tc>
      <w:tc>
        <w:tcPr>
          <w:tcW w:w="3135" w:type="dxa"/>
        </w:tcPr>
        <w:p w14:paraId="52F93C1D" w14:textId="138730E9" w:rsidR="296079D6" w:rsidRDefault="296079D6" w:rsidP="296079D6">
          <w:pPr>
            <w:pStyle w:val="a6"/>
            <w:jc w:val="center"/>
          </w:pPr>
        </w:p>
      </w:tc>
      <w:tc>
        <w:tcPr>
          <w:tcW w:w="3135" w:type="dxa"/>
        </w:tcPr>
        <w:p w14:paraId="4FD76FD1" w14:textId="7BFB4000" w:rsidR="296079D6" w:rsidRDefault="296079D6" w:rsidP="296079D6">
          <w:pPr>
            <w:pStyle w:val="a6"/>
            <w:ind w:right="-115"/>
            <w:jc w:val="right"/>
          </w:pPr>
        </w:p>
      </w:tc>
    </w:tr>
  </w:tbl>
  <w:p w14:paraId="6902044D" w14:textId="0EB4ACA7" w:rsidR="296079D6" w:rsidRDefault="296079D6" w:rsidP="296079D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5A4A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a"/>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82686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ED768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F00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3C930E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a0"/>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0D02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a1"/>
      <w:lvlText w:val="–"/>
      <w:lvlJc w:val="left"/>
      <w:pPr>
        <w:tabs>
          <w:tab w:val="num" w:pos="1417"/>
        </w:tabs>
        <w:ind w:left="1417" w:hanging="567"/>
      </w:pPr>
    </w:lvl>
  </w:abstractNum>
  <w:abstractNum w:abstractNumId="36" w15:restartNumberingAfterBreak="0">
    <w:nsid w:val="658B572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A43F6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A8F47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2D064A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222BD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A431F2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8" w15:restartNumberingAfterBreak="0">
    <w:nsid w:val="7FEF56C0"/>
    <w:multiLevelType w:val="hybridMultilevel"/>
    <w:tmpl w:val="3CD65192"/>
    <w:lvl w:ilvl="0" w:tplc="E674947E">
      <w:start w:val="1"/>
      <w:numFmt w:val="decimal"/>
      <w:pStyle w:val="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8"/>
  </w:num>
  <w:num w:numId="2" w16cid:durableId="1769932826">
    <w:abstractNumId w:val="22"/>
  </w:num>
  <w:num w:numId="3" w16cid:durableId="550074866">
    <w:abstractNumId w:val="13"/>
  </w:num>
  <w:num w:numId="4" w16cid:durableId="1881627233">
    <w:abstractNumId w:val="28"/>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5"/>
  </w:num>
  <w:num w:numId="9" w16cid:durableId="1008846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1"/>
  </w:num>
  <w:num w:numId="12" w16cid:durableId="1500659627">
    <w:abstractNumId w:val="34"/>
  </w:num>
  <w:num w:numId="13" w16cid:durableId="1879658227">
    <w:abstractNumId w:val="26"/>
  </w:num>
  <w:num w:numId="14" w16cid:durableId="1495758855">
    <w:abstractNumId w:val="11"/>
  </w:num>
  <w:num w:numId="15" w16cid:durableId="1186556611">
    <w:abstractNumId w:val="1"/>
  </w:num>
  <w:num w:numId="16" w16cid:durableId="679087124">
    <w:abstractNumId w:val="16"/>
  </w:num>
  <w:num w:numId="17" w16cid:durableId="1695498691">
    <w:abstractNumId w:val="17"/>
  </w:num>
  <w:num w:numId="18" w16cid:durableId="1042363640">
    <w:abstractNumId w:val="19"/>
  </w:num>
  <w:num w:numId="19" w16cid:durableId="820345968">
    <w:abstractNumId w:val="30"/>
  </w:num>
  <w:num w:numId="20" w16cid:durableId="1805388212">
    <w:abstractNumId w:val="42"/>
  </w:num>
  <w:num w:numId="21" w16cid:durableId="538709007">
    <w:abstractNumId w:val="29"/>
  </w:num>
  <w:num w:numId="22" w16cid:durableId="104540172">
    <w:abstractNumId w:val="10"/>
  </w:num>
  <w:num w:numId="23" w16cid:durableId="1824349076">
    <w:abstractNumId w:val="33"/>
  </w:num>
  <w:num w:numId="24" w16cid:durableId="672032853">
    <w:abstractNumId w:val="32"/>
  </w:num>
  <w:num w:numId="25" w16cid:durableId="48917541">
    <w:abstractNumId w:val="23"/>
  </w:num>
  <w:num w:numId="26" w16cid:durableId="978925443">
    <w:abstractNumId w:val="38"/>
  </w:num>
  <w:num w:numId="27" w16cid:durableId="1036613928">
    <w:abstractNumId w:val="47"/>
  </w:num>
  <w:num w:numId="28" w16cid:durableId="872039349">
    <w:abstractNumId w:val="7"/>
  </w:num>
  <w:num w:numId="29" w16cid:durableId="924530660">
    <w:abstractNumId w:val="3"/>
  </w:num>
  <w:num w:numId="30" w16cid:durableId="419180233">
    <w:abstractNumId w:val="25"/>
  </w:num>
  <w:num w:numId="31" w16cid:durableId="276761337">
    <w:abstractNumId w:val="24"/>
  </w:num>
  <w:num w:numId="32" w16cid:durableId="1166238383">
    <w:abstractNumId w:val="41"/>
  </w:num>
  <w:num w:numId="33" w16cid:durableId="2076850202">
    <w:abstractNumId w:val="40"/>
  </w:num>
  <w:num w:numId="34" w16cid:durableId="469176496">
    <w:abstractNumId w:val="14"/>
  </w:num>
  <w:num w:numId="35" w16cid:durableId="674843309">
    <w:abstractNumId w:val="21"/>
  </w:num>
  <w:num w:numId="36" w16cid:durableId="1954971501">
    <w:abstractNumId w:val="48"/>
  </w:num>
  <w:num w:numId="37" w16cid:durableId="585378848">
    <w:abstractNumId w:val="27"/>
  </w:num>
  <w:num w:numId="38" w16cid:durableId="243881816">
    <w:abstractNumId w:val="43"/>
  </w:num>
  <w:num w:numId="39" w16cid:durableId="1108620297">
    <w:abstractNumId w:val="2"/>
  </w:num>
  <w:num w:numId="40" w16cid:durableId="1931157583">
    <w:abstractNumId w:val="39"/>
  </w:num>
  <w:num w:numId="41" w16cid:durableId="1147822369">
    <w:abstractNumId w:val="20"/>
  </w:num>
  <w:num w:numId="42" w16cid:durableId="1826119924">
    <w:abstractNumId w:val="37"/>
  </w:num>
  <w:num w:numId="43" w16cid:durableId="1111776578">
    <w:abstractNumId w:val="12"/>
  </w:num>
  <w:num w:numId="44" w16cid:durableId="1854225400">
    <w:abstractNumId w:val="44"/>
  </w:num>
  <w:num w:numId="45" w16cid:durableId="967127981">
    <w:abstractNumId w:val="36"/>
  </w:num>
  <w:num w:numId="46" w16cid:durableId="1005940382">
    <w:abstractNumId w:val="6"/>
  </w:num>
  <w:num w:numId="47" w16cid:durableId="23290723">
    <w:abstractNumId w:val="46"/>
  </w:num>
  <w:num w:numId="48" w16cid:durableId="1812937764">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D22"/>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28E"/>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233"/>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1EB5"/>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47"/>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073F"/>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3B5"/>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195"/>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52B9"/>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F2F"/>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2">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1">
    <w:name w:val="heading 1"/>
    <w:basedOn w:val="a2"/>
    <w:next w:val="a2"/>
    <w:link w:val="10"/>
    <w:qFormat/>
    <w:locked/>
    <w:rsid w:val="00BB1973"/>
    <w:pPr>
      <w:keepNext/>
      <w:numPr>
        <w:numId w:val="36"/>
      </w:numPr>
      <w:spacing w:before="240" w:after="60" w:line="360" w:lineRule="auto"/>
      <w:outlineLvl w:val="0"/>
    </w:pPr>
    <w:rPr>
      <w:b/>
      <w:bCs/>
      <w:color w:val="00379F"/>
      <w:kern w:val="32"/>
      <w:sz w:val="28"/>
      <w:szCs w:val="28"/>
    </w:rPr>
  </w:style>
  <w:style w:type="paragraph" w:styleId="2">
    <w:name w:val="heading 2"/>
    <w:basedOn w:val="a2"/>
    <w:next w:val="a2"/>
    <w:link w:val="20"/>
    <w:qFormat/>
    <w:locked/>
    <w:rsid w:val="00886A60"/>
    <w:pPr>
      <w:keepNext/>
      <w:keepLines/>
      <w:spacing w:before="200" w:after="120"/>
      <w:outlineLvl w:val="1"/>
    </w:pPr>
    <w:rPr>
      <w:b/>
      <w:bCs/>
      <w:szCs w:val="26"/>
    </w:rPr>
  </w:style>
  <w:style w:type="paragraph" w:styleId="30">
    <w:name w:val="heading 3"/>
    <w:basedOn w:val="a2"/>
    <w:next w:val="a2"/>
    <w:link w:val="31"/>
    <w:qFormat/>
    <w:locked/>
    <w:rsid w:val="003865E5"/>
    <w:pPr>
      <w:keepNext/>
      <w:keepLines/>
      <w:spacing w:before="200"/>
      <w:outlineLvl w:val="2"/>
    </w:pPr>
    <w:rPr>
      <w:rFonts w:ascii="Cambria" w:hAnsi="Cambria"/>
      <w:b/>
      <w:bCs/>
      <w:color w:val="4F81BD"/>
    </w:rPr>
  </w:style>
  <w:style w:type="paragraph" w:styleId="40">
    <w:name w:val="heading 4"/>
    <w:basedOn w:val="a2"/>
    <w:next w:val="a2"/>
    <w:link w:val="4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5">
    <w:name w:val="heading 5"/>
    <w:aliases w:val="Questions"/>
    <w:basedOn w:val="a2"/>
    <w:next w:val="a2"/>
    <w:link w:val="50"/>
    <w:uiPriority w:val="9"/>
    <w:qFormat/>
    <w:locked/>
    <w:rsid w:val="00E9344E"/>
    <w:pPr>
      <w:keepNext/>
      <w:keepLines/>
      <w:numPr>
        <w:numId w:val="12"/>
      </w:numPr>
      <w:spacing w:before="200"/>
      <w:outlineLvl w:val="4"/>
    </w:pPr>
    <w:rPr>
      <w:b/>
    </w:rPr>
  </w:style>
  <w:style w:type="paragraph" w:styleId="6">
    <w:name w:val="heading 6"/>
    <w:basedOn w:val="a2"/>
    <w:next w:val="a2"/>
    <w:link w:val="60"/>
    <w:qFormat/>
    <w:locked/>
    <w:rsid w:val="003609B6"/>
    <w:pPr>
      <w:numPr>
        <w:ilvl w:val="5"/>
        <w:numId w:val="4"/>
      </w:numPr>
      <w:spacing w:before="240" w:after="60"/>
      <w:outlineLvl w:val="5"/>
    </w:pPr>
    <w:rPr>
      <w:rFonts w:ascii="Times New Roman" w:hAnsi="Times New Roman"/>
      <w:b/>
      <w:bCs/>
      <w:szCs w:val="22"/>
    </w:rPr>
  </w:style>
  <w:style w:type="paragraph" w:styleId="7">
    <w:name w:val="heading 7"/>
    <w:basedOn w:val="a2"/>
    <w:next w:val="a2"/>
    <w:link w:val="70"/>
    <w:unhideWhenUsed/>
    <w:qFormat/>
    <w:locked/>
    <w:rsid w:val="002D6E1A"/>
    <w:pPr>
      <w:spacing w:before="240" w:after="60"/>
      <w:ind w:left="1296" w:hanging="1296"/>
      <w:outlineLvl w:val="6"/>
    </w:pPr>
    <w:rPr>
      <w:rFonts w:ascii="Times New Roman" w:hAnsi="Times New Roman"/>
    </w:rPr>
  </w:style>
  <w:style w:type="paragraph" w:styleId="8">
    <w:name w:val="heading 8"/>
    <w:basedOn w:val="a2"/>
    <w:next w:val="a2"/>
    <w:link w:val="80"/>
    <w:qFormat/>
    <w:locked/>
    <w:rsid w:val="003609B6"/>
    <w:pPr>
      <w:numPr>
        <w:ilvl w:val="7"/>
        <w:numId w:val="4"/>
      </w:numPr>
      <w:spacing w:before="240" w:after="60"/>
      <w:outlineLvl w:val="7"/>
    </w:pPr>
    <w:rPr>
      <w:rFonts w:ascii="Times New Roman" w:hAnsi="Times New Roman"/>
      <w:i/>
      <w:iCs/>
    </w:rPr>
  </w:style>
  <w:style w:type="paragraph" w:styleId="9">
    <w:name w:val="heading 9"/>
    <w:basedOn w:val="a2"/>
    <w:next w:val="a2"/>
    <w:link w:val="90"/>
    <w:qFormat/>
    <w:locked/>
    <w:rsid w:val="00A06867"/>
    <w:pPr>
      <w:tabs>
        <w:tab w:val="num" w:pos="1584"/>
      </w:tabs>
      <w:spacing w:before="240" w:after="60"/>
      <w:ind w:left="1584" w:hanging="1584"/>
      <w:outlineLvl w:val="8"/>
    </w:pPr>
    <w:rPr>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qFormat/>
    <w:locked/>
    <w:rsid w:val="005B64CB"/>
    <w:pPr>
      <w:tabs>
        <w:tab w:val="center" w:pos="4536"/>
        <w:tab w:val="right" w:pos="9072"/>
      </w:tabs>
    </w:pPr>
  </w:style>
  <w:style w:type="paragraph" w:styleId="a8">
    <w:name w:val="footer"/>
    <w:basedOn w:val="a2"/>
    <w:link w:val="a9"/>
    <w:uiPriority w:val="99"/>
    <w:locked/>
    <w:rsid w:val="005B64CB"/>
    <w:pPr>
      <w:tabs>
        <w:tab w:val="center" w:pos="4536"/>
        <w:tab w:val="right" w:pos="9072"/>
      </w:tabs>
    </w:pPr>
  </w:style>
  <w:style w:type="table" w:styleId="aa">
    <w:name w:val="Table Grid"/>
    <w:basedOn w:val="a4"/>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a2"/>
    <w:locked/>
    <w:rsid w:val="003E3ACA"/>
    <w:pPr>
      <w:spacing w:line="200" w:lineRule="exact"/>
    </w:pPr>
    <w:rPr>
      <w:color w:val="2D4190"/>
      <w:sz w:val="16"/>
    </w:rPr>
  </w:style>
  <w:style w:type="paragraph" w:customStyle="1" w:styleId="05aTitle">
    <w:name w:val="05a_Title"/>
    <w:basedOn w:val="a2"/>
    <w:locked/>
    <w:rsid w:val="00791EB4"/>
    <w:pPr>
      <w:spacing w:line="340" w:lineRule="exact"/>
    </w:pPr>
    <w:rPr>
      <w:b/>
      <w:color w:val="000000"/>
      <w:sz w:val="28"/>
    </w:rPr>
  </w:style>
  <w:style w:type="paragraph" w:customStyle="1" w:styleId="02Date">
    <w:name w:val="02_Date"/>
    <w:basedOn w:val="a2"/>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a2"/>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ab">
    <w:name w:val="page number"/>
    <w:basedOn w:val="a3"/>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11">
    <w:name w:val="toc 1"/>
    <w:basedOn w:val="a2"/>
    <w:next w:val="a2"/>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ac">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ad">
    <w:name w:val="footnote text"/>
    <w:aliases w:val="Char3, Char3,Fußnotentextf,Fußnotentextr,stile 1,Footnote1,Footnote2,Footnote3,Footnote4,Footnote5,Footnote6,Footnote7,Footnote8,Footnote9,Footnote10,Footnote11,Footnote21,Footnote31,Footnote41,Footnote51,Footnote61,Footnote71"/>
    <w:basedOn w:val="a2"/>
    <w:link w:val="ae"/>
    <w:qFormat/>
    <w:locked/>
    <w:rsid w:val="001725A5"/>
    <w:pPr>
      <w:spacing w:line="200" w:lineRule="exact"/>
    </w:pPr>
    <w:rPr>
      <w:sz w:val="16"/>
    </w:rPr>
  </w:style>
  <w:style w:type="character" w:styleId="af">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21">
    <w:name w:val="toc 2"/>
    <w:basedOn w:val="a2"/>
    <w:next w:val="a2"/>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a2"/>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af0">
    <w:name w:val="annotation reference"/>
    <w:locked/>
    <w:rsid w:val="004B1E61"/>
    <w:rPr>
      <w:sz w:val="16"/>
      <w:szCs w:val="16"/>
    </w:rPr>
  </w:style>
  <w:style w:type="paragraph" w:styleId="af1">
    <w:name w:val="annotation text"/>
    <w:basedOn w:val="a2"/>
    <w:link w:val="af2"/>
    <w:locked/>
    <w:rsid w:val="004B1E61"/>
  </w:style>
  <w:style w:type="character" w:customStyle="1" w:styleId="af2">
    <w:name w:val="Текст примечания Знак"/>
    <w:link w:val="af1"/>
    <w:uiPriority w:val="99"/>
    <w:rsid w:val="004B1E61"/>
    <w:rPr>
      <w:rFonts w:ascii="Georgia" w:hAnsi="Georgia"/>
      <w:lang w:eastAsia="de-DE"/>
    </w:rPr>
  </w:style>
  <w:style w:type="paragraph" w:styleId="af3">
    <w:name w:val="annotation subject"/>
    <w:basedOn w:val="af1"/>
    <w:next w:val="af1"/>
    <w:link w:val="af4"/>
    <w:locked/>
    <w:rsid w:val="004B1E61"/>
    <w:rPr>
      <w:b/>
      <w:bCs/>
    </w:rPr>
  </w:style>
  <w:style w:type="character" w:customStyle="1" w:styleId="af4">
    <w:name w:val="Тема примечания Знак"/>
    <w:link w:val="af3"/>
    <w:rsid w:val="004B1E61"/>
    <w:rPr>
      <w:rFonts w:ascii="Georgia" w:hAnsi="Georgia"/>
      <w:b/>
      <w:bCs/>
      <w:lang w:eastAsia="de-DE"/>
    </w:rPr>
  </w:style>
  <w:style w:type="paragraph" w:styleId="af5">
    <w:name w:val="Balloon Text"/>
    <w:basedOn w:val="a2"/>
    <w:link w:val="af6"/>
    <w:locked/>
    <w:rsid w:val="004B1E61"/>
    <w:rPr>
      <w:rFonts w:ascii="Tahoma" w:hAnsi="Tahoma" w:cs="Tahoma"/>
      <w:sz w:val="16"/>
      <w:szCs w:val="16"/>
    </w:rPr>
  </w:style>
  <w:style w:type="character" w:customStyle="1" w:styleId="af6">
    <w:name w:val="Текст выноски Знак"/>
    <w:link w:val="af5"/>
    <w:rsid w:val="004B1E61"/>
    <w:rPr>
      <w:rFonts w:ascii="Tahoma" w:hAnsi="Tahoma" w:cs="Tahoma"/>
      <w:sz w:val="16"/>
      <w:szCs w:val="16"/>
      <w:lang w:eastAsia="de-DE"/>
    </w:rPr>
  </w:style>
  <w:style w:type="paragraph" w:styleId="af7">
    <w:name w:val="List Paragraph"/>
    <w:aliases w:val="Paragraphe EI,Paragraphe de liste1,EC,Paragraphe de liste,Normal Nivel 1,List Paragraph Main,List first level,List Paragraph_Sections"/>
    <w:basedOn w:val="a2"/>
    <w:link w:val="af8"/>
    <w:uiPriority w:val="34"/>
    <w:qFormat/>
    <w:locked/>
    <w:rsid w:val="002A0C82"/>
    <w:pPr>
      <w:ind w:left="720"/>
      <w:contextualSpacing/>
    </w:pPr>
  </w:style>
  <w:style w:type="paragraph" w:styleId="af9">
    <w:name w:val="TOC Heading"/>
    <w:basedOn w:val="1"/>
    <w:next w:val="a2"/>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e">
    <w:name w:val="Текст сноски Знак"/>
    <w:aliases w:val="Char3 Знак, Char3 Знак,Fußnotentextf Знак,Fußnotentextr Знак,stile 1 Знак,Footnote1 Знак,Footnote2 Знак,Footnote3 Знак,Footnote4 Знак,Footnote5 Знак,Footnote6 Знак,Footnote7 Знак,Footnote8 Знак,Footnote9 Знак,Footnote10 Знак"/>
    <w:link w:val="ad"/>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3"/>
    <w:locked/>
    <w:rsid w:val="008E1B6A"/>
  </w:style>
  <w:style w:type="paragraph" w:customStyle="1" w:styleId="ManualNumPar1">
    <w:name w:val="Manual NumPar 1"/>
    <w:basedOn w:val="a2"/>
    <w:next w:val="a2"/>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10">
    <w:name w:val="Заголовок 1 Знак"/>
    <w:link w:val="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afa">
    <w:name w:val="Emphasis"/>
    <w:uiPriority w:val="20"/>
    <w:qFormat/>
    <w:locked/>
    <w:rsid w:val="005F028E"/>
    <w:rPr>
      <w:i/>
      <w:iCs/>
    </w:rPr>
  </w:style>
  <w:style w:type="paragraph" w:styleId="afb">
    <w:name w:val="Revision"/>
    <w:link w:val="afc"/>
    <w:hidden/>
    <w:uiPriority w:val="99"/>
    <w:semiHidden/>
    <w:rsid w:val="008E6A37"/>
    <w:rPr>
      <w:rFonts w:ascii="Georgia" w:hAnsi="Georgia"/>
      <w:sz w:val="22"/>
      <w:szCs w:val="24"/>
      <w:lang w:eastAsia="de-DE"/>
    </w:rPr>
  </w:style>
  <w:style w:type="paragraph" w:styleId="32">
    <w:name w:val="toc 3"/>
    <w:basedOn w:val="a2"/>
    <w:next w:val="a2"/>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a2"/>
    <w:next w:val="a2"/>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a2"/>
    <w:next w:val="a2"/>
    <w:uiPriority w:val="99"/>
    <w:locked/>
    <w:rsid w:val="00F377CD"/>
    <w:pPr>
      <w:autoSpaceDE w:val="0"/>
      <w:autoSpaceDN w:val="0"/>
      <w:adjustRightInd w:val="0"/>
    </w:pPr>
    <w:rPr>
      <w:rFonts w:ascii="EUAlbertina" w:eastAsia="Calibri" w:hAnsi="EUAlbertina"/>
      <w:sz w:val="24"/>
      <w:lang w:val="fr-FR"/>
    </w:rPr>
  </w:style>
  <w:style w:type="paragraph" w:styleId="42">
    <w:name w:val="toc 4"/>
    <w:basedOn w:val="a2"/>
    <w:next w:val="a2"/>
    <w:autoRedefine/>
    <w:uiPriority w:val="39"/>
    <w:unhideWhenUsed/>
    <w:locked/>
    <w:rsid w:val="00F377CD"/>
    <w:pPr>
      <w:spacing w:after="100"/>
      <w:ind w:left="660"/>
    </w:pPr>
    <w:rPr>
      <w:rFonts w:ascii="Calibri" w:hAnsi="Calibri"/>
      <w:szCs w:val="22"/>
      <w:lang w:eastAsia="en-GB"/>
    </w:rPr>
  </w:style>
  <w:style w:type="paragraph" w:styleId="51">
    <w:name w:val="toc 5"/>
    <w:basedOn w:val="a2"/>
    <w:next w:val="a2"/>
    <w:autoRedefine/>
    <w:uiPriority w:val="39"/>
    <w:unhideWhenUsed/>
    <w:locked/>
    <w:rsid w:val="00F377CD"/>
    <w:pPr>
      <w:spacing w:after="100"/>
      <w:ind w:left="880"/>
    </w:pPr>
    <w:rPr>
      <w:rFonts w:ascii="Calibri" w:hAnsi="Calibri"/>
      <w:szCs w:val="22"/>
      <w:lang w:eastAsia="en-GB"/>
    </w:rPr>
  </w:style>
  <w:style w:type="paragraph" w:styleId="61">
    <w:name w:val="toc 6"/>
    <w:basedOn w:val="a2"/>
    <w:next w:val="a2"/>
    <w:autoRedefine/>
    <w:uiPriority w:val="39"/>
    <w:unhideWhenUsed/>
    <w:locked/>
    <w:rsid w:val="00F377CD"/>
    <w:pPr>
      <w:spacing w:after="100"/>
      <w:ind w:left="1100"/>
    </w:pPr>
    <w:rPr>
      <w:rFonts w:ascii="Calibri" w:hAnsi="Calibri"/>
      <w:szCs w:val="22"/>
      <w:lang w:eastAsia="en-GB"/>
    </w:rPr>
  </w:style>
  <w:style w:type="paragraph" w:styleId="71">
    <w:name w:val="toc 7"/>
    <w:basedOn w:val="a2"/>
    <w:next w:val="a2"/>
    <w:autoRedefine/>
    <w:uiPriority w:val="39"/>
    <w:unhideWhenUsed/>
    <w:locked/>
    <w:rsid w:val="00F377CD"/>
    <w:pPr>
      <w:spacing w:after="100"/>
      <w:ind w:left="1320"/>
    </w:pPr>
    <w:rPr>
      <w:rFonts w:ascii="Calibri" w:hAnsi="Calibri"/>
      <w:szCs w:val="22"/>
      <w:lang w:eastAsia="en-GB"/>
    </w:rPr>
  </w:style>
  <w:style w:type="paragraph" w:styleId="81">
    <w:name w:val="toc 8"/>
    <w:basedOn w:val="a2"/>
    <w:next w:val="a2"/>
    <w:autoRedefine/>
    <w:uiPriority w:val="39"/>
    <w:unhideWhenUsed/>
    <w:locked/>
    <w:rsid w:val="00F377CD"/>
    <w:pPr>
      <w:spacing w:after="100"/>
      <w:ind w:left="1540"/>
    </w:pPr>
    <w:rPr>
      <w:rFonts w:ascii="Calibri" w:hAnsi="Calibri"/>
      <w:szCs w:val="22"/>
      <w:lang w:eastAsia="en-GB"/>
    </w:rPr>
  </w:style>
  <w:style w:type="paragraph" w:styleId="91">
    <w:name w:val="toc 9"/>
    <w:basedOn w:val="a2"/>
    <w:next w:val="a2"/>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afd">
    <w:name w:val="caption"/>
    <w:basedOn w:val="a2"/>
    <w:next w:val="a2"/>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afe">
    <w:name w:val="Normal (Web)"/>
    <w:basedOn w:val="a2"/>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aff">
    <w:name w:val="Document Map"/>
    <w:basedOn w:val="a2"/>
    <w:link w:val="aff0"/>
    <w:locked/>
    <w:rsid w:val="00AA016B"/>
    <w:rPr>
      <w:rFonts w:ascii="Tahoma" w:hAnsi="Tahoma" w:cs="Tahoma"/>
      <w:sz w:val="16"/>
      <w:szCs w:val="16"/>
    </w:rPr>
  </w:style>
  <w:style w:type="character" w:customStyle="1" w:styleId="aff0">
    <w:name w:val="Схема документа Знак"/>
    <w:link w:val="aff"/>
    <w:rsid w:val="00AA016B"/>
    <w:rPr>
      <w:rFonts w:ascii="Tahoma" w:hAnsi="Tahoma" w:cs="Tahoma"/>
      <w:sz w:val="16"/>
      <w:szCs w:val="16"/>
      <w:lang w:eastAsia="de-DE"/>
    </w:rPr>
  </w:style>
  <w:style w:type="paragraph" w:styleId="aff1">
    <w:name w:val="Plain Text"/>
    <w:basedOn w:val="a2"/>
    <w:link w:val="aff2"/>
    <w:unhideWhenUsed/>
    <w:locked/>
    <w:rsid w:val="00AA016B"/>
    <w:rPr>
      <w:rFonts w:ascii="Consolas" w:hAnsi="Consolas"/>
      <w:sz w:val="21"/>
      <w:szCs w:val="21"/>
      <w:lang w:val="de-DE"/>
    </w:rPr>
  </w:style>
  <w:style w:type="character" w:customStyle="1" w:styleId="aff2">
    <w:name w:val="Текст Знак"/>
    <w:link w:val="aff1"/>
    <w:rsid w:val="00AA016B"/>
    <w:rPr>
      <w:rFonts w:ascii="Consolas" w:hAnsi="Consolas"/>
      <w:sz w:val="21"/>
      <w:szCs w:val="21"/>
      <w:lang w:val="de-DE" w:eastAsia="de-DE"/>
    </w:rPr>
  </w:style>
  <w:style w:type="paragraph" w:styleId="a">
    <w:name w:val="Body Text"/>
    <w:basedOn w:val="a2"/>
    <w:link w:val="aff3"/>
    <w:unhideWhenUsed/>
    <w:locked/>
    <w:rsid w:val="00AA016B"/>
    <w:pPr>
      <w:numPr>
        <w:numId w:val="7"/>
      </w:numPr>
      <w:spacing w:after="240"/>
    </w:pPr>
    <w:rPr>
      <w:rFonts w:ascii="Times New Roman" w:hAnsi="Times New Roman"/>
      <w:sz w:val="24"/>
      <w:lang w:eastAsia="en-GB"/>
    </w:rPr>
  </w:style>
  <w:style w:type="character" w:customStyle="1" w:styleId="aff3">
    <w:name w:val="Основной текст Знак"/>
    <w:link w:val="a"/>
    <w:rsid w:val="00AA016B"/>
    <w:rPr>
      <w:rFonts w:eastAsiaTheme="minorEastAsia" w:cs="Arial"/>
      <w:color w:val="1A1A1A" w:themeColor="background1" w:themeShade="1A"/>
      <w:sz w:val="24"/>
    </w:rPr>
  </w:style>
  <w:style w:type="paragraph" w:customStyle="1" w:styleId="ListParagraph1">
    <w:name w:val="List Paragraph1"/>
    <w:basedOn w:val="a2"/>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aff4">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20">
    <w:name w:val="Заголовок 2 Знак"/>
    <w:link w:val="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90">
    <w:name w:val="Заголовок 9 Знак"/>
    <w:link w:val="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a2"/>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70">
    <w:name w:val="Заголовок 7 Знак"/>
    <w:link w:val="7"/>
    <w:rsid w:val="002D6E1A"/>
    <w:rPr>
      <w:sz w:val="22"/>
      <w:szCs w:val="24"/>
      <w:lang w:eastAsia="de-DE"/>
    </w:rPr>
  </w:style>
  <w:style w:type="character" w:customStyle="1" w:styleId="60">
    <w:name w:val="Заголовок 6 Знак"/>
    <w:link w:val="6"/>
    <w:rsid w:val="002D6E1A"/>
    <w:rPr>
      <w:rFonts w:eastAsiaTheme="minorEastAsia" w:cs="Arial"/>
      <w:b/>
      <w:bCs/>
      <w:color w:val="1A1A1A" w:themeColor="background1" w:themeShade="1A"/>
      <w:sz w:val="22"/>
      <w:szCs w:val="22"/>
      <w:lang w:eastAsia="en-US"/>
    </w:rPr>
  </w:style>
  <w:style w:type="character" w:customStyle="1" w:styleId="80">
    <w:name w:val="Заголовок 8 Знак"/>
    <w:link w:val="8"/>
    <w:rsid w:val="002D6E1A"/>
    <w:rPr>
      <w:rFonts w:eastAsiaTheme="minorEastAsia" w:cs="Arial"/>
      <w:i/>
      <w:iCs/>
      <w:color w:val="1A1A1A" w:themeColor="background1" w:themeShade="1A"/>
      <w:sz w:val="22"/>
      <w:lang w:eastAsia="en-US"/>
    </w:rPr>
  </w:style>
  <w:style w:type="numbering" w:customStyle="1" w:styleId="NoList1">
    <w:name w:val="No List1"/>
    <w:next w:val="a5"/>
    <w:uiPriority w:val="99"/>
    <w:semiHidden/>
    <w:unhideWhenUsed/>
    <w:locked/>
    <w:rsid w:val="002D6E1A"/>
  </w:style>
  <w:style w:type="character" w:styleId="aff5">
    <w:name w:val="FollowedHyperlink"/>
    <w:unhideWhenUsed/>
    <w:locked/>
    <w:rsid w:val="002D6E1A"/>
    <w:rPr>
      <w:color w:val="800080"/>
      <w:u w:val="single"/>
    </w:rPr>
  </w:style>
  <w:style w:type="character" w:customStyle="1" w:styleId="a7">
    <w:name w:val="Верхний колонтитул Знак"/>
    <w:link w:val="a6"/>
    <w:uiPriority w:val="99"/>
    <w:rsid w:val="002D6E1A"/>
    <w:rPr>
      <w:rFonts w:ascii="Georgia" w:hAnsi="Georgia"/>
      <w:sz w:val="22"/>
      <w:szCs w:val="24"/>
      <w:lang w:eastAsia="de-DE"/>
    </w:rPr>
  </w:style>
  <w:style w:type="character" w:customStyle="1" w:styleId="a9">
    <w:name w:val="Нижний колонтитул Знак"/>
    <w:link w:val="a8"/>
    <w:uiPriority w:val="99"/>
    <w:rsid w:val="002D6E1A"/>
    <w:rPr>
      <w:rFonts w:ascii="Georgia" w:hAnsi="Georgia"/>
      <w:sz w:val="22"/>
      <w:szCs w:val="24"/>
      <w:lang w:eastAsia="de-DE"/>
    </w:rPr>
  </w:style>
  <w:style w:type="paragraph" w:styleId="aff6">
    <w:name w:val="endnote text"/>
    <w:basedOn w:val="a2"/>
    <w:link w:val="aff7"/>
    <w:unhideWhenUsed/>
    <w:locked/>
    <w:rsid w:val="002D6E1A"/>
  </w:style>
  <w:style w:type="character" w:customStyle="1" w:styleId="aff7">
    <w:name w:val="Текст концевой сноски Знак"/>
    <w:link w:val="aff6"/>
    <w:rsid w:val="002D6E1A"/>
    <w:rPr>
      <w:rFonts w:ascii="Georgia" w:hAnsi="Georgia"/>
      <w:lang w:eastAsia="de-DE"/>
    </w:rPr>
  </w:style>
  <w:style w:type="paragraph" w:styleId="a1">
    <w:name w:val="List Number"/>
    <w:basedOn w:val="a2"/>
    <w:unhideWhenUsed/>
    <w:locked/>
    <w:rsid w:val="002D6E1A"/>
    <w:pPr>
      <w:numPr>
        <w:numId w:val="8"/>
      </w:numPr>
      <w:spacing w:before="120" w:after="120"/>
      <w:ind w:left="360" w:hanging="360"/>
    </w:pPr>
    <w:rPr>
      <w:rFonts w:ascii="Times New Roman" w:hAnsi="Times New Roman"/>
      <w:sz w:val="24"/>
    </w:rPr>
  </w:style>
  <w:style w:type="character" w:customStyle="1" w:styleId="af8">
    <w:name w:val="Абзац списка Знак"/>
    <w:aliases w:val="Paragraphe EI Знак,Paragraphe de liste1 Знак,EC Знак,Paragraphe de liste Знак,Normal Nivel 1 Знак,List Paragraph Main Знак,List first level Знак,List Paragraph_Sections Знак"/>
    <w:link w:val="af7"/>
    <w:uiPriority w:val="34"/>
    <w:locked/>
    <w:rsid w:val="002D6E1A"/>
    <w:rPr>
      <w:rFonts w:ascii="Georgia" w:hAnsi="Georgia"/>
      <w:sz w:val="22"/>
      <w:szCs w:val="24"/>
      <w:lang w:eastAsia="de-DE"/>
    </w:rPr>
  </w:style>
  <w:style w:type="paragraph" w:customStyle="1" w:styleId="04anumbering0">
    <w:name w:val="04anumbering"/>
    <w:basedOn w:val="a2"/>
    <w:locked/>
    <w:rsid w:val="002D6E1A"/>
    <w:pPr>
      <w:tabs>
        <w:tab w:val="num" w:pos="360"/>
      </w:tabs>
    </w:pPr>
    <w:rPr>
      <w:rFonts w:eastAsia="Calibri"/>
      <w:lang w:eastAsia="en-GB"/>
    </w:rPr>
  </w:style>
  <w:style w:type="paragraph" w:customStyle="1" w:styleId="Tiret1">
    <w:name w:val="Tiret 1"/>
    <w:basedOn w:val="a2"/>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f7"/>
    <w:link w:val="DPChar"/>
    <w:qFormat/>
    <w:locked/>
    <w:rsid w:val="002D6E1A"/>
    <w:pPr>
      <w:ind w:left="708"/>
      <w:contextualSpacing w:val="0"/>
    </w:pPr>
    <w:rPr>
      <w:b/>
      <w:u w:val="single"/>
    </w:rPr>
  </w:style>
  <w:style w:type="paragraph" w:customStyle="1" w:styleId="Bullet">
    <w:name w:val="Bullet"/>
    <w:basedOn w:val="a2"/>
    <w:locked/>
    <w:rsid w:val="002D6E1A"/>
    <w:pPr>
      <w:numPr>
        <w:numId w:val="10"/>
      </w:numPr>
      <w:tabs>
        <w:tab w:val="left" w:pos="708"/>
      </w:tabs>
      <w:spacing w:before="120" w:after="120"/>
    </w:pPr>
    <w:rPr>
      <w:lang w:eastAsia="en-GB"/>
    </w:rPr>
  </w:style>
  <w:style w:type="character" w:styleId="aff8">
    <w:name w:val="endnote reference"/>
    <w:unhideWhenUsed/>
    <w:locked/>
    <w:rsid w:val="002D6E1A"/>
    <w:rPr>
      <w:vertAlign w:val="superscript"/>
    </w:rPr>
  </w:style>
  <w:style w:type="character" w:styleId="aff9">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a4"/>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5"/>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affa">
    <w:name w:val="line number"/>
    <w:basedOn w:val="a3"/>
    <w:uiPriority w:val="99"/>
    <w:unhideWhenUsed/>
    <w:locked/>
    <w:rsid w:val="00952F2C"/>
  </w:style>
  <w:style w:type="paragraph" w:customStyle="1" w:styleId="aStyle">
    <w:name w:val="a) Style"/>
    <w:basedOn w:val="a2"/>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afd"/>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a2"/>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50">
    <w:name w:val="Заголовок 5 Знак"/>
    <w:aliases w:val="Questions Знак"/>
    <w:link w:val="5"/>
    <w:uiPriority w:val="9"/>
    <w:rsid w:val="00E9344E"/>
    <w:rPr>
      <w:rFonts w:ascii="Arial" w:eastAsiaTheme="minorEastAsia" w:hAnsi="Arial" w:cs="Arial"/>
      <w:b/>
      <w:color w:val="1A1A1A" w:themeColor="background1" w:themeShade="1A"/>
      <w:sz w:val="22"/>
      <w:lang w:eastAsia="en-US"/>
    </w:rPr>
  </w:style>
  <w:style w:type="character" w:customStyle="1" w:styleId="31">
    <w:name w:val="Заголовок 3 Знак"/>
    <w:link w:val="30"/>
    <w:rsid w:val="003865E5"/>
    <w:rPr>
      <w:rFonts w:ascii="Cambria" w:eastAsia="Times New Roman" w:hAnsi="Cambria" w:cs="Times New Roman"/>
      <w:b/>
      <w:bCs/>
      <w:color w:val="4F81BD"/>
      <w:sz w:val="22"/>
      <w:szCs w:val="24"/>
      <w:lang w:eastAsia="de-DE"/>
    </w:rPr>
  </w:style>
  <w:style w:type="character" w:customStyle="1" w:styleId="41">
    <w:name w:val="Заголовок 4 Знак"/>
    <w:link w:val="40"/>
    <w:rsid w:val="00CB7286"/>
    <w:rPr>
      <w:b/>
      <w:bCs/>
      <w:sz w:val="28"/>
      <w:szCs w:val="28"/>
      <w:lang w:eastAsia="de-DE"/>
    </w:rPr>
  </w:style>
  <w:style w:type="table" w:styleId="-3">
    <w:name w:val="Light List Accent 3"/>
    <w:basedOn w:val="a4"/>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a4"/>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a2"/>
    <w:locked/>
    <w:rsid w:val="000D2D0B"/>
    <w:pPr>
      <w:spacing w:line="340" w:lineRule="exact"/>
      <w:ind w:left="397" w:hanging="397"/>
    </w:pPr>
    <w:rPr>
      <w:b/>
      <w:caps/>
      <w:color w:val="2D4190"/>
      <w:sz w:val="28"/>
      <w:lang w:val="de-DE"/>
    </w:rPr>
  </w:style>
  <w:style w:type="paragraph" w:customStyle="1" w:styleId="04RunningText">
    <w:name w:val="04_Running Text"/>
    <w:basedOn w:val="a2"/>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1"/>
    <w:next w:val="a2"/>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a2"/>
    <w:locked/>
    <w:rsid w:val="000D2D0B"/>
    <w:pPr>
      <w:tabs>
        <w:tab w:val="num" w:pos="284"/>
      </w:tabs>
      <w:ind w:left="284" w:hanging="284"/>
    </w:pPr>
    <w:rPr>
      <w:rFonts w:eastAsia="Calibri"/>
      <w:lang w:eastAsia="en-GB"/>
    </w:rPr>
  </w:style>
  <w:style w:type="paragraph" w:customStyle="1" w:styleId="Listenabsatz1">
    <w:name w:val="Listenabsatz1"/>
    <w:basedOn w:val="a2"/>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a2"/>
    <w:locked/>
    <w:rsid w:val="000D2D0B"/>
    <w:pPr>
      <w:spacing w:line="260" w:lineRule="atLeast"/>
      <w:ind w:left="720"/>
      <w:contextualSpacing/>
    </w:pPr>
    <w:rPr>
      <w:rFonts w:ascii="Verdana" w:hAnsi="Verdana"/>
      <w:kern w:val="10"/>
      <w:lang w:val="de-DE"/>
    </w:rPr>
  </w:style>
  <w:style w:type="paragraph" w:customStyle="1" w:styleId="Considrant">
    <w:name w:val="Considérant"/>
    <w:basedOn w:val="a2"/>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a2"/>
    <w:next w:val="a2"/>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a2"/>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a2"/>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a2"/>
    <w:rsid w:val="000D2D0B"/>
  </w:style>
  <w:style w:type="paragraph" w:customStyle="1" w:styleId="Sbuchead">
    <w:name w:val="Sbuchead"/>
    <w:basedOn w:val="a2"/>
    <w:locked/>
    <w:rsid w:val="000D2D0B"/>
    <w:pPr>
      <w:spacing w:after="360"/>
    </w:pPr>
    <w:rPr>
      <w:rFonts w:ascii="Times New Roman" w:hAnsi="Times New Roman"/>
      <w:b/>
      <w:caps/>
      <w:sz w:val="24"/>
      <w:lang w:eastAsia="en-GB"/>
    </w:rPr>
  </w:style>
  <w:style w:type="paragraph" w:customStyle="1" w:styleId="Applicationdirecte">
    <w:name w:val="Application directe"/>
    <w:basedOn w:val="a2"/>
    <w:next w:val="Fait"/>
    <w:locked/>
    <w:rsid w:val="000D2D0B"/>
    <w:pPr>
      <w:spacing w:before="480" w:after="120"/>
    </w:pPr>
    <w:rPr>
      <w:rFonts w:ascii="Times New Roman" w:hAnsi="Times New Roman"/>
      <w:sz w:val="24"/>
    </w:rPr>
  </w:style>
  <w:style w:type="paragraph" w:customStyle="1" w:styleId="Fait">
    <w:name w:val="Fait à"/>
    <w:basedOn w:val="a2"/>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a2"/>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a2"/>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a2"/>
    <w:next w:val="a2"/>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a2"/>
    <w:next w:val="a2"/>
    <w:locked/>
    <w:rsid w:val="000D2D0B"/>
    <w:pPr>
      <w:spacing w:before="360" w:after="360"/>
      <w:jc w:val="center"/>
    </w:pPr>
    <w:rPr>
      <w:rFonts w:ascii="Times New Roman" w:hAnsi="Times New Roman"/>
      <w:b/>
      <w:sz w:val="24"/>
    </w:rPr>
  </w:style>
  <w:style w:type="paragraph" w:customStyle="1" w:styleId="Typedudocument">
    <w:name w:val="Type du document"/>
    <w:basedOn w:val="a2"/>
    <w:next w:val="Titreobjet"/>
    <w:locked/>
    <w:rsid w:val="000D2D0B"/>
    <w:pPr>
      <w:spacing w:before="360"/>
      <w:jc w:val="center"/>
    </w:pPr>
    <w:rPr>
      <w:rFonts w:ascii="Times New Roman" w:hAnsi="Times New Roman"/>
      <w:b/>
      <w:sz w:val="24"/>
    </w:rPr>
  </w:style>
  <w:style w:type="paragraph" w:customStyle="1" w:styleId="HeaderLandscape">
    <w:name w:val="HeaderLandscape"/>
    <w:basedOn w:val="a2"/>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a2"/>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a2"/>
    <w:locked/>
    <w:rsid w:val="000D2D0B"/>
    <w:pPr>
      <w:spacing w:before="120" w:after="120"/>
      <w:ind w:left="850"/>
    </w:pPr>
    <w:rPr>
      <w:rFonts w:ascii="Times New Roman" w:hAnsi="Times New Roman"/>
      <w:sz w:val="24"/>
    </w:rPr>
  </w:style>
  <w:style w:type="paragraph" w:customStyle="1" w:styleId="Text2">
    <w:name w:val="Text 2"/>
    <w:basedOn w:val="a2"/>
    <w:locked/>
    <w:rsid w:val="000D2D0B"/>
    <w:pPr>
      <w:spacing w:before="120" w:after="120"/>
      <w:ind w:left="1417"/>
    </w:pPr>
    <w:rPr>
      <w:rFonts w:ascii="Times New Roman" w:hAnsi="Times New Roman"/>
      <w:sz w:val="24"/>
    </w:rPr>
  </w:style>
  <w:style w:type="paragraph" w:customStyle="1" w:styleId="Text3">
    <w:name w:val="Text 3"/>
    <w:basedOn w:val="a2"/>
    <w:locked/>
    <w:rsid w:val="000D2D0B"/>
    <w:pPr>
      <w:spacing w:before="120" w:after="120"/>
      <w:ind w:left="1984"/>
    </w:pPr>
    <w:rPr>
      <w:rFonts w:ascii="Times New Roman" w:hAnsi="Times New Roman"/>
      <w:sz w:val="24"/>
    </w:rPr>
  </w:style>
  <w:style w:type="paragraph" w:customStyle="1" w:styleId="Text4">
    <w:name w:val="Text 4"/>
    <w:basedOn w:val="a2"/>
    <w:locked/>
    <w:rsid w:val="000D2D0B"/>
    <w:pPr>
      <w:spacing w:before="120" w:after="120"/>
      <w:ind w:left="2551"/>
    </w:pPr>
    <w:rPr>
      <w:rFonts w:ascii="Times New Roman" w:hAnsi="Times New Roman"/>
      <w:sz w:val="24"/>
    </w:rPr>
  </w:style>
  <w:style w:type="paragraph" w:customStyle="1" w:styleId="NormalCentered">
    <w:name w:val="Normal Centered"/>
    <w:basedOn w:val="a2"/>
    <w:rsid w:val="000D2D0B"/>
    <w:pPr>
      <w:spacing w:before="120" w:after="120"/>
      <w:jc w:val="center"/>
    </w:pPr>
    <w:rPr>
      <w:rFonts w:ascii="Times New Roman" w:hAnsi="Times New Roman"/>
      <w:sz w:val="24"/>
    </w:rPr>
  </w:style>
  <w:style w:type="paragraph" w:customStyle="1" w:styleId="NormalLeft">
    <w:name w:val="Normal Left"/>
    <w:basedOn w:val="a2"/>
    <w:rsid w:val="000D2D0B"/>
    <w:pPr>
      <w:spacing w:before="120" w:after="120"/>
    </w:pPr>
    <w:rPr>
      <w:rFonts w:ascii="Times New Roman" w:hAnsi="Times New Roman"/>
      <w:sz w:val="24"/>
    </w:rPr>
  </w:style>
  <w:style w:type="paragraph" w:customStyle="1" w:styleId="NormalRight">
    <w:name w:val="Normal Right"/>
    <w:basedOn w:val="a2"/>
    <w:rsid w:val="000D2D0B"/>
    <w:pPr>
      <w:spacing w:before="120" w:after="120"/>
      <w:jc w:val="right"/>
    </w:pPr>
    <w:rPr>
      <w:rFonts w:ascii="Times New Roman" w:hAnsi="Times New Roman"/>
      <w:sz w:val="24"/>
    </w:rPr>
  </w:style>
  <w:style w:type="paragraph" w:customStyle="1" w:styleId="QuotedText">
    <w:name w:val="Quoted Text"/>
    <w:basedOn w:val="a2"/>
    <w:locked/>
    <w:rsid w:val="000D2D0B"/>
    <w:pPr>
      <w:spacing w:before="120" w:after="120"/>
      <w:ind w:left="1417"/>
    </w:pPr>
    <w:rPr>
      <w:rFonts w:ascii="Times New Roman" w:hAnsi="Times New Roman"/>
      <w:sz w:val="24"/>
    </w:rPr>
  </w:style>
  <w:style w:type="paragraph" w:customStyle="1" w:styleId="Point0">
    <w:name w:val="Point 0"/>
    <w:basedOn w:val="a2"/>
    <w:locked/>
    <w:rsid w:val="000D2D0B"/>
    <w:pPr>
      <w:spacing w:before="120" w:after="120"/>
      <w:ind w:left="850" w:hanging="850"/>
    </w:pPr>
    <w:rPr>
      <w:rFonts w:ascii="Times New Roman" w:hAnsi="Times New Roman"/>
      <w:sz w:val="24"/>
    </w:rPr>
  </w:style>
  <w:style w:type="paragraph" w:customStyle="1" w:styleId="Point1">
    <w:name w:val="Point 1"/>
    <w:basedOn w:val="a2"/>
    <w:locked/>
    <w:rsid w:val="000D2D0B"/>
    <w:pPr>
      <w:spacing w:before="120" w:after="120"/>
      <w:ind w:left="1417" w:hanging="567"/>
    </w:pPr>
    <w:rPr>
      <w:rFonts w:ascii="Times New Roman" w:hAnsi="Times New Roman"/>
      <w:sz w:val="24"/>
    </w:rPr>
  </w:style>
  <w:style w:type="paragraph" w:customStyle="1" w:styleId="Point2">
    <w:name w:val="Point 2"/>
    <w:basedOn w:val="a2"/>
    <w:locked/>
    <w:rsid w:val="000D2D0B"/>
    <w:pPr>
      <w:spacing w:before="120" w:after="120"/>
      <w:ind w:left="1984" w:hanging="567"/>
    </w:pPr>
    <w:rPr>
      <w:rFonts w:ascii="Times New Roman" w:hAnsi="Times New Roman"/>
      <w:sz w:val="24"/>
    </w:rPr>
  </w:style>
  <w:style w:type="paragraph" w:customStyle="1" w:styleId="Point3">
    <w:name w:val="Point 3"/>
    <w:basedOn w:val="a2"/>
    <w:locked/>
    <w:rsid w:val="000D2D0B"/>
    <w:pPr>
      <w:spacing w:before="120" w:after="120"/>
      <w:ind w:left="2551" w:hanging="567"/>
    </w:pPr>
    <w:rPr>
      <w:rFonts w:ascii="Times New Roman" w:hAnsi="Times New Roman"/>
      <w:sz w:val="24"/>
    </w:rPr>
  </w:style>
  <w:style w:type="paragraph" w:customStyle="1" w:styleId="Point4">
    <w:name w:val="Point 4"/>
    <w:basedOn w:val="a2"/>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a2"/>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a2"/>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a2"/>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a2"/>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a2"/>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a2"/>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a2"/>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a2"/>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a2"/>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a2"/>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a2"/>
    <w:next w:val="Text1"/>
    <w:locked/>
    <w:rsid w:val="000D2D0B"/>
    <w:pPr>
      <w:numPr>
        <w:numId w:val="20"/>
      </w:numPr>
      <w:spacing w:before="120" w:after="120"/>
    </w:pPr>
    <w:rPr>
      <w:rFonts w:ascii="Times New Roman" w:hAnsi="Times New Roman"/>
      <w:sz w:val="24"/>
    </w:rPr>
  </w:style>
  <w:style w:type="paragraph" w:customStyle="1" w:styleId="NumPar2">
    <w:name w:val="NumPar 2"/>
    <w:basedOn w:val="a2"/>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a2"/>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a2"/>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a2"/>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a2"/>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a2"/>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a2"/>
    <w:locked/>
    <w:rsid w:val="000D2D0B"/>
    <w:pPr>
      <w:spacing w:before="120" w:after="120"/>
      <w:ind w:left="1417" w:hanging="567"/>
    </w:pPr>
    <w:rPr>
      <w:rFonts w:ascii="Times New Roman" w:hAnsi="Times New Roman"/>
      <w:sz w:val="24"/>
    </w:rPr>
  </w:style>
  <w:style w:type="paragraph" w:customStyle="1" w:styleId="ManualHeading1">
    <w:name w:val="Manual Heading 1"/>
    <w:basedOn w:val="a2"/>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a2"/>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a2"/>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a2"/>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a2"/>
    <w:next w:val="a2"/>
    <w:locked/>
    <w:rsid w:val="000D2D0B"/>
    <w:pPr>
      <w:keepNext/>
      <w:spacing w:before="120" w:after="360"/>
      <w:jc w:val="center"/>
    </w:pPr>
    <w:rPr>
      <w:rFonts w:ascii="Times New Roman" w:hAnsi="Times New Roman"/>
      <w:b/>
      <w:sz w:val="32"/>
    </w:rPr>
  </w:style>
  <w:style w:type="paragraph" w:customStyle="1" w:styleId="PartTitle">
    <w:name w:val="PartTitle"/>
    <w:basedOn w:val="a2"/>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a2"/>
    <w:next w:val="1"/>
    <w:locked/>
    <w:rsid w:val="000D2D0B"/>
    <w:pPr>
      <w:keepNext/>
      <w:spacing w:before="120" w:after="360"/>
      <w:jc w:val="center"/>
    </w:pPr>
    <w:rPr>
      <w:rFonts w:ascii="Times New Roman" w:hAnsi="Times New Roman"/>
      <w:b/>
      <w:smallCaps/>
      <w:sz w:val="28"/>
    </w:rPr>
  </w:style>
  <w:style w:type="paragraph" w:customStyle="1" w:styleId="TableTitle">
    <w:name w:val="Table Title"/>
    <w:basedOn w:val="a2"/>
    <w:next w:val="a2"/>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a2"/>
    <w:locked/>
    <w:rsid w:val="000D2D0B"/>
    <w:pPr>
      <w:numPr>
        <w:numId w:val="27"/>
      </w:numPr>
      <w:spacing w:before="120" w:after="120"/>
    </w:pPr>
    <w:rPr>
      <w:rFonts w:ascii="Times New Roman" w:hAnsi="Times New Roman"/>
      <w:sz w:val="24"/>
    </w:rPr>
  </w:style>
  <w:style w:type="paragraph" w:customStyle="1" w:styleId="Point1number">
    <w:name w:val="Point 1 (number)"/>
    <w:basedOn w:val="a2"/>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a2"/>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a2"/>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a2"/>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a2"/>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a2"/>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a2"/>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a2"/>
    <w:locked/>
    <w:rsid w:val="000D2D0B"/>
    <w:pPr>
      <w:numPr>
        <w:ilvl w:val="8"/>
        <w:numId w:val="27"/>
      </w:numPr>
      <w:spacing w:before="120" w:after="120"/>
    </w:pPr>
    <w:rPr>
      <w:rFonts w:ascii="Times New Roman" w:hAnsi="Times New Roman"/>
      <w:sz w:val="24"/>
    </w:rPr>
  </w:style>
  <w:style w:type="paragraph" w:customStyle="1" w:styleId="Bullet0">
    <w:name w:val="Bullet 0"/>
    <w:basedOn w:val="a2"/>
    <w:locked/>
    <w:rsid w:val="000D2D0B"/>
    <w:pPr>
      <w:numPr>
        <w:numId w:val="21"/>
      </w:numPr>
      <w:spacing w:before="120" w:after="120"/>
    </w:pPr>
    <w:rPr>
      <w:rFonts w:ascii="Times New Roman" w:hAnsi="Times New Roman"/>
      <w:sz w:val="24"/>
    </w:rPr>
  </w:style>
  <w:style w:type="paragraph" w:customStyle="1" w:styleId="Bullet1">
    <w:name w:val="Bullet 1"/>
    <w:basedOn w:val="a2"/>
    <w:locked/>
    <w:rsid w:val="000D2D0B"/>
    <w:pPr>
      <w:numPr>
        <w:numId w:val="22"/>
      </w:numPr>
      <w:spacing w:before="120" w:after="120"/>
    </w:pPr>
    <w:rPr>
      <w:rFonts w:ascii="Times New Roman" w:hAnsi="Times New Roman"/>
      <w:sz w:val="24"/>
    </w:rPr>
  </w:style>
  <w:style w:type="paragraph" w:customStyle="1" w:styleId="Bullet2">
    <w:name w:val="Bullet 2"/>
    <w:basedOn w:val="a2"/>
    <w:locked/>
    <w:rsid w:val="000D2D0B"/>
    <w:pPr>
      <w:numPr>
        <w:numId w:val="23"/>
      </w:numPr>
      <w:spacing w:before="120" w:after="120"/>
    </w:pPr>
    <w:rPr>
      <w:rFonts w:ascii="Times New Roman" w:hAnsi="Times New Roman"/>
      <w:sz w:val="24"/>
    </w:rPr>
  </w:style>
  <w:style w:type="paragraph" w:customStyle="1" w:styleId="Bullet3">
    <w:name w:val="Bullet 3"/>
    <w:basedOn w:val="a2"/>
    <w:locked/>
    <w:rsid w:val="000D2D0B"/>
    <w:pPr>
      <w:numPr>
        <w:numId w:val="24"/>
      </w:numPr>
      <w:spacing w:before="120" w:after="120"/>
    </w:pPr>
    <w:rPr>
      <w:rFonts w:ascii="Times New Roman" w:hAnsi="Times New Roman"/>
      <w:sz w:val="24"/>
    </w:rPr>
  </w:style>
  <w:style w:type="paragraph" w:customStyle="1" w:styleId="Bullet4">
    <w:name w:val="Bullet 4"/>
    <w:basedOn w:val="a2"/>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a2"/>
    <w:next w:val="a2"/>
    <w:locked/>
    <w:rsid w:val="000D2D0B"/>
    <w:pPr>
      <w:spacing w:before="120" w:after="120"/>
      <w:jc w:val="center"/>
    </w:pPr>
    <w:rPr>
      <w:rFonts w:ascii="Times New Roman" w:hAnsi="Times New Roman"/>
      <w:b/>
      <w:sz w:val="24"/>
      <w:u w:val="single"/>
    </w:rPr>
  </w:style>
  <w:style w:type="paragraph" w:customStyle="1" w:styleId="Annexetitre">
    <w:name w:val="Annexe titre"/>
    <w:basedOn w:val="a2"/>
    <w:next w:val="a2"/>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a2"/>
    <w:next w:val="a2"/>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a2"/>
    <w:next w:val="a2"/>
    <w:locked/>
    <w:rsid w:val="000D2D0B"/>
    <w:pPr>
      <w:keepNext/>
      <w:spacing w:before="480" w:after="120"/>
    </w:pPr>
    <w:rPr>
      <w:rFonts w:ascii="Times New Roman" w:hAnsi="Times New Roman"/>
      <w:sz w:val="24"/>
      <w:u w:val="single"/>
    </w:rPr>
  </w:style>
  <w:style w:type="paragraph" w:customStyle="1" w:styleId="Confidence">
    <w:name w:val="Confidence"/>
    <w:basedOn w:val="a2"/>
    <w:next w:val="a2"/>
    <w:locked/>
    <w:rsid w:val="000D2D0B"/>
    <w:pPr>
      <w:spacing w:before="360" w:after="120"/>
      <w:jc w:val="center"/>
    </w:pPr>
    <w:rPr>
      <w:rFonts w:ascii="Times New Roman" w:hAnsi="Times New Roman"/>
      <w:sz w:val="24"/>
    </w:rPr>
  </w:style>
  <w:style w:type="paragraph" w:customStyle="1" w:styleId="Confidentialit">
    <w:name w:val="Confidentialité"/>
    <w:basedOn w:val="a2"/>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a2"/>
    <w:next w:val="a2"/>
    <w:locked/>
    <w:rsid w:val="000D2D0B"/>
    <w:pPr>
      <w:spacing w:after="240"/>
    </w:pPr>
    <w:rPr>
      <w:rFonts w:ascii="Times New Roman" w:hAnsi="Times New Roman"/>
      <w:sz w:val="24"/>
    </w:rPr>
  </w:style>
  <w:style w:type="paragraph" w:customStyle="1" w:styleId="Datedadoption">
    <w:name w:val="Date d'adoption"/>
    <w:basedOn w:val="a2"/>
    <w:next w:val="Titreobjet"/>
    <w:locked/>
    <w:rsid w:val="000D2D0B"/>
    <w:pPr>
      <w:spacing w:before="360"/>
      <w:jc w:val="center"/>
    </w:pPr>
    <w:rPr>
      <w:rFonts w:ascii="Times New Roman" w:hAnsi="Times New Roman"/>
      <w:b/>
      <w:sz w:val="24"/>
    </w:rPr>
  </w:style>
  <w:style w:type="paragraph" w:customStyle="1" w:styleId="Emission">
    <w:name w:val="Emission"/>
    <w:basedOn w:val="a2"/>
    <w:next w:val="Rfrenceinstitutionnelle"/>
    <w:locked/>
    <w:rsid w:val="000D2D0B"/>
    <w:pPr>
      <w:ind w:left="5103"/>
    </w:pPr>
    <w:rPr>
      <w:rFonts w:ascii="Times New Roman" w:hAnsi="Times New Roman"/>
      <w:sz w:val="24"/>
    </w:rPr>
  </w:style>
  <w:style w:type="paragraph" w:customStyle="1" w:styleId="Exposdesmotifstitre">
    <w:name w:val="Exposé des motifs titre"/>
    <w:basedOn w:val="a2"/>
    <w:next w:val="a2"/>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a2"/>
    <w:next w:val="a2"/>
    <w:locked/>
    <w:rsid w:val="000D2D0B"/>
    <w:pPr>
      <w:keepNext/>
      <w:spacing w:before="600" w:after="120"/>
    </w:pPr>
    <w:rPr>
      <w:rFonts w:ascii="Times New Roman" w:hAnsi="Times New Roman"/>
      <w:sz w:val="24"/>
    </w:rPr>
  </w:style>
  <w:style w:type="paragraph" w:customStyle="1" w:styleId="Langue">
    <w:name w:val="Langue"/>
    <w:basedOn w:val="a2"/>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a2"/>
    <w:locked/>
    <w:rsid w:val="000D2D0B"/>
    <w:pPr>
      <w:spacing w:before="120" w:after="120"/>
      <w:ind w:left="709" w:hanging="709"/>
    </w:pPr>
    <w:rPr>
      <w:rFonts w:ascii="Times New Roman" w:hAnsi="Times New Roman"/>
      <w:sz w:val="24"/>
    </w:rPr>
  </w:style>
  <w:style w:type="paragraph" w:customStyle="1" w:styleId="Nomdelinstitution">
    <w:name w:val="Nom de l'institution"/>
    <w:basedOn w:val="a2"/>
    <w:next w:val="Emission"/>
    <w:locked/>
    <w:rsid w:val="000D2D0B"/>
    <w:rPr>
      <w:sz w:val="24"/>
    </w:rPr>
  </w:style>
  <w:style w:type="paragraph" w:customStyle="1" w:styleId="Rfrenceinstitutionnelle">
    <w:name w:val="Référence institutionnelle"/>
    <w:basedOn w:val="a2"/>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a2"/>
    <w:next w:val="Statut"/>
    <w:locked/>
    <w:rsid w:val="000D2D0B"/>
    <w:pPr>
      <w:ind w:left="5103"/>
    </w:pPr>
    <w:rPr>
      <w:rFonts w:ascii="Times New Roman" w:hAnsi="Times New Roman"/>
      <w:sz w:val="24"/>
    </w:rPr>
  </w:style>
  <w:style w:type="paragraph" w:customStyle="1" w:styleId="Rfrenceinterne">
    <w:name w:val="Référence interne"/>
    <w:basedOn w:val="a2"/>
    <w:next w:val="Rfrenceinterinstitutionnelle"/>
    <w:locked/>
    <w:rsid w:val="000D2D0B"/>
    <w:pPr>
      <w:ind w:left="5103"/>
    </w:pPr>
    <w:rPr>
      <w:rFonts w:ascii="Times New Roman" w:hAnsi="Times New Roman"/>
      <w:sz w:val="24"/>
    </w:rPr>
  </w:style>
  <w:style w:type="paragraph" w:customStyle="1" w:styleId="Sous-titreobjet">
    <w:name w:val="Sous-titre objet"/>
    <w:basedOn w:val="a2"/>
    <w:locked/>
    <w:rsid w:val="000D2D0B"/>
    <w:pPr>
      <w:jc w:val="center"/>
    </w:pPr>
    <w:rPr>
      <w:rFonts w:ascii="Times New Roman" w:hAnsi="Times New Roman"/>
      <w:b/>
      <w:sz w:val="24"/>
    </w:rPr>
  </w:style>
  <w:style w:type="paragraph" w:customStyle="1" w:styleId="Statut">
    <w:name w:val="Statut"/>
    <w:basedOn w:val="a2"/>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a2"/>
    <w:next w:val="a2"/>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a2"/>
    <w:next w:val="a2"/>
    <w:locked/>
    <w:rsid w:val="000D2D0B"/>
    <w:pPr>
      <w:spacing w:before="120" w:after="120"/>
    </w:pPr>
    <w:rPr>
      <w:rFonts w:ascii="Times New Roman" w:hAnsi="Times New Roman"/>
      <w:i/>
      <w:caps/>
      <w:sz w:val="24"/>
    </w:rPr>
  </w:style>
  <w:style w:type="paragraph" w:customStyle="1" w:styleId="Pagedecouverture">
    <w:name w:val="Page de couverture"/>
    <w:basedOn w:val="a2"/>
    <w:next w:val="a2"/>
    <w:locked/>
    <w:rsid w:val="000D2D0B"/>
    <w:pPr>
      <w:spacing w:before="120" w:after="120"/>
    </w:pPr>
    <w:rPr>
      <w:rFonts w:ascii="Times New Roman" w:hAnsi="Times New Roman"/>
      <w:sz w:val="24"/>
    </w:rPr>
  </w:style>
  <w:style w:type="paragraph" w:customStyle="1" w:styleId="Supertitre">
    <w:name w:val="Supertitre"/>
    <w:basedOn w:val="a2"/>
    <w:next w:val="a2"/>
    <w:locked/>
    <w:rsid w:val="000D2D0B"/>
    <w:pPr>
      <w:spacing w:after="600"/>
      <w:jc w:val="center"/>
    </w:pPr>
    <w:rPr>
      <w:rFonts w:ascii="Times New Roman" w:hAnsi="Times New Roman"/>
      <w:b/>
      <w:sz w:val="24"/>
    </w:rPr>
  </w:style>
  <w:style w:type="paragraph" w:customStyle="1" w:styleId="Languesfaisantfoi">
    <w:name w:val="Langues faisant foi"/>
    <w:basedOn w:val="a2"/>
    <w:next w:val="a2"/>
    <w:locked/>
    <w:rsid w:val="000D2D0B"/>
    <w:pPr>
      <w:spacing w:before="360"/>
      <w:jc w:val="center"/>
    </w:pPr>
    <w:rPr>
      <w:rFonts w:ascii="Times New Roman" w:hAnsi="Times New Roman"/>
      <w:sz w:val="24"/>
    </w:rPr>
  </w:style>
  <w:style w:type="paragraph" w:customStyle="1" w:styleId="Rfrencecroise">
    <w:name w:val="Référence croisée"/>
    <w:basedOn w:val="a2"/>
    <w:locked/>
    <w:rsid w:val="000D2D0B"/>
    <w:pPr>
      <w:jc w:val="center"/>
    </w:pPr>
    <w:rPr>
      <w:rFonts w:ascii="Times New Roman" w:hAnsi="Times New Roman"/>
      <w:sz w:val="24"/>
    </w:rPr>
  </w:style>
  <w:style w:type="paragraph" w:customStyle="1" w:styleId="Fichefinanciretitre">
    <w:name w:val="Fiche financière titre"/>
    <w:basedOn w:val="a2"/>
    <w:next w:val="a2"/>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a2"/>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a2"/>
    <w:locked/>
    <w:rsid w:val="000D2D0B"/>
    <w:pPr>
      <w:spacing w:after="240"/>
    </w:pPr>
  </w:style>
  <w:style w:type="paragraph" w:customStyle="1" w:styleId="Accompagnant">
    <w:name w:val="Accompagnant"/>
    <w:basedOn w:val="a2"/>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a2"/>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a2"/>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a2"/>
    <w:next w:val="a2"/>
    <w:locked/>
    <w:rsid w:val="000D2D0B"/>
    <w:pPr>
      <w:spacing w:before="360"/>
      <w:jc w:val="center"/>
    </w:pPr>
    <w:rPr>
      <w:rFonts w:ascii="Times New Roman" w:hAnsi="Times New Roman"/>
      <w:sz w:val="24"/>
    </w:rPr>
  </w:style>
  <w:style w:type="paragraph" w:styleId="22">
    <w:name w:val="List Number 2"/>
    <w:basedOn w:val="a2"/>
    <w:locked/>
    <w:rsid w:val="000D2D0B"/>
    <w:pPr>
      <w:tabs>
        <w:tab w:val="num" w:pos="643"/>
      </w:tabs>
      <w:spacing w:before="120" w:after="120"/>
      <w:ind w:left="643" w:hanging="360"/>
    </w:pPr>
    <w:rPr>
      <w:rFonts w:ascii="Times New Roman" w:hAnsi="Times New Roman"/>
      <w:sz w:val="24"/>
    </w:rPr>
  </w:style>
  <w:style w:type="paragraph" w:styleId="33">
    <w:name w:val="List Number 3"/>
    <w:basedOn w:val="a2"/>
    <w:locked/>
    <w:rsid w:val="000D2D0B"/>
    <w:pPr>
      <w:tabs>
        <w:tab w:val="num" w:pos="926"/>
      </w:tabs>
      <w:spacing w:before="120" w:after="120"/>
      <w:ind w:left="926" w:hanging="360"/>
    </w:pPr>
    <w:rPr>
      <w:rFonts w:ascii="Times New Roman" w:hAnsi="Times New Roman"/>
      <w:sz w:val="24"/>
    </w:rPr>
  </w:style>
  <w:style w:type="paragraph" w:styleId="43">
    <w:name w:val="List Number 4"/>
    <w:basedOn w:val="a2"/>
    <w:locked/>
    <w:rsid w:val="000D2D0B"/>
    <w:pPr>
      <w:tabs>
        <w:tab w:val="num" w:pos="1209"/>
        <w:tab w:val="num" w:pos="1417"/>
      </w:tabs>
      <w:spacing w:before="120" w:after="120"/>
      <w:ind w:left="1209" w:hanging="360"/>
    </w:pPr>
    <w:rPr>
      <w:rFonts w:ascii="Times New Roman" w:hAnsi="Times New Roman"/>
      <w:sz w:val="24"/>
    </w:rPr>
  </w:style>
  <w:style w:type="paragraph" w:styleId="a0">
    <w:name w:val="List Bullet"/>
    <w:basedOn w:val="a2"/>
    <w:locked/>
    <w:rsid w:val="000D2D0B"/>
    <w:pPr>
      <w:numPr>
        <w:numId w:val="13"/>
      </w:numPr>
      <w:tabs>
        <w:tab w:val="num" w:pos="360"/>
      </w:tabs>
      <w:spacing w:before="120" w:after="120"/>
      <w:ind w:left="360" w:hanging="360"/>
    </w:pPr>
    <w:rPr>
      <w:rFonts w:ascii="Times New Roman" w:hAnsi="Times New Roman"/>
      <w:sz w:val="24"/>
    </w:rPr>
  </w:style>
  <w:style w:type="paragraph" w:styleId="23">
    <w:name w:val="List Bullet 2"/>
    <w:basedOn w:val="a2"/>
    <w:locked/>
    <w:rsid w:val="000D2D0B"/>
    <w:pPr>
      <w:tabs>
        <w:tab w:val="num" w:pos="643"/>
        <w:tab w:val="num" w:pos="851"/>
      </w:tabs>
      <w:spacing w:before="120" w:after="120"/>
      <w:ind w:left="643" w:hanging="360"/>
    </w:pPr>
    <w:rPr>
      <w:rFonts w:ascii="Times New Roman" w:hAnsi="Times New Roman"/>
      <w:sz w:val="24"/>
    </w:rPr>
  </w:style>
  <w:style w:type="paragraph" w:styleId="3">
    <w:name w:val="List Bullet 3"/>
    <w:basedOn w:val="a2"/>
    <w:locked/>
    <w:rsid w:val="000D2D0B"/>
    <w:pPr>
      <w:numPr>
        <w:numId w:val="15"/>
      </w:numPr>
      <w:tabs>
        <w:tab w:val="num" w:pos="926"/>
      </w:tabs>
      <w:spacing w:before="120" w:after="120"/>
      <w:ind w:left="926"/>
    </w:pPr>
    <w:rPr>
      <w:rFonts w:ascii="Times New Roman" w:hAnsi="Times New Roman"/>
      <w:sz w:val="24"/>
    </w:rPr>
  </w:style>
  <w:style w:type="paragraph" w:styleId="4">
    <w:name w:val="List Bullet 4"/>
    <w:basedOn w:val="a2"/>
    <w:locked/>
    <w:rsid w:val="000D2D0B"/>
    <w:pPr>
      <w:numPr>
        <w:numId w:val="16"/>
      </w:numPr>
      <w:tabs>
        <w:tab w:val="num" w:pos="1209"/>
      </w:tabs>
      <w:spacing w:before="120" w:after="120"/>
      <w:ind w:left="1209"/>
    </w:pPr>
    <w:rPr>
      <w:rFonts w:ascii="Times New Roman" w:hAnsi="Times New Roman"/>
      <w:sz w:val="24"/>
    </w:rPr>
  </w:style>
  <w:style w:type="paragraph" w:styleId="affb">
    <w:name w:val="table of figures"/>
    <w:basedOn w:val="a2"/>
    <w:next w:val="a2"/>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a2"/>
    <w:locked/>
    <w:rsid w:val="000D2D0B"/>
    <w:pPr>
      <w:ind w:left="720"/>
      <w:contextualSpacing/>
    </w:pPr>
    <w:rPr>
      <w:rFonts w:ascii="Cambria" w:hAnsi="Cambria"/>
      <w:sz w:val="24"/>
      <w:lang w:val="en-US"/>
    </w:rPr>
  </w:style>
  <w:style w:type="paragraph" w:customStyle="1" w:styleId="Listeavsnitt1">
    <w:name w:val="Listeavsnitt1"/>
    <w:basedOn w:val="a2"/>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a2"/>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a2"/>
    <w:uiPriority w:val="99"/>
    <w:locked/>
    <w:rsid w:val="000D2D0B"/>
    <w:pPr>
      <w:ind w:left="720"/>
      <w:contextualSpacing/>
    </w:pPr>
    <w:rPr>
      <w:rFonts w:ascii="Cambria" w:hAnsi="Cambria"/>
      <w:sz w:val="24"/>
      <w:lang w:val="en-US"/>
    </w:rPr>
  </w:style>
  <w:style w:type="paragraph" w:customStyle="1" w:styleId="ListParagraph2">
    <w:name w:val="List Paragraph2"/>
    <w:basedOn w:val="a2"/>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1"/>
    <w:next w:val="a2"/>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a2"/>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a2"/>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a2"/>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a2"/>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a2"/>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a2"/>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affc">
    <w:name w:val="Title"/>
    <w:basedOn w:val="a2"/>
    <w:next w:val="a2"/>
    <w:link w:val="affd"/>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affd">
    <w:name w:val="Заголовок Знак"/>
    <w:link w:val="affc"/>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a2"/>
    <w:locked/>
    <w:rsid w:val="000D2D0B"/>
    <w:pPr>
      <w:spacing w:before="320" w:line="260" w:lineRule="exact"/>
    </w:pPr>
    <w:rPr>
      <w:rFonts w:ascii="Myriad Pro Light" w:hAnsi="Myriad Pro Light"/>
      <w:b/>
      <w:sz w:val="21"/>
      <w:lang w:val="es-ES" w:eastAsia="es-ES"/>
    </w:rPr>
  </w:style>
  <w:style w:type="character" w:customStyle="1" w:styleId="afc">
    <w:name w:val="Рецензия Знак"/>
    <w:link w:val="afb"/>
    <w:uiPriority w:val="99"/>
    <w:semiHidden/>
    <w:locked/>
    <w:rsid w:val="000D2D0B"/>
    <w:rPr>
      <w:rFonts w:ascii="Georgia" w:hAnsi="Georgia"/>
      <w:sz w:val="22"/>
      <w:szCs w:val="24"/>
      <w:lang w:eastAsia="de-DE"/>
    </w:rPr>
  </w:style>
  <w:style w:type="table" w:customStyle="1" w:styleId="TableGrid2">
    <w:name w:val="Table Grid2"/>
    <w:basedOn w:val="a4"/>
    <w:next w:val="a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ubtle Emphasis"/>
    <w:aliases w:val="Question"/>
    <w:uiPriority w:val="19"/>
    <w:qFormat/>
    <w:locked/>
    <w:rsid w:val="003A6E9A"/>
    <w:rPr>
      <w:b/>
      <w:i w:val="0"/>
      <w:iCs/>
      <w:sz w:val="20"/>
    </w:rPr>
  </w:style>
  <w:style w:type="paragraph" w:customStyle="1" w:styleId="NEW-Paragraph-Level1">
    <w:name w:val="NEW-Paragraph-Level1"/>
    <w:basedOn w:val="a2"/>
    <w:locked/>
    <w:rsid w:val="003A6E9A"/>
    <w:pPr>
      <w:tabs>
        <w:tab w:val="num" w:pos="284"/>
      </w:tabs>
      <w:ind w:left="284" w:hanging="284"/>
    </w:pPr>
  </w:style>
  <w:style w:type="paragraph" w:customStyle="1" w:styleId="NEW-Paragraph-level2">
    <w:name w:val="NEW-Paragraph-level2"/>
    <w:basedOn w:val="a2"/>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a2"/>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a2"/>
    <w:locked/>
    <w:rsid w:val="003A6E9A"/>
    <w:pPr>
      <w:keepNext/>
      <w:numPr>
        <w:numId w:val="29"/>
      </w:numPr>
      <w:spacing w:before="240"/>
      <w:outlineLvl w:val="0"/>
    </w:pPr>
    <w:rPr>
      <w:b/>
      <w:bCs/>
      <w:kern w:val="32"/>
      <w:sz w:val="28"/>
      <w:szCs w:val="28"/>
    </w:rPr>
  </w:style>
  <w:style w:type="paragraph" w:customStyle="1" w:styleId="NEW-Level1">
    <w:name w:val="NEW-Level1"/>
    <w:basedOn w:val="a2"/>
    <w:locked/>
    <w:rsid w:val="003A6E9A"/>
    <w:pPr>
      <w:keepNext/>
      <w:numPr>
        <w:ilvl w:val="1"/>
        <w:numId w:val="29"/>
      </w:numPr>
      <w:spacing w:before="240"/>
      <w:outlineLvl w:val="0"/>
    </w:pPr>
    <w:rPr>
      <w:b/>
      <w:bCs/>
      <w:kern w:val="32"/>
      <w:sz w:val="24"/>
      <w:szCs w:val="32"/>
    </w:rPr>
  </w:style>
  <w:style w:type="paragraph" w:customStyle="1" w:styleId="NEW-Level2">
    <w:name w:val="NEW-Level2"/>
    <w:basedOn w:val="a2"/>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a2"/>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a2"/>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a2"/>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a2"/>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a2"/>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a2"/>
    <w:link w:val="CPQuestionsChar"/>
    <w:qFormat/>
    <w:locked/>
    <w:rsid w:val="00EF0769"/>
    <w:pPr>
      <w:numPr>
        <w:numId w:val="31"/>
      </w:numPr>
      <w:spacing w:before="250"/>
    </w:pPr>
    <w:rPr>
      <w:rFonts w:cstheme="minorBidi"/>
      <w:b/>
    </w:rPr>
  </w:style>
  <w:style w:type="character" w:customStyle="1" w:styleId="CPQuestionsChar">
    <w:name w:val="CP_Questions Char"/>
    <w:basedOn w:val="a3"/>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afff">
    <w:name w:val="Intense Emphasis"/>
    <w:basedOn w:val="a3"/>
    <w:uiPriority w:val="21"/>
    <w:qFormat/>
    <w:locked/>
    <w:rsid w:val="00D34282"/>
    <w:rPr>
      <w:b/>
      <w:bCs/>
      <w:i/>
      <w:iCs/>
    </w:rPr>
  </w:style>
  <w:style w:type="character" w:customStyle="1" w:styleId="CPTitle1Char">
    <w:name w:val="CP_Title1 Char"/>
    <w:basedOn w:val="a3"/>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a2"/>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a2"/>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a2"/>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a2"/>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a2"/>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a2"/>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a2"/>
    <w:next w:val="a2"/>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a3"/>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aff4"/>
    <w:uiPriority w:val="1"/>
    <w:qFormat/>
    <w:rsid w:val="00F87468"/>
    <w:rPr>
      <w:b w:val="0"/>
      <w:bCs/>
      <w:caps/>
      <w:smallCaps w:val="0"/>
      <w:color w:val="F79646" w:themeColor="accent6"/>
      <w:sz w:val="22"/>
    </w:rPr>
  </w:style>
  <w:style w:type="paragraph" w:styleId="afff0">
    <w:name w:val="Subtitle"/>
    <w:basedOn w:val="a2"/>
    <w:next w:val="a2"/>
    <w:link w:val="afff1"/>
    <w:uiPriority w:val="11"/>
    <w:qFormat/>
    <w:locked/>
    <w:rsid w:val="00E70E2E"/>
    <w:pPr>
      <w:numPr>
        <w:ilvl w:val="1"/>
      </w:numPr>
    </w:pPr>
    <w:rPr>
      <w:rFonts w:eastAsiaTheme="majorEastAsia"/>
      <w:b/>
      <w:bCs/>
      <w:sz w:val="28"/>
    </w:rPr>
  </w:style>
  <w:style w:type="character" w:customStyle="1" w:styleId="afff1">
    <w:name w:val="Подзаголовок Знак"/>
    <w:basedOn w:val="a3"/>
    <w:link w:val="afff0"/>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a2"/>
    <w:link w:val="HeaderFootChar"/>
    <w:qFormat/>
    <w:rsid w:val="00F716D4"/>
    <w:pPr>
      <w:spacing w:after="0"/>
      <w:jc w:val="right"/>
    </w:pPr>
    <w:rPr>
      <w:color w:val="001B4F"/>
      <w:sz w:val="16"/>
      <w:szCs w:val="16"/>
    </w:rPr>
  </w:style>
  <w:style w:type="character" w:styleId="afff2">
    <w:name w:val="Unresolved Mention"/>
    <w:basedOn w:val="a3"/>
    <w:uiPriority w:val="99"/>
    <w:semiHidden/>
    <w:unhideWhenUsed/>
    <w:rsid w:val="0034374F"/>
    <w:rPr>
      <w:color w:val="605E5C"/>
      <w:shd w:val="clear" w:color="auto" w:fill="E1DFDD"/>
    </w:rPr>
  </w:style>
  <w:style w:type="character" w:customStyle="1" w:styleId="HeaderFootChar">
    <w:name w:val="HeaderFoot Char"/>
    <w:basedOn w:val="a3"/>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a2"/>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a3"/>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a3"/>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2.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header" Target="header6.xml"/><Relationship Id="rId30"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61</Value>
      <Value>606</Value>
      <Value>10</Value>
      <Value>17</Value>
      <Value>469</Value>
    </TaxCatchAll>
    <_dlc_DocId xmlns="d0fb0f98-34f9-4d57-9559-eb8efd17aa5e">ESMA91-1505572268-4497</_dlc_DocId>
    <_dlc_DocIdUrl xmlns="d0fb0f98-34f9-4d57-9559-eb8efd17aa5e">
      <Url>https://securitiesandmarketsauth.sharepoint.com/sites/sherpa-ccp/_layouts/15/DocIdRedir.aspx?ID=ESMA91-1505572268-4497</Url>
      <Description>ESMA91-1505572268-4497</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Participation requirements</TermName>
          <TermId xmlns="http://schemas.microsoft.com/office/infopath/2007/PartnerControls">018c9db9-b83f-494a-9356-2d7b5cc90d25</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1679</Words>
  <Characters>9571</Characters>
  <Application>Microsoft Office Word</Application>
  <DocSecurity>0</DocSecurity>
  <Lines>79</Lines>
  <Paragraphs>22</Paragraphs>
  <ScaleCrop>false</ScaleCrop>
  <Company>ESMA</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Ксения Мымченко</cp:lastModifiedBy>
  <cp:revision>2</cp:revision>
  <cp:lastPrinted>2015-02-18T20:01:00Z</cp:lastPrinted>
  <dcterms:created xsi:type="dcterms:W3CDTF">2025-12-26T13:08:00Z</dcterms:created>
  <dcterms:modified xsi:type="dcterms:W3CDTF">2025-12-26T13:08:00Z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0aa9a312-a318-40a8-8057-8b3250272324</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606;#Participation requirements|018c9db9-b83f-494a-9356-2d7b5cc90d25</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a2cf8dee-15b1-4b34-8492-7a43b92a8920</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2025-06-21T04:45:36Z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docLang">
    <vt:lpwstr>en</vt:lpwstr>
  </property>
</Properties>
</file>