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Subtitle"/>
        <w:spacing w:after="0"/>
        <w:rPr>
          <w:b w:val="0"/>
          <w:bCs w:val="0"/>
        </w:rPr>
        <w:sectPr w:rsidR="004E60D2" w:rsidRPr="00252134" w:rsidSect="004E60D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4930"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EB4138">
        <w:t>PART</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EB4138">
        <w:t>PART</w:t>
      </w:r>
      <w:r w:rsidRPr="00863BFD">
        <w:t xml:space="preserve">_nameofrespondent. </w:t>
      </w:r>
    </w:p>
    <w:p w14:paraId="115A7ABF" w14:textId="4EDA3A20"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2406B92A" w:rsidR="00C2682A" w:rsidRPr="00104E00" w:rsidRDefault="00AA5DEA" w:rsidP="00104E00">
                <w:pPr>
                  <w:jc w:val="left"/>
                  <w:rPr>
                    <w:rStyle w:val="PlaceholderText"/>
                  </w:rPr>
                </w:pPr>
                <w:r>
                  <w:rPr>
                    <w:rStyle w:val="PlaceholderText"/>
                  </w:rPr>
                  <w:t xml:space="preserve">International Swaps and Derivatives </w:t>
                </w:r>
                <w:proofErr w:type="spellStart"/>
                <w:r>
                  <w:rPr>
                    <w:rStyle w:val="PlaceholderText"/>
                  </w:rPr>
                  <w:t>Assocaition</w:t>
                </w:r>
                <w:proofErr w:type="spellEnd"/>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5DBA4218" w:rsidR="00C2682A" w:rsidRPr="00104E00" w:rsidRDefault="00F10FAA"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Banking sector</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5A3E60E4" w:rsidR="00C2682A" w:rsidRPr="00104E00" w:rsidRDefault="00AA5DEA"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1FCCE915" w:rsidR="00C2682A" w:rsidRPr="00104E00" w:rsidRDefault="00AA5DEA"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3452262D" w:rsidR="00693907" w:rsidRPr="00B15006" w:rsidRDefault="0042141E" w:rsidP="00693907">
      <w:pPr>
        <w:pStyle w:val="Questionstyle"/>
      </w:pPr>
      <w:r w:rsidRPr="0042141E">
        <w:t>Do you agree with the suggested elements with regard to fair and open access and transparency? Should the CCP consider other elements? Please justify your response and provide evidence.</w:t>
      </w:r>
      <w:r w:rsidR="00693907" w:rsidRPr="00B15006">
        <w:t xml:space="preserve">    </w:t>
      </w:r>
    </w:p>
    <w:p w14:paraId="1E634CEC" w14:textId="7C657EC4" w:rsidR="00693907" w:rsidRDefault="00693907" w:rsidP="00693907">
      <w:r>
        <w:t>&lt;ESMA_QUESTION_</w:t>
      </w:r>
      <w:r w:rsidR="004F1A78">
        <w:t>PART</w:t>
      </w:r>
      <w:r>
        <w:t>_1&gt;</w:t>
      </w:r>
    </w:p>
    <w:p w14:paraId="25A5FE1B" w14:textId="77777777" w:rsidR="00EB7549" w:rsidRPr="00C76A89" w:rsidRDefault="00EB7549" w:rsidP="00EB7549">
      <w:pPr>
        <w:rPr>
          <w:rFonts w:cstheme="minorHAnsi"/>
          <w:color w:val="000000"/>
          <w:sz w:val="24"/>
          <w:szCs w:val="24"/>
        </w:rPr>
      </w:pPr>
      <w:r w:rsidRPr="00C76A89">
        <w:rPr>
          <w:rFonts w:cstheme="minorHAnsi"/>
          <w:color w:val="000000"/>
          <w:sz w:val="24"/>
          <w:szCs w:val="24"/>
        </w:rPr>
        <w:t xml:space="preserve">We support the principles of fair and transparent access, as well as clear membership criteria. </w:t>
      </w:r>
    </w:p>
    <w:p w14:paraId="6C12122B" w14:textId="77777777" w:rsidR="00EB7549" w:rsidRPr="00C76A89" w:rsidRDefault="00EB7549" w:rsidP="00EB7549">
      <w:pPr>
        <w:rPr>
          <w:color w:val="000000"/>
          <w:sz w:val="24"/>
          <w:szCs w:val="24"/>
        </w:rPr>
      </w:pPr>
      <w:r w:rsidRPr="00C76A89">
        <w:rPr>
          <w:color w:val="000000" w:themeColor="text1"/>
          <w:sz w:val="24"/>
          <w:szCs w:val="24"/>
        </w:rPr>
        <w:t>We note the requirement for CCPs to conduct a comprehensive assessment, as part of its admission criteria, "</w:t>
      </w:r>
      <w:r w:rsidRPr="00C76A89">
        <w:rPr>
          <w:i/>
          <w:iCs/>
          <w:color w:val="000000" w:themeColor="text1"/>
          <w:sz w:val="24"/>
          <w:szCs w:val="24"/>
        </w:rPr>
        <w:t>commensurate to the scale and nature of the business of the clearing member</w:t>
      </w:r>
      <w:r w:rsidRPr="00C76A89">
        <w:rPr>
          <w:color w:val="000000" w:themeColor="text1"/>
          <w:sz w:val="24"/>
          <w:szCs w:val="24"/>
        </w:rPr>
        <w:t xml:space="preserve">". While some requirements, such as financial resources for margin payments, default fund contributions, and recovery tools, are inherently proportional to the CM's business volume, other aspects—namely risk management capabilities and operational effectiveness—should not be reduced solely based on the size of the CM. There should be clear, proportionate, minimum requirements for these capabilities. But CCPs should also take into account what a CM legitimately may be required to demonstrate, for example, recognising that non-financial counterparties (NFCs) cannot be held to standards that are legally restricted to financial counterparties (FCs) such as access to central bank funds. However, where CCPs provide more flexible admission criteria to NFCs, the CCP should ensure in turn that the membership type that allows NFC access sufficiently mitigates counterparty risks. </w:t>
      </w:r>
    </w:p>
    <w:p w14:paraId="0C4FFCF3" w14:textId="77777777" w:rsidR="00EB7549" w:rsidRPr="00C76A89" w:rsidRDefault="00EB7549" w:rsidP="00EB7549">
      <w:pPr>
        <w:rPr>
          <w:rFonts w:cstheme="minorHAnsi"/>
          <w:color w:val="000000"/>
          <w:sz w:val="24"/>
          <w:szCs w:val="24"/>
        </w:rPr>
      </w:pPr>
      <w:r w:rsidRPr="00C76A89">
        <w:rPr>
          <w:rFonts w:cstheme="minorHAnsi"/>
          <w:color w:val="000000"/>
          <w:sz w:val="24"/>
          <w:szCs w:val="24"/>
        </w:rPr>
        <w:t>All CMs – FCs and NFCs – should be able to participate in the default management process as defined in the rules of the CCP, for the products that they clear.</w:t>
      </w:r>
    </w:p>
    <w:p w14:paraId="73A7BD88" w14:textId="77777777" w:rsidR="00EB7549" w:rsidRPr="00C76A89" w:rsidRDefault="00EB7549" w:rsidP="00EB7549">
      <w:pPr>
        <w:rPr>
          <w:color w:val="000000" w:themeColor="text1"/>
          <w:sz w:val="24"/>
          <w:szCs w:val="24"/>
        </w:rPr>
      </w:pPr>
      <w:r w:rsidRPr="00C76A89">
        <w:rPr>
          <w:color w:val="000000" w:themeColor="text1"/>
          <w:sz w:val="24"/>
          <w:szCs w:val="24"/>
        </w:rPr>
        <w:t xml:space="preserve">When CCPs review whether a CM complies with its participation requirements, CCPs should take into account applicable regulation that the CM complies with and supervision </w:t>
      </w:r>
      <w:r w:rsidRPr="00C76A89">
        <w:rPr>
          <w:color w:val="000000" w:themeColor="text1"/>
          <w:sz w:val="24"/>
          <w:szCs w:val="24"/>
        </w:rPr>
        <w:lastRenderedPageBreak/>
        <w:t>the CM is subject to. For instance, large FC CMs are subject to the CRR and CRD, and the size of a FC is already correlated with the highest level of external supervision, capital and liquidity oversight. In such cases, CCPs should not duplicate the work already done by central banks and supervisors. The focus should be on topics that are not covered by applicable regulation e.g., a large EU credit institution subject to CRR/CRD supervision faces daily supervisory monitoring and various metrics to show capital and liquidity adequacy.</w:t>
      </w:r>
    </w:p>
    <w:p w14:paraId="051F00A6" w14:textId="77777777" w:rsidR="00EB7549" w:rsidRPr="00C76A89" w:rsidRDefault="00EB7549" w:rsidP="00EB7549">
      <w:pPr>
        <w:spacing w:after="200"/>
        <w:rPr>
          <w:rFonts w:cstheme="minorHAnsi"/>
          <w:sz w:val="24"/>
          <w:szCs w:val="24"/>
        </w:rPr>
      </w:pPr>
      <w:r w:rsidRPr="00C76A89">
        <w:rPr>
          <w:rFonts w:cstheme="minorHAnsi"/>
          <w:sz w:val="24"/>
          <w:szCs w:val="24"/>
        </w:rPr>
        <w:t>We would also like to note that the Level 1 text doesn’t clearly allow for admission criteria necessarily to be established by type of product (“</w:t>
      </w:r>
      <w:r w:rsidRPr="00C76A89">
        <w:rPr>
          <w:rFonts w:cstheme="minorHAnsi"/>
          <w:i/>
          <w:iCs/>
          <w:sz w:val="24"/>
          <w:szCs w:val="24"/>
        </w:rPr>
        <w:t>where relevant</w:t>
      </w:r>
      <w:r w:rsidRPr="00C76A89">
        <w:rPr>
          <w:rFonts w:cstheme="minorHAnsi"/>
          <w:sz w:val="24"/>
          <w:szCs w:val="24"/>
        </w:rPr>
        <w:t>” only).</w:t>
      </w:r>
    </w:p>
    <w:p w14:paraId="116885B2" w14:textId="77777777" w:rsidR="00EB7549" w:rsidRDefault="00EB7549" w:rsidP="00EB7549">
      <w:pPr>
        <w:spacing w:after="200"/>
        <w:rPr>
          <w:rFonts w:cstheme="minorHAnsi"/>
          <w:sz w:val="24"/>
          <w:szCs w:val="24"/>
        </w:rPr>
      </w:pPr>
      <w:r w:rsidRPr="00C76A89">
        <w:rPr>
          <w:rFonts w:cstheme="minorHAnsi"/>
          <w:sz w:val="24"/>
          <w:szCs w:val="24"/>
        </w:rPr>
        <w:t>We also believe that CCPs should update their documentation immediately upon changing its admission criteria or rules - the wording “</w:t>
      </w:r>
      <w:r w:rsidRPr="00C76A89">
        <w:rPr>
          <w:rFonts w:cstheme="minorHAnsi"/>
          <w:i/>
          <w:iCs/>
          <w:sz w:val="24"/>
          <w:szCs w:val="24"/>
        </w:rPr>
        <w:t>when it changes</w:t>
      </w:r>
      <w:r w:rsidRPr="00C76A89">
        <w:rPr>
          <w:rFonts w:cstheme="minorHAnsi"/>
          <w:sz w:val="24"/>
          <w:szCs w:val="24"/>
        </w:rPr>
        <w:t>” is too vague.</w:t>
      </w:r>
    </w:p>
    <w:p w14:paraId="7D4640BC" w14:textId="3D1EB77E" w:rsidR="00693907" w:rsidRDefault="00693907" w:rsidP="00693907">
      <w:r>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t>Do you agree with the suggested elements with regard to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35E38393" w14:textId="77777777" w:rsidR="004B0BFF" w:rsidRPr="00C76A89" w:rsidRDefault="004B0BFF" w:rsidP="004B0BFF">
      <w:pPr>
        <w:rPr>
          <w:color w:val="000000" w:themeColor="text1"/>
          <w:sz w:val="24"/>
        </w:rPr>
      </w:pPr>
      <w:r w:rsidRPr="00C76A89">
        <w:rPr>
          <w:color w:val="000000" w:themeColor="text1"/>
          <w:sz w:val="24"/>
          <w:szCs w:val="24"/>
        </w:rPr>
        <w:t>The CCP’s assessment against membership criteria should take into account applicable regulation and supervisory processes and focus on the areas not already covered under other regulations (e.g. CRR/CRD, IFR/IFD, MiFID, EMIR). These frameworks already impose comprehensive requirements on governance, financial soundness, risk-management, operational risk controls, liquidity, segregation, portability and the CM’s responsibilities.</w:t>
      </w:r>
    </w:p>
    <w:p w14:paraId="743B79AA" w14:textId="77777777" w:rsidR="004B0BFF" w:rsidRPr="00C76A89" w:rsidRDefault="004B0BFF" w:rsidP="004B0BFF">
      <w:pPr>
        <w:rPr>
          <w:color w:val="000000"/>
          <w:sz w:val="24"/>
          <w:szCs w:val="24"/>
        </w:rPr>
      </w:pPr>
      <w:r w:rsidRPr="00C76A89">
        <w:rPr>
          <w:color w:val="000000" w:themeColor="text1"/>
          <w:sz w:val="24"/>
          <w:szCs w:val="24"/>
        </w:rPr>
        <w:t>The criteria the CCP uses could be different between asset classes, and might mean that a CCP requires a CM to hold a bank license for clearing OTC derivatives, but not for commodities clearing.</w:t>
      </w:r>
    </w:p>
    <w:p w14:paraId="28B751BD" w14:textId="77777777" w:rsidR="004B0BFF" w:rsidRPr="00C76A89" w:rsidRDefault="004B0BFF" w:rsidP="004B0BFF">
      <w:pPr>
        <w:rPr>
          <w:rFonts w:cstheme="minorHAnsi"/>
          <w:sz w:val="24"/>
          <w:szCs w:val="24"/>
        </w:rPr>
      </w:pPr>
      <w:r w:rsidRPr="00C76A89">
        <w:rPr>
          <w:rFonts w:cstheme="minorHAnsi"/>
          <w:color w:val="000000"/>
          <w:sz w:val="24"/>
          <w:szCs w:val="24"/>
        </w:rPr>
        <w:t>We support the proposed elements and believe the requirements should remain flexible, reflecting the cleared business or any limits set by the CCP on a member’s portfolio. These limits may be based on the CM’s credit assessment.</w:t>
      </w:r>
    </w:p>
    <w:p w14:paraId="1BC7978E" w14:textId="77777777" w:rsidR="004B0BFF" w:rsidRPr="00C76A89" w:rsidRDefault="004B0BFF" w:rsidP="004B0BFF">
      <w:pPr>
        <w:rPr>
          <w:rFonts w:cstheme="minorHAnsi"/>
          <w:sz w:val="24"/>
          <w:szCs w:val="24"/>
        </w:rPr>
      </w:pPr>
      <w:r w:rsidRPr="00C76A89">
        <w:rPr>
          <w:rFonts w:cstheme="minorHAnsi"/>
          <w:color w:val="000000"/>
          <w:sz w:val="24"/>
          <w:szCs w:val="24"/>
        </w:rPr>
        <w:t>An example of this is paragraph 25 b (“</w:t>
      </w:r>
      <w:r w:rsidRPr="00C76A89">
        <w:rPr>
          <w:rFonts w:cstheme="minorHAnsi"/>
          <w:i/>
          <w:iCs/>
          <w:color w:val="000000"/>
          <w:sz w:val="24"/>
          <w:szCs w:val="24"/>
        </w:rPr>
        <w:t>Increase of the risks of the portfolios of the CM</w:t>
      </w:r>
      <w:r w:rsidRPr="00C76A89">
        <w:rPr>
          <w:rFonts w:cstheme="minorHAnsi"/>
          <w:color w:val="000000"/>
          <w:sz w:val="24"/>
          <w:szCs w:val="24"/>
        </w:rPr>
        <w:t>”): When a CM joins a CCP, the extent to which individual risk may change is not always clear. It is within the CCP's discretion to determine how to address this uncertainty. Pos</w:t>
      </w:r>
      <w:r w:rsidRPr="00C76A89">
        <w:rPr>
          <w:rFonts w:cstheme="minorHAnsi"/>
          <w:color w:val="000000"/>
          <w:sz w:val="24"/>
          <w:szCs w:val="24"/>
        </w:rPr>
        <w:lastRenderedPageBreak/>
        <w:t>sible approaches include setting limits or raising margin requirements if the cleared portfolio exceeds a certain threshold (or follows a gliding scale) based on the available resources or equity of the CM.</w:t>
      </w:r>
    </w:p>
    <w:p w14:paraId="456D2494" w14:textId="58428063"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Do you agree with the suggested elements with regard to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75A6F570" w14:textId="77777777" w:rsidR="001A6F3C" w:rsidRPr="00C76A89" w:rsidRDefault="001A6F3C" w:rsidP="001A6F3C">
      <w:pPr>
        <w:spacing w:after="120"/>
        <w:rPr>
          <w:rFonts w:cstheme="minorHAnsi"/>
          <w:bCs/>
          <w:sz w:val="24"/>
          <w:szCs w:val="24"/>
        </w:rPr>
      </w:pPr>
      <w:r w:rsidRPr="00C76A89">
        <w:rPr>
          <w:rFonts w:cstheme="minorHAnsi"/>
          <w:bCs/>
          <w:sz w:val="24"/>
          <w:szCs w:val="24"/>
        </w:rPr>
        <w:t>Sufficient operational capacity and capability is important for a CM.</w:t>
      </w:r>
    </w:p>
    <w:p w14:paraId="2122BDD4" w14:textId="77777777" w:rsidR="001A6F3C" w:rsidRPr="00C76A89" w:rsidRDefault="001A6F3C" w:rsidP="001A6F3C">
      <w:pPr>
        <w:spacing w:after="120"/>
        <w:rPr>
          <w:rFonts w:cstheme="minorHAnsi"/>
          <w:bCs/>
          <w:sz w:val="24"/>
          <w:szCs w:val="24"/>
        </w:rPr>
      </w:pPr>
      <w:r w:rsidRPr="00C76A89">
        <w:rPr>
          <w:rFonts w:cstheme="minorHAnsi"/>
          <w:bCs/>
          <w:sz w:val="24"/>
          <w:szCs w:val="24"/>
        </w:rPr>
        <w:t>We generally agree with the suggested elements, but have comments to some of them:</w:t>
      </w:r>
    </w:p>
    <w:p w14:paraId="4CD93679" w14:textId="77777777" w:rsidR="001A6F3C" w:rsidRPr="00C76A89" w:rsidRDefault="001A6F3C" w:rsidP="001A6F3C">
      <w:pPr>
        <w:rPr>
          <w:rFonts w:cstheme="minorHAnsi"/>
          <w:color w:val="000000"/>
          <w:sz w:val="24"/>
          <w:szCs w:val="24"/>
        </w:rPr>
      </w:pPr>
      <w:r w:rsidRPr="00C76A89">
        <w:rPr>
          <w:color w:val="000000" w:themeColor="text1"/>
          <w:sz w:val="24"/>
        </w:rPr>
        <w:t xml:space="preserve">The CCP’s level of due diligence applied as part of its assessment </w:t>
      </w:r>
      <w:r w:rsidRPr="00C76A89">
        <w:rPr>
          <w:color w:val="000000" w:themeColor="text1"/>
          <w:sz w:val="24"/>
          <w:szCs w:val="24"/>
        </w:rPr>
        <w:t>against membership criteria</w:t>
      </w:r>
      <w:r w:rsidRPr="00C76A89">
        <w:rPr>
          <w:color w:val="000000" w:themeColor="text1"/>
          <w:sz w:val="24"/>
        </w:rPr>
        <w:t xml:space="preserve"> should </w:t>
      </w:r>
      <w:r w:rsidRPr="00C76A89">
        <w:rPr>
          <w:color w:val="000000" w:themeColor="text1"/>
          <w:sz w:val="24"/>
          <w:szCs w:val="24"/>
        </w:rPr>
        <w:t xml:space="preserve">take into account applicable regulation and, wherever possible, seek to avoid duplicative requirements </w:t>
      </w:r>
      <w:r w:rsidRPr="00C76A89">
        <w:rPr>
          <w:rFonts w:cstheme="minorHAnsi"/>
          <w:color w:val="000000"/>
          <w:sz w:val="24"/>
          <w:szCs w:val="24"/>
        </w:rPr>
        <w:t>For instance, being subject to DORA suggests that all these criteria are automatically deemed to be complied with. It would improve efficiency and avoid duplication.</w:t>
      </w:r>
    </w:p>
    <w:p w14:paraId="440B8C3C" w14:textId="77777777" w:rsidR="001A6F3C" w:rsidRPr="00C76A89" w:rsidRDefault="001A6F3C" w:rsidP="001A6F3C">
      <w:pPr>
        <w:rPr>
          <w:rFonts w:cstheme="minorHAnsi"/>
          <w:color w:val="000000"/>
          <w:sz w:val="24"/>
          <w:szCs w:val="24"/>
        </w:rPr>
      </w:pPr>
      <w:r w:rsidRPr="00C76A89">
        <w:rPr>
          <w:rFonts w:cstheme="minorHAnsi"/>
          <w:color w:val="000000"/>
          <w:sz w:val="24"/>
          <w:szCs w:val="24"/>
        </w:rPr>
        <w:t>For non-EU CMs, the CCP may either take into account compliance with a comparable local framework or must independently review operational capacity and risk management. The same could apply to NFC CMs.</w:t>
      </w:r>
    </w:p>
    <w:p w14:paraId="0A0FB031" w14:textId="77777777" w:rsidR="001A6F3C" w:rsidRPr="00C76A89" w:rsidRDefault="001A6F3C" w:rsidP="001A6F3C">
      <w:pPr>
        <w:rPr>
          <w:color w:val="000000"/>
          <w:sz w:val="24"/>
          <w:szCs w:val="24"/>
        </w:rPr>
      </w:pPr>
      <w:r w:rsidRPr="00C76A89">
        <w:rPr>
          <w:color w:val="000000" w:themeColor="text1"/>
          <w:sz w:val="24"/>
          <w:szCs w:val="24"/>
        </w:rPr>
        <w:t>We believe some of the proposals in the consultation are overly intrusive. For example, it is debatable whether the CCP needs to review a CM’s IT change process.</w:t>
      </w:r>
    </w:p>
    <w:p w14:paraId="16E70BD7" w14:textId="77777777" w:rsidR="001A6F3C" w:rsidRPr="00C76A89" w:rsidRDefault="001A6F3C" w:rsidP="001A6F3C">
      <w:pPr>
        <w:rPr>
          <w:rFonts w:cstheme="minorHAnsi"/>
          <w:color w:val="000000"/>
          <w:sz w:val="24"/>
          <w:szCs w:val="24"/>
        </w:rPr>
      </w:pPr>
      <w:r w:rsidRPr="00C76A89">
        <w:rPr>
          <w:rFonts w:cstheme="minorHAnsi"/>
          <w:color w:val="000000"/>
          <w:sz w:val="24"/>
          <w:szCs w:val="24"/>
        </w:rPr>
        <w:t>On paragraph 33, the access to settlement and payment systems required from a prospective CM depends on the type of business they intend to clear. For example, if a CM clears interest rate swaps and chooses to pay initial margin in cash, access to a central securities depository (CSD) is not necessary.</w:t>
      </w:r>
    </w:p>
    <w:p w14:paraId="38BDE7E2" w14:textId="77777777" w:rsidR="001A6F3C" w:rsidRPr="00C76A89" w:rsidRDefault="001A6F3C" w:rsidP="001A6F3C">
      <w:pPr>
        <w:rPr>
          <w:rFonts w:cstheme="minorHAnsi"/>
          <w:sz w:val="24"/>
          <w:szCs w:val="24"/>
        </w:rPr>
      </w:pPr>
      <w:r w:rsidRPr="00C76A89">
        <w:rPr>
          <w:rFonts w:cstheme="minorHAnsi"/>
          <w:color w:val="000000"/>
          <w:sz w:val="24"/>
          <w:szCs w:val="24"/>
        </w:rPr>
        <w:t>Regarding operational risk management and third-party service providers, CMs will likely need to conduct similar due diligence on the CCP. Standardised due diligence templates usable by both parties, containing appropriate optionality, could be beneficial.</w:t>
      </w:r>
    </w:p>
    <w:p w14:paraId="7EF07F00" w14:textId="7FB07346" w:rsidR="00693907" w:rsidRDefault="00693907" w:rsidP="00693907">
      <w:r>
        <w:t>&lt;ESMA_QUESTION_</w:t>
      </w:r>
      <w:r w:rsidR="004F1A78">
        <w:t>PART</w:t>
      </w:r>
      <w:r>
        <w:t>_3&gt;</w:t>
      </w:r>
    </w:p>
    <w:p w14:paraId="6B4516C3" w14:textId="77777777" w:rsidR="00693907" w:rsidRDefault="00693907" w:rsidP="00693907"/>
    <w:p w14:paraId="5487291B" w14:textId="0ABA2BDC" w:rsidR="00693907" w:rsidRPr="007966CD" w:rsidRDefault="00CC2B8D" w:rsidP="00693907">
      <w:pPr>
        <w:pStyle w:val="Questionstyle"/>
      </w:pPr>
      <w:r w:rsidRPr="00CC2B8D">
        <w:lastRenderedPageBreak/>
        <w:t>Do you agree with the suggested elements with regard to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59400301" w14:textId="77777777" w:rsidR="00E57F7C" w:rsidRPr="00C76A89" w:rsidRDefault="00E57F7C" w:rsidP="00E57F7C">
      <w:pPr>
        <w:spacing w:after="120"/>
        <w:rPr>
          <w:rFonts w:cstheme="minorHAnsi"/>
          <w:bCs/>
          <w:sz w:val="24"/>
          <w:szCs w:val="24"/>
        </w:rPr>
      </w:pPr>
      <w:r w:rsidRPr="00C76A89">
        <w:rPr>
          <w:rFonts w:cstheme="minorHAnsi"/>
          <w:bCs/>
          <w:sz w:val="24"/>
          <w:szCs w:val="24"/>
        </w:rPr>
        <w:t>Robust risk management processes are paramount for a CM. We agree with the suggested elements.</w:t>
      </w:r>
    </w:p>
    <w:p w14:paraId="07C01602" w14:textId="77777777" w:rsidR="00E57F7C" w:rsidRPr="00C76A89" w:rsidRDefault="00E57F7C" w:rsidP="00E57F7C">
      <w:pPr>
        <w:rPr>
          <w:rFonts w:cstheme="minorHAnsi"/>
          <w:sz w:val="24"/>
          <w:szCs w:val="24"/>
        </w:rPr>
      </w:pPr>
      <w:r w:rsidRPr="00C76A89">
        <w:rPr>
          <w:rFonts w:cstheme="minorHAnsi"/>
          <w:color w:val="000000"/>
          <w:sz w:val="24"/>
          <w:szCs w:val="24"/>
        </w:rPr>
        <w:t>The risk management framework and risk control systems of CMs should adequately identify, monitor, and manage all risks associated with participation in the CCP, as well as any other risks that could affect such participation.</w:t>
      </w:r>
    </w:p>
    <w:p w14:paraId="6F18F9A1" w14:textId="77777777" w:rsidR="00E57F7C" w:rsidRPr="00C76A89" w:rsidRDefault="00E57F7C" w:rsidP="00E57F7C">
      <w:pPr>
        <w:rPr>
          <w:rFonts w:cstheme="minorHAnsi"/>
          <w:color w:val="000000"/>
          <w:sz w:val="24"/>
          <w:szCs w:val="24"/>
        </w:rPr>
      </w:pPr>
      <w:r w:rsidRPr="00C76A89">
        <w:rPr>
          <w:rFonts w:cstheme="minorHAnsi"/>
          <w:color w:val="000000"/>
          <w:sz w:val="24"/>
          <w:szCs w:val="24"/>
        </w:rPr>
        <w:t xml:space="preserve">We appreciate that the consultation references the default of Einer Aas at Nasdaq Clearing in 2018. This incident highlighted the potential consequences of lacking a dedicated risk management function. We believe that a dedicated and separate risk management function is essential. </w:t>
      </w:r>
    </w:p>
    <w:p w14:paraId="2C2D8A74" w14:textId="77777777" w:rsidR="00E57F7C" w:rsidRPr="00C76A89" w:rsidRDefault="00E57F7C" w:rsidP="00E57F7C">
      <w:pPr>
        <w:rPr>
          <w:rFonts w:cstheme="minorHAnsi"/>
          <w:color w:val="000000"/>
          <w:sz w:val="24"/>
          <w:szCs w:val="24"/>
        </w:rPr>
      </w:pPr>
      <w:r w:rsidRPr="00C76A89">
        <w:rPr>
          <w:rFonts w:cstheme="minorHAnsi"/>
          <w:color w:val="000000"/>
          <w:sz w:val="24"/>
          <w:szCs w:val="24"/>
        </w:rPr>
        <w:t>We believe that especially where the CM is a financial institution, the CM should not be required to at all times provide the CCP access to its risk policies, procedures and ICS and should not be subject to an annual review of such documents by the CCP. These are internal proprietary CM documents that are already heavily audited both internally and externally. A similar observation applies for Article 3 of the draft RTS, which contains the requirements in paragraph 5 to consider a CMs operational risk management and BCM policies and procedures. While it makes sense that CMs must have adequate operational capabilities, the current wording might force CMs to make available their internal policies and procedures to the CCP, which may have to audit these on an annual basis. Many of the requirements envisaged arise under existing EU regulations applicable to authorised financial institutions, including requirements relating to risk management, internal controls, governance and operational resilience. These requirements are already overseen by the CM’s competent authority. Requiring CCPs to obtain, review and effectively assess or audit CMs’ internal risk policies, procedures and internal controls systems would therefore result in duplication of regulatory oversight and could blur the appropriate allocation of responsibilities between CCPs and supervisory authorities.</w:t>
      </w:r>
    </w:p>
    <w:p w14:paraId="6A254C72" w14:textId="77777777" w:rsidR="00E57F7C" w:rsidRPr="00C76A89" w:rsidRDefault="00E57F7C" w:rsidP="00E57F7C">
      <w:pPr>
        <w:rPr>
          <w:rFonts w:cstheme="minorHAnsi"/>
          <w:sz w:val="24"/>
          <w:szCs w:val="24"/>
        </w:rPr>
      </w:pPr>
      <w:r w:rsidRPr="00C76A89">
        <w:rPr>
          <w:rFonts w:cstheme="minorHAnsi"/>
          <w:color w:val="000000"/>
          <w:sz w:val="24"/>
          <w:szCs w:val="24"/>
        </w:rPr>
        <w:t xml:space="preserve">Overall, we believe that the requirements in the draft RTS are very detailed and could make the CCP resemble a regulator of its CMs. CCPs should not be placed in a position where they act as a </w:t>
      </w:r>
      <w:r w:rsidRPr="00C76A89">
        <w:rPr>
          <w:rFonts w:cstheme="minorHAnsi"/>
          <w:i/>
          <w:iCs/>
          <w:color w:val="000000"/>
          <w:sz w:val="24"/>
          <w:szCs w:val="24"/>
        </w:rPr>
        <w:t xml:space="preserve">de </w:t>
      </w:r>
      <w:r w:rsidRPr="00C76A89">
        <w:rPr>
          <w:rFonts w:cstheme="minorHAnsi"/>
          <w:color w:val="000000"/>
          <w:sz w:val="24"/>
          <w:szCs w:val="24"/>
        </w:rPr>
        <w:t>facto regulator or supervisor of their CMs. We propose to change the balance so that CCPs are required to collect information to judge the risk of participation, but not to an extent that they need to audit their members.</w:t>
      </w:r>
    </w:p>
    <w:p w14:paraId="33F2961E" w14:textId="77777777" w:rsidR="00E57F7C" w:rsidRPr="00C76A89" w:rsidRDefault="00E57F7C" w:rsidP="00E57F7C">
      <w:pPr>
        <w:rPr>
          <w:color w:val="000000"/>
          <w:sz w:val="24"/>
        </w:rPr>
      </w:pPr>
      <w:r w:rsidRPr="00C76A89">
        <w:rPr>
          <w:rFonts w:cstheme="minorHAnsi"/>
          <w:color w:val="000000"/>
          <w:sz w:val="24"/>
          <w:szCs w:val="24"/>
        </w:rPr>
        <w:lastRenderedPageBreak/>
        <w:t>The consultation notes that “</w:t>
      </w:r>
      <w:r w:rsidRPr="00C76A89">
        <w:rPr>
          <w:rFonts w:cstheme="minorHAnsi"/>
          <w:i/>
          <w:iCs/>
          <w:color w:val="000000"/>
          <w:sz w:val="24"/>
          <w:szCs w:val="24"/>
        </w:rPr>
        <w:t>The CCP’s rules should reflect all relevant legal obligations of CMs from their participation in the CCP (e.g., under EMIR and CCPRRR)</w:t>
      </w:r>
      <w:r w:rsidRPr="00C76A89">
        <w:rPr>
          <w:rFonts w:cstheme="minorHAnsi"/>
          <w:color w:val="000000"/>
          <w:sz w:val="24"/>
          <w:szCs w:val="24"/>
        </w:rPr>
        <w:t>.” Since EU CMs are already subject to these regulations, repetition in the rulebook is unnecessary. However, it may be advisable to include rules ensuring non-EU CMs are treated equally.</w:t>
      </w:r>
    </w:p>
    <w:p w14:paraId="0AB70AFF" w14:textId="1AFCEF48"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Do you agree with the suggested elements with regard to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4EA1ABFB" w14:textId="77777777" w:rsidR="005C125F" w:rsidRPr="00C76A89" w:rsidRDefault="005C125F" w:rsidP="005C125F">
      <w:pPr>
        <w:rPr>
          <w:rFonts w:cstheme="minorHAnsi"/>
          <w:color w:val="000000"/>
          <w:sz w:val="24"/>
          <w:szCs w:val="24"/>
        </w:rPr>
      </w:pPr>
      <w:r w:rsidRPr="00C76A89">
        <w:rPr>
          <w:rFonts w:cstheme="minorHAnsi"/>
          <w:color w:val="000000"/>
          <w:sz w:val="24"/>
          <w:szCs w:val="24"/>
        </w:rPr>
        <w:t xml:space="preserve">There is general support for increased requirements for CMs that offer clearing services to clients. </w:t>
      </w:r>
    </w:p>
    <w:p w14:paraId="2B4F94D3" w14:textId="77777777" w:rsidR="005C125F" w:rsidRPr="00C76A89" w:rsidRDefault="005C125F" w:rsidP="005C125F">
      <w:pPr>
        <w:rPr>
          <w:color w:val="000000"/>
          <w:sz w:val="24"/>
          <w:szCs w:val="24"/>
        </w:rPr>
      </w:pPr>
      <w:r w:rsidRPr="00C76A89">
        <w:rPr>
          <w:color w:val="000000" w:themeColor="text1"/>
          <w:sz w:val="24"/>
          <w:szCs w:val="24"/>
        </w:rPr>
        <w:t>However, the CCP’s assessment of CMs providing client-clearing services should be strictly limited areas not already covered under other regulations (e.g. CRR/CRD, IFR/IFD, MiFID, EMIR). These frameworks already impose comprehensive requirements on governance, financial soundness, risk-management, operational risk controls, liquidity, segregation, portability and the CM’s responsibilities vis à vis its clients.</w:t>
      </w:r>
    </w:p>
    <w:p w14:paraId="270D37EC" w14:textId="77777777" w:rsidR="005C125F" w:rsidRPr="00C76A89" w:rsidRDefault="005C125F" w:rsidP="005C125F">
      <w:pPr>
        <w:rPr>
          <w:rFonts w:cstheme="minorHAnsi"/>
          <w:color w:val="000000"/>
          <w:sz w:val="24"/>
          <w:szCs w:val="24"/>
        </w:rPr>
      </w:pPr>
      <w:r w:rsidRPr="00C76A89">
        <w:rPr>
          <w:rFonts w:cstheme="minorHAnsi"/>
          <w:color w:val="000000"/>
          <w:sz w:val="24"/>
          <w:szCs w:val="24"/>
        </w:rPr>
        <w:t>To avoid unnecessary duplication, the CCP’s assessment should therefore focus on those elements that are CCP-specific and operational in nature.</w:t>
      </w:r>
    </w:p>
    <w:p w14:paraId="41272756" w14:textId="77777777" w:rsidR="005C125F" w:rsidRPr="00C76A89" w:rsidRDefault="005C125F" w:rsidP="005C125F">
      <w:pPr>
        <w:rPr>
          <w:rFonts w:cstheme="minorHAnsi"/>
          <w:color w:val="000000"/>
          <w:sz w:val="24"/>
          <w:szCs w:val="24"/>
        </w:rPr>
      </w:pPr>
      <w:r w:rsidRPr="00C76A89">
        <w:rPr>
          <w:rFonts w:cstheme="minorHAnsi"/>
          <w:color w:val="000000"/>
          <w:sz w:val="24"/>
          <w:szCs w:val="24"/>
        </w:rPr>
        <w:t xml:space="preserve">In practice, this leaves a narrow set of items: </w:t>
      </w:r>
    </w:p>
    <w:p w14:paraId="161CD67A" w14:textId="77777777" w:rsidR="005C125F" w:rsidRPr="00C76A89" w:rsidRDefault="005C125F" w:rsidP="005C125F">
      <w:pPr>
        <w:pStyle w:val="ListParagraph"/>
        <w:numPr>
          <w:ilvl w:val="0"/>
          <w:numId w:val="37"/>
        </w:numPr>
        <w:spacing w:after="160" w:line="259" w:lineRule="auto"/>
        <w:jc w:val="left"/>
        <w:rPr>
          <w:rFonts w:cstheme="minorHAnsi"/>
          <w:color w:val="000000"/>
          <w:sz w:val="24"/>
          <w:szCs w:val="24"/>
        </w:rPr>
      </w:pPr>
      <w:r w:rsidRPr="00C76A89">
        <w:rPr>
          <w:rFonts w:cstheme="minorHAnsi"/>
          <w:color w:val="000000"/>
          <w:sz w:val="24"/>
          <w:szCs w:val="24"/>
        </w:rPr>
        <w:t>the timeliness, accuracy and format-compatibility of client-level position and collateral data supplied to the CCP,</w:t>
      </w:r>
    </w:p>
    <w:p w14:paraId="6B5CBDB1" w14:textId="77777777" w:rsidR="005C125F" w:rsidRPr="00C76A89" w:rsidRDefault="005C125F" w:rsidP="005C125F">
      <w:pPr>
        <w:pStyle w:val="ListParagraph"/>
        <w:numPr>
          <w:ilvl w:val="0"/>
          <w:numId w:val="37"/>
        </w:numPr>
        <w:spacing w:after="160" w:line="259" w:lineRule="auto"/>
        <w:jc w:val="left"/>
        <w:rPr>
          <w:rFonts w:cstheme="minorHAnsi"/>
          <w:color w:val="000000"/>
          <w:sz w:val="24"/>
          <w:szCs w:val="24"/>
        </w:rPr>
      </w:pPr>
      <w:r w:rsidRPr="00C76A89">
        <w:rPr>
          <w:rFonts w:cstheme="minorHAnsi"/>
          <w:color w:val="000000"/>
          <w:sz w:val="24"/>
          <w:szCs w:val="24"/>
        </w:rPr>
        <w:t>the CM’s technical connectivity and ability to support the CCP’s intraday processes,</w:t>
      </w:r>
    </w:p>
    <w:p w14:paraId="5FE6120E" w14:textId="77777777" w:rsidR="005C125F" w:rsidRPr="00C76A89" w:rsidRDefault="005C125F" w:rsidP="005C125F">
      <w:pPr>
        <w:pStyle w:val="ListParagraph"/>
        <w:numPr>
          <w:ilvl w:val="0"/>
          <w:numId w:val="37"/>
        </w:numPr>
        <w:spacing w:after="160" w:line="259" w:lineRule="auto"/>
        <w:jc w:val="left"/>
        <w:rPr>
          <w:rFonts w:cstheme="minorHAnsi"/>
          <w:color w:val="000000"/>
          <w:sz w:val="24"/>
          <w:szCs w:val="24"/>
        </w:rPr>
      </w:pPr>
      <w:r w:rsidRPr="00C76A89">
        <w:rPr>
          <w:rFonts w:cstheme="minorHAnsi"/>
          <w:color w:val="000000"/>
          <w:sz w:val="24"/>
          <w:szCs w:val="24"/>
        </w:rPr>
        <w:t>the CM’s operational readiness to facilitate portability in accordance with the CCP’s timelines,</w:t>
      </w:r>
    </w:p>
    <w:p w14:paraId="184F8C83" w14:textId="77777777" w:rsidR="005C125F" w:rsidRPr="00C76A89" w:rsidRDefault="005C125F" w:rsidP="005C125F">
      <w:pPr>
        <w:pStyle w:val="ListParagraph"/>
        <w:numPr>
          <w:ilvl w:val="0"/>
          <w:numId w:val="37"/>
        </w:numPr>
        <w:spacing w:after="160" w:line="259" w:lineRule="auto"/>
        <w:jc w:val="left"/>
        <w:rPr>
          <w:rFonts w:cstheme="minorHAnsi"/>
          <w:color w:val="000000"/>
          <w:sz w:val="24"/>
          <w:szCs w:val="24"/>
        </w:rPr>
      </w:pPr>
      <w:r w:rsidRPr="00C76A89">
        <w:rPr>
          <w:rFonts w:cstheme="minorHAnsi"/>
          <w:color w:val="000000"/>
          <w:sz w:val="24"/>
          <w:szCs w:val="24"/>
        </w:rPr>
        <w:t xml:space="preserve">the CM’s capacity to participate in CCP default-management exercises for the products that they clear, including provision of client-level information, </w:t>
      </w:r>
    </w:p>
    <w:p w14:paraId="3ECE46DF" w14:textId="77777777" w:rsidR="005C125F" w:rsidRPr="00C76A89" w:rsidRDefault="005C125F" w:rsidP="005C125F">
      <w:pPr>
        <w:pStyle w:val="ListParagraph"/>
        <w:numPr>
          <w:ilvl w:val="0"/>
          <w:numId w:val="37"/>
        </w:numPr>
        <w:spacing w:after="160" w:line="259" w:lineRule="auto"/>
        <w:jc w:val="left"/>
        <w:rPr>
          <w:rFonts w:cstheme="minorHAnsi"/>
          <w:color w:val="000000"/>
          <w:sz w:val="24"/>
          <w:szCs w:val="24"/>
        </w:rPr>
      </w:pPr>
      <w:r w:rsidRPr="00C76A89">
        <w:rPr>
          <w:rFonts w:cstheme="minorHAnsi"/>
          <w:color w:val="000000"/>
          <w:sz w:val="24"/>
          <w:szCs w:val="24"/>
        </w:rPr>
        <w:t>the CCP-specific concentration or flow-related impact of the CM’s client-clearing business - all other elements in the proposed list are already comprehensively supervised under existing Union legislation and should not be reassessed by CCPs, and</w:t>
      </w:r>
    </w:p>
    <w:p w14:paraId="0A81A538" w14:textId="77777777" w:rsidR="005C125F" w:rsidRPr="00C76A89" w:rsidRDefault="005C125F" w:rsidP="005C125F">
      <w:pPr>
        <w:pStyle w:val="ListParagraph"/>
        <w:numPr>
          <w:ilvl w:val="0"/>
          <w:numId w:val="37"/>
        </w:numPr>
        <w:spacing w:after="160" w:line="259" w:lineRule="auto"/>
        <w:jc w:val="left"/>
        <w:rPr>
          <w:rFonts w:cstheme="minorHAnsi"/>
          <w:color w:val="000000"/>
          <w:sz w:val="24"/>
          <w:szCs w:val="24"/>
        </w:rPr>
      </w:pPr>
      <w:r w:rsidRPr="00C76A89">
        <w:rPr>
          <w:rFonts w:cstheme="minorHAnsi"/>
          <w:color w:val="000000"/>
          <w:sz w:val="24"/>
          <w:szCs w:val="24"/>
        </w:rPr>
        <w:t>if the CCP clears physically deliverable contracts, the CM’s ability to settle these contracts.</w:t>
      </w:r>
    </w:p>
    <w:p w14:paraId="2AABFE68" w14:textId="77777777" w:rsidR="005C125F" w:rsidRPr="00C76A89" w:rsidRDefault="005C125F" w:rsidP="005C125F">
      <w:pPr>
        <w:rPr>
          <w:sz w:val="24"/>
          <w:szCs w:val="24"/>
        </w:rPr>
      </w:pPr>
      <w:r w:rsidRPr="00C76A89">
        <w:rPr>
          <w:color w:val="000000" w:themeColor="text1"/>
          <w:sz w:val="24"/>
          <w:szCs w:val="24"/>
        </w:rPr>
        <w:lastRenderedPageBreak/>
        <w:t>We understand that in line with paragraph 50 of the consultation ESMA believes that client identification may support portability. However, while this may be true for segregated clients, net omnibus accounts are not partially ported, hence, individual client identification by the CCP is not required.</w:t>
      </w:r>
    </w:p>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t>Do you agree with the suggested elements with regard to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7ACA5D8A" w14:textId="77777777" w:rsidR="003877A4" w:rsidRPr="00C76A89" w:rsidRDefault="003877A4" w:rsidP="003877A4">
      <w:pPr>
        <w:spacing w:after="120"/>
        <w:rPr>
          <w:rFonts w:cstheme="minorHAnsi"/>
          <w:bCs/>
          <w:sz w:val="24"/>
          <w:szCs w:val="24"/>
        </w:rPr>
      </w:pPr>
      <w:r w:rsidRPr="00C76A89">
        <w:rPr>
          <w:rFonts w:cstheme="minorHAnsi"/>
          <w:bCs/>
          <w:sz w:val="24"/>
          <w:szCs w:val="24"/>
        </w:rPr>
        <w:t>We welcome that the consultation covers sponsored access models. So far, these haven’t been fully considered in regulation.</w:t>
      </w:r>
    </w:p>
    <w:p w14:paraId="407365CD" w14:textId="77777777" w:rsidR="003877A4" w:rsidRPr="00C76A89" w:rsidRDefault="003877A4" w:rsidP="003877A4">
      <w:pPr>
        <w:rPr>
          <w:rFonts w:cstheme="minorHAnsi"/>
          <w:sz w:val="24"/>
          <w:szCs w:val="24"/>
        </w:rPr>
      </w:pPr>
      <w:r w:rsidRPr="00C76A89">
        <w:rPr>
          <w:rFonts w:cstheme="minorHAnsi"/>
          <w:color w:val="000000"/>
          <w:sz w:val="24"/>
          <w:szCs w:val="24"/>
        </w:rPr>
        <w:t>Sponsored models in Europe entail an elevated risk of loss mutualisation, as clients are largely treated similarly to CMs but do not benefit from a sponsor guarantee. Should a sponsored CM default and the initial margin prove insufficient to cover resulting losses, there is no CM providing a guarantee to the CCP on behalf of the client, leading to any residual loss being mutualised.</w:t>
      </w:r>
    </w:p>
    <w:p w14:paraId="26154E41" w14:textId="77777777" w:rsidR="003877A4" w:rsidRPr="00C76A89" w:rsidRDefault="003877A4" w:rsidP="003877A4">
      <w:pPr>
        <w:rPr>
          <w:rFonts w:cstheme="minorHAnsi"/>
          <w:color w:val="000000"/>
          <w:sz w:val="24"/>
          <w:szCs w:val="24"/>
        </w:rPr>
      </w:pPr>
      <w:r w:rsidRPr="00C76A89">
        <w:rPr>
          <w:rFonts w:cstheme="minorHAnsi"/>
          <w:color w:val="000000"/>
          <w:sz w:val="24"/>
          <w:szCs w:val="24"/>
        </w:rPr>
        <w:t>We believe that the CCP should establish clear minimum requirements for sponsored CMs, where those requirements are not defined yet, which ideally ought to be consistent with those set for self-CMs.</w:t>
      </w:r>
    </w:p>
    <w:p w14:paraId="1A67D2DB" w14:textId="77777777" w:rsidR="003877A4" w:rsidRPr="00C76A89" w:rsidRDefault="003877A4" w:rsidP="003877A4">
      <w:pPr>
        <w:rPr>
          <w:rFonts w:cstheme="minorHAnsi"/>
          <w:color w:val="000000"/>
          <w:sz w:val="24"/>
          <w:szCs w:val="24"/>
        </w:rPr>
      </w:pPr>
      <w:r w:rsidRPr="00C76A89">
        <w:rPr>
          <w:rFonts w:cstheme="minorHAnsi"/>
          <w:color w:val="000000"/>
          <w:sz w:val="24"/>
          <w:szCs w:val="24"/>
        </w:rPr>
        <w:t>We appreciate the proposals calling for the CCP to clearly define the responsibilities of both sponsored CMs and sponsors which reflects the market practice of some CCPs. In cases where certain responsibilities may be fulfilled by either party, it is essential that documentation explicitly outlines who is accountable for each specific duty.</w:t>
      </w:r>
    </w:p>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226C9D71" w14:textId="77777777" w:rsidR="001175DE" w:rsidRPr="00C76A89" w:rsidRDefault="001175DE" w:rsidP="001175DE">
      <w:pPr>
        <w:rPr>
          <w:sz w:val="24"/>
          <w:szCs w:val="24"/>
        </w:rPr>
      </w:pPr>
      <w:r w:rsidRPr="00C76A89">
        <w:rPr>
          <w:color w:val="000000" w:themeColor="text1"/>
          <w:sz w:val="24"/>
          <w:szCs w:val="24"/>
        </w:rPr>
        <w:lastRenderedPageBreak/>
        <w:t>NFCs should not be excluded from becoming CMs solely due to differing registration requirements compared to bank CMs. Amongst other arguments, this goes against the Article 37 of EMIR. However, it is also important that CCPs can assess the risk of different CMs and that not one type of CM introduces additional risk. The requirements outlined in sections 4.1 to 4.6 of the consultation should, in spirit, also apply to NFCs, where applicable or proportionate to their clearing activities. For instance, NFCs are not entitled to clear client business and would not need to comply with requirements for CMs that do clear for clients.</w:t>
      </w:r>
    </w:p>
    <w:p w14:paraId="3BE0BDCF" w14:textId="77777777" w:rsidR="001175DE" w:rsidRPr="00C76A89" w:rsidRDefault="001175DE" w:rsidP="001175DE">
      <w:pPr>
        <w:rPr>
          <w:rFonts w:cstheme="minorHAnsi"/>
          <w:sz w:val="24"/>
          <w:szCs w:val="24"/>
        </w:rPr>
      </w:pPr>
      <w:r w:rsidRPr="00C76A89">
        <w:rPr>
          <w:rFonts w:cstheme="minorHAnsi"/>
          <w:color w:val="000000"/>
          <w:sz w:val="24"/>
          <w:szCs w:val="24"/>
        </w:rPr>
        <w:t>Although NFCs may not meet the same criteria as required for bank CMs, it is important the CCP assess whether they possess proportionally equivalent resources and capabilities in the spirit of the requirements in 4.1 to 4.6. Consequently, a CCP may need to conduct alternative due diligence on NFCs to obtain information that is typically more accessible from FCs. In addition, a CCP cannot rely on the same regulatory oversight for NFCs as it does for banks.</w:t>
      </w:r>
    </w:p>
    <w:p w14:paraId="37DE8C29" w14:textId="77777777" w:rsidR="001175DE" w:rsidRPr="00C76A89" w:rsidRDefault="001175DE" w:rsidP="001175DE">
      <w:pPr>
        <w:rPr>
          <w:rFonts w:cstheme="minorHAnsi"/>
          <w:color w:val="000000"/>
          <w:sz w:val="24"/>
          <w:szCs w:val="24"/>
        </w:rPr>
      </w:pPr>
      <w:r w:rsidRPr="00C76A89">
        <w:rPr>
          <w:rFonts w:cstheme="minorHAnsi"/>
          <w:color w:val="000000"/>
          <w:sz w:val="24"/>
          <w:szCs w:val="24"/>
        </w:rPr>
        <w:t>For example, it is recognised that NFCs do not have the same access to liquidity. Nevertheless, a CCP can conduct appropriate due diligence to verify that the NFC has established adequate and credible liquidity sources to ensure timely servicing of margin calls and compliance with all membership requirements.</w:t>
      </w:r>
    </w:p>
    <w:p w14:paraId="6FB3D230" w14:textId="77777777" w:rsidR="001175DE" w:rsidRPr="00C76A89" w:rsidRDefault="001175DE" w:rsidP="001175DE">
      <w:pPr>
        <w:rPr>
          <w:rFonts w:cstheme="minorHAnsi"/>
          <w:sz w:val="24"/>
          <w:szCs w:val="24"/>
        </w:rPr>
      </w:pPr>
      <w:r w:rsidRPr="00C76A89">
        <w:rPr>
          <w:rFonts w:cstheme="minorHAnsi"/>
          <w:sz w:val="24"/>
          <w:szCs w:val="24"/>
        </w:rPr>
        <w:t xml:space="preserve">Where appropriate, a CCP may provide more restrictive membership types for certain entities to ensure that all CMs can reliably meet their obligations without creating </w:t>
      </w:r>
      <w:r>
        <w:rPr>
          <w:rFonts w:cstheme="minorHAnsi"/>
          <w:sz w:val="24"/>
          <w:szCs w:val="24"/>
        </w:rPr>
        <w:t>additional</w:t>
      </w:r>
      <w:r w:rsidRPr="009B4DFD">
        <w:rPr>
          <w:rFonts w:cstheme="minorHAnsi"/>
          <w:sz w:val="24"/>
          <w:szCs w:val="24"/>
        </w:rPr>
        <w:t xml:space="preserve"> </w:t>
      </w:r>
      <w:r w:rsidRPr="00C76A89">
        <w:rPr>
          <w:rFonts w:cstheme="minorHAnsi"/>
          <w:sz w:val="24"/>
          <w:szCs w:val="24"/>
        </w:rPr>
        <w:t>risk for other participants.</w:t>
      </w:r>
      <w:r w:rsidRPr="00C76A89" w:rsidDel="009B4DFD">
        <w:rPr>
          <w:rFonts w:cstheme="minorHAnsi"/>
          <w:sz w:val="24"/>
          <w:szCs w:val="24"/>
        </w:rPr>
        <w:t xml:space="preserve"> </w:t>
      </w:r>
    </w:p>
    <w:p w14:paraId="60937EB6" w14:textId="77777777" w:rsidR="001175DE" w:rsidRPr="00C76A89" w:rsidRDefault="001175DE" w:rsidP="001175DE">
      <w:pPr>
        <w:rPr>
          <w:rFonts w:cstheme="minorHAnsi"/>
          <w:color w:val="000000"/>
          <w:sz w:val="24"/>
          <w:szCs w:val="24"/>
        </w:rPr>
      </w:pPr>
      <w:r w:rsidRPr="00C76A89">
        <w:rPr>
          <w:rFonts w:cstheme="minorHAnsi"/>
          <w:color w:val="000000"/>
          <w:sz w:val="24"/>
          <w:szCs w:val="24"/>
        </w:rPr>
        <w:t>However, regardless of the flexibility afforded to different entity types, certain minimum organizational requirements must be maintained.</w:t>
      </w:r>
      <w:r>
        <w:rPr>
          <w:rFonts w:cstheme="minorHAnsi"/>
          <w:color w:val="000000"/>
          <w:sz w:val="24"/>
          <w:szCs w:val="24"/>
        </w:rPr>
        <w:t xml:space="preserve"> </w:t>
      </w:r>
      <w:r w:rsidRPr="00C76A89">
        <w:rPr>
          <w:rFonts w:cstheme="minorHAnsi"/>
          <w:color w:val="000000"/>
          <w:sz w:val="24"/>
          <w:szCs w:val="24"/>
        </w:rPr>
        <w:t>Individuals should not be eligible to become CMs, primarily because they lack a separate risk function by definition.</w:t>
      </w:r>
    </w:p>
    <w:p w14:paraId="1570EEF3" w14:textId="7E76D939" w:rsidR="001175DE" w:rsidRPr="00C76A89" w:rsidRDefault="001175DE" w:rsidP="001175DE">
      <w:pPr>
        <w:rPr>
          <w:rFonts w:cstheme="minorHAnsi"/>
          <w:sz w:val="24"/>
          <w:szCs w:val="24"/>
        </w:rPr>
      </w:pPr>
      <w:r w:rsidRPr="00C76A89">
        <w:rPr>
          <w:rFonts w:cstheme="minorHAnsi"/>
          <w:sz w:val="24"/>
          <w:szCs w:val="24"/>
        </w:rPr>
        <w:t xml:space="preserve">We generally agree with the need for safeguards relating to reliable access to liquidity for FCs and NFCs and consider them fundamental to maintaining the financial soundness of the clearing system.   Any failure by any CM to meet its obligations will ultimately be mutualised across the CCP waterfall and absorbed by other CMs. Although many NFCs may not have such ready access to liquidity, it must be recognised that some NFCs, such as Commodity traders, generally have extensive assets underlying their hedging activities, being cleared through their CCP, greatly reducing the risk. The availability of a broader range of eligible collateral for certain NFCs (such as uncollateralised bank guarantees) could assist such entities in their ability to meet intraday and potentially large margin calls and effectively manage their liquidity without having to liquidate positions in order to do so. However, as the energy crisis showed, even with a narrower range of eligible collateral </w:t>
      </w:r>
      <w:r w:rsidRPr="00C76A89">
        <w:rPr>
          <w:rFonts w:cstheme="minorHAnsi"/>
          <w:sz w:val="24"/>
          <w:szCs w:val="24"/>
        </w:rPr>
        <w:lastRenderedPageBreak/>
        <w:t>NFCs were able to manage their liquidity, in many cases by reducing their on-exchange positions and relying on other bilateral credit facilities.</w:t>
      </w:r>
    </w:p>
    <w:p w14:paraId="288BAA29" w14:textId="77777777" w:rsidR="001175DE" w:rsidRPr="00C76A89" w:rsidRDefault="001175DE" w:rsidP="001175DE">
      <w:pPr>
        <w:rPr>
          <w:rFonts w:cstheme="minorHAnsi"/>
          <w:sz w:val="24"/>
          <w:szCs w:val="24"/>
        </w:rPr>
      </w:pPr>
      <w:r w:rsidRPr="00C76A89">
        <w:rPr>
          <w:rFonts w:cstheme="minorHAnsi"/>
          <w:sz w:val="24"/>
          <w:szCs w:val="24"/>
        </w:rPr>
        <w:t>Against this background, we agree that CCPs should maintain appropriate safeguards, but these safeguards must be proportionate to the nature and scale of the CM’s activity. What matters is the outcome: admission criteria should ensure that no individual entity introduce undue risk to the CCP or the broader clearing ecosystem. Some entities operate under different regulatory frameworks, but the risk mitigation outcome must be functionally equivalent. CCPs should therefore have the flexibility to apply appropriately calibrated safeguards that achieve the same substantive result - ensuring that all CMs, regardless of type, can reliably meet their obligations without creating disproportionate mutualisation risk for other participants.</w:t>
      </w:r>
    </w:p>
    <w:p w14:paraId="1781546E" w14:textId="77777777" w:rsidR="005E77FD" w:rsidRDefault="001175DE" w:rsidP="001175DE">
      <w:pPr>
        <w:rPr>
          <w:rFonts w:cstheme="minorHAnsi"/>
          <w:sz w:val="24"/>
          <w:szCs w:val="24"/>
        </w:rPr>
      </w:pPr>
      <w:r w:rsidRPr="00C76A89">
        <w:rPr>
          <w:rFonts w:cstheme="minorHAnsi"/>
          <w:sz w:val="24"/>
          <w:szCs w:val="24"/>
        </w:rPr>
        <w:t>CCPs already can assess an NFC’s capacity to meet potential margin calls, evaluate the suitability of the collateral it proposes to post, and ensure that CMs have adequate pre-funded resources and operational arrangements to support their positions.</w:t>
      </w:r>
    </w:p>
    <w:p w14:paraId="5B1E788E" w14:textId="20A2902A" w:rsidR="00693907" w:rsidRDefault="00693907" w:rsidP="001175DE">
      <w:r>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3EC3B95C" w14:textId="77777777" w:rsidR="00711DC3" w:rsidRPr="00C76A89" w:rsidRDefault="00711DC3" w:rsidP="00711DC3">
      <w:pPr>
        <w:spacing w:after="120"/>
        <w:rPr>
          <w:rFonts w:cstheme="minorHAnsi"/>
          <w:bCs/>
          <w:sz w:val="24"/>
          <w:szCs w:val="24"/>
        </w:rPr>
      </w:pPr>
      <w:r w:rsidRPr="00C76A89">
        <w:rPr>
          <w:rFonts w:cstheme="minorHAnsi"/>
          <w:bCs/>
          <w:sz w:val="24"/>
          <w:szCs w:val="24"/>
        </w:rPr>
        <w:t xml:space="preserve">Overall, we support the principle of alternative elements but emphasise that they must be equivalent to the criteria in 4.1 to 4.6, to avoid that the </w:t>
      </w:r>
      <w:r w:rsidRPr="00C76A89">
        <w:rPr>
          <w:rFonts w:cstheme="minorHAnsi"/>
          <w:sz w:val="24"/>
          <w:szCs w:val="24"/>
        </w:rPr>
        <w:t>failure by any CM to meet its obligations is mutualised across the CCP waterfall and absorbed by other CMs.</w:t>
      </w:r>
    </w:p>
    <w:p w14:paraId="75AAE299" w14:textId="77777777" w:rsidR="00711DC3" w:rsidRPr="00C76A89" w:rsidRDefault="00711DC3" w:rsidP="00711DC3">
      <w:pPr>
        <w:spacing w:after="120"/>
        <w:rPr>
          <w:rFonts w:cstheme="minorHAnsi"/>
          <w:bCs/>
          <w:sz w:val="24"/>
          <w:szCs w:val="24"/>
        </w:rPr>
      </w:pPr>
      <w:r w:rsidRPr="00C76A89">
        <w:rPr>
          <w:rFonts w:cstheme="minorHAnsi"/>
          <w:bCs/>
          <w:sz w:val="24"/>
          <w:szCs w:val="24"/>
        </w:rPr>
        <w:t>Rather than requiring NFCs to meet identical standards as credit institutions or investment firms, CCPs should focus on achieving equivalent outcomes through appropriately tailored assessments. CCPs should conduct a robust evaluation of any prospective CM in line with the criteria defined 4.1 to 4.6, recognising that NFCs may demonstrate compliance through different means than FCs. This should include an evaluation of the firm’s financial soundness, the purpose and nature of its clearing activity, and the characteristics of any underlying assets or exposures. CCPs should also be able to require proportionate organisational, operational, and risk-management controls that, while potentially different in form from those applicable to FCs, achieve the same substantive outcome: ensuring that the prospective CM can meet its obligations and support the safe and orderly functioning of the CCP.</w:t>
      </w:r>
    </w:p>
    <w:p w14:paraId="37C4022A" w14:textId="77777777" w:rsidR="00711DC3" w:rsidRPr="00C76A89" w:rsidRDefault="00711DC3" w:rsidP="00711DC3">
      <w:pPr>
        <w:spacing w:after="120"/>
        <w:rPr>
          <w:rFonts w:cstheme="minorHAnsi"/>
          <w:bCs/>
          <w:sz w:val="24"/>
          <w:szCs w:val="24"/>
        </w:rPr>
      </w:pPr>
      <w:r w:rsidRPr="00C76A89">
        <w:rPr>
          <w:sz w:val="24"/>
          <w:szCs w:val="24"/>
        </w:rPr>
        <w:lastRenderedPageBreak/>
        <w:t xml:space="preserve">We note that allowing NFCs to self-clear, where appropriate, may provide benefits to the system. Subject to careful examination by CCPs against their admission criteria, participation of NFCs may provide certain benefits: it broadens the CM base used to mutualise losses, increases the amount of actual margin held at the CCP (as opposed to the net client margin posted by financial intermediaries), and materially reduces the concentration risk highlighted by ESMA and others arising from clearing activity being concentrated in a small number of large CMs. It also reduces the risk that client positions need to be ported in the event of a CM default. This is a source of increased resilience, given the challenges associated with porting of client positions. On the other hand, CMs guarantee the performance of their clients to the CCP, mitigating the risk that losses above the margin posted by a CM have to be mutualised between other CMs. </w:t>
      </w:r>
    </w:p>
    <w:p w14:paraId="78965C60" w14:textId="77777777" w:rsidR="00711DC3" w:rsidRDefault="00711DC3" w:rsidP="00711DC3">
      <w:pPr>
        <w:rPr>
          <w:rFonts w:cstheme="minorHAnsi"/>
          <w:bCs/>
          <w:sz w:val="24"/>
          <w:szCs w:val="24"/>
        </w:rPr>
      </w:pPr>
      <w:r w:rsidRPr="00C76A89">
        <w:rPr>
          <w:rFonts w:cstheme="minorHAnsi"/>
          <w:bCs/>
          <w:sz w:val="24"/>
          <w:szCs w:val="24"/>
        </w:rPr>
        <w:t>Finally, we would like to emphasise the importance of clear and phased implementation timelines. Introducing the proposed reforms through a single “big bang” transition would present significant operational and contractual challenges for CCPs and CMs.  Insufficient lead time could leave NFC CMs in a position where they are compelled to seek alternative clearing arrangements on very short notice or unwind positions prematurely. Either outcome would create unnecessary disruption and could have broader adverse effects on market functioning and stability. In a similar fashion, CMs also require adequate lead time to adapt their organisational frameworks, operational procedures, risk models, and legal agreements to meet amended standards. Abrupt implementation or retrospective enforcement of fresh criteria could trigger unintended market instability, avoidable member exits, or increased concentration of clearing services among a small group of CMs. Consequently, ESMA's implementation strategy should promote market certainty, prevent procyclical effects, and facilitate an orderly transition for all market participants.</w:t>
      </w:r>
    </w:p>
    <w:p w14:paraId="11DE980E" w14:textId="66341F01" w:rsidR="00693907" w:rsidRDefault="00693907" w:rsidP="00711DC3">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1A04" w14:textId="77777777" w:rsidR="004B1478" w:rsidRDefault="004B1478" w:rsidP="00F716D4">
      <w:r>
        <w:separator/>
      </w:r>
    </w:p>
    <w:p w14:paraId="54DFCE23" w14:textId="77777777" w:rsidR="004B1478" w:rsidRDefault="004B1478" w:rsidP="00F716D4"/>
  </w:endnote>
  <w:endnote w:type="continuationSeparator" w:id="0">
    <w:p w14:paraId="34DF238C" w14:textId="77777777" w:rsidR="004B1478" w:rsidRDefault="004B1478" w:rsidP="00F716D4">
      <w:r>
        <w:continuationSeparator/>
      </w:r>
    </w:p>
    <w:p w14:paraId="6F637F68" w14:textId="77777777" w:rsidR="004B1478" w:rsidRDefault="004B1478" w:rsidP="00F716D4"/>
  </w:endnote>
  <w:endnote w:type="continuationNotice" w:id="1">
    <w:p w14:paraId="5D918D7F" w14:textId="77777777" w:rsidR="004B1478" w:rsidRDefault="004B147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77777777" w:rsidR="00C34FE2" w:rsidRDefault="00C3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FCBC" w14:textId="77777777" w:rsidR="004B1478" w:rsidRDefault="004B1478" w:rsidP="00F716D4">
      <w:r>
        <w:separator/>
      </w:r>
    </w:p>
    <w:p w14:paraId="7C0EB9B2" w14:textId="77777777" w:rsidR="004B1478" w:rsidRDefault="004B1478" w:rsidP="00F716D4"/>
  </w:footnote>
  <w:footnote w:type="continuationSeparator" w:id="0">
    <w:p w14:paraId="27836792" w14:textId="77777777" w:rsidR="004B1478" w:rsidRDefault="004B1478" w:rsidP="00F716D4">
      <w:r>
        <w:continuationSeparator/>
      </w:r>
    </w:p>
    <w:p w14:paraId="7729231A" w14:textId="77777777" w:rsidR="004B1478" w:rsidRDefault="004B1478" w:rsidP="00F716D4"/>
  </w:footnote>
  <w:footnote w:type="continuationNotice" w:id="1">
    <w:p w14:paraId="7DCC19A7" w14:textId="77777777" w:rsidR="004B1478" w:rsidRDefault="004B1478"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5FD7" w14:textId="77777777" w:rsidR="00C34FE2" w:rsidRDefault="00C3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94074"/>
    <w:multiLevelType w:val="hybridMultilevel"/>
    <w:tmpl w:val="10944E38"/>
    <w:lvl w:ilvl="0" w:tplc="BA444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8"/>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6"/>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90679367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D2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5DE"/>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3C"/>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7A4"/>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BFF"/>
    <w:rsid w:val="004B0F1C"/>
    <w:rsid w:val="004B1478"/>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25F"/>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E77FD"/>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1DC3"/>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A8B"/>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DEA"/>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7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100"/>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B7549"/>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0FAA"/>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85af06c-f757-4c41-af11-9fd890ae6138" xsi:nil="true"/>
    <SharedWithUsers xmlns="785af06c-f757-4c41-af11-9fd890ae6138">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d0bcca81-78d5-471c-8c60-f25a2971c9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8F880AA0C7834E811FDDE8FEF426AF" ma:contentTypeVersion="16" ma:contentTypeDescription="Create a new document." ma:contentTypeScope="" ma:versionID="b6189e5b20695c399a4ce2708b6be5e3">
  <xsd:schema xmlns:xsd="http://www.w3.org/2001/XMLSchema" xmlns:xs="http://www.w3.org/2001/XMLSchema" xmlns:p="http://schemas.microsoft.com/office/2006/metadata/properties" xmlns:ns2="d0bcca81-78d5-471c-8c60-f25a2971c91b" xmlns:ns3="785af06c-f757-4c41-af11-9fd890ae6138" targetNamespace="http://schemas.microsoft.com/office/2006/metadata/properties" ma:root="true" ma:fieldsID="0ca31bfae6759adeb4c330b5ee264895" ns2:_="" ns3:_="">
    <xsd:import namespace="d0bcca81-78d5-471c-8c60-f25a2971c91b"/>
    <xsd:import namespace="785af06c-f757-4c41-af11-9fd890ae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cca81-78d5-471c-8c60-f25a2971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45ece8-0e9f-4286-ad44-c4403c44d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af06c-f757-4c41-af11-9fd890ae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943ba2-99d6-4daf-8a30-3d947963d409}" ma:internalName="TaxCatchAll" ma:showField="CatchAllData" ma:web="785af06c-f757-4c41-af11-9fd890ae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785af06c-f757-4c41-af11-9fd890ae6138"/>
    <ds:schemaRef ds:uri="d0bcca81-78d5-471c-8c60-f25a2971c91b"/>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AC42484E-8689-417A-A6F3-9DC5AEE4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cca81-78d5-471c-8c60-f25a2971c91b"/>
    <ds:schemaRef ds:uri="785af06c-f757-4c41-af11-9fd890ae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3405</Words>
  <Characters>19311</Characters>
  <Application>Microsoft Office Word</Application>
  <DocSecurity>0</DocSecurity>
  <Lines>311</Lines>
  <Paragraphs>78</Paragraphs>
  <ScaleCrop>false</ScaleCrop>
  <Company>ESMA</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Ulrich Karl</cp:lastModifiedBy>
  <cp:revision>15</cp:revision>
  <cp:lastPrinted>2015-02-18T20:01:00Z</cp:lastPrinted>
  <dcterms:created xsi:type="dcterms:W3CDTF">2025-10-09T13:36:00Z</dcterms:created>
  <dcterms:modified xsi:type="dcterms:W3CDTF">2025-12-24T10:26:00Z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0x010100988F880AA0C7834E811FDDE8FEF426AF</vt:lpwstr>
  </property>
  <property fmtid="{D5CDD505-2E9C-101B-9397-08002B2CF9AE}" pid="3" name="_dlc_DocIdItemGuid">
    <vt:lpwstr>0aa9a312-a318-40a8-8057-8b3250272324</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606;#Participation requirements|018c9db9-b83f-494a-9356-2d7b5cc90d25</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ies>
</file>