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2D6C7C21" w:rsidR="00C2682A" w:rsidRPr="00104E00" w:rsidRDefault="000B35F1" w:rsidP="00104E00">
                <w:pPr>
                  <w:jc w:val="left"/>
                  <w:rPr>
                    <w:rStyle w:val="PlaceholderText"/>
                  </w:rPr>
                </w:pPr>
                <w:r>
                  <w:rPr>
                    <w:rStyle w:val="PlaceholderText"/>
                  </w:rPr>
                  <w:t>EuropeanIssuers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226DBD66"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B35F1">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7007EA2B" w:rsidR="00C2682A" w:rsidRPr="00104E00" w:rsidRDefault="000B35F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66C4DDFB" w:rsidR="00C2682A" w:rsidRPr="00104E00" w:rsidRDefault="000B35F1"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628AAE1C" w14:textId="77777777" w:rsidR="00693907" w:rsidRDefault="00693907" w:rsidP="00693907">
      <w:permStart w:id="910108688" w:edGrp="everyone"/>
      <w:r>
        <w:t>TYPE YOUR TEXT HERE</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03F8F11F" w14:textId="77777777" w:rsidR="000B35F1" w:rsidRDefault="000B35F1" w:rsidP="000B35F1">
      <w:pPr>
        <w:spacing w:after="160"/>
      </w:pPr>
      <w:r w:rsidRPr="00BC217C">
        <w:t>EI generally support recommendations included in BIS, OICV-IOSCO report on Transparency and responsiveness of initial margin in cleared markets.</w:t>
      </w:r>
    </w:p>
    <w:p w14:paraId="0046E3DE" w14:textId="77777777" w:rsidR="000B35F1" w:rsidRPr="00BC217C" w:rsidRDefault="000B35F1" w:rsidP="000B35F1">
      <w:pPr>
        <w:spacing w:after="160"/>
      </w:pPr>
      <w:r w:rsidRPr="00BC217C">
        <w:t xml:space="preserve">Clearing activities requested to </w:t>
      </w:r>
      <w:r>
        <w:t>Direct &amp; Indirect F</w:t>
      </w:r>
      <w:r w:rsidRPr="00BC217C">
        <w:t xml:space="preserve">inal </w:t>
      </w:r>
      <w:r>
        <w:t>C</w:t>
      </w:r>
      <w:r w:rsidRPr="00BC217C">
        <w:t>lients</w:t>
      </w:r>
      <w:r>
        <w:t xml:space="preserve"> (DIFCs)</w:t>
      </w:r>
      <w:r w:rsidRPr="00BC217C">
        <w:t xml:space="preserve"> require high level of risk management discipline and significant amount of liquidity. The liquidity risk entailed in margin call mechanism is relevant and can affect seriously the financial exposure of </w:t>
      </w:r>
      <w:r>
        <w:t>DIFCs</w:t>
      </w:r>
      <w:r w:rsidRPr="00BC217C">
        <w:t xml:space="preserve"> and ultimately it can cause defaults. Hence </w:t>
      </w:r>
      <w:r>
        <w:t>DIFCs</w:t>
      </w:r>
      <w:r w:rsidRPr="00BC217C">
        <w:t>’ preparedness and capability of predicting margin calls is essential for the security of market infrastructure itself.</w:t>
      </w:r>
    </w:p>
    <w:p w14:paraId="3AA07891" w14:textId="77777777" w:rsidR="000B35F1" w:rsidRDefault="000B35F1" w:rsidP="000B35F1">
      <w:pPr>
        <w:spacing w:after="160"/>
      </w:pPr>
      <w:r w:rsidRPr="00BC217C">
        <w:t xml:space="preserve">As a consequence information and simulation tools should be standardised, </w:t>
      </w:r>
      <w:r w:rsidRPr="005C3946">
        <w:rPr>
          <w:b/>
          <w:bCs/>
          <w:u w:val="single"/>
        </w:rPr>
        <w:t>disclosed and made fully available by CCPs not only to CSPs but also to DIFCs, eventually via their CSP</w:t>
      </w:r>
      <w:r>
        <w:t xml:space="preserve"> </w:t>
      </w:r>
      <w:r w:rsidRPr="00BC217C">
        <w:t xml:space="preserve">, since </w:t>
      </w:r>
      <w:r w:rsidRPr="00BC217C">
        <w:lastRenderedPageBreak/>
        <w:t>methodologies required to allow propter risk management should not constitute a matter of competition among CCPs and/or Clearing Members to win new clients, but rather shared and continuously improved by all market participants in view of the reduction of potential defaults caused by excessive margin calls and of systemic risk.</w:t>
      </w:r>
    </w:p>
    <w:p w14:paraId="393E2001" w14:textId="77777777" w:rsidR="000B35F1" w:rsidRDefault="000B35F1" w:rsidP="000B35F1">
      <w:pPr>
        <w:spacing w:after="160"/>
      </w:pPr>
      <w:r w:rsidRPr="00883059">
        <w:t xml:space="preserve">In term of transparency and FCs awareness </w:t>
      </w:r>
      <w:r w:rsidRPr="00883059">
        <w:rPr>
          <w:b/>
          <w:bCs/>
          <w:u w:val="single"/>
        </w:rPr>
        <w:t>most problems arise because C</w:t>
      </w:r>
      <w:r>
        <w:rPr>
          <w:b/>
          <w:bCs/>
          <w:u w:val="single"/>
        </w:rPr>
        <w:t>SP</w:t>
      </w:r>
      <w:r w:rsidRPr="00883059">
        <w:rPr>
          <w:b/>
          <w:bCs/>
          <w:u w:val="single"/>
        </w:rPr>
        <w:t>s might use proprietary assumptions and simulation tools different from the ones used by CCPs and by other C</w:t>
      </w:r>
      <w:r>
        <w:rPr>
          <w:b/>
          <w:bCs/>
          <w:u w:val="single"/>
        </w:rPr>
        <w:t>SP</w:t>
      </w:r>
      <w:r w:rsidRPr="00883059">
        <w:rPr>
          <w:b/>
          <w:bCs/>
          <w:u w:val="single"/>
        </w:rPr>
        <w:t>s</w:t>
      </w:r>
      <w:r w:rsidRPr="00883059">
        <w:t xml:space="preserve">: such proprietary information and tools are affecting </w:t>
      </w:r>
      <w:r>
        <w:t>CSP</w:t>
      </w:r>
      <w:r w:rsidRPr="00883059">
        <w:t xml:space="preserve">s risk quantifications and, ultimately, their pricing to </w:t>
      </w:r>
      <w:r>
        <w:t>DI</w:t>
      </w:r>
      <w:r w:rsidRPr="00883059">
        <w:t xml:space="preserve">FCs and therefore they become sensitive. But competing on pricing of the risks connected to </w:t>
      </w:r>
      <w:r>
        <w:t>DI</w:t>
      </w:r>
      <w:r w:rsidRPr="00883059">
        <w:t xml:space="preserve">FCs clearing activities is inherently wrong, because the pressure for reducing fees to win more </w:t>
      </w:r>
      <w:r>
        <w:t>DI</w:t>
      </w:r>
      <w:r w:rsidRPr="00883059">
        <w:t>FCs might lead some C</w:t>
      </w:r>
      <w:r>
        <w:t>SP</w:t>
      </w:r>
      <w:r w:rsidRPr="00883059">
        <w:t xml:space="preserve">s to underestimate risks, jeopardising the whole CCP stability. CCPs and </w:t>
      </w:r>
      <w:r>
        <w:t>CSP</w:t>
      </w:r>
      <w:r w:rsidRPr="00883059">
        <w:t xml:space="preserve">s should rather collaborate to develop and standardise reliable simulation tools and risk management assumptions (including specific add-ons) to be </w:t>
      </w:r>
      <w:r>
        <w:t xml:space="preserve">fully </w:t>
      </w:r>
      <w:r w:rsidRPr="00883059">
        <w:t xml:space="preserve">disclosed to </w:t>
      </w:r>
      <w:r>
        <w:t>DI</w:t>
      </w:r>
      <w:r w:rsidRPr="00883059">
        <w:t xml:space="preserve">FCs and Regulators: </w:t>
      </w:r>
      <w:r w:rsidRPr="00883059">
        <w:rPr>
          <w:b/>
          <w:bCs/>
          <w:u w:val="single"/>
        </w:rPr>
        <w:t xml:space="preserve">it would be desirable that at least at CCP level one single official </w:t>
      </w:r>
      <w:r>
        <w:rPr>
          <w:b/>
          <w:bCs/>
          <w:u w:val="single"/>
        </w:rPr>
        <w:t xml:space="preserve">and standard </w:t>
      </w:r>
      <w:r w:rsidRPr="00883059">
        <w:rPr>
          <w:b/>
          <w:bCs/>
          <w:u w:val="single"/>
        </w:rPr>
        <w:t xml:space="preserve">simulation tool exists and is made available to </w:t>
      </w:r>
      <w:r>
        <w:rPr>
          <w:b/>
          <w:bCs/>
          <w:u w:val="single"/>
        </w:rPr>
        <w:t>CSPs, DI</w:t>
      </w:r>
      <w:r w:rsidRPr="00883059">
        <w:rPr>
          <w:b/>
          <w:bCs/>
          <w:u w:val="single"/>
        </w:rPr>
        <w:t>FCs and Regulators alongside with proper documentation and training upon request</w:t>
      </w:r>
      <w:r w:rsidRPr="00883059">
        <w:t>.</w:t>
      </w:r>
    </w:p>
    <w:p w14:paraId="1F5E999C" w14:textId="77777777" w:rsidR="000B35F1" w:rsidRPr="00883059" w:rsidRDefault="000B35F1" w:rsidP="000B35F1">
      <w:pPr>
        <w:spacing w:after="160"/>
      </w:pPr>
      <w:r w:rsidRPr="00883059">
        <w:t>Regulators should encourage CCPs to share best practices and simulation tools</w:t>
      </w:r>
      <w:r>
        <w:t>,</w:t>
      </w:r>
      <w:r w:rsidRPr="00883059">
        <w:t xml:space="preserve"> </w:t>
      </w:r>
      <w:proofErr w:type="gramStart"/>
      <w:r w:rsidRPr="00883059">
        <w:t>in order to</w:t>
      </w:r>
      <w:proofErr w:type="gramEnd"/>
      <w:r w:rsidRPr="00883059">
        <w:t xml:space="preserve"> harmonize as much as </w:t>
      </w:r>
      <w:proofErr w:type="gramStart"/>
      <w:r w:rsidRPr="00883059">
        <w:t>possible</w:t>
      </w:r>
      <w:proofErr w:type="gramEnd"/>
      <w:r w:rsidRPr="00883059">
        <w:t xml:space="preserve"> the fair evaluation and quantification of systemic risk at financial market level. </w:t>
      </w:r>
      <w:r>
        <w:t>CSP</w:t>
      </w:r>
      <w:r w:rsidRPr="00883059">
        <w:t xml:space="preserve">s willing to use proprietary information and models should be allowed to do so, but this should not affect the pricing of the risk components attached to </w:t>
      </w:r>
      <w:r>
        <w:t>DI</w:t>
      </w:r>
      <w:r w:rsidRPr="00883059">
        <w:t xml:space="preserve">FCs clearing activity, that should be standardised at CCP level. </w:t>
      </w:r>
      <w:r>
        <w:t>F</w:t>
      </w:r>
      <w:r w:rsidRPr="00883059">
        <w:t xml:space="preserve">or the </w:t>
      </w:r>
      <w:r>
        <w:t>safety of</w:t>
      </w:r>
      <w:r w:rsidRPr="00883059">
        <w:t xml:space="preserve"> financial markets</w:t>
      </w:r>
      <w:r>
        <w:t xml:space="preserve"> c</w:t>
      </w:r>
      <w:r w:rsidRPr="00883059">
        <w:t>ompetition should be fostered on providing clearing services and not on assessing and quantifying risk.</w:t>
      </w:r>
    </w:p>
    <w:p w14:paraId="70A490EA" w14:textId="3E34A05D" w:rsidR="000B35F1" w:rsidRPr="000B35F1" w:rsidRDefault="000B35F1" w:rsidP="000B35F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363E0DD9" w14:textId="77777777" w:rsidR="000B35F1" w:rsidRPr="000B35F1" w:rsidRDefault="000B35F1" w:rsidP="000B35F1">
      <w:r w:rsidRPr="000B35F1">
        <w:t>EuropeanIssuers agrees with ESMA’s proposal that CCPs make all relevant documentation available in a clear and comprehensive manner. It is important that full transparency and consistent disclosure are guaranteed through all the chain from CCPs to Clearing Members (CMs), to Clearing Services Providers (CSPs) and finally to Direct &amp; Indirect Final Clients (DIFCs) and, given the specific technical skills required, training opportunities and materials should be available upon request, as well. Most important points about documentation are:</w:t>
      </w:r>
    </w:p>
    <w:p w14:paraId="05A60AB6" w14:textId="77777777" w:rsidR="000B35F1" w:rsidRPr="000B35F1" w:rsidRDefault="000B35F1" w:rsidP="000B35F1">
      <w:pPr>
        <w:numPr>
          <w:ilvl w:val="0"/>
          <w:numId w:val="37"/>
        </w:numPr>
      </w:pPr>
      <w:r w:rsidRPr="000B35F1">
        <w:t>Standardisation: ESMA should promote disclosure standardization across CCPs to ensure comparability and reduce interpretative differences.</w:t>
      </w:r>
    </w:p>
    <w:p w14:paraId="4DF5A987" w14:textId="77777777" w:rsidR="000B35F1" w:rsidRPr="000B35F1" w:rsidRDefault="000B35F1" w:rsidP="000B35F1">
      <w:pPr>
        <w:numPr>
          <w:ilvl w:val="0"/>
          <w:numId w:val="37"/>
        </w:numPr>
      </w:pPr>
      <w:r w:rsidRPr="000B35F1">
        <w:lastRenderedPageBreak/>
        <w:t>Final clients’ access and full transparency: Disclosures and documentation should not only be available to CMs and CSPs, but also directly accessible or eventually accessible via their CSPs, to Direct &amp; Indirect Final Clients, given their exposure to liquidity risk, and Regulators.</w:t>
      </w:r>
    </w:p>
    <w:p w14:paraId="64758FD6" w14:textId="77777777" w:rsidR="000B35F1" w:rsidRPr="000B35F1" w:rsidRDefault="000B35F1" w:rsidP="000B35F1">
      <w:pPr>
        <w:numPr>
          <w:ilvl w:val="0"/>
          <w:numId w:val="37"/>
        </w:numPr>
      </w:pPr>
      <w:r w:rsidRPr="000B35F1">
        <w:t xml:space="preserve">Competition neutrality: Margin methodology and risk quantification should not be a source of commercial competition amongst CCPs and/or CSPs. Competition should focus on clearing services, not on risk modelling. Margin models should be developed under an “open source” approach, whereby all markets participants have the interest and the incentive to participate to a continuous improvement of methodologies, with the </w:t>
      </w:r>
      <w:proofErr w:type="gramStart"/>
      <w:r w:rsidRPr="000B35F1">
        <w:t>ultimate goal</w:t>
      </w:r>
      <w:proofErr w:type="gramEnd"/>
      <w:r w:rsidRPr="000B35F1">
        <w:t xml:space="preserve"> of assessing all relevant risks as fairly and accurately as possible. Risk quantification best practices should be shared rather than kept secret.</w:t>
      </w:r>
    </w:p>
    <w:p w14:paraId="0D1BDEE2" w14:textId="77777777" w:rsidR="000B35F1" w:rsidRPr="000B35F1" w:rsidRDefault="000B35F1" w:rsidP="000B35F1">
      <w:pPr>
        <w:numPr>
          <w:ilvl w:val="0"/>
          <w:numId w:val="37"/>
        </w:numPr>
        <w:rPr>
          <w:b/>
          <w:bCs/>
        </w:rPr>
      </w:pPr>
      <w:r w:rsidRPr="000B35F1">
        <w:t>Training: CCPs should provide training sessions/webinars and explanatory materials to market participants on request.</w:t>
      </w:r>
    </w:p>
    <w:p w14:paraId="01424B4A" w14:textId="77777777" w:rsidR="000B35F1" w:rsidRPr="000B35F1" w:rsidRDefault="000B35F1" w:rsidP="000B35F1">
      <w:pPr>
        <w:numPr>
          <w:ilvl w:val="0"/>
          <w:numId w:val="37"/>
        </w:numPr>
        <w:rPr>
          <w:b/>
          <w:bCs/>
        </w:rPr>
      </w:pPr>
      <w:r w:rsidRPr="000B35F1">
        <w:t>Regulatory oversight: All documentation should also be made available to ESMA to verify soundness of methodologies and consistency of disclosures.</w:t>
      </w:r>
    </w:p>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02A46FE1" w14:textId="77777777" w:rsidR="000B35F1" w:rsidRDefault="000B35F1" w:rsidP="000B35F1">
      <w:r w:rsidRPr="007D256A">
        <w:t>DI</w:t>
      </w:r>
      <w:r w:rsidRPr="00A115D6">
        <w:t>FCs</w:t>
      </w:r>
      <w:r>
        <w:t xml:space="preserve"> (eventually via their CSP),</w:t>
      </w:r>
      <w:r w:rsidRPr="00A115D6">
        <w:t xml:space="preserve"> C</w:t>
      </w:r>
      <w:r>
        <w:t>SP</w:t>
      </w:r>
      <w:r w:rsidRPr="00A115D6">
        <w:t>s and Regulators should have access to simulation tools for margin calls. CCPs should be responsible to make such simulation tools available to market participants and regulators</w:t>
      </w:r>
      <w:r>
        <w:t>,</w:t>
      </w:r>
      <w:r w:rsidRPr="00A115D6">
        <w:t xml:space="preserve"> but they should be held harmless from liabilities related to the reliability and use of simulation tools by means of a specific disclaimer form to be signed when market participants access the simulation tools. </w:t>
      </w:r>
    </w:p>
    <w:p w14:paraId="7964BB37" w14:textId="77777777" w:rsidR="000B35F1" w:rsidRDefault="000B35F1" w:rsidP="000B35F1">
      <w:r w:rsidRPr="00A115D6">
        <w:t xml:space="preserve">Specific training should be available upon request by </w:t>
      </w:r>
      <w:r>
        <w:t>M</w:t>
      </w:r>
      <w:r w:rsidRPr="00A115D6">
        <w:t xml:space="preserve">arket </w:t>
      </w:r>
      <w:r>
        <w:t>P</w:t>
      </w:r>
      <w:r w:rsidRPr="00A115D6">
        <w:t>articipants.</w:t>
      </w:r>
    </w:p>
    <w:p w14:paraId="286F1AD4" w14:textId="77777777" w:rsidR="000B35F1" w:rsidRPr="00A115D6" w:rsidRDefault="000B35F1" w:rsidP="000B35F1">
      <w:r>
        <w:t>Simulation tools and relevant risk methodologies should not be kept confidential by CCPs but rather disclosed under an “open source” continuous improvement approach, that involves also Regulators.</w:t>
      </w:r>
    </w:p>
    <w:p w14:paraId="49650C82" w14:textId="77777777" w:rsidR="000B35F1" w:rsidRPr="00A115D6" w:rsidRDefault="000B35F1" w:rsidP="000B35F1">
      <w:pPr>
        <w:spacing w:after="160"/>
      </w:pPr>
      <w:r w:rsidRPr="00A115D6">
        <w:t>Such simulation tools should cover at least following features:</w:t>
      </w:r>
    </w:p>
    <w:p w14:paraId="449DBABB" w14:textId="77777777" w:rsidR="000B35F1" w:rsidRPr="00A115D6" w:rsidRDefault="000B35F1" w:rsidP="000B35F1">
      <w:pPr>
        <w:numPr>
          <w:ilvl w:val="0"/>
          <w:numId w:val="38"/>
        </w:numPr>
        <w:spacing w:after="120" w:line="259" w:lineRule="auto"/>
      </w:pPr>
      <w:r w:rsidRPr="00A115D6">
        <w:lastRenderedPageBreak/>
        <w:t xml:space="preserve">Estimation of initial and variation margin connected to current position for each asset class and for total </w:t>
      </w:r>
      <w:proofErr w:type="gramStart"/>
      <w:r w:rsidRPr="00A115D6">
        <w:t>portfolio;</w:t>
      </w:r>
      <w:proofErr w:type="gramEnd"/>
    </w:p>
    <w:p w14:paraId="72117A29" w14:textId="77777777" w:rsidR="000B35F1" w:rsidRPr="00A115D6" w:rsidRDefault="000B35F1" w:rsidP="000B35F1">
      <w:pPr>
        <w:numPr>
          <w:ilvl w:val="0"/>
          <w:numId w:val="38"/>
        </w:numPr>
        <w:spacing w:after="120" w:line="259" w:lineRule="auto"/>
      </w:pPr>
      <w:r w:rsidRPr="00A115D6">
        <w:t xml:space="preserve">Sensitivity analysis of initial and variation margin to the change of position, price level, volatility level for each asset class and for total </w:t>
      </w:r>
      <w:proofErr w:type="gramStart"/>
      <w:r w:rsidRPr="00A115D6">
        <w:t>portfolio;</w:t>
      </w:r>
      <w:proofErr w:type="gramEnd"/>
    </w:p>
    <w:p w14:paraId="23887C1E" w14:textId="77777777" w:rsidR="000B35F1" w:rsidRPr="00A115D6" w:rsidRDefault="000B35F1" w:rsidP="000B35F1">
      <w:pPr>
        <w:numPr>
          <w:ilvl w:val="0"/>
          <w:numId w:val="38"/>
        </w:numPr>
        <w:spacing w:after="120" w:line="259" w:lineRule="auto"/>
      </w:pPr>
      <w:r w:rsidRPr="00A115D6">
        <w:t>Scenario analysis on position (quantity and time horizon), price level and volatility level for each asset class and for total portfolio</w:t>
      </w:r>
    </w:p>
    <w:p w14:paraId="460E633D" w14:textId="77777777" w:rsidR="000B35F1" w:rsidRPr="00E7344F" w:rsidRDefault="000B35F1" w:rsidP="000B35F1">
      <w:r w:rsidRPr="00E7344F">
        <w:t>Simulations should clearly show the confidence level of results and the warning on the possibility of margin calls exceeding the simulated amounts.</w:t>
      </w:r>
    </w:p>
    <w:p w14:paraId="3101FAEB" w14:textId="77777777" w:rsidR="000B35F1" w:rsidRPr="00E7344F" w:rsidRDefault="000B35F1" w:rsidP="000B35F1">
      <w:r>
        <w:t xml:space="preserve">Additional proposal: </w:t>
      </w:r>
      <w:proofErr w:type="gramStart"/>
      <w:r>
        <w:t>i</w:t>
      </w:r>
      <w:r w:rsidRPr="00E7344F">
        <w:t>n order to</w:t>
      </w:r>
      <w:proofErr w:type="gramEnd"/>
      <w:r w:rsidRPr="00E7344F">
        <w:t xml:space="preserve"> support internal risk controls and the setting of risk limits, it would be desirable for simulation tools to allow the setting of a maximum amount of cash available for clearing and to calculate accordingly the maximum notional position cleared through CCPs for each asset class and for total portfolio.</w:t>
      </w:r>
    </w:p>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01C9FE80" w14:textId="1BE2C2C3" w:rsidR="00693907" w:rsidRDefault="00693907" w:rsidP="00693907">
      <w:r>
        <w:t>&lt;ESMA_QUESTION_</w:t>
      </w:r>
      <w:r w:rsidR="005B277C">
        <w:t>MARG</w:t>
      </w:r>
      <w:r>
        <w:t>_5&gt;</w:t>
      </w:r>
    </w:p>
    <w:p w14:paraId="792FAB33" w14:textId="77777777" w:rsidR="000B35F1" w:rsidRDefault="000B35F1" w:rsidP="000B35F1">
      <w:pPr>
        <w:spacing w:after="160"/>
      </w:pPr>
      <w:r>
        <w:t>EuropeanIssuers strongly supports ESMA’s proposal that CSPs should provide Direct &amp; Indirect Final Clients (DIFCs) with information comparable to the information provided to CSPs by CCPs.</w:t>
      </w:r>
    </w:p>
    <w:p w14:paraId="34C7B292" w14:textId="77777777" w:rsidR="000B35F1" w:rsidRDefault="000B35F1" w:rsidP="000B35F1">
      <w:pPr>
        <w:spacing w:after="160"/>
      </w:pPr>
      <w:r>
        <w:t xml:space="preserve">As remarked in previous responses, DIFCs should receive full transparency on methodologies used for calculating their margin contributions </w:t>
      </w:r>
      <w:proofErr w:type="gramStart"/>
      <w:r>
        <w:t>in order to</w:t>
      </w:r>
      <w:proofErr w:type="gramEnd"/>
      <w:r>
        <w:t xml:space="preserve"> plan properly and manage required liquidity.</w:t>
      </w:r>
    </w:p>
    <w:p w14:paraId="6C1A6C5E" w14:textId="77777777" w:rsidR="000B35F1" w:rsidRDefault="000B35F1" w:rsidP="000B35F1">
      <w:pPr>
        <w:spacing w:after="160"/>
      </w:pPr>
      <w:r>
        <w:t xml:space="preserve">If CSPs are using proprietary margin models different from CCPs standard ones, that should be discouraged as much as possible, we strongly support ESMA proposal that </w:t>
      </w:r>
      <w:r w:rsidRPr="00713E99">
        <w:t>CSPs should explain to their clients any additional margin applied by the CSP (e.g. multipliers or other types) in addition to the margin required by the CCP. Moreover, CSPs should inform the clients how the margin called by the CCPs is passed through to their clients.</w:t>
      </w:r>
    </w:p>
    <w:p w14:paraId="4CBC507A" w14:textId="77777777" w:rsidR="000B35F1" w:rsidRDefault="000B35F1" w:rsidP="000B35F1">
      <w:pPr>
        <w:spacing w:after="160"/>
      </w:pPr>
      <w:r>
        <w:t>Override mechanisms and extraordinary margin calls should be explained with quantitative examples, as they represent significant liquidity uncertainty. Key points are:</w:t>
      </w:r>
    </w:p>
    <w:p w14:paraId="6F683BBF" w14:textId="77777777" w:rsidR="000B35F1" w:rsidRDefault="000B35F1" w:rsidP="000B35F1">
      <w:pPr>
        <w:spacing w:after="160"/>
      </w:pPr>
      <w:r>
        <w:t>Consistency: CSPs often apply proprietary multipliers or add</w:t>
      </w:r>
      <w:r>
        <w:rPr>
          <w:rFonts w:ascii="Cambria Math" w:hAnsi="Cambria Math" w:cs="Cambria Math"/>
        </w:rPr>
        <w:t>‑</w:t>
      </w:r>
      <w:r>
        <w:t>ons, creating opacity and inconsistency for clients.</w:t>
      </w:r>
    </w:p>
    <w:p w14:paraId="0CC91004" w14:textId="77777777" w:rsidR="000B35F1" w:rsidRDefault="000B35F1" w:rsidP="000B35F1">
      <w:pPr>
        <w:spacing w:after="160"/>
      </w:pPr>
      <w:r>
        <w:lastRenderedPageBreak/>
        <w:t>Shared best practices: CSPs should not compete by underestimating default risks or by overestimating portfolio effects for offering attractive pricing and win more clients, which threatens systemic stability. CSPs should be discouraged as much as possible to use opaque proprietary models not assessed by regulators that deviates from CCPs.</w:t>
      </w:r>
    </w:p>
    <w:p w14:paraId="18782639" w14:textId="77777777" w:rsidR="000B35F1" w:rsidRDefault="000B35F1" w:rsidP="000B35F1">
      <w:pPr>
        <w:spacing w:after="160"/>
      </w:pPr>
      <w:r>
        <w:t>Transparency requirement: CSPs must disclose all deviations from CCP methodologies, with quantitative rationale and impact.</w:t>
      </w:r>
    </w:p>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0B0D2DF7" w14:textId="77777777" w:rsidR="000B35F1" w:rsidRDefault="000B35F1" w:rsidP="000B35F1">
      <w:pPr>
        <w:spacing w:after="160"/>
      </w:pPr>
      <w:r>
        <w:t>EuropeanIssuers supports ESMA’s proposal that CSPs provide simulations under current market conditions, stress scenarios, and client</w:t>
      </w:r>
      <w:r>
        <w:rPr>
          <w:rFonts w:ascii="Cambria Math" w:hAnsi="Cambria Math" w:cs="Cambria Math"/>
        </w:rPr>
        <w:t>‑</w:t>
      </w:r>
      <w:r>
        <w:t>specific scenarios. We welcome the requirement to distinguish between CCP vs. CSP amounts and between core margin and add</w:t>
      </w:r>
      <w:r>
        <w:rPr>
          <w:rFonts w:ascii="Cambria Math" w:hAnsi="Cambria Math" w:cs="Cambria Math"/>
        </w:rPr>
        <w:t>‑</w:t>
      </w:r>
      <w:r>
        <w:t>ons.</w:t>
      </w:r>
    </w:p>
    <w:p w14:paraId="13A91AA0" w14:textId="77777777" w:rsidR="000B35F1" w:rsidRDefault="000B35F1" w:rsidP="000B35F1">
      <w:pPr>
        <w:spacing w:after="160"/>
      </w:pPr>
      <w:r>
        <w:t xml:space="preserve">In order to guarantee the symmetry with CCPs simulation tool disclosure towards CPSs, also CPSs should be required to make available their simulation tools to Direct or Indirect Final Clients, upon request, but they should be </w:t>
      </w:r>
      <w:r w:rsidRPr="00A115D6">
        <w:t xml:space="preserve">held harmless from liabilities related to the reliability and use of simulation tools by means of a specific disclaimer form to be signed when </w:t>
      </w:r>
      <w:r>
        <w:t>clients</w:t>
      </w:r>
      <w:r w:rsidRPr="00A115D6">
        <w:t xml:space="preserve"> access the simulation tools</w:t>
      </w:r>
      <w:r>
        <w:t>.</w:t>
      </w:r>
    </w:p>
    <w:p w14:paraId="596F20F3" w14:textId="77777777" w:rsidR="000B35F1" w:rsidRDefault="000B35F1" w:rsidP="000B35F1">
      <w:pPr>
        <w:spacing w:after="160"/>
      </w:pPr>
      <w:r>
        <w:t xml:space="preserve">Additional proposal: main assumptions and confidence levels contained in margin models and simulation tools should be </w:t>
      </w:r>
      <w:proofErr w:type="gramStart"/>
      <w:r>
        <w:t>taken into account</w:t>
      </w:r>
      <w:proofErr w:type="gramEnd"/>
      <w:r>
        <w:t xml:space="preserve"> also in CCPs rulebooks and operations for operating safeguards: since simulations cannot capture unlimited tail risks, CCPs should consider operating mechanisms to cap liquidity exposure during stressed market conditions.</w:t>
      </w:r>
    </w:p>
    <w:p w14:paraId="174FE64B" w14:textId="77777777" w:rsidR="000B35F1" w:rsidRDefault="000B35F1" w:rsidP="000B35F1">
      <w:r>
        <w:t xml:space="preserve">In fact, </w:t>
      </w:r>
      <w:r w:rsidRPr="008F5BEA">
        <w:t xml:space="preserve">clearing (i.e. cash collateralization) has proven to be a very solid way to manage credit risk during normal market conditions, but there is also significant evidence of its cash squeezing effects during stressed market conditions, that </w:t>
      </w:r>
      <w:r>
        <w:t xml:space="preserve">might </w:t>
      </w:r>
      <w:r w:rsidRPr="008F5BEA">
        <w:t>lead to procyclical effects</w:t>
      </w:r>
      <w:r>
        <w:t xml:space="preserve"> and, ultimately, to default</w:t>
      </w:r>
      <w:r w:rsidRPr="008F5BEA">
        <w:t>. Moreover</w:t>
      </w:r>
      <w:r>
        <w:t>,</w:t>
      </w:r>
      <w:r w:rsidRPr="008F5BEA">
        <w:t xml:space="preserve"> the amount of cash requested to clear a position during period of stressed volatility is technically unknown: any margin call forecast is based on a specified level of confidence</w:t>
      </w:r>
      <w:r>
        <w:t>:</w:t>
      </w:r>
      <w:r w:rsidRPr="008F5BEA">
        <w:t xml:space="preserve"> for example a result of 100 </w:t>
      </w:r>
      <w:proofErr w:type="spellStart"/>
      <w:r w:rsidRPr="008F5BEA">
        <w:t>Mln</w:t>
      </w:r>
      <w:proofErr w:type="spellEnd"/>
      <w:r w:rsidRPr="008F5BEA">
        <w:t xml:space="preserve"> EUR of additional margin at 99% level of confidence</w:t>
      </w:r>
      <w:r>
        <w:t>,</w:t>
      </w:r>
      <w:r w:rsidRPr="008F5BEA">
        <w:t xml:space="preserve"> means that </w:t>
      </w:r>
      <w:r>
        <w:t>there is</w:t>
      </w:r>
      <w:r w:rsidRPr="008F5BEA">
        <w:t xml:space="preserve"> 99% of probability to pay up to 100 </w:t>
      </w:r>
      <w:proofErr w:type="spellStart"/>
      <w:r w:rsidRPr="008F5BEA">
        <w:t>Mln</w:t>
      </w:r>
      <w:proofErr w:type="spellEnd"/>
      <w:r w:rsidRPr="008F5BEA">
        <w:t xml:space="preserve"> EUR in margin call</w:t>
      </w:r>
      <w:r>
        <w:t>,</w:t>
      </w:r>
      <w:r w:rsidRPr="008F5BEA">
        <w:t xml:space="preserve"> but </w:t>
      </w:r>
      <w:r>
        <w:t>there is</w:t>
      </w:r>
      <w:r w:rsidRPr="008F5BEA">
        <w:t xml:space="preserve"> also 1% probability to pay more than 100 </w:t>
      </w:r>
      <w:proofErr w:type="spellStart"/>
      <w:r w:rsidRPr="008F5BEA">
        <w:t>Mln</w:t>
      </w:r>
      <w:proofErr w:type="spellEnd"/>
      <w:r w:rsidRPr="008F5BEA">
        <w:t xml:space="preserve"> EUR and, what is worst, this </w:t>
      </w:r>
      <w:r>
        <w:t>“</w:t>
      </w:r>
      <w:r w:rsidRPr="008F5BEA">
        <w:t>more</w:t>
      </w:r>
      <w:r>
        <w:t>”</w:t>
      </w:r>
      <w:r w:rsidRPr="008F5BEA">
        <w:t xml:space="preserve"> is technically unknown. The high % of confidence level creates a false sense of security</w:t>
      </w:r>
      <w:r>
        <w:t>,</w:t>
      </w:r>
      <w:r w:rsidRPr="008F5BEA">
        <w:t xml:space="preserve"> since 99% is almost “sure” in common perception</w:t>
      </w:r>
      <w:r>
        <w:t>,</w:t>
      </w:r>
      <w:r w:rsidRPr="008F5BEA">
        <w:t xml:space="preserve"> but in 250 business days of 1 calendar year a 99% confidence level means that 2</w:t>
      </w:r>
      <w:r>
        <w:t>-3</w:t>
      </w:r>
      <w:r w:rsidRPr="008F5BEA">
        <w:t xml:space="preserve"> days per year</w:t>
      </w:r>
      <w:r>
        <w:t xml:space="preserve"> </w:t>
      </w:r>
      <w:r w:rsidRPr="008F5BEA">
        <w:t xml:space="preserve">(i.e. 1%) </w:t>
      </w:r>
      <w:r>
        <w:t>the</w:t>
      </w:r>
      <w:r w:rsidRPr="008F5BEA">
        <w:t xml:space="preserve"> margin call is expected to exceed 100 </w:t>
      </w:r>
      <w:proofErr w:type="spellStart"/>
      <w:r w:rsidRPr="008F5BEA">
        <w:t>Mln</w:t>
      </w:r>
      <w:proofErr w:type="spellEnd"/>
      <w:r w:rsidRPr="008F5BEA">
        <w:t xml:space="preserve"> EUR </w:t>
      </w:r>
      <w:r>
        <w:t xml:space="preserve">without precise </w:t>
      </w:r>
      <w:r w:rsidRPr="008F5BEA">
        <w:t xml:space="preserve">information </w:t>
      </w:r>
      <w:r>
        <w:t>about</w:t>
      </w:r>
      <w:r w:rsidRPr="008F5BEA">
        <w:t xml:space="preserve"> the </w:t>
      </w:r>
      <w:r>
        <w:t xml:space="preserve">exceeding </w:t>
      </w:r>
      <w:r w:rsidRPr="008F5BEA">
        <w:t>amount.</w:t>
      </w:r>
      <w:r>
        <w:t xml:space="preserve"> </w:t>
      </w:r>
      <w:r w:rsidRPr="009A6893">
        <w:t>Given the above, managing the credit risk through cash clearing during stressed market conditions is very expensive, since the amount of cash is technically unknown, and it creates severe liquidity stress, with procyclical effects and increase of systemic risk.</w:t>
      </w:r>
    </w:p>
    <w:p w14:paraId="6F4280D1" w14:textId="77777777" w:rsidR="000B35F1" w:rsidRPr="009A6893" w:rsidRDefault="000B35F1" w:rsidP="000B35F1">
      <w:r w:rsidRPr="009A6893">
        <w:lastRenderedPageBreak/>
        <w:t xml:space="preserve">Market Participants especially </w:t>
      </w:r>
      <w:r w:rsidRPr="00B30BB0">
        <w:rPr>
          <w:b/>
          <w:bCs/>
          <w:u w:val="single"/>
        </w:rPr>
        <w:t>Direct &amp; Indirect Final Clients (DIFCs)</w:t>
      </w:r>
      <w:r w:rsidRPr="009A6893">
        <w:rPr>
          <w:b/>
          <w:bCs/>
          <w:u w:val="single"/>
        </w:rPr>
        <w:t xml:space="preserve"> should be able to cap their liquidity exposure </w:t>
      </w:r>
      <w:r w:rsidRPr="009A6893">
        <w:t xml:space="preserve">setting limits in term of maximum cash requested for clearing. Without a maximum cap on potential cash calls, margin predictability is not actually achievable. Since this objective is unfortunately very difficult if not impossible to reach via simulation tools, propter </w:t>
      </w:r>
      <w:r>
        <w:rPr>
          <w:b/>
          <w:bCs/>
          <w:u w:val="single"/>
        </w:rPr>
        <w:t>operating</w:t>
      </w:r>
      <w:r w:rsidRPr="009A6893">
        <w:rPr>
          <w:b/>
          <w:bCs/>
          <w:u w:val="single"/>
        </w:rPr>
        <w:t xml:space="preserve"> measures should be implemented at CCP level for stopping the use of cash collateralization during stressed market conditions</w:t>
      </w:r>
      <w:r w:rsidRPr="009A6893">
        <w:t xml:space="preserve">.  CCPs might agree with Regulators a quantitative definition of “stressed market condition” based on the very assumptions </w:t>
      </w:r>
      <w:r>
        <w:t xml:space="preserve">and confidence levels </w:t>
      </w:r>
      <w:r w:rsidRPr="009A6893">
        <w:t xml:space="preserve">contained in their </w:t>
      </w:r>
      <w:r>
        <w:t xml:space="preserve">margin models and </w:t>
      </w:r>
      <w:r w:rsidRPr="009A6893">
        <w:t>simulation tools. In the event of stressed market conditions, cash calls covering the exposure beyond the defined stress level should be frozen</w:t>
      </w:r>
      <w:r>
        <w:t>,</w:t>
      </w:r>
      <w:r w:rsidRPr="009A6893">
        <w:t xml:space="preserve"> so that with simulation tools it is possible to calculate a maximum cash exposure and set internal limits for sound risk controls.  </w:t>
      </w:r>
    </w:p>
    <w:p w14:paraId="6554CD41" w14:textId="77777777" w:rsidR="000B35F1" w:rsidRDefault="000B35F1" w:rsidP="000B35F1">
      <w:pPr>
        <w:spacing w:after="160"/>
      </w:pPr>
    </w:p>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BEB6" w14:textId="77777777" w:rsidR="00320628" w:rsidRDefault="00320628" w:rsidP="00F716D4">
      <w:r>
        <w:separator/>
      </w:r>
    </w:p>
    <w:p w14:paraId="06234282" w14:textId="77777777" w:rsidR="00320628" w:rsidRDefault="00320628" w:rsidP="00F716D4"/>
  </w:endnote>
  <w:endnote w:type="continuationSeparator" w:id="0">
    <w:p w14:paraId="5409D394" w14:textId="77777777" w:rsidR="00320628" w:rsidRDefault="00320628" w:rsidP="00F716D4">
      <w:r>
        <w:continuationSeparator/>
      </w:r>
    </w:p>
    <w:p w14:paraId="1806BEA4" w14:textId="77777777" w:rsidR="00320628" w:rsidRDefault="00320628" w:rsidP="00F716D4"/>
  </w:endnote>
  <w:endnote w:type="continuationNotice" w:id="1">
    <w:p w14:paraId="1D7D982D" w14:textId="77777777" w:rsidR="00320628" w:rsidRDefault="0032062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AB81" w14:textId="77777777" w:rsidR="00320628" w:rsidRDefault="00320628" w:rsidP="00F716D4">
      <w:r>
        <w:separator/>
      </w:r>
    </w:p>
    <w:p w14:paraId="417258DE" w14:textId="77777777" w:rsidR="00320628" w:rsidRDefault="00320628" w:rsidP="00F716D4"/>
  </w:footnote>
  <w:footnote w:type="continuationSeparator" w:id="0">
    <w:p w14:paraId="483914E9" w14:textId="77777777" w:rsidR="00320628" w:rsidRDefault="00320628" w:rsidP="00F716D4">
      <w:r>
        <w:continuationSeparator/>
      </w:r>
    </w:p>
    <w:p w14:paraId="50E40E54" w14:textId="77777777" w:rsidR="00320628" w:rsidRDefault="00320628" w:rsidP="00F716D4"/>
  </w:footnote>
  <w:footnote w:type="continuationNotice" w:id="1">
    <w:p w14:paraId="0D1B05B5" w14:textId="77777777" w:rsidR="00320628" w:rsidRDefault="0032062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22FED"/>
    <w:multiLevelType w:val="hybridMultilevel"/>
    <w:tmpl w:val="B1489280"/>
    <w:lvl w:ilvl="0" w:tplc="DF8C8678">
      <w:start w:val="1"/>
      <w:numFmt w:val="bullet"/>
      <w:lvlText w:val="−"/>
      <w:lvlJc w:val="left"/>
      <w:pPr>
        <w:tabs>
          <w:tab w:val="num" w:pos="720"/>
        </w:tabs>
        <w:ind w:left="720" w:hanging="360"/>
      </w:pPr>
      <w:rPr>
        <w:rFonts w:ascii="Calibri" w:hAnsi="Calibri" w:hint="default"/>
      </w:rPr>
    </w:lvl>
    <w:lvl w:ilvl="1" w:tplc="3942FE02" w:tentative="1">
      <w:start w:val="1"/>
      <w:numFmt w:val="bullet"/>
      <w:lvlText w:val="−"/>
      <w:lvlJc w:val="left"/>
      <w:pPr>
        <w:tabs>
          <w:tab w:val="num" w:pos="1440"/>
        </w:tabs>
        <w:ind w:left="1440" w:hanging="360"/>
      </w:pPr>
      <w:rPr>
        <w:rFonts w:ascii="Calibri" w:hAnsi="Calibri" w:hint="default"/>
      </w:rPr>
    </w:lvl>
    <w:lvl w:ilvl="2" w:tplc="3BA8ED0A" w:tentative="1">
      <w:start w:val="1"/>
      <w:numFmt w:val="bullet"/>
      <w:lvlText w:val="−"/>
      <w:lvlJc w:val="left"/>
      <w:pPr>
        <w:tabs>
          <w:tab w:val="num" w:pos="2160"/>
        </w:tabs>
        <w:ind w:left="2160" w:hanging="360"/>
      </w:pPr>
      <w:rPr>
        <w:rFonts w:ascii="Calibri" w:hAnsi="Calibri" w:hint="default"/>
      </w:rPr>
    </w:lvl>
    <w:lvl w:ilvl="3" w:tplc="5B043530" w:tentative="1">
      <w:start w:val="1"/>
      <w:numFmt w:val="bullet"/>
      <w:lvlText w:val="−"/>
      <w:lvlJc w:val="left"/>
      <w:pPr>
        <w:tabs>
          <w:tab w:val="num" w:pos="2880"/>
        </w:tabs>
        <w:ind w:left="2880" w:hanging="360"/>
      </w:pPr>
      <w:rPr>
        <w:rFonts w:ascii="Calibri" w:hAnsi="Calibri" w:hint="default"/>
      </w:rPr>
    </w:lvl>
    <w:lvl w:ilvl="4" w:tplc="C0E8074C" w:tentative="1">
      <w:start w:val="1"/>
      <w:numFmt w:val="bullet"/>
      <w:lvlText w:val="−"/>
      <w:lvlJc w:val="left"/>
      <w:pPr>
        <w:tabs>
          <w:tab w:val="num" w:pos="3600"/>
        </w:tabs>
        <w:ind w:left="3600" w:hanging="360"/>
      </w:pPr>
      <w:rPr>
        <w:rFonts w:ascii="Calibri" w:hAnsi="Calibri" w:hint="default"/>
      </w:rPr>
    </w:lvl>
    <w:lvl w:ilvl="5" w:tplc="54E89998" w:tentative="1">
      <w:start w:val="1"/>
      <w:numFmt w:val="bullet"/>
      <w:lvlText w:val="−"/>
      <w:lvlJc w:val="left"/>
      <w:pPr>
        <w:tabs>
          <w:tab w:val="num" w:pos="4320"/>
        </w:tabs>
        <w:ind w:left="4320" w:hanging="360"/>
      </w:pPr>
      <w:rPr>
        <w:rFonts w:ascii="Calibri" w:hAnsi="Calibri" w:hint="default"/>
      </w:rPr>
    </w:lvl>
    <w:lvl w:ilvl="6" w:tplc="EF2E7E34" w:tentative="1">
      <w:start w:val="1"/>
      <w:numFmt w:val="bullet"/>
      <w:lvlText w:val="−"/>
      <w:lvlJc w:val="left"/>
      <w:pPr>
        <w:tabs>
          <w:tab w:val="num" w:pos="5040"/>
        </w:tabs>
        <w:ind w:left="5040" w:hanging="360"/>
      </w:pPr>
      <w:rPr>
        <w:rFonts w:ascii="Calibri" w:hAnsi="Calibri" w:hint="default"/>
      </w:rPr>
    </w:lvl>
    <w:lvl w:ilvl="7" w:tplc="05165C5E" w:tentative="1">
      <w:start w:val="1"/>
      <w:numFmt w:val="bullet"/>
      <w:lvlText w:val="−"/>
      <w:lvlJc w:val="left"/>
      <w:pPr>
        <w:tabs>
          <w:tab w:val="num" w:pos="5760"/>
        </w:tabs>
        <w:ind w:left="5760" w:hanging="360"/>
      </w:pPr>
      <w:rPr>
        <w:rFonts w:ascii="Calibri" w:hAnsi="Calibri" w:hint="default"/>
      </w:rPr>
    </w:lvl>
    <w:lvl w:ilvl="8" w:tplc="DA44E2EC"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CE3EAC"/>
    <w:multiLevelType w:val="hybridMultilevel"/>
    <w:tmpl w:val="2D7428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9"/>
  </w:num>
  <w:num w:numId="15" w16cid:durableId="1186556611">
    <w:abstractNumId w:val="1"/>
  </w:num>
  <w:num w:numId="16" w16cid:durableId="679087124">
    <w:abstractNumId w:val="14"/>
  </w:num>
  <w:num w:numId="17" w16cid:durableId="1695498691">
    <w:abstractNumId w:val="15"/>
  </w:num>
  <w:num w:numId="18" w16cid:durableId="1042363640">
    <w:abstractNumId w:val="17"/>
  </w:num>
  <w:num w:numId="19" w16cid:durableId="820345968">
    <w:abstractNumId w:val="26"/>
  </w:num>
  <w:num w:numId="20" w16cid:durableId="1805388212">
    <w:abstractNumId w:val="35"/>
  </w:num>
  <w:num w:numId="21" w16cid:durableId="538709007">
    <w:abstractNumId w:val="25"/>
  </w:num>
  <w:num w:numId="22" w16cid:durableId="104540172">
    <w:abstractNumId w:val="8"/>
  </w:num>
  <w:num w:numId="23" w16cid:durableId="1824349076">
    <w:abstractNumId w:val="29"/>
  </w:num>
  <w:num w:numId="24" w16cid:durableId="672032853">
    <w:abstractNumId w:val="28"/>
  </w:num>
  <w:num w:numId="25" w16cid:durableId="48917541">
    <w:abstractNumId w:val="20"/>
  </w:num>
  <w:num w:numId="26" w16cid:durableId="978925443">
    <w:abstractNumId w:val="32"/>
  </w:num>
  <w:num w:numId="27" w16cid:durableId="1036613928">
    <w:abstractNumId w:val="37"/>
  </w:num>
  <w:num w:numId="28" w16cid:durableId="872039349">
    <w:abstractNumId w:val="6"/>
  </w:num>
  <w:num w:numId="29" w16cid:durableId="924530660">
    <w:abstractNumId w:val="2"/>
  </w:num>
  <w:num w:numId="30" w16cid:durableId="419180233">
    <w:abstractNumId w:val="22"/>
  </w:num>
  <w:num w:numId="31" w16cid:durableId="276761337">
    <w:abstractNumId w:val="21"/>
  </w:num>
  <w:num w:numId="32" w16cid:durableId="1166238383">
    <w:abstractNumId w:val="34"/>
  </w:num>
  <w:num w:numId="33" w16cid:durableId="2076850202">
    <w:abstractNumId w:val="33"/>
  </w:num>
  <w:num w:numId="34" w16cid:durableId="469176496">
    <w:abstractNumId w:val="12"/>
  </w:num>
  <w:num w:numId="35" w16cid:durableId="674843309">
    <w:abstractNumId w:val="18"/>
  </w:num>
  <w:num w:numId="36" w16cid:durableId="1954971501">
    <w:abstractNumId w:val="38"/>
  </w:num>
  <w:num w:numId="37" w16cid:durableId="556740582">
    <w:abstractNumId w:val="10"/>
    <w:lvlOverride w:ilvl="0"/>
    <w:lvlOverride w:ilvl="1"/>
    <w:lvlOverride w:ilvl="2"/>
    <w:lvlOverride w:ilvl="3"/>
    <w:lvlOverride w:ilvl="4"/>
    <w:lvlOverride w:ilvl="5"/>
    <w:lvlOverride w:ilvl="6"/>
    <w:lvlOverride w:ilvl="7"/>
    <w:lvlOverride w:ilvl="8"/>
  </w:num>
  <w:num w:numId="38" w16cid:durableId="213505554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5F1"/>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62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9A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Props1.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2287</Words>
  <Characters>13042</Characters>
  <Application>Microsoft Office Word</Application>
  <DocSecurity>0</DocSecurity>
  <Lines>108</Lines>
  <Paragraphs>30</Paragraphs>
  <ScaleCrop>false</ScaleCrop>
  <Company>ESMA</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European Issuers</cp:lastModifiedBy>
  <cp:revision>2</cp:revision>
  <cp:lastPrinted>2015-02-18T20:01:00Z</cp:lastPrinted>
  <dcterms:created xsi:type="dcterms:W3CDTF">2025-09-11T11:49:00Z</dcterms:created>
  <dcterms:modified xsi:type="dcterms:W3CDTF">2025-09-11T11:49:00Z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