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AA2C4"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E57EB">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21CF0">
        <w:t>ICFD</w:t>
      </w:r>
      <w:r w:rsidRPr="00863BFD">
        <w:t>_nameofrespondent</w:t>
      </w:r>
      <w:proofErr w:type="spellEnd"/>
      <w:r w:rsidRPr="00863BFD">
        <w:t xml:space="preserve">.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7C212C9E" w:rsidR="00C2682A" w:rsidRPr="00104E00" w:rsidRDefault="00CE745E" w:rsidP="00104E00">
                <w:pPr>
                  <w:jc w:val="left"/>
                  <w:rPr>
                    <w:rStyle w:val="PlaceholderText"/>
                  </w:rPr>
                </w:pPr>
                <w:r>
                  <w:rPr>
                    <w:rStyle w:val="PlaceholderText"/>
                  </w:rPr>
                  <w:t>BlackRock</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61C5A8E7" w:rsidR="00C2682A" w:rsidRPr="00104E00" w:rsidRDefault="009A689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E745E">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1EAA3B40" w:rsidR="00C2682A" w:rsidRPr="00104E00" w:rsidRDefault="00512BB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tc>
          <w:tcPr>
            <w:tcW w:w="5595" w:type="dxa"/>
            <w:vAlign w:val="center"/>
          </w:tcPr>
          <w:p w14:paraId="204E7C89" w14:textId="46DC23FC" w:rsidR="00C2682A" w:rsidRPr="00104E00" w:rsidRDefault="009A6891" w:rsidP="00104E00">
            <w:pPr>
              <w:jc w:val="left"/>
            </w:pPr>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r w:rsidR="00CE745E">
                  <w:t>International</w:t>
                </w:r>
              </w:sdtContent>
            </w:sdt>
          </w:p>
        </w:tc>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9CD3883" w:rsidR="00F21CF0" w:rsidRDefault="00F21CF0" w:rsidP="00F21CF0">
      <w:r>
        <w:t>&lt;ESMA_QUESTION_ICFD_1&gt;</w:t>
      </w:r>
    </w:p>
    <w:p w14:paraId="181853E5" w14:textId="5C7741E7" w:rsidR="002508AF" w:rsidRDefault="00CE745E" w:rsidP="00A220E7">
      <w:pPr>
        <w:jc w:val="left"/>
        <w:rPr>
          <w:sz w:val="20"/>
        </w:rPr>
      </w:pPr>
      <w:permStart w:id="2146780344" w:edGrp="everyone"/>
      <w:r>
        <w:t>Y</w:t>
      </w:r>
      <w:r w:rsidR="00412DB6">
        <w:t xml:space="preserve">es, </w:t>
      </w:r>
      <w:r w:rsidR="005133CF">
        <w:t xml:space="preserve">as a cross-border asset manager </w:t>
      </w:r>
      <w:r w:rsidR="00412DB6">
        <w:t xml:space="preserve">we </w:t>
      </w:r>
      <w:r w:rsidR="00D85D2C">
        <w:t>confirm</w:t>
      </w:r>
      <w:r w:rsidR="00412DB6">
        <w:t xml:space="preserve"> that </w:t>
      </w:r>
      <w:r w:rsidR="00950FD5">
        <w:t>we have encountered</w:t>
      </w:r>
      <w:r w:rsidR="00D85D2C">
        <w:t xml:space="preserve"> the findings presented in the stocktake section</w:t>
      </w:r>
      <w:r w:rsidR="00827D85">
        <w:t>. A</w:t>
      </w:r>
      <w:r w:rsidR="0065362F">
        <w:t xml:space="preserve">n overall lack of </w:t>
      </w:r>
      <w:r w:rsidR="006130C0">
        <w:t>harmonisation leads to</w:t>
      </w:r>
      <w:r w:rsidR="00221D84">
        <w:t xml:space="preserve"> </w:t>
      </w:r>
      <w:r w:rsidR="00950FD5">
        <w:t xml:space="preserve">fragmented </w:t>
      </w:r>
      <w:r w:rsidR="00F10986">
        <w:t xml:space="preserve">and overlapping </w:t>
      </w:r>
      <w:r w:rsidR="00950FD5">
        <w:t>reporting requirements</w:t>
      </w:r>
      <w:r w:rsidR="00F10986">
        <w:t xml:space="preserve">, </w:t>
      </w:r>
      <w:r w:rsidR="00D677B6">
        <w:t xml:space="preserve">inconsistencies in the timing and frequency of reporting, </w:t>
      </w:r>
      <w:r w:rsidR="00552526">
        <w:t xml:space="preserve">high reporting costs, high administrative burden and </w:t>
      </w:r>
      <w:r w:rsidR="001E4857">
        <w:t xml:space="preserve">often </w:t>
      </w:r>
      <w:r w:rsidR="00D677B6">
        <w:t>no</w:t>
      </w:r>
      <w:r w:rsidR="001E4857">
        <w:t xml:space="preserve"> </w:t>
      </w:r>
      <w:r w:rsidR="00D677B6">
        <w:t>clear link between regulatory objectives and the data being reported</w:t>
      </w:r>
      <w:r w:rsidR="00552526">
        <w:t>.</w:t>
      </w:r>
      <w:r w:rsidR="00242520">
        <w:t xml:space="preserve"> </w:t>
      </w:r>
      <w:r w:rsidR="00242520" w:rsidRPr="13528C47">
        <w:t>In the current</w:t>
      </w:r>
      <w:r w:rsidR="126ED097" w:rsidRPr="13528C47">
        <w:t xml:space="preserve"> </w:t>
      </w:r>
      <w:r w:rsidR="54874618" w:rsidRPr="6785429E">
        <w:t>reporting</w:t>
      </w:r>
      <w:r w:rsidR="00242520" w:rsidRPr="6785429E">
        <w:t xml:space="preserve"> model</w:t>
      </w:r>
      <w:r w:rsidR="00242520" w:rsidRPr="00242520">
        <w:rPr>
          <w:szCs w:val="22"/>
        </w:rPr>
        <w:t xml:space="preserve">, </w:t>
      </w:r>
      <w:r w:rsidR="00242520" w:rsidRPr="13528C47">
        <w:t>we are required to submit variations of the same report in slightly different formats to multiple supervisors, which leads to an unnecessarily large volume of submissions</w:t>
      </w:r>
      <w:r w:rsidR="00242520">
        <w:rPr>
          <w:sz w:val="20"/>
        </w:rPr>
        <w:t>.</w:t>
      </w:r>
    </w:p>
    <w:p w14:paraId="768FD55D" w14:textId="53303ADE" w:rsidR="00971F1B" w:rsidRDefault="00242795" w:rsidP="005B46E4">
      <w:pPr>
        <w:jc w:val="left"/>
      </w:pPr>
      <w:r>
        <w:t xml:space="preserve">From a </w:t>
      </w:r>
      <w:r w:rsidR="0063220A">
        <w:t xml:space="preserve">practical perspective, despite the </w:t>
      </w:r>
      <w:r w:rsidR="00B858E0">
        <w:t xml:space="preserve">breadth </w:t>
      </w:r>
      <w:r w:rsidR="0063220A">
        <w:t>of the reporting already</w:t>
      </w:r>
      <w:r w:rsidR="00964A5C">
        <w:t xml:space="preserve"> required by </w:t>
      </w:r>
      <w:r w:rsidR="00513CC7">
        <w:t xml:space="preserve">the </w:t>
      </w:r>
      <w:r w:rsidR="009356F7">
        <w:t xml:space="preserve">UCITS D, </w:t>
      </w:r>
      <w:r w:rsidR="00513CC7">
        <w:t>AIFMD</w:t>
      </w:r>
      <w:r w:rsidR="009356F7">
        <w:t xml:space="preserve"> and MMFR</w:t>
      </w:r>
      <w:r w:rsidR="0063220A">
        <w:t xml:space="preserve">, BlackRock still </w:t>
      </w:r>
      <w:r w:rsidR="00753003">
        <w:t>receives</w:t>
      </w:r>
      <w:r w:rsidR="0063220A">
        <w:t xml:space="preserve"> hundreds of targeted reviews on our funds</w:t>
      </w:r>
      <w:r w:rsidR="00753003">
        <w:t xml:space="preserve"> each year</w:t>
      </w:r>
      <w:r w:rsidR="00064EF4">
        <w:t xml:space="preserve"> </w:t>
      </w:r>
      <w:r w:rsidR="005C0588">
        <w:t>–</w:t>
      </w:r>
      <w:r w:rsidR="00064EF4">
        <w:t xml:space="preserve"> </w:t>
      </w:r>
      <w:r w:rsidR="00790990">
        <w:t>largely requesting</w:t>
      </w:r>
      <w:r w:rsidR="002B0C6E">
        <w:t xml:space="preserve"> information</w:t>
      </w:r>
      <w:r w:rsidR="0063220A">
        <w:t xml:space="preserve"> </w:t>
      </w:r>
      <w:r w:rsidR="002B0C6E">
        <w:t xml:space="preserve">that </w:t>
      </w:r>
      <w:r w:rsidR="0063220A">
        <w:t>has already been provided</w:t>
      </w:r>
      <w:r w:rsidR="005C0588">
        <w:t xml:space="preserve"> in the reporting</w:t>
      </w:r>
      <w:r w:rsidR="002B0C6E">
        <w:t xml:space="preserve"> required by the </w:t>
      </w:r>
      <w:r w:rsidR="00A82135">
        <w:t>relevant directives and regulations</w:t>
      </w:r>
      <w:r w:rsidR="0063220A">
        <w:t xml:space="preserve">. </w:t>
      </w:r>
      <w:r w:rsidR="003714D5">
        <w:t>It i</w:t>
      </w:r>
      <w:r w:rsidR="0025049B">
        <w:t xml:space="preserve">s therefore </w:t>
      </w:r>
      <w:r w:rsidR="007B70B3">
        <w:t>diff</w:t>
      </w:r>
      <w:r w:rsidR="003E5178">
        <w:t xml:space="preserve">icult to see </w:t>
      </w:r>
      <w:r w:rsidR="00753003">
        <w:t xml:space="preserve">how </w:t>
      </w:r>
      <w:r w:rsidR="003E5178">
        <w:t xml:space="preserve">the </w:t>
      </w:r>
      <w:r w:rsidR="00AB11EB">
        <w:t>reporting</w:t>
      </w:r>
      <w:r w:rsidR="00E8461B">
        <w:t xml:space="preserve"> </w:t>
      </w:r>
      <w:r w:rsidR="003E5178">
        <w:t>data</w:t>
      </w:r>
      <w:r w:rsidR="00753003">
        <w:t xml:space="preserve"> is actually meaningfully used by supervisors in its current form</w:t>
      </w:r>
      <w:r w:rsidR="00090565">
        <w:t xml:space="preserve">, or </w:t>
      </w:r>
      <w:r w:rsidR="00395383">
        <w:t>its</w:t>
      </w:r>
      <w:r w:rsidR="00090565">
        <w:t xml:space="preserve"> operational benefit</w:t>
      </w:r>
      <w:r w:rsidR="00395383">
        <w:t>.</w:t>
      </w:r>
      <w:r w:rsidR="00113B66">
        <w:t xml:space="preserve"> </w:t>
      </w:r>
      <w:r w:rsidR="008E6E08">
        <w:t>A</w:t>
      </w:r>
      <w:r w:rsidR="00194085">
        <w:t xml:space="preserve">n integrated framework should result in fewer </w:t>
      </w:r>
      <w:r w:rsidR="00CC51A3">
        <w:t>such reviews and should be used by supervisors as the primary source of information.</w:t>
      </w:r>
    </w:p>
    <w:p w14:paraId="64E5EF77" w14:textId="55896677" w:rsidR="00F21CF0" w:rsidRDefault="00F10986" w:rsidP="005B46E4">
      <w:pPr>
        <w:jc w:val="left"/>
      </w:pPr>
      <w:r>
        <w:t>Another challenge encountered includes the tight reporting deadlines of just 25 calendar days under the MMFR and 30 calendar days under the AIFMD.</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489A404D" w14:textId="6D7636D5" w:rsidR="004B60DA" w:rsidRPr="00E01E13" w:rsidRDefault="004B60DA" w:rsidP="00A220E7">
      <w:pPr>
        <w:jc w:val="left"/>
      </w:pPr>
      <w:permStart w:id="517421490" w:edGrp="everyone"/>
      <w:r w:rsidRPr="004B60DA">
        <w:t xml:space="preserve">We have long advocated for a more coordinated approach to data collection. </w:t>
      </w:r>
      <w:r w:rsidR="00B04F18" w:rsidRPr="00AB6A44">
        <w:rPr>
          <w:rFonts w:eastAsia="Times New Roman"/>
          <w:color w:val="000000" w:themeColor="text1"/>
          <w:szCs w:val="22"/>
          <w:lang w:eastAsia="en-GB"/>
        </w:rPr>
        <w:t>We strongly believe that a coherent and simplified reporting framework can only be achieved by grounding requirements in the data and processes already embedded within the industry</w:t>
      </w:r>
      <w:r w:rsidR="00C81275">
        <w:t xml:space="preserve">. </w:t>
      </w:r>
      <w:r w:rsidRPr="004B60DA">
        <w:t xml:space="preserve">Aligning reporting </w:t>
      </w:r>
      <w:r w:rsidRPr="00E01E13">
        <w:t xml:space="preserve">templates and embedding interoperability by design would unlock significant efficiency gains for market participants, NCAs, and ESMA. This would not only strengthen supervisory capacity but also enable feedback loops that enhance firms’ </w:t>
      </w:r>
      <w:r w:rsidR="007A5623">
        <w:t xml:space="preserve">own </w:t>
      </w:r>
      <w:r w:rsidRPr="00E01E13">
        <w:t xml:space="preserve">risk management and stress testing </w:t>
      </w:r>
      <w:r w:rsidR="00356C63">
        <w:t xml:space="preserve">practices </w:t>
      </w:r>
      <w:r w:rsidRPr="00E01E13">
        <w:t xml:space="preserve">as the first line of defence. </w:t>
      </w:r>
    </w:p>
    <w:p w14:paraId="756750D6" w14:textId="7CDEC7B7" w:rsidR="007F09BA" w:rsidRPr="00E01E13" w:rsidRDefault="007F09BA" w:rsidP="00A220E7">
      <w:pPr>
        <w:jc w:val="left"/>
      </w:pPr>
      <w:r w:rsidRPr="00E01E13">
        <w:lastRenderedPageBreak/>
        <w:t xml:space="preserve">To ensure datasets can be shared and aggregated where needed, interoperability must be </w:t>
      </w:r>
      <w:r w:rsidR="00FA2D34" w:rsidRPr="00E01E13">
        <w:rPr>
          <w:i/>
          <w:iCs/>
        </w:rPr>
        <w:t>the</w:t>
      </w:r>
      <w:r w:rsidRPr="00E01E13">
        <w:t xml:space="preserve"> foundational design principle. Greater efficiency can be achieved through harmonised templates and </w:t>
      </w:r>
      <w:r w:rsidR="00790AF0" w:rsidRPr="00E01E13">
        <w:t xml:space="preserve">- critically - </w:t>
      </w:r>
      <w:r w:rsidRPr="00E01E13">
        <w:t>improved data-sharing mechanisms</w:t>
      </w:r>
      <w:r w:rsidR="00790AF0" w:rsidRPr="00E01E13">
        <w:t xml:space="preserve"> between supervisors</w:t>
      </w:r>
      <w:r w:rsidRPr="00E01E13">
        <w:t>. Identifying supervisory data points in advance</w:t>
      </w:r>
      <w:r w:rsidR="00FA2D34" w:rsidRPr="00E01E13">
        <w:t xml:space="preserve"> - </w:t>
      </w:r>
      <w:r w:rsidRPr="00E01E13">
        <w:t xml:space="preserve">as suggested in the </w:t>
      </w:r>
      <w:r w:rsidR="00FA2D34" w:rsidRPr="00E01E13">
        <w:t xml:space="preserve">discussion paper - </w:t>
      </w:r>
      <w:r w:rsidRPr="00E01E13">
        <w:t>would help supervisors detect emerging risks and maintain a comprehensive dashboard in times of crisis.</w:t>
      </w:r>
    </w:p>
    <w:p w14:paraId="17952877" w14:textId="004C6639" w:rsidR="007F09BA" w:rsidRPr="007F09BA" w:rsidRDefault="007F09BA" w:rsidP="00A220E7">
      <w:pPr>
        <w:jc w:val="left"/>
      </w:pPr>
      <w:r w:rsidRPr="00E01E13">
        <w:t>Automating the delivery of these fields would further benefit both supervisors and market participants. We are strongly supportive of a</w:t>
      </w:r>
      <w:r w:rsidR="00D77A35">
        <w:t xml:space="preserve">n integrated </w:t>
      </w:r>
      <w:r w:rsidRPr="00E01E13">
        <w:t>reporting template</w:t>
      </w:r>
      <w:r w:rsidR="006D53C4">
        <w:t>, differentiated by fund type</w:t>
      </w:r>
      <w:r w:rsidR="00CE53DB">
        <w:t>, where data points</w:t>
      </w:r>
      <w:r w:rsidR="004E1AF9">
        <w:t xml:space="preserve"> that are</w:t>
      </w:r>
      <w:r w:rsidR="00CE53DB">
        <w:t xml:space="preserve"> </w:t>
      </w:r>
      <w:r w:rsidR="00087CDD">
        <w:t xml:space="preserve">relevant </w:t>
      </w:r>
      <w:r w:rsidR="00CE53DB">
        <w:t xml:space="preserve">across all funds </w:t>
      </w:r>
      <w:r w:rsidR="00087CDD">
        <w:t>(e.g. NAV</w:t>
      </w:r>
      <w:r w:rsidR="007B6538">
        <w:t xml:space="preserve">) </w:t>
      </w:r>
      <w:r w:rsidR="00A15846">
        <w:t xml:space="preserve">would </w:t>
      </w:r>
      <w:r w:rsidR="00D77A35">
        <w:t xml:space="preserve">make up </w:t>
      </w:r>
      <w:r w:rsidR="00CE53DB">
        <w:t xml:space="preserve">the </w:t>
      </w:r>
      <w:r w:rsidR="00A15846">
        <w:t xml:space="preserve">core </w:t>
      </w:r>
      <w:r w:rsidR="00D77A35">
        <w:t xml:space="preserve">section </w:t>
      </w:r>
      <w:r w:rsidR="00CE53DB">
        <w:t>of the report, with modular add-ons for fund-specific data points</w:t>
      </w:r>
      <w:r w:rsidR="000043C9">
        <w:t>.</w:t>
      </w:r>
      <w:r w:rsidR="00D77A35">
        <w:t xml:space="preserve"> Put simply, t</w:t>
      </w:r>
      <w:r w:rsidR="000043C9">
        <w:t xml:space="preserve">his would avoid a scenario where </w:t>
      </w:r>
      <w:r w:rsidR="00D77A35">
        <w:t>UCITS</w:t>
      </w:r>
      <w:r w:rsidR="00AD4B8F">
        <w:t xml:space="preserve"> would be asked </w:t>
      </w:r>
      <w:r w:rsidR="00675FCD">
        <w:t xml:space="preserve">to provide data that is relevant for AIFs but not for </w:t>
      </w:r>
      <w:r w:rsidR="00D77A35">
        <w:t>UCITS</w:t>
      </w:r>
      <w:r w:rsidRPr="00E01E13">
        <w:t xml:space="preserve">. </w:t>
      </w:r>
      <w:r w:rsidR="002525C9">
        <w:t>This approach</w:t>
      </w:r>
      <w:r w:rsidR="002525C9" w:rsidRPr="00E01E13">
        <w:t xml:space="preserve"> </w:t>
      </w:r>
      <w:r w:rsidRPr="00E01E13">
        <w:t>would create a shared language</w:t>
      </w:r>
      <w:r w:rsidRPr="007F09BA">
        <w:t xml:space="preserve"> between firms and supervisors across EU markets, drive cost savings, and facilitate coordinated supervisory actions</w:t>
      </w:r>
      <w:r w:rsidR="00A05079">
        <w:t xml:space="preserve">, </w:t>
      </w:r>
      <w:r w:rsidRPr="007F09BA">
        <w:t xml:space="preserve">making collaboration platforms, </w:t>
      </w:r>
      <w:r w:rsidR="00BF784E">
        <w:t xml:space="preserve">supervisory </w:t>
      </w:r>
      <w:r w:rsidRPr="007F09BA">
        <w:t>colleges, and other convergence tools more effective.</w:t>
      </w:r>
    </w:p>
    <w:p w14:paraId="503E277C" w14:textId="77777777" w:rsidR="007F09BA" w:rsidRPr="007F09BA" w:rsidRDefault="007F09BA" w:rsidP="00A220E7">
      <w:pPr>
        <w:jc w:val="left"/>
      </w:pPr>
      <w:r w:rsidRPr="007F09BA">
        <w:t>Taken together, these measures would support more timely and consistent data reporting, reduce inconsistencies in approach and format, and enhance financial and market integrity.</w:t>
      </w:r>
    </w:p>
    <w:permEnd w:id="517421490"/>
    <w:p w14:paraId="3D7BF70F" w14:textId="7C851428"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0BE6D3E6" w14:textId="44C747F2" w:rsidR="00D25D2C" w:rsidRDefault="00224F1E" w:rsidP="00D25D2C">
      <w:permStart w:id="1623937441" w:edGrp="everyone"/>
      <w:r>
        <w:t>W</w:t>
      </w:r>
      <w:r w:rsidR="00D25D2C" w:rsidRPr="00D25D2C">
        <w:t xml:space="preserve">e note the discussion paper’s finding that “there could be more than 100 distinct asset management reporting templates in use across the EU, varying by fund type and jurisdiction.” </w:t>
      </w:r>
      <w:r w:rsidR="00B53A12">
        <w:t xml:space="preserve">We agree with ESMA that </w:t>
      </w:r>
      <w:r w:rsidR="00034142">
        <w:t>“this</w:t>
      </w:r>
      <w:r w:rsidR="009519D0">
        <w:t xml:space="preserve"> diversity in reporting templates contributes significantly </w:t>
      </w:r>
      <w:r w:rsidR="00A27CF5">
        <w:t>to operational inefficiencies and raises compliance cost</w:t>
      </w:r>
      <w:r w:rsidR="00242140">
        <w:t>s, especially for fund managers overseeing diverse fund types across mu</w:t>
      </w:r>
      <w:r w:rsidR="009734F9">
        <w:t>ltiple Member States</w:t>
      </w:r>
      <w:r w:rsidR="00242140">
        <w:t>”</w:t>
      </w:r>
      <w:r w:rsidR="008B4449">
        <w:t>.</w:t>
      </w:r>
      <w:r w:rsidR="000F571B">
        <w:t xml:space="preserve"> </w:t>
      </w:r>
    </w:p>
    <w:p w14:paraId="0F37622D" w14:textId="42254BA8" w:rsidR="00193AC7" w:rsidRPr="008F0E54" w:rsidRDefault="003F33C5" w:rsidP="00D25D2C">
      <w:pPr>
        <w:rPr>
          <w:szCs w:val="22"/>
        </w:rPr>
      </w:pPr>
      <w:r>
        <w:rPr>
          <w:szCs w:val="22"/>
        </w:rPr>
        <w:t>One</w:t>
      </w:r>
      <w:r w:rsidR="2CEB03F0" w:rsidRPr="008F0E54">
        <w:rPr>
          <w:szCs w:val="22"/>
        </w:rPr>
        <w:t xml:space="preserve"> challenge </w:t>
      </w:r>
      <w:r>
        <w:rPr>
          <w:szCs w:val="22"/>
        </w:rPr>
        <w:t xml:space="preserve">associated with the current model not mentioned in the discussion paper </w:t>
      </w:r>
      <w:r w:rsidR="2CEB03F0" w:rsidRPr="008F0E54">
        <w:rPr>
          <w:szCs w:val="22"/>
        </w:rPr>
        <w:t xml:space="preserve">is that </w:t>
      </w:r>
      <w:r w:rsidR="2CEB03F0" w:rsidRPr="008F0E54">
        <w:rPr>
          <w:szCs w:val="22"/>
          <w:lang w:val="en-IE"/>
        </w:rPr>
        <w:t>fund-level data is often sourced from both fund administrators and via fund managers, leading to risks of misalignment, errors, and inefficiencies</w:t>
      </w:r>
      <w:r w:rsidR="00A15846">
        <w:rPr>
          <w:szCs w:val="22"/>
          <w:lang w:val="en-IE"/>
        </w:rPr>
        <w:t>. For example,</w:t>
      </w:r>
      <w:r w:rsidR="2CEB03F0" w:rsidRPr="008F0E54">
        <w:rPr>
          <w:szCs w:val="22"/>
          <w:lang w:val="en-IE"/>
        </w:rPr>
        <w:t xml:space="preserve"> </w:t>
      </w:r>
      <w:r w:rsidR="66F7E717">
        <w:rPr>
          <w:szCs w:val="22"/>
        </w:rPr>
        <w:t>p</w:t>
      </w:r>
      <w:r w:rsidR="2CEB03F0" w:rsidRPr="008F0E54">
        <w:rPr>
          <w:szCs w:val="22"/>
        </w:rPr>
        <w:t>ortfolio holding</w:t>
      </w:r>
      <w:r w:rsidR="00A15846">
        <w:rPr>
          <w:szCs w:val="22"/>
        </w:rPr>
        <w:t>s</w:t>
      </w:r>
      <w:r w:rsidR="2CEB03F0" w:rsidRPr="008F0E54">
        <w:rPr>
          <w:szCs w:val="22"/>
        </w:rPr>
        <w:t>, leverage and liquidity information are reported separately under AIFMD Annex IV, UCITS returns and MMFR quarterly reporting.</w:t>
      </w:r>
      <w:r w:rsidR="070783BE">
        <w:rPr>
          <w:szCs w:val="22"/>
        </w:rPr>
        <w:t xml:space="preserve"> </w:t>
      </w:r>
      <w:r w:rsidR="71B0A02D" w:rsidRPr="00F51E1F">
        <w:rPr>
          <w:szCs w:val="22"/>
        </w:rPr>
        <w:t xml:space="preserve">While some data points such as NAVs should be sourced from the official Accounting Book of Record, </w:t>
      </w:r>
      <w:r w:rsidR="00D45525">
        <w:rPr>
          <w:szCs w:val="22"/>
        </w:rPr>
        <w:t>other</w:t>
      </w:r>
      <w:r w:rsidR="71B0A02D" w:rsidRPr="00F51E1F">
        <w:rPr>
          <w:szCs w:val="22"/>
        </w:rPr>
        <w:t xml:space="preserve"> specific data are only available in the Investment Book of Records </w:t>
      </w:r>
      <w:r w:rsidR="00BF784E">
        <w:rPr>
          <w:szCs w:val="22"/>
        </w:rPr>
        <w:t>held by the fund manager.</w:t>
      </w:r>
      <w:r w:rsidR="71B0A02D" w:rsidRPr="00F51E1F">
        <w:rPr>
          <w:szCs w:val="22"/>
        </w:rPr>
        <w:t xml:space="preserve"> </w:t>
      </w:r>
      <w:r w:rsidR="00BF784E">
        <w:rPr>
          <w:szCs w:val="22"/>
        </w:rPr>
        <w:t xml:space="preserve">Fund managers can provide </w:t>
      </w:r>
      <w:r w:rsidR="71B0A02D" w:rsidRPr="00F51E1F">
        <w:rPr>
          <w:szCs w:val="22"/>
        </w:rPr>
        <w:t xml:space="preserve">more timely and comprehensive position data, for example </w:t>
      </w:r>
      <w:r w:rsidR="00BF784E">
        <w:rPr>
          <w:szCs w:val="22"/>
        </w:rPr>
        <w:t xml:space="preserve">in </w:t>
      </w:r>
      <w:r w:rsidR="71B0A02D" w:rsidRPr="00F51E1F">
        <w:rPr>
          <w:szCs w:val="22"/>
        </w:rPr>
        <w:t>areas such as risk metrics, exposures, stress testing,</w:t>
      </w:r>
      <w:r w:rsidR="00BC7F0E">
        <w:rPr>
          <w:szCs w:val="22"/>
        </w:rPr>
        <w:t xml:space="preserve"> and</w:t>
      </w:r>
      <w:r w:rsidR="71B0A02D" w:rsidRPr="00F51E1F">
        <w:rPr>
          <w:szCs w:val="22"/>
        </w:rPr>
        <w:t xml:space="preserve"> leverage.</w:t>
      </w:r>
    </w:p>
    <w:p w14:paraId="315BC3CC" w14:textId="4672DE10" w:rsidR="00D25D2C" w:rsidRPr="00D25D2C" w:rsidRDefault="005F2CB5" w:rsidP="00D25D2C">
      <w:r>
        <w:lastRenderedPageBreak/>
        <w:t>Another challenge is that f</w:t>
      </w:r>
      <w:r w:rsidR="00D25D2C" w:rsidRPr="00D25D2C">
        <w:t xml:space="preserve">irms currently receive multiple data requests in varying formats, which is both costly and inefficient. This becomes particularly challenging during periods of market stress, when valuable time is diverted from risk management to responding to overlapping supervisory requests. A more coordinated approach would allow </w:t>
      </w:r>
      <w:r w:rsidR="00E70A1A">
        <w:t xml:space="preserve">EU-wide </w:t>
      </w:r>
      <w:r w:rsidR="00D25D2C" w:rsidRPr="00D25D2C">
        <w:t xml:space="preserve">data to be shared across supervisors, </w:t>
      </w:r>
      <w:r w:rsidR="00E4650D">
        <w:t>allowing</w:t>
      </w:r>
      <w:r w:rsidR="00E4650D" w:rsidRPr="00D25D2C">
        <w:t xml:space="preserve"> </w:t>
      </w:r>
      <w:r w:rsidR="00D25D2C" w:rsidRPr="00D25D2C">
        <w:t xml:space="preserve">NCAs </w:t>
      </w:r>
      <w:r w:rsidR="00E4650D">
        <w:t>to</w:t>
      </w:r>
      <w:r w:rsidR="00D25D2C" w:rsidRPr="00D25D2C">
        <w:t xml:space="preserve"> follow</w:t>
      </w:r>
      <w:r w:rsidR="00E4650D">
        <w:t xml:space="preserve"> </w:t>
      </w:r>
      <w:r w:rsidR="00D25D2C" w:rsidRPr="00D25D2C">
        <w:t xml:space="preserve">up </w:t>
      </w:r>
      <w:r w:rsidR="00E4650D">
        <w:t xml:space="preserve">with the entity they supervise </w:t>
      </w:r>
      <w:r w:rsidR="00D25D2C" w:rsidRPr="00D25D2C">
        <w:t>based on consistent information.</w:t>
      </w:r>
    </w:p>
    <w:p w14:paraId="28732727" w14:textId="794D377A" w:rsidR="00D25D2C" w:rsidRPr="00D25D2C" w:rsidRDefault="00D25D2C" w:rsidP="00D25D2C">
      <w:r>
        <w:t>In addition to the</w:t>
      </w:r>
      <w:r w:rsidR="00267027">
        <w:t>se</w:t>
      </w:r>
      <w:r>
        <w:t xml:space="preserve"> 100+ routine reporting templates, firms are also subject to ad-hoc supervisory data requests at both national and European levels</w:t>
      </w:r>
      <w:r w:rsidR="00522F33">
        <w:t xml:space="preserve"> – oftentimes requesting information that has already been reported</w:t>
      </w:r>
      <w:r>
        <w:t>. These may be initiated independently by NCAs or jointly via ESMA through Common Supervisory Actions (CSAs). For cross-border firms, the cumulative impact of these additional requests is significant.</w:t>
      </w:r>
    </w:p>
    <w:p w14:paraId="64B1C5ED" w14:textId="44D89928" w:rsidR="00D25D2C" w:rsidRPr="00D25D2C" w:rsidRDefault="00D25D2C" w:rsidP="00D25D2C">
      <w:r w:rsidRPr="00D25D2C">
        <w:t xml:space="preserve">We recognise that NCAs, in fulfilling their supervisory mandates, may </w:t>
      </w:r>
      <w:r w:rsidR="00192E70">
        <w:t xml:space="preserve">need to </w:t>
      </w:r>
      <w:r w:rsidRPr="00D25D2C">
        <w:t xml:space="preserve">conduct non-routine enquiries into market dynamics. However, we encourage NCAs to focus on core supervisory priorities and limit other interventions to instances of genuine concern. </w:t>
      </w:r>
      <w:r w:rsidR="00C34F97">
        <w:t xml:space="preserve">Supervisors should </w:t>
      </w:r>
      <w:r w:rsidR="000E6810">
        <w:t xml:space="preserve">determine whether the data they seek has </w:t>
      </w:r>
      <w:r w:rsidR="004C5AA6">
        <w:t>already been reported, before initiating these</w:t>
      </w:r>
      <w:r w:rsidR="00192E70">
        <w:t xml:space="preserve"> requests. </w:t>
      </w:r>
      <w:r w:rsidRPr="00D25D2C">
        <w:t xml:space="preserve">Where possible, NCAs should assess whether similar interests exist in other jurisdictions and coordinate </w:t>
      </w:r>
      <w:r w:rsidR="0038246D">
        <w:t>ad-hoc supervisory efforts</w:t>
      </w:r>
      <w:r w:rsidRPr="00D25D2C">
        <w:t xml:space="preserve"> through a CSA</w:t>
      </w:r>
      <w:r w:rsidR="71346D47">
        <w:t xml:space="preserve"> using a standard reporting template to ensure the interoperability of the data provided</w:t>
      </w:r>
      <w:r>
        <w:t>.</w:t>
      </w:r>
    </w:p>
    <w:p w14:paraId="2C1386F3" w14:textId="3ACF41C4" w:rsidR="00D25D2C" w:rsidRDefault="00D25D2C" w:rsidP="00F21CF0">
      <w:r w:rsidRPr="00D25D2C">
        <w:t>NCAs should also provide early notice</w:t>
      </w:r>
      <w:r w:rsidR="00C67C45">
        <w:t xml:space="preserve"> - </w:t>
      </w:r>
      <w:r w:rsidRPr="00D25D2C">
        <w:t>ideally at the start of the yea</w:t>
      </w:r>
      <w:r w:rsidR="00C67C45">
        <w:t xml:space="preserve">r - </w:t>
      </w:r>
      <w:r w:rsidRPr="00D25D2C">
        <w:t xml:space="preserve">of their intention to undertake such investigations, enabling firms to allocate </w:t>
      </w:r>
      <w:r w:rsidR="00192E70">
        <w:t>resource</w:t>
      </w:r>
      <w:r w:rsidRPr="00D25D2C">
        <w:t xml:space="preserve"> capacity effectively across jurisdictions. This recommendation does not apply to market stress events</w:t>
      </w:r>
      <w:r w:rsidR="00192E70">
        <w:t xml:space="preserve"> however</w:t>
      </w:r>
      <w:r w:rsidRPr="00D25D2C">
        <w:t xml:space="preserve">, which are inherently unpredictable and where NCAs </w:t>
      </w:r>
      <w:r w:rsidR="001D3267">
        <w:t xml:space="preserve">must </w:t>
      </w:r>
      <w:r w:rsidRPr="00D25D2C">
        <w:t xml:space="preserve">retain their prerogative to act in the interest of financial stability and systemic risk. </w:t>
      </w:r>
      <w:r>
        <w:t xml:space="preserve">We </w:t>
      </w:r>
      <w:r w:rsidR="00E4650D">
        <w:t>recognise</w:t>
      </w:r>
      <w:r>
        <w:t xml:space="preserve"> that systemic events may necessitate ad-hoc request</w:t>
      </w:r>
      <w:r w:rsidR="00180E94">
        <w:t>s</w:t>
      </w:r>
      <w:r w:rsidR="3312F37C">
        <w:t xml:space="preserve"> and draw ESMA’s attention to our response to Q</w:t>
      </w:r>
      <w:r w:rsidR="0039279F">
        <w:t>.</w:t>
      </w:r>
      <w:r w:rsidR="3312F37C">
        <w:t xml:space="preserve"> 23 on the design of templates to be used in </w:t>
      </w:r>
      <w:r w:rsidR="5643A7C3">
        <w:t>crisis situations.</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6209FAC9" w14:textId="41AA23AD" w:rsidR="00161247" w:rsidRPr="008C2458" w:rsidRDefault="00180E94" w:rsidP="00161247">
      <w:pPr>
        <w:jc w:val="left"/>
        <w:rPr>
          <w:lang w:val="en-US"/>
        </w:rPr>
      </w:pPr>
      <w:permStart w:id="870786054" w:edGrp="everyone"/>
      <w:r>
        <w:rPr>
          <w:color w:val="auto"/>
        </w:rPr>
        <w:t>Yes, w</w:t>
      </w:r>
      <w:r w:rsidR="00E33F9E" w:rsidRPr="00E33F9E">
        <w:rPr>
          <w:color w:val="auto"/>
        </w:rPr>
        <w:t>e strongly support the objective of developing a more integrated reporting framework across AIFMD, UCITS, MMFR</w:t>
      </w:r>
      <w:r w:rsidR="0777BFC0" w:rsidRPr="00E33F9E">
        <w:rPr>
          <w:color w:val="auto"/>
        </w:rPr>
        <w:t xml:space="preserve">. We do consider that </w:t>
      </w:r>
      <w:r w:rsidR="008E7F01">
        <w:rPr>
          <w:color w:val="auto"/>
        </w:rPr>
        <w:t xml:space="preserve">it </w:t>
      </w:r>
      <w:r w:rsidR="00266244" w:rsidRPr="00266244">
        <w:rPr>
          <w:color w:val="auto"/>
        </w:rPr>
        <w:t xml:space="preserve">would be </w:t>
      </w:r>
      <w:r w:rsidR="00266244" w:rsidRPr="00606E4B">
        <w:rPr>
          <w:color w:val="auto"/>
        </w:rPr>
        <w:t>premature and potentially counterproductive</w:t>
      </w:r>
      <w:r w:rsidR="00266244" w:rsidRPr="00266244">
        <w:rPr>
          <w:color w:val="auto"/>
        </w:rPr>
        <w:t xml:space="preserve">, </w:t>
      </w:r>
      <w:r w:rsidR="008E7F01">
        <w:rPr>
          <w:color w:val="auto"/>
        </w:rPr>
        <w:t xml:space="preserve">to </w:t>
      </w:r>
      <w:r w:rsidR="002740DC">
        <w:rPr>
          <w:color w:val="auto"/>
        </w:rPr>
        <w:t>integrate</w:t>
      </w:r>
      <w:r w:rsidR="00E33F9E" w:rsidRPr="00E33F9E">
        <w:rPr>
          <w:color w:val="auto"/>
        </w:rPr>
        <w:t xml:space="preserve"> ECB statistical reporting</w:t>
      </w:r>
      <w:r w:rsidR="00F179DC">
        <w:rPr>
          <w:color w:val="auto"/>
        </w:rPr>
        <w:t xml:space="preserve"> </w:t>
      </w:r>
      <w:r w:rsidR="00266244">
        <w:rPr>
          <w:color w:val="auto"/>
        </w:rPr>
        <w:t>at this initial stage</w:t>
      </w:r>
      <w:r w:rsidR="008411BF">
        <w:rPr>
          <w:color w:val="auto"/>
        </w:rPr>
        <w:t>.</w:t>
      </w:r>
      <w:r w:rsidR="00AD2C93">
        <w:rPr>
          <w:color w:val="auto"/>
        </w:rPr>
        <w:t xml:space="preserve"> The primary </w:t>
      </w:r>
      <w:r w:rsidR="00B904D0" w:rsidRPr="00B904D0">
        <w:rPr>
          <w:color w:val="auto"/>
        </w:rPr>
        <w:t xml:space="preserve">purpose </w:t>
      </w:r>
      <w:r w:rsidR="00AD2C93">
        <w:rPr>
          <w:color w:val="auto"/>
        </w:rPr>
        <w:t xml:space="preserve">of </w:t>
      </w:r>
      <w:r w:rsidR="00AD2C93">
        <w:rPr>
          <w:color w:val="auto"/>
        </w:rPr>
        <w:lastRenderedPageBreak/>
        <w:t xml:space="preserve">this </w:t>
      </w:r>
      <w:r w:rsidR="00B904D0" w:rsidRPr="00B904D0">
        <w:rPr>
          <w:color w:val="auto"/>
        </w:rPr>
        <w:t xml:space="preserve">initiative is </w:t>
      </w:r>
      <w:r w:rsidR="00336608">
        <w:rPr>
          <w:color w:val="auto"/>
        </w:rPr>
        <w:t xml:space="preserve">to </w:t>
      </w:r>
      <w:r w:rsidR="00B904D0" w:rsidRPr="00B904D0">
        <w:rPr>
          <w:color w:val="auto"/>
        </w:rPr>
        <w:t xml:space="preserve">support </w:t>
      </w:r>
      <w:r w:rsidR="00B904D0" w:rsidRPr="00606E4B">
        <w:rPr>
          <w:color w:val="auto"/>
        </w:rPr>
        <w:t>NCAs</w:t>
      </w:r>
      <w:r w:rsidR="00B904D0" w:rsidRPr="00B904D0">
        <w:rPr>
          <w:color w:val="auto"/>
        </w:rPr>
        <w:t xml:space="preserve"> in their supervisory role and to ease the operational and compliance burden on </w:t>
      </w:r>
      <w:r w:rsidR="00B904D0" w:rsidRPr="00606E4B">
        <w:rPr>
          <w:color w:val="auto"/>
        </w:rPr>
        <w:t>reporting entities.</w:t>
      </w:r>
      <w:r w:rsidR="00F179DC" w:rsidRPr="00606E4B">
        <w:rPr>
          <w:color w:val="auto"/>
        </w:rPr>
        <w:t xml:space="preserve"> </w:t>
      </w:r>
      <w:r w:rsidR="001B2768">
        <w:rPr>
          <w:color w:val="auto"/>
        </w:rPr>
        <w:t>While the ECB’s</w:t>
      </w:r>
      <w:r w:rsidR="00C544B9" w:rsidRPr="00606E4B">
        <w:rPr>
          <w:color w:val="auto"/>
        </w:rPr>
        <w:t xml:space="preserve"> data collection serves monetary policy and financial stability analysis, </w:t>
      </w:r>
      <w:r w:rsidR="00FA1210">
        <w:rPr>
          <w:color w:val="auto"/>
        </w:rPr>
        <w:t>th</w:t>
      </w:r>
      <w:r w:rsidR="006F185B">
        <w:rPr>
          <w:color w:val="auto"/>
        </w:rPr>
        <w:t>is should not be conflated with</w:t>
      </w:r>
      <w:r w:rsidR="00C544B9">
        <w:rPr>
          <w:color w:val="auto"/>
        </w:rPr>
        <w:t xml:space="preserve"> </w:t>
      </w:r>
      <w:r w:rsidR="00ED2A8F">
        <w:rPr>
          <w:color w:val="auto"/>
        </w:rPr>
        <w:t xml:space="preserve">the </w:t>
      </w:r>
      <w:r w:rsidR="00C544B9" w:rsidRPr="00606E4B">
        <w:rPr>
          <w:color w:val="auto"/>
        </w:rPr>
        <w:t>fund-level supervision</w:t>
      </w:r>
      <w:r w:rsidR="00ED2A8F">
        <w:rPr>
          <w:color w:val="auto"/>
        </w:rPr>
        <w:t xml:space="preserve"> NCAs and ESMA are responsible for</w:t>
      </w:r>
      <w:r w:rsidR="00C544B9" w:rsidRPr="00606E4B">
        <w:rPr>
          <w:color w:val="auto"/>
        </w:rPr>
        <w:t>.</w:t>
      </w:r>
      <w:r w:rsidR="00552FD7">
        <w:rPr>
          <w:color w:val="auto"/>
        </w:rPr>
        <w:t xml:space="preserve"> </w:t>
      </w:r>
      <w:r w:rsidR="00892CCF" w:rsidRPr="00606E4B">
        <w:rPr>
          <w:color w:val="auto"/>
        </w:rPr>
        <w:t>Including ECB statistical requirements in a supervisory reporting framework</w:t>
      </w:r>
      <w:r w:rsidR="00AB4C09">
        <w:rPr>
          <w:color w:val="auto"/>
        </w:rPr>
        <w:t>,</w:t>
      </w:r>
      <w:r w:rsidR="00892CCF" w:rsidRPr="00606E4B">
        <w:rPr>
          <w:color w:val="auto"/>
        </w:rPr>
        <w:t xml:space="preserve"> risks conflating fundamentally different objectives and could dilute</w:t>
      </w:r>
      <w:r w:rsidR="00DF58AE" w:rsidRPr="00606E4B">
        <w:rPr>
          <w:color w:val="auto"/>
        </w:rPr>
        <w:t xml:space="preserve"> the </w:t>
      </w:r>
      <w:r w:rsidR="00892CCF" w:rsidRPr="00606E4B">
        <w:rPr>
          <w:color w:val="auto"/>
        </w:rPr>
        <w:t>effectiveness of both.</w:t>
      </w:r>
      <w:r w:rsidR="00F179DC" w:rsidRPr="00E53CC5" w:rsidDel="00B904D0">
        <w:t xml:space="preserve"> </w:t>
      </w:r>
      <w:r w:rsidR="00E53CC5" w:rsidRPr="00E53CC5">
        <w:rPr>
          <w:color w:val="auto"/>
        </w:rPr>
        <w:t xml:space="preserve">Furthermore, </w:t>
      </w:r>
      <w:r w:rsidR="00FA3872">
        <w:rPr>
          <w:color w:val="auto"/>
        </w:rPr>
        <w:t>as noted</w:t>
      </w:r>
      <w:r w:rsidR="00E53CC5" w:rsidRPr="00E53CC5">
        <w:rPr>
          <w:color w:val="auto"/>
        </w:rPr>
        <w:t xml:space="preserve"> </w:t>
      </w:r>
      <w:r w:rsidR="00AB4C09" w:rsidRPr="009C1574">
        <w:rPr>
          <w:color w:val="auto"/>
        </w:rPr>
        <w:t>in paragraph 290</w:t>
      </w:r>
      <w:r w:rsidR="00FA3872">
        <w:rPr>
          <w:color w:val="auto"/>
        </w:rPr>
        <w:t xml:space="preserve"> </w:t>
      </w:r>
      <w:r w:rsidR="00E53CC5" w:rsidRPr="00E53CC5">
        <w:rPr>
          <w:color w:val="auto"/>
        </w:rPr>
        <w:t xml:space="preserve">the ECB currently </w:t>
      </w:r>
      <w:r w:rsidR="00E53CC5" w:rsidRPr="00F5302D">
        <w:rPr>
          <w:color w:val="auto"/>
        </w:rPr>
        <w:t>r</w:t>
      </w:r>
      <w:r w:rsidR="00E53CC5" w:rsidRPr="00606E4B">
        <w:rPr>
          <w:color w:val="auto"/>
        </w:rPr>
        <w:t>elies on national central bank templates and processes</w:t>
      </w:r>
      <w:r w:rsidR="00E53CC5" w:rsidRPr="00E53CC5">
        <w:rPr>
          <w:color w:val="auto"/>
        </w:rPr>
        <w:t xml:space="preserve"> to collect statistical data</w:t>
      </w:r>
      <w:r w:rsidR="00724688">
        <w:rPr>
          <w:color w:val="auto"/>
        </w:rPr>
        <w:t xml:space="preserve">, </w:t>
      </w:r>
      <w:r w:rsidR="00F5302D">
        <w:rPr>
          <w:color w:val="auto"/>
        </w:rPr>
        <w:t xml:space="preserve">and only applies to </w:t>
      </w:r>
      <w:r w:rsidR="00647F29">
        <w:rPr>
          <w:color w:val="auto"/>
        </w:rPr>
        <w:t xml:space="preserve">funds within </w:t>
      </w:r>
      <w:r w:rsidR="00724688">
        <w:rPr>
          <w:color w:val="auto"/>
        </w:rPr>
        <w:t xml:space="preserve">the </w:t>
      </w:r>
      <w:r w:rsidR="00647F29">
        <w:rPr>
          <w:color w:val="auto"/>
        </w:rPr>
        <w:t>Eurozone</w:t>
      </w:r>
      <w:r w:rsidR="00EA1CA0" w:rsidRPr="009C1574">
        <w:rPr>
          <w:color w:val="auto"/>
        </w:rPr>
        <w:t>.</w:t>
      </w:r>
      <w:r w:rsidR="00EA1CA0">
        <w:rPr>
          <w:color w:val="auto"/>
        </w:rPr>
        <w:t xml:space="preserve"> </w:t>
      </w:r>
      <w:r w:rsidR="00BB5E1E" w:rsidRPr="00BB5E1E">
        <w:rPr>
          <w:color w:val="auto"/>
        </w:rPr>
        <w:t>This decentralised approach reflects</w:t>
      </w:r>
      <w:r w:rsidR="00E53CC5" w:rsidRPr="00E53CC5">
        <w:rPr>
          <w:color w:val="auto"/>
        </w:rPr>
        <w:t xml:space="preserve"> the </w:t>
      </w:r>
      <w:r w:rsidR="00BB5E1E" w:rsidRPr="00BB5E1E">
        <w:rPr>
          <w:color w:val="auto"/>
        </w:rPr>
        <w:t>ECB’s operational model</w:t>
      </w:r>
      <w:r w:rsidR="00647F29">
        <w:rPr>
          <w:color w:val="auto"/>
        </w:rPr>
        <w:t xml:space="preserve">, </w:t>
      </w:r>
      <w:r w:rsidR="001910E4">
        <w:rPr>
          <w:color w:val="auto"/>
        </w:rPr>
        <w:t>and alongside the differ</w:t>
      </w:r>
      <w:r w:rsidR="00E940CE">
        <w:rPr>
          <w:color w:val="auto"/>
        </w:rPr>
        <w:t>ent regional scope,</w:t>
      </w:r>
      <w:r w:rsidR="00BB5E1E" w:rsidRPr="009C1574">
        <w:rPr>
          <w:color w:val="auto"/>
        </w:rPr>
        <w:t xml:space="preserve"> </w:t>
      </w:r>
      <w:r w:rsidR="00E940CE">
        <w:rPr>
          <w:color w:val="auto"/>
        </w:rPr>
        <w:t>underlines</w:t>
      </w:r>
      <w:r w:rsidR="00BB5E1E" w:rsidRPr="00BB5E1E">
        <w:rPr>
          <w:color w:val="auto"/>
        </w:rPr>
        <w:t xml:space="preserve"> the rationale for </w:t>
      </w:r>
      <w:r w:rsidR="00BB5E1E" w:rsidRPr="00606E4B">
        <w:rPr>
          <w:color w:val="auto"/>
        </w:rPr>
        <w:t>maintaining statistical reporting as a separate stream</w:t>
      </w:r>
      <w:r w:rsidR="00BB5E1E" w:rsidRPr="00BB5E1E">
        <w:rPr>
          <w:color w:val="auto"/>
        </w:rPr>
        <w:t>.</w:t>
      </w:r>
      <w:r w:rsidR="00F179DC" w:rsidDel="00B904D0">
        <w:rPr>
          <w:color w:val="auto"/>
        </w:rPr>
        <w:t xml:space="preserve"> </w:t>
      </w:r>
      <w:r w:rsidR="002740DC">
        <w:rPr>
          <w:color w:val="auto"/>
        </w:rPr>
        <w:t xml:space="preserve">We therefore support the </w:t>
      </w:r>
      <w:r w:rsidR="00745B15">
        <w:rPr>
          <w:color w:val="auto"/>
        </w:rPr>
        <w:t xml:space="preserve">sub-scenario proposed by ESMA under Option 2 in which a unified supervisory reporting system </w:t>
      </w:r>
      <w:r w:rsidR="00710B27">
        <w:rPr>
          <w:color w:val="auto"/>
        </w:rPr>
        <w:t xml:space="preserve">would be designed for AIFs, UCITS and MMFs, while national central banks would </w:t>
      </w:r>
      <w:r w:rsidR="00AD3477">
        <w:rPr>
          <w:color w:val="auto"/>
        </w:rPr>
        <w:t>maintain their statistical templates</w:t>
      </w:r>
      <w:r w:rsidR="009A613F">
        <w:rPr>
          <w:color w:val="auto"/>
        </w:rPr>
        <w:t>.</w:t>
      </w:r>
    </w:p>
    <w:p w14:paraId="155FABFA" w14:textId="12BF0C24" w:rsidR="00E33F9E" w:rsidRDefault="00E33F9E" w:rsidP="00161247">
      <w:pPr>
        <w:jc w:val="left"/>
        <w:rPr>
          <w:color w:val="auto"/>
        </w:rPr>
      </w:pPr>
      <w:r w:rsidRPr="00E33F9E">
        <w:rPr>
          <w:color w:val="auto"/>
        </w:rPr>
        <w:t>A simplified, harmonised template would significantly enhance supervisory effectiveness while reducing duplicative reporting burdens.</w:t>
      </w:r>
      <w:r w:rsidR="00B072C1">
        <w:rPr>
          <w:color w:val="auto"/>
        </w:rPr>
        <w:t xml:space="preserve"> </w:t>
      </w:r>
    </w:p>
    <w:p w14:paraId="012A169D" w14:textId="555B0DA9" w:rsidR="00E03BCC" w:rsidRDefault="00E03BCC" w:rsidP="00A220E7">
      <w:pPr>
        <w:jc w:val="left"/>
        <w:rPr>
          <w:color w:val="auto"/>
        </w:rPr>
      </w:pPr>
      <w:r>
        <w:rPr>
          <w:color w:val="auto"/>
        </w:rPr>
        <w:t>There are a number of important factors to consider when progressing this work, including:</w:t>
      </w:r>
    </w:p>
    <w:p w14:paraId="18F4050A" w14:textId="0BFD4460" w:rsidR="004349EC" w:rsidRPr="004349EC" w:rsidRDefault="004349EC" w:rsidP="00F66B74">
      <w:pPr>
        <w:pStyle w:val="ListParagraph"/>
        <w:numPr>
          <w:ilvl w:val="0"/>
          <w:numId w:val="44"/>
        </w:numPr>
        <w:jc w:val="left"/>
        <w:rPr>
          <w:color w:val="auto"/>
        </w:rPr>
      </w:pPr>
      <w:r w:rsidRPr="004349EC">
        <w:rPr>
          <w:b/>
          <w:bCs/>
          <w:color w:val="auto"/>
        </w:rPr>
        <w:t xml:space="preserve">Sequencing: </w:t>
      </w:r>
      <w:r w:rsidRPr="004349EC">
        <w:rPr>
          <w:color w:val="auto"/>
        </w:rPr>
        <w:t xml:space="preserve">While BlackRock supports an integrated approach, we are conscious that we are expecting a change with AIFMD Annex IV reporting in </w:t>
      </w:r>
      <w:r w:rsidR="00C307F0">
        <w:rPr>
          <w:color w:val="auto"/>
        </w:rPr>
        <w:t>April</w:t>
      </w:r>
      <w:r w:rsidRPr="004349EC">
        <w:rPr>
          <w:color w:val="auto"/>
        </w:rPr>
        <w:t xml:space="preserve"> 2027. Therefore, there will already be a significant cost in the development of a reporting redesign as a result, and we would not wish to have duplication of efforts if further changes are proposed later. Should ESMA determine from this discussion paper that significant changes to fund </w:t>
      </w:r>
      <w:r w:rsidR="00E34C40">
        <w:rPr>
          <w:color w:val="auto"/>
        </w:rPr>
        <w:t xml:space="preserve">data </w:t>
      </w:r>
      <w:r w:rsidRPr="004349EC">
        <w:rPr>
          <w:color w:val="auto"/>
        </w:rPr>
        <w:t>collection are warranted</w:t>
      </w:r>
      <w:r w:rsidR="00C56CB9">
        <w:rPr>
          <w:color w:val="auto"/>
        </w:rPr>
        <w:t xml:space="preserve"> across the board</w:t>
      </w:r>
      <w:r w:rsidRPr="004349EC">
        <w:rPr>
          <w:color w:val="auto"/>
        </w:rPr>
        <w:t>, we suggest delaying the AIFMD 2.0 changes, especially since RTS will not have been developed by the time this report is finalised</w:t>
      </w:r>
      <w:r w:rsidR="001620BB">
        <w:rPr>
          <w:color w:val="auto"/>
        </w:rPr>
        <w:t>.</w:t>
      </w:r>
      <w:r w:rsidRPr="004349EC">
        <w:rPr>
          <w:color w:val="auto"/>
        </w:rPr>
        <w:t xml:space="preserve"> </w:t>
      </w:r>
    </w:p>
    <w:p w14:paraId="59C5D028" w14:textId="1089B412" w:rsidR="00F66B74" w:rsidRPr="00F66B74" w:rsidRDefault="00F66B74" w:rsidP="00F66B74">
      <w:pPr>
        <w:pStyle w:val="ListParagraph"/>
        <w:numPr>
          <w:ilvl w:val="0"/>
          <w:numId w:val="44"/>
        </w:numPr>
        <w:jc w:val="left"/>
        <w:rPr>
          <w:color w:val="auto"/>
        </w:rPr>
      </w:pPr>
      <w:r w:rsidRPr="000C1606">
        <w:rPr>
          <w:b/>
          <w:bCs/>
          <w:color w:val="auto"/>
        </w:rPr>
        <w:t>Frequency:</w:t>
      </w:r>
      <w:r>
        <w:rPr>
          <w:color w:val="auto"/>
        </w:rPr>
        <w:t xml:space="preserve"> </w:t>
      </w:r>
      <w:r w:rsidR="009A613F">
        <w:rPr>
          <w:lang w:val="en-US"/>
        </w:rPr>
        <w:t>F</w:t>
      </w:r>
      <w:r w:rsidR="009A613F" w:rsidRPr="00B5787B">
        <w:rPr>
          <w:lang w:val="en-US"/>
        </w:rPr>
        <w:t>und</w:t>
      </w:r>
      <w:r w:rsidR="009A613F">
        <w:rPr>
          <w:lang w:val="en-US"/>
        </w:rPr>
        <w:t>s</w:t>
      </w:r>
      <w:r w:rsidR="009A613F" w:rsidRPr="00B5787B">
        <w:rPr>
          <w:lang w:val="en-US"/>
        </w:rPr>
        <w:t xml:space="preserve"> should report at a frequency that is appropriate to their </w:t>
      </w:r>
      <w:r w:rsidR="009A613F">
        <w:rPr>
          <w:lang w:val="en-US"/>
        </w:rPr>
        <w:t xml:space="preserve">investment </w:t>
      </w:r>
      <w:r w:rsidR="009A613F" w:rsidRPr="00B5787B">
        <w:rPr>
          <w:lang w:val="en-US"/>
        </w:rPr>
        <w:t xml:space="preserve">strategy </w:t>
      </w:r>
      <w:r w:rsidR="009A613F">
        <w:rPr>
          <w:lang w:val="en-US"/>
        </w:rPr>
        <w:t>and risk profile</w:t>
      </w:r>
      <w:r w:rsidR="00885483">
        <w:rPr>
          <w:lang w:val="en-US"/>
        </w:rPr>
        <w:t xml:space="preserve"> – for example </w:t>
      </w:r>
      <w:r w:rsidR="00885483">
        <w:rPr>
          <w:color w:val="auto"/>
        </w:rPr>
        <w:t xml:space="preserve">it is not possible to report many aspects of AIFMD on a more frequent basis than quarterly </w:t>
      </w:r>
      <w:r w:rsidR="00885483" w:rsidRPr="0027699D">
        <w:rPr>
          <w:color w:val="auto"/>
        </w:rPr>
        <w:t>where valuations of assets and reporting are carried out on a quarterly basis.</w:t>
      </w:r>
      <w:r w:rsidR="00885483">
        <w:rPr>
          <w:color w:val="auto"/>
        </w:rPr>
        <w:t xml:space="preserve"> </w:t>
      </w:r>
      <w:r w:rsidR="009A613F">
        <w:rPr>
          <w:lang w:val="en-US"/>
        </w:rPr>
        <w:t>We therefore do not support aligning reporting frequencies across fund regimes (i.e. making MMFs, UCITS, AIFs report at the same frequency as each other)</w:t>
      </w:r>
      <w:r w:rsidR="00885483">
        <w:rPr>
          <w:lang w:val="en-US"/>
        </w:rPr>
        <w:t xml:space="preserve">. </w:t>
      </w:r>
      <w:r w:rsidR="00560DC5">
        <w:rPr>
          <w:lang w:val="en-US"/>
        </w:rPr>
        <w:t>T</w:t>
      </w:r>
      <w:r w:rsidR="009A613F">
        <w:rPr>
          <w:lang w:val="en-US"/>
        </w:rPr>
        <w:t>here is room for alignment within</w:t>
      </w:r>
      <w:r w:rsidR="00A01B03">
        <w:rPr>
          <w:lang w:val="en-US"/>
        </w:rPr>
        <w:t xml:space="preserve"> some</w:t>
      </w:r>
      <w:r w:rsidR="009A613F">
        <w:rPr>
          <w:lang w:val="en-US"/>
        </w:rPr>
        <w:t xml:space="preserve"> regimes</w:t>
      </w:r>
      <w:r w:rsidR="00560DC5">
        <w:rPr>
          <w:lang w:val="en-US"/>
        </w:rPr>
        <w:t xml:space="preserve"> however</w:t>
      </w:r>
      <w:r w:rsidR="009A613F">
        <w:rPr>
          <w:lang w:val="en-US"/>
        </w:rPr>
        <w:t xml:space="preserve"> (i.e., for UCITS to report at the same frequency </w:t>
      </w:r>
      <w:r w:rsidR="00885483">
        <w:rPr>
          <w:lang w:val="en-US"/>
        </w:rPr>
        <w:t>across Europe</w:t>
      </w:r>
      <w:r w:rsidR="009A613F">
        <w:rPr>
          <w:lang w:val="en-US"/>
        </w:rPr>
        <w:t>, in contrast to the current situation where reporting frequency depends on the national regime)</w:t>
      </w:r>
      <w:r w:rsidR="00EA377C" w:rsidRPr="00EA377C">
        <w:rPr>
          <w:rStyle w:val="FootnoteReference"/>
          <w:color w:val="auto"/>
        </w:rPr>
        <w:t xml:space="preserve"> </w:t>
      </w:r>
      <w:r w:rsidR="00EA377C">
        <w:rPr>
          <w:rStyle w:val="FootnoteReference"/>
          <w:color w:val="auto"/>
        </w:rPr>
        <w:footnoteReference w:id="2"/>
      </w:r>
      <w:r w:rsidR="009A613F">
        <w:rPr>
          <w:lang w:val="en-US"/>
        </w:rPr>
        <w:t>.</w:t>
      </w:r>
      <w:r w:rsidR="000A4E99">
        <w:rPr>
          <w:color w:val="auto"/>
        </w:rPr>
        <w:t xml:space="preserve"> The frequency of reporting needs </w:t>
      </w:r>
      <w:r w:rsidR="000A4E99">
        <w:rPr>
          <w:color w:val="auto"/>
        </w:rPr>
        <w:lastRenderedPageBreak/>
        <w:t xml:space="preserve">to </w:t>
      </w:r>
      <w:r w:rsidRPr="00F66B74">
        <w:rPr>
          <w:color w:val="auto"/>
        </w:rPr>
        <w:t>be considered carefully</w:t>
      </w:r>
      <w:r w:rsidR="00560DC5">
        <w:rPr>
          <w:color w:val="auto"/>
        </w:rPr>
        <w:t xml:space="preserve"> because i</w:t>
      </w:r>
      <w:r w:rsidR="0027699D" w:rsidRPr="0027699D">
        <w:rPr>
          <w:color w:val="auto"/>
        </w:rPr>
        <w:t>ncreasing reporting frequency</w:t>
      </w:r>
      <w:r w:rsidR="00560DC5">
        <w:rPr>
          <w:color w:val="auto"/>
        </w:rPr>
        <w:t xml:space="preserve"> for the sake of alignment</w:t>
      </w:r>
      <w:r w:rsidR="0027699D" w:rsidRPr="0027699D">
        <w:rPr>
          <w:color w:val="auto"/>
        </w:rPr>
        <w:t xml:space="preserve"> </w:t>
      </w:r>
      <w:r w:rsidR="00560DC5">
        <w:rPr>
          <w:color w:val="auto"/>
        </w:rPr>
        <w:t>c</w:t>
      </w:r>
      <w:r w:rsidR="0027699D" w:rsidRPr="0027699D">
        <w:rPr>
          <w:color w:val="auto"/>
        </w:rPr>
        <w:t xml:space="preserve">ould result in reporting of stale data and offer limited additional </w:t>
      </w:r>
      <w:proofErr w:type="gramStart"/>
      <w:r w:rsidR="0027699D" w:rsidRPr="0027699D">
        <w:rPr>
          <w:color w:val="auto"/>
        </w:rPr>
        <w:t>value</w:t>
      </w:r>
      <w:r w:rsidR="005F46F2">
        <w:rPr>
          <w:color w:val="auto"/>
        </w:rPr>
        <w:t>,</w:t>
      </w:r>
      <w:r w:rsidR="00C56CB9">
        <w:rPr>
          <w:color w:val="auto"/>
        </w:rPr>
        <w:t xml:space="preserve"> but</w:t>
      </w:r>
      <w:proofErr w:type="gramEnd"/>
      <w:r w:rsidR="00C56CB9">
        <w:rPr>
          <w:color w:val="auto"/>
        </w:rPr>
        <w:t xml:space="preserve"> w</w:t>
      </w:r>
      <w:r w:rsidR="006117AC">
        <w:rPr>
          <w:color w:val="auto"/>
        </w:rPr>
        <w:t>ould incur</w:t>
      </w:r>
      <w:r w:rsidR="00C56CB9">
        <w:rPr>
          <w:color w:val="auto"/>
        </w:rPr>
        <w:t xml:space="preserve"> a significant additional burden for reporting entities</w:t>
      </w:r>
      <w:r w:rsidR="005F46F2">
        <w:rPr>
          <w:color w:val="auto"/>
        </w:rPr>
        <w:t xml:space="preserve"> outweigh</w:t>
      </w:r>
      <w:r w:rsidR="00207884">
        <w:rPr>
          <w:color w:val="auto"/>
        </w:rPr>
        <w:t>ing</w:t>
      </w:r>
      <w:r w:rsidR="005F46F2">
        <w:rPr>
          <w:color w:val="auto"/>
        </w:rPr>
        <w:t xml:space="preserve"> the benefit of the change</w:t>
      </w:r>
      <w:r w:rsidR="0027699D" w:rsidRPr="0027699D">
        <w:rPr>
          <w:color w:val="auto"/>
        </w:rPr>
        <w:t>.</w:t>
      </w:r>
      <w:r w:rsidR="00E34A63">
        <w:rPr>
          <w:color w:val="auto"/>
        </w:rPr>
        <w:t xml:space="preserve"> See response to Q. 2</w:t>
      </w:r>
      <w:r w:rsidR="00E14527">
        <w:rPr>
          <w:color w:val="auto"/>
        </w:rPr>
        <w:t>0</w:t>
      </w:r>
      <w:r w:rsidR="00E34A63">
        <w:rPr>
          <w:color w:val="auto"/>
        </w:rPr>
        <w:t xml:space="preserve"> for more details.</w:t>
      </w:r>
    </w:p>
    <w:p w14:paraId="554EFAB9" w14:textId="10DE0E2D" w:rsidR="005F29D0" w:rsidRPr="005F29D0" w:rsidRDefault="00F66B74" w:rsidP="00F21CF0">
      <w:pPr>
        <w:pStyle w:val="ListParagraph"/>
        <w:numPr>
          <w:ilvl w:val="0"/>
          <w:numId w:val="44"/>
        </w:numPr>
        <w:jc w:val="left"/>
        <w:rPr>
          <w:color w:val="auto"/>
        </w:rPr>
      </w:pPr>
      <w:r w:rsidRPr="005F29D0">
        <w:rPr>
          <w:b/>
          <w:bCs/>
          <w:color w:val="auto"/>
        </w:rPr>
        <w:t>Jurisdictional divergence:</w:t>
      </w:r>
      <w:r w:rsidRPr="005F29D0">
        <w:rPr>
          <w:color w:val="auto"/>
        </w:rPr>
        <w:t xml:space="preserve"> If an integrated approach is taken, it will be </w:t>
      </w:r>
      <w:r w:rsidR="000C1606" w:rsidRPr="005F29D0">
        <w:rPr>
          <w:color w:val="auto"/>
        </w:rPr>
        <w:t xml:space="preserve">very important to </w:t>
      </w:r>
      <w:r w:rsidR="5081092A" w:rsidRPr="005F29D0">
        <w:rPr>
          <w:color w:val="auto"/>
        </w:rPr>
        <w:t>coordinate changes with core third country jurisdictions</w:t>
      </w:r>
      <w:r w:rsidR="001668AF">
        <w:rPr>
          <w:color w:val="auto"/>
        </w:rPr>
        <w:t>,</w:t>
      </w:r>
      <w:r w:rsidR="7CE12C8E" w:rsidRPr="005F29D0">
        <w:rPr>
          <w:color w:val="auto"/>
        </w:rPr>
        <w:t xml:space="preserve"> such as the UK </w:t>
      </w:r>
      <w:r w:rsidR="001668AF">
        <w:rPr>
          <w:color w:val="auto"/>
        </w:rPr>
        <w:t>for instance,</w:t>
      </w:r>
      <w:r w:rsidR="7CE12C8E" w:rsidRPr="005F29D0">
        <w:rPr>
          <w:color w:val="auto"/>
        </w:rPr>
        <w:t xml:space="preserve"> given the level of </w:t>
      </w:r>
      <w:r w:rsidR="00CA2FCB">
        <w:rPr>
          <w:color w:val="auto"/>
        </w:rPr>
        <w:t xml:space="preserve">EU-domiciled </w:t>
      </w:r>
      <w:r w:rsidR="7CE12C8E" w:rsidRPr="005F29D0">
        <w:rPr>
          <w:color w:val="auto"/>
        </w:rPr>
        <w:t>funds eligible for the UK Overseas Funds Regime.</w:t>
      </w:r>
      <w:r w:rsidR="5081092A" w:rsidRPr="005F29D0">
        <w:rPr>
          <w:color w:val="auto"/>
        </w:rPr>
        <w:t xml:space="preserve"> </w:t>
      </w:r>
      <w:r w:rsidR="000C1606" w:rsidRPr="005F29D0">
        <w:rPr>
          <w:color w:val="auto"/>
        </w:rPr>
        <w:t xml:space="preserve"> </w:t>
      </w:r>
    </w:p>
    <w:p w14:paraId="69604612" w14:textId="06ED3676" w:rsidR="00F21CF0" w:rsidRDefault="00F21CF0" w:rsidP="00F21CF0">
      <w:r>
        <w:t>E</w:t>
      </w:r>
      <w:permEnd w:id="870786054"/>
      <w:r>
        <w:t>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318B5E22" w14:textId="49DD4983" w:rsidR="00BB05CB" w:rsidRPr="00C17EB3" w:rsidRDefault="00BB05CB" w:rsidP="00A220E7">
      <w:pPr>
        <w:spacing w:before="100" w:beforeAutospacing="1" w:after="100" w:afterAutospacing="1" w:line="300" w:lineRule="atLeast"/>
        <w:jc w:val="left"/>
        <w:rPr>
          <w:rFonts w:eastAsia="Times New Roman"/>
          <w:color w:val="auto"/>
          <w:szCs w:val="22"/>
          <w:lang w:eastAsia="en-GB"/>
        </w:rPr>
      </w:pPr>
      <w:permStart w:id="1594840899" w:edGrp="everyone"/>
      <w:r w:rsidRPr="00C17EB3">
        <w:rPr>
          <w:rFonts w:eastAsia="Times New Roman"/>
          <w:color w:val="auto"/>
          <w:szCs w:val="22"/>
          <w:lang w:eastAsia="en-GB"/>
        </w:rPr>
        <w:t xml:space="preserve">We support </w:t>
      </w:r>
      <w:r w:rsidR="00262A5C">
        <w:rPr>
          <w:rFonts w:eastAsia="Times New Roman"/>
          <w:color w:val="auto"/>
          <w:szCs w:val="22"/>
          <w:lang w:eastAsia="en-GB"/>
        </w:rPr>
        <w:t xml:space="preserve">the sub-scenario proposed by ESMA under </w:t>
      </w:r>
      <w:r w:rsidRPr="009A13ED">
        <w:rPr>
          <w:rFonts w:eastAsia="Times New Roman"/>
          <w:color w:val="auto"/>
          <w:szCs w:val="22"/>
          <w:lang w:eastAsia="en-GB"/>
        </w:rPr>
        <w:t>Option 2 – the fully integrated reporting framework</w:t>
      </w:r>
      <w:r w:rsidRPr="00C17EB3">
        <w:rPr>
          <w:rFonts w:eastAsia="Times New Roman"/>
          <w:color w:val="auto"/>
          <w:szCs w:val="22"/>
          <w:lang w:eastAsia="en-GB"/>
        </w:rPr>
        <w:t xml:space="preserve"> </w:t>
      </w:r>
      <w:r w:rsidR="00262A5C">
        <w:rPr>
          <w:rFonts w:eastAsia="Times New Roman"/>
          <w:color w:val="auto"/>
          <w:szCs w:val="22"/>
          <w:lang w:eastAsia="en-GB"/>
        </w:rPr>
        <w:t>for AIFMD, UCITSD &amp; MMFR</w:t>
      </w:r>
      <w:r w:rsidR="009B2437">
        <w:rPr>
          <w:rFonts w:eastAsia="Times New Roman"/>
          <w:color w:val="auto"/>
          <w:szCs w:val="22"/>
          <w:lang w:eastAsia="en-GB"/>
        </w:rPr>
        <w:t>,</w:t>
      </w:r>
      <w:r w:rsidR="00262A5C">
        <w:rPr>
          <w:rFonts w:eastAsia="Times New Roman"/>
          <w:color w:val="auto"/>
          <w:szCs w:val="22"/>
          <w:lang w:eastAsia="en-GB"/>
        </w:rPr>
        <w:t xml:space="preserve"> excluding ECB statistical data </w:t>
      </w:r>
      <w:r w:rsidR="009D4DCD">
        <w:rPr>
          <w:rFonts w:eastAsia="Times New Roman"/>
          <w:color w:val="auto"/>
          <w:szCs w:val="22"/>
          <w:lang w:eastAsia="en-GB"/>
        </w:rPr>
        <w:t xml:space="preserve">as discussed in </w:t>
      </w:r>
      <w:r w:rsidR="00CD6AC6">
        <w:rPr>
          <w:rFonts w:eastAsia="Times New Roman"/>
          <w:color w:val="auto"/>
          <w:szCs w:val="22"/>
          <w:lang w:eastAsia="en-GB"/>
        </w:rPr>
        <w:t>our answer to Q</w:t>
      </w:r>
      <w:r w:rsidR="0069184F">
        <w:rPr>
          <w:rFonts w:eastAsia="Times New Roman"/>
          <w:color w:val="auto"/>
          <w:szCs w:val="22"/>
          <w:lang w:eastAsia="en-GB"/>
        </w:rPr>
        <w:t>.</w:t>
      </w:r>
      <w:r w:rsidR="00CD6AC6">
        <w:rPr>
          <w:rFonts w:eastAsia="Times New Roman"/>
          <w:color w:val="auto"/>
          <w:szCs w:val="22"/>
          <w:lang w:eastAsia="en-GB"/>
        </w:rPr>
        <w:t xml:space="preserve"> </w:t>
      </w:r>
      <w:r w:rsidR="009E7475">
        <w:rPr>
          <w:rFonts w:eastAsia="Times New Roman"/>
          <w:color w:val="auto"/>
          <w:szCs w:val="22"/>
          <w:lang w:eastAsia="en-GB"/>
        </w:rPr>
        <w:t xml:space="preserve">4 </w:t>
      </w:r>
      <w:r w:rsidRPr="00C17EB3">
        <w:rPr>
          <w:rFonts w:eastAsia="Times New Roman"/>
          <w:color w:val="auto"/>
          <w:szCs w:val="22"/>
          <w:lang w:eastAsia="en-GB"/>
        </w:rPr>
        <w:t>– as the most effective and proportionate solution among the options presented.</w:t>
      </w:r>
      <w:r w:rsidR="00DB3A0F">
        <w:rPr>
          <w:rFonts w:eastAsia="Times New Roman"/>
          <w:color w:val="auto"/>
          <w:szCs w:val="22"/>
          <w:lang w:eastAsia="en-GB"/>
        </w:rPr>
        <w:t xml:space="preserve"> </w:t>
      </w:r>
      <w:r w:rsidRPr="00C17EB3">
        <w:rPr>
          <w:rFonts w:eastAsia="Times New Roman"/>
          <w:color w:val="auto"/>
          <w:szCs w:val="22"/>
          <w:lang w:eastAsia="en-GB"/>
        </w:rPr>
        <w:t>It provides a robust foundation for long-term supervisory efficiency and data quality, while also addressing the operational burden currently faced by fund managers.</w:t>
      </w:r>
    </w:p>
    <w:p w14:paraId="7801A0AC" w14:textId="09D4C183" w:rsidR="005317CD" w:rsidRDefault="00BB05CB" w:rsidP="00A220E7">
      <w:pPr>
        <w:spacing w:before="100" w:beforeAutospacing="1" w:after="100" w:afterAutospacing="1" w:line="300" w:lineRule="atLeast"/>
        <w:jc w:val="left"/>
        <w:rPr>
          <w:rFonts w:eastAsia="Times New Roman"/>
          <w:color w:val="auto"/>
          <w:szCs w:val="22"/>
          <w:lang w:eastAsia="en-GB"/>
        </w:rPr>
      </w:pPr>
      <w:r w:rsidRPr="00C17EB3">
        <w:rPr>
          <w:rFonts w:eastAsia="Times New Roman"/>
          <w:color w:val="auto"/>
          <w:szCs w:val="22"/>
          <w:lang w:eastAsia="en-GB"/>
        </w:rPr>
        <w:t xml:space="preserve">The key advantage of </w:t>
      </w:r>
      <w:r w:rsidR="00FE3E70">
        <w:rPr>
          <w:rFonts w:eastAsia="Times New Roman"/>
          <w:color w:val="auto"/>
          <w:szCs w:val="22"/>
          <w:lang w:eastAsia="en-GB"/>
        </w:rPr>
        <w:t xml:space="preserve">the sub-scenario in </w:t>
      </w:r>
      <w:r w:rsidRPr="00C17EB3">
        <w:rPr>
          <w:rFonts w:eastAsia="Times New Roman"/>
          <w:color w:val="auto"/>
          <w:szCs w:val="22"/>
          <w:lang w:eastAsia="en-GB"/>
        </w:rPr>
        <w:t xml:space="preserve">Option 2 lies in its ability to streamline reporting through a </w:t>
      </w:r>
      <w:r w:rsidR="003C1503">
        <w:rPr>
          <w:rFonts w:eastAsia="Times New Roman"/>
          <w:color w:val="auto"/>
          <w:szCs w:val="22"/>
          <w:lang w:eastAsia="en-GB"/>
        </w:rPr>
        <w:t>modular and layered reporting structure</w:t>
      </w:r>
      <w:r w:rsidR="00CA4B22">
        <w:rPr>
          <w:rFonts w:eastAsia="Times New Roman"/>
          <w:color w:val="auto"/>
          <w:szCs w:val="22"/>
          <w:lang w:eastAsia="en-GB"/>
        </w:rPr>
        <w:t>, combining a core set of data applicable to all UCITS and AIFs with additional modules tailored to fund-specific characteristics</w:t>
      </w:r>
      <w:r w:rsidR="005317CD">
        <w:rPr>
          <w:rFonts w:eastAsia="Times New Roman"/>
          <w:color w:val="auto"/>
          <w:szCs w:val="22"/>
          <w:lang w:eastAsia="en-GB"/>
        </w:rPr>
        <w:t>, such as fund type, strategy and risk profile</w:t>
      </w:r>
      <w:r w:rsidRPr="00C17EB3">
        <w:rPr>
          <w:rFonts w:eastAsia="Times New Roman"/>
          <w:color w:val="auto"/>
          <w:szCs w:val="22"/>
          <w:lang w:eastAsia="en-GB"/>
        </w:rPr>
        <w:t>.</w:t>
      </w:r>
    </w:p>
    <w:p w14:paraId="4AA7029C" w14:textId="66F4F235" w:rsidR="00BB05CB" w:rsidRPr="00C17EB3" w:rsidRDefault="00BB05CB" w:rsidP="00A220E7">
      <w:pPr>
        <w:spacing w:before="100" w:beforeAutospacing="1" w:after="100" w:afterAutospacing="1" w:line="300" w:lineRule="atLeast"/>
        <w:jc w:val="left"/>
        <w:rPr>
          <w:rFonts w:eastAsia="Times New Roman"/>
          <w:color w:val="auto"/>
          <w:szCs w:val="22"/>
          <w:lang w:eastAsia="en-GB"/>
        </w:rPr>
      </w:pPr>
      <w:r w:rsidRPr="00C17EB3">
        <w:rPr>
          <w:rFonts w:eastAsia="Times New Roman"/>
          <w:color w:val="auto"/>
          <w:szCs w:val="22"/>
          <w:lang w:eastAsia="en-GB"/>
        </w:rPr>
        <w:t xml:space="preserve">By consolidating multiple reporting regimes </w:t>
      </w:r>
      <w:r w:rsidR="005317CD">
        <w:rPr>
          <w:rFonts w:eastAsia="Times New Roman"/>
          <w:color w:val="auto"/>
          <w:szCs w:val="22"/>
          <w:lang w:eastAsia="en-GB"/>
        </w:rPr>
        <w:t>in this way,</w:t>
      </w:r>
      <w:r w:rsidRPr="00C17EB3">
        <w:rPr>
          <w:rFonts w:eastAsia="Times New Roman"/>
          <w:color w:val="auto"/>
          <w:szCs w:val="22"/>
          <w:lang w:eastAsia="en-GB"/>
        </w:rPr>
        <w:t xml:space="preserve"> it</w:t>
      </w:r>
      <w:r w:rsidR="00480E10">
        <w:rPr>
          <w:rFonts w:eastAsia="Times New Roman"/>
          <w:color w:val="auto"/>
          <w:szCs w:val="22"/>
          <w:lang w:eastAsia="en-GB"/>
        </w:rPr>
        <w:t xml:space="preserve"> would</w:t>
      </w:r>
      <w:r w:rsidRPr="00C17EB3">
        <w:rPr>
          <w:rFonts w:eastAsia="Times New Roman"/>
          <w:color w:val="auto"/>
          <w:szCs w:val="22"/>
          <w:lang w:eastAsia="en-GB"/>
        </w:rPr>
        <w:t xml:space="preserve"> significantly reduce duplication and manual effort. The inclusion of dedicated modules tailored to fund-specific characteristics (such as strategy or risk profile) ensures that the framework remains flexible and responsive to the diversity of the European fund landscape. At the same time, the use of a harmonised core </w:t>
      </w:r>
      <w:r w:rsidRPr="00C17EB3">
        <w:rPr>
          <w:rFonts w:eastAsia="Times New Roman"/>
          <w:color w:val="auto"/>
          <w:szCs w:val="22"/>
          <w:lang w:eastAsia="en-GB"/>
        </w:rPr>
        <w:lastRenderedPageBreak/>
        <w:t>dataset enhances data comparability and usability across supervisory domains, improving the alignment between reported data and regulatory objectives.</w:t>
      </w:r>
    </w:p>
    <w:p w14:paraId="459EEA27" w14:textId="77777777" w:rsidR="00692CBC" w:rsidRDefault="00BB05CB" w:rsidP="00A220E7">
      <w:pPr>
        <w:spacing w:before="100" w:beforeAutospacing="1" w:after="100" w:afterAutospacing="1" w:line="300" w:lineRule="atLeast"/>
        <w:jc w:val="left"/>
        <w:rPr>
          <w:rFonts w:eastAsia="Times New Roman"/>
          <w:color w:val="auto"/>
          <w:szCs w:val="22"/>
          <w:lang w:eastAsia="en-GB"/>
        </w:rPr>
      </w:pPr>
      <w:r w:rsidRPr="00C17EB3">
        <w:rPr>
          <w:rFonts w:eastAsia="Times New Roman"/>
          <w:color w:val="auto"/>
          <w:szCs w:val="22"/>
          <w:lang w:eastAsia="en-GB"/>
        </w:rPr>
        <w:t xml:space="preserve">We acknowledge that the implementation of Option 2 will entail upfront costs, particularly in terms of system upgrades, training, and process redesign. However, </w:t>
      </w:r>
      <w:r w:rsidR="00AD4D41">
        <w:rPr>
          <w:rFonts w:eastAsia="Times New Roman"/>
          <w:color w:val="auto"/>
          <w:szCs w:val="22"/>
          <w:lang w:eastAsia="en-GB"/>
        </w:rPr>
        <w:t>i</w:t>
      </w:r>
      <w:r w:rsidR="00F5376E">
        <w:rPr>
          <w:rFonts w:eastAsia="Times New Roman"/>
          <w:color w:val="auto"/>
          <w:szCs w:val="22"/>
          <w:lang w:eastAsia="en-GB"/>
        </w:rPr>
        <w:t xml:space="preserve">f the implementation is done in the right way, with burden reduction front and centre, then </w:t>
      </w:r>
      <w:r w:rsidRPr="00C17EB3">
        <w:rPr>
          <w:rFonts w:eastAsia="Times New Roman"/>
          <w:color w:val="auto"/>
          <w:szCs w:val="22"/>
          <w:lang w:eastAsia="en-GB"/>
        </w:rPr>
        <w:t xml:space="preserve">these are expected to be offset over time by the efficiency gains and reduced compliance burden. </w:t>
      </w:r>
    </w:p>
    <w:p w14:paraId="041C06B9" w14:textId="4AD736F6" w:rsidR="00BB05CB" w:rsidRPr="00C17EB3" w:rsidRDefault="000955A2" w:rsidP="00A220E7">
      <w:pPr>
        <w:spacing w:before="100" w:beforeAutospacing="1" w:after="100" w:afterAutospacing="1" w:line="300" w:lineRule="atLeast"/>
        <w:jc w:val="left"/>
        <w:rPr>
          <w:rFonts w:eastAsia="Times New Roman"/>
          <w:color w:val="auto"/>
          <w:szCs w:val="22"/>
          <w:lang w:eastAsia="en-GB"/>
        </w:rPr>
      </w:pPr>
      <w:r>
        <w:rPr>
          <w:rFonts w:eastAsia="Times New Roman"/>
          <w:color w:val="auto"/>
          <w:szCs w:val="22"/>
          <w:lang w:eastAsia="en-GB"/>
        </w:rPr>
        <w:t>This approach will require</w:t>
      </w:r>
      <w:r w:rsidR="00BB05CB" w:rsidRPr="00C17EB3">
        <w:rPr>
          <w:rFonts w:eastAsia="Times New Roman"/>
          <w:color w:val="auto"/>
          <w:szCs w:val="22"/>
          <w:lang w:eastAsia="en-GB"/>
        </w:rPr>
        <w:t xml:space="preserve"> strong coordination between ESMA</w:t>
      </w:r>
      <w:r w:rsidR="00D874C0">
        <w:rPr>
          <w:rFonts w:eastAsia="Times New Roman"/>
          <w:color w:val="auto"/>
          <w:szCs w:val="22"/>
          <w:lang w:eastAsia="en-GB"/>
        </w:rPr>
        <w:t xml:space="preserve"> and the</w:t>
      </w:r>
      <w:r w:rsidR="00BB05CB" w:rsidRPr="00C17EB3">
        <w:rPr>
          <w:rFonts w:eastAsia="Times New Roman"/>
          <w:color w:val="auto"/>
          <w:szCs w:val="22"/>
          <w:lang w:eastAsia="en-GB"/>
        </w:rPr>
        <w:t xml:space="preserve"> NCAs, to ensure consistent application and interpretation of the framework. </w:t>
      </w:r>
      <w:r>
        <w:rPr>
          <w:rFonts w:eastAsia="Times New Roman"/>
          <w:color w:val="auto"/>
          <w:szCs w:val="22"/>
          <w:lang w:eastAsia="en-GB"/>
        </w:rPr>
        <w:t>In addition</w:t>
      </w:r>
      <w:r w:rsidR="00665797">
        <w:rPr>
          <w:rFonts w:eastAsia="Times New Roman"/>
          <w:color w:val="auto"/>
          <w:szCs w:val="22"/>
          <w:lang w:eastAsia="en-GB"/>
        </w:rPr>
        <w:t>,</w:t>
      </w:r>
      <w:r>
        <w:rPr>
          <w:rFonts w:eastAsia="Times New Roman"/>
          <w:color w:val="auto"/>
          <w:szCs w:val="22"/>
          <w:lang w:eastAsia="en-GB"/>
        </w:rPr>
        <w:t xml:space="preserve"> NCAs will </w:t>
      </w:r>
      <w:r w:rsidR="00665797">
        <w:rPr>
          <w:rFonts w:eastAsia="Times New Roman"/>
          <w:color w:val="auto"/>
          <w:szCs w:val="22"/>
          <w:lang w:eastAsia="en-GB"/>
        </w:rPr>
        <w:t>admittedly</w:t>
      </w:r>
      <w:r>
        <w:rPr>
          <w:rFonts w:eastAsia="Times New Roman"/>
          <w:color w:val="auto"/>
          <w:szCs w:val="22"/>
          <w:lang w:eastAsia="en-GB"/>
        </w:rPr>
        <w:t xml:space="preserve"> face a </w:t>
      </w:r>
      <w:r w:rsidR="00D46B84">
        <w:rPr>
          <w:rFonts w:eastAsia="Times New Roman"/>
          <w:color w:val="auto"/>
          <w:szCs w:val="22"/>
          <w:lang w:eastAsia="en-GB"/>
        </w:rPr>
        <w:t>reduction in flexibility</w:t>
      </w:r>
      <w:r w:rsidR="00BB05CB" w:rsidRPr="00C17EB3">
        <w:rPr>
          <w:rFonts w:eastAsia="Times New Roman"/>
          <w:color w:val="auto"/>
          <w:szCs w:val="22"/>
          <w:lang w:eastAsia="en-GB"/>
        </w:rPr>
        <w:t xml:space="preserve"> </w:t>
      </w:r>
      <w:r w:rsidR="00665797">
        <w:rPr>
          <w:rFonts w:eastAsia="Times New Roman"/>
          <w:color w:val="auto"/>
          <w:szCs w:val="22"/>
          <w:lang w:eastAsia="en-GB"/>
        </w:rPr>
        <w:t>in order to achieve the des</w:t>
      </w:r>
      <w:r w:rsidR="00577830">
        <w:rPr>
          <w:rFonts w:eastAsia="Times New Roman"/>
          <w:color w:val="auto"/>
          <w:szCs w:val="22"/>
          <w:lang w:eastAsia="en-GB"/>
        </w:rPr>
        <w:t>i</w:t>
      </w:r>
      <w:r w:rsidR="00665797">
        <w:rPr>
          <w:rFonts w:eastAsia="Times New Roman"/>
          <w:color w:val="auto"/>
          <w:szCs w:val="22"/>
          <w:lang w:eastAsia="en-GB"/>
        </w:rPr>
        <w:t xml:space="preserve">red outcome of </w:t>
      </w:r>
      <w:r w:rsidR="00BB05CB" w:rsidRPr="00C17EB3">
        <w:rPr>
          <w:rFonts w:eastAsia="Times New Roman"/>
          <w:color w:val="auto"/>
          <w:szCs w:val="22"/>
          <w:lang w:eastAsia="en-GB"/>
        </w:rPr>
        <w:t>long-term harmonisation and supervisory coherence.</w:t>
      </w:r>
    </w:p>
    <w:p w14:paraId="423A97D6" w14:textId="26F8EFE4" w:rsidR="00BB05CB" w:rsidRPr="00C17EB3" w:rsidRDefault="00BB05CB" w:rsidP="00A220E7">
      <w:pPr>
        <w:spacing w:before="100" w:beforeAutospacing="1" w:after="100" w:afterAutospacing="1" w:line="300" w:lineRule="atLeast"/>
        <w:jc w:val="left"/>
        <w:rPr>
          <w:rFonts w:eastAsia="Times New Roman"/>
          <w:color w:val="auto"/>
          <w:lang w:eastAsia="en-GB"/>
        </w:rPr>
      </w:pPr>
      <w:r w:rsidRPr="13528C47">
        <w:rPr>
          <w:rFonts w:eastAsia="Times New Roman"/>
          <w:color w:val="auto"/>
          <w:lang w:eastAsia="en-GB"/>
        </w:rPr>
        <w:t xml:space="preserve">To ensure feasibility and proportionality, we recommend a phased implementation. This should begin with a comprehensive stocktake and gap analysis of existing reporting obligations, followed by a pilot phase involving a subset of fund types and jurisdictions. A modular rollout should then be pursued, starting with the core reporting template and gradually introducing fund-specific modules. Throughout this process, industry consultation will be essential. We propose the establishment of a temporary advisory group to provide practical input on data fields, reporting frequency, and technical </w:t>
      </w:r>
      <w:r w:rsidR="000909C0" w:rsidRPr="13528C47">
        <w:rPr>
          <w:rFonts w:eastAsia="Times New Roman"/>
          <w:color w:val="auto"/>
          <w:lang w:eastAsia="en-GB"/>
        </w:rPr>
        <w:t xml:space="preserve">build and </w:t>
      </w:r>
      <w:r w:rsidRPr="13528C47">
        <w:rPr>
          <w:rFonts w:eastAsia="Times New Roman"/>
          <w:color w:val="auto"/>
          <w:lang w:eastAsia="en-GB"/>
        </w:rPr>
        <w:t xml:space="preserve">standards. Finally, it is critical that the new framework </w:t>
      </w:r>
      <w:r>
        <w:rPr>
          <w:rFonts w:eastAsia="Times New Roman"/>
          <w:color w:val="auto"/>
          <w:lang w:eastAsia="en-GB"/>
        </w:rPr>
        <w:t xml:space="preserve">is </w:t>
      </w:r>
      <w:r w:rsidR="2AA2DD84" w:rsidRPr="13528C47">
        <w:rPr>
          <w:rFonts w:eastAsia="Times New Roman"/>
          <w:color w:val="auto"/>
          <w:lang w:eastAsia="en-GB"/>
        </w:rPr>
        <w:t xml:space="preserve">designed to ensure </w:t>
      </w:r>
      <w:r w:rsidRPr="13528C47">
        <w:rPr>
          <w:rFonts w:eastAsia="Times New Roman"/>
          <w:color w:val="auto"/>
          <w:lang w:eastAsia="en-GB"/>
        </w:rPr>
        <w:t>interopera</w:t>
      </w:r>
      <w:r w:rsidR="18807819" w:rsidRPr="13528C47">
        <w:rPr>
          <w:rFonts w:eastAsia="Times New Roman"/>
          <w:color w:val="auto"/>
          <w:lang w:eastAsia="en-GB"/>
        </w:rPr>
        <w:t>bility</w:t>
      </w:r>
      <w:r w:rsidRPr="13528C47">
        <w:rPr>
          <w:rFonts w:eastAsia="Times New Roman"/>
          <w:color w:val="auto"/>
          <w:lang w:eastAsia="en-GB"/>
        </w:rPr>
        <w:t xml:space="preserve"> </w:t>
      </w:r>
      <w:r w:rsidR="003A2C2B" w:rsidRPr="13528C47">
        <w:rPr>
          <w:rFonts w:eastAsia="Times New Roman"/>
          <w:color w:val="auto"/>
          <w:lang w:eastAsia="en-GB"/>
        </w:rPr>
        <w:t>between</w:t>
      </w:r>
      <w:r w:rsidRPr="13528C47">
        <w:rPr>
          <w:rFonts w:eastAsia="Times New Roman"/>
          <w:color w:val="auto"/>
          <w:lang w:eastAsia="en-GB"/>
        </w:rPr>
        <w:t xml:space="preserve"> </w:t>
      </w:r>
      <w:r w:rsidR="00A4195A" w:rsidRPr="13528C47">
        <w:rPr>
          <w:rFonts w:eastAsia="Times New Roman"/>
          <w:color w:val="auto"/>
          <w:lang w:eastAsia="en-GB"/>
        </w:rPr>
        <w:t xml:space="preserve">the separate </w:t>
      </w:r>
      <w:r w:rsidRPr="13528C47">
        <w:rPr>
          <w:rFonts w:eastAsia="Times New Roman"/>
          <w:color w:val="auto"/>
          <w:lang w:eastAsia="en-GB"/>
        </w:rPr>
        <w:t>ECB statistical reporting to maximise data reuse and avoid duplication.</w:t>
      </w:r>
    </w:p>
    <w:p w14:paraId="5CDFC229" w14:textId="227F2831" w:rsidR="00BB05CB" w:rsidRPr="00C17EB3" w:rsidRDefault="00BB05CB" w:rsidP="00A220E7">
      <w:pPr>
        <w:spacing w:before="100" w:beforeAutospacing="1" w:after="100" w:afterAutospacing="1" w:line="300" w:lineRule="atLeast"/>
        <w:jc w:val="left"/>
        <w:rPr>
          <w:rFonts w:eastAsia="Times New Roman"/>
          <w:color w:val="auto"/>
          <w:szCs w:val="22"/>
          <w:lang w:eastAsia="en-GB"/>
        </w:rPr>
      </w:pPr>
      <w:r w:rsidRPr="00C17EB3">
        <w:rPr>
          <w:rFonts w:eastAsia="Times New Roman"/>
          <w:color w:val="auto"/>
          <w:szCs w:val="22"/>
          <w:lang w:eastAsia="en-GB"/>
        </w:rPr>
        <w:t xml:space="preserve">In contrast, </w:t>
      </w:r>
      <w:r w:rsidRPr="009A13ED">
        <w:rPr>
          <w:rFonts w:eastAsia="Times New Roman"/>
          <w:color w:val="auto"/>
          <w:szCs w:val="22"/>
          <w:lang w:eastAsia="en-GB"/>
        </w:rPr>
        <w:t>Option 1,</w:t>
      </w:r>
      <w:r w:rsidRPr="00C17EB3">
        <w:rPr>
          <w:rFonts w:eastAsia="Times New Roman"/>
          <w:color w:val="auto"/>
          <w:szCs w:val="22"/>
          <w:lang w:eastAsia="en-GB"/>
        </w:rPr>
        <w:t xml:space="preserve"> while less disruptive, does not deliver a sufficient reduction in </w:t>
      </w:r>
      <w:r w:rsidR="00E74F29">
        <w:rPr>
          <w:rFonts w:eastAsia="Times New Roman"/>
          <w:color w:val="auto"/>
          <w:szCs w:val="22"/>
          <w:lang w:eastAsia="en-GB"/>
        </w:rPr>
        <w:t xml:space="preserve">the </w:t>
      </w:r>
      <w:r w:rsidRPr="00C17EB3">
        <w:rPr>
          <w:rFonts w:eastAsia="Times New Roman"/>
          <w:color w:val="auto"/>
          <w:szCs w:val="22"/>
          <w:lang w:eastAsia="en-GB"/>
        </w:rPr>
        <w:t xml:space="preserve">reporting burden to justify the change and resource investment it would require. The continued coexistence of multiple templates and conflicting reporting </w:t>
      </w:r>
      <w:r w:rsidR="00A15A4E">
        <w:rPr>
          <w:rFonts w:eastAsia="Times New Roman"/>
          <w:color w:val="auto"/>
          <w:szCs w:val="22"/>
          <w:lang w:eastAsia="en-GB"/>
        </w:rPr>
        <w:t>preferences by</w:t>
      </w:r>
      <w:r w:rsidR="00CD5806">
        <w:rPr>
          <w:rFonts w:eastAsia="Times New Roman"/>
          <w:color w:val="auto"/>
          <w:szCs w:val="22"/>
          <w:lang w:eastAsia="en-GB"/>
        </w:rPr>
        <w:t xml:space="preserve"> NCAs</w:t>
      </w:r>
      <w:r w:rsidR="00A15A4E" w:rsidRPr="00C17EB3">
        <w:rPr>
          <w:rFonts w:eastAsia="Times New Roman"/>
          <w:color w:val="auto"/>
          <w:szCs w:val="22"/>
          <w:lang w:eastAsia="en-GB"/>
        </w:rPr>
        <w:t xml:space="preserve"> </w:t>
      </w:r>
      <w:r w:rsidRPr="00C17EB3">
        <w:rPr>
          <w:rFonts w:eastAsia="Times New Roman"/>
          <w:color w:val="auto"/>
          <w:szCs w:val="22"/>
          <w:lang w:eastAsia="en-GB"/>
        </w:rPr>
        <w:t>would perpetuate inefficiencies and technological integration challenges, offering only marginal improvements over the status quo.</w:t>
      </w:r>
    </w:p>
    <w:p w14:paraId="0F287B6F" w14:textId="77777777" w:rsidR="00BB05CB" w:rsidRPr="00C17EB3" w:rsidRDefault="00BB05CB" w:rsidP="00A220E7">
      <w:pPr>
        <w:spacing w:before="100" w:beforeAutospacing="1" w:after="100" w:afterAutospacing="1" w:line="300" w:lineRule="atLeast"/>
        <w:jc w:val="left"/>
        <w:rPr>
          <w:rFonts w:eastAsia="Times New Roman"/>
          <w:color w:val="auto"/>
          <w:szCs w:val="22"/>
          <w:lang w:eastAsia="en-GB"/>
        </w:rPr>
      </w:pPr>
      <w:r w:rsidRPr="009A13ED">
        <w:rPr>
          <w:rFonts w:eastAsia="Times New Roman"/>
          <w:color w:val="auto"/>
          <w:szCs w:val="22"/>
          <w:lang w:eastAsia="en-GB"/>
        </w:rPr>
        <w:t>Option 3,</w:t>
      </w:r>
      <w:r w:rsidRPr="00C17EB3">
        <w:rPr>
          <w:rFonts w:eastAsia="Times New Roman"/>
          <w:color w:val="auto"/>
          <w:szCs w:val="22"/>
          <w:lang w:eastAsia="en-GB"/>
        </w:rPr>
        <w:t xml:space="preserve"> although building on the strengths of Option 2, introduces the risk of excessive national divergence and regulatory gold-plating. Allowing national extensions, even in limited cases, could reintroduce fragmentation and complexity, particularly in times of market stress when streamlined data collection is most critical. This would undermine the very objective of harmonisation and simplification that the integrated framework seeks to achieve.</w:t>
      </w:r>
    </w:p>
    <w:p w14:paraId="1F141151" w14:textId="77777777" w:rsidR="00BB05CB" w:rsidRPr="00C17EB3" w:rsidRDefault="00BB05CB" w:rsidP="00A220E7">
      <w:pPr>
        <w:spacing w:before="100" w:beforeAutospacing="1" w:after="100" w:afterAutospacing="1" w:line="300" w:lineRule="atLeast"/>
        <w:jc w:val="left"/>
        <w:rPr>
          <w:rFonts w:eastAsia="Times New Roman"/>
          <w:color w:val="auto"/>
          <w:szCs w:val="22"/>
          <w:lang w:eastAsia="en-GB"/>
        </w:rPr>
      </w:pPr>
      <w:r w:rsidRPr="00C17EB3">
        <w:rPr>
          <w:rFonts w:eastAsia="Times New Roman"/>
          <w:color w:val="auto"/>
          <w:szCs w:val="22"/>
          <w:lang w:eastAsia="en-GB"/>
        </w:rPr>
        <w:t>For these reasons, we consider Option 2 to be the most balanced and forward-looking approach. It offers a realistic path to achieving a harmonised, efficient, and future-proof reporting framework that meets both supervisory and industry needs.</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470FF59E" w14:textId="6D93F58E" w:rsidR="00CB7F22" w:rsidRPr="00D0194B" w:rsidRDefault="00D0194B" w:rsidP="00D0194B">
      <w:pPr>
        <w:rPr>
          <w:color w:val="000000" w:themeColor="text1"/>
          <w:szCs w:val="22"/>
        </w:rPr>
      </w:pPr>
      <w:permStart w:id="1818302197" w:edGrp="everyone"/>
      <w:r w:rsidRPr="00D0194B">
        <w:rPr>
          <w:color w:val="000000" w:themeColor="text1"/>
          <w:szCs w:val="22"/>
        </w:rPr>
        <w:t>A key challenge lies in the reporting frequency</w:t>
      </w:r>
      <w:r>
        <w:rPr>
          <w:color w:val="000000" w:themeColor="text1"/>
          <w:szCs w:val="22"/>
        </w:rPr>
        <w:t xml:space="preserve">, </w:t>
      </w:r>
      <w:r w:rsidRPr="00D0194B">
        <w:rPr>
          <w:color w:val="000000" w:themeColor="text1"/>
          <w:szCs w:val="22"/>
        </w:rPr>
        <w:t xml:space="preserve">whether daily or periodic. </w:t>
      </w:r>
      <w:r>
        <w:rPr>
          <w:color w:val="000000" w:themeColor="text1"/>
          <w:szCs w:val="22"/>
        </w:rPr>
        <w:t xml:space="preserve">EMIR, SFTR and MiFID/MiFIR </w:t>
      </w:r>
      <w:r w:rsidRPr="00D0194B">
        <w:rPr>
          <w:color w:val="000000" w:themeColor="text1"/>
          <w:szCs w:val="22"/>
        </w:rPr>
        <w:t>frameworks tend to emphasi</w:t>
      </w:r>
      <w:r>
        <w:rPr>
          <w:color w:val="000000" w:themeColor="text1"/>
          <w:szCs w:val="22"/>
        </w:rPr>
        <w:t>s</w:t>
      </w:r>
      <w:r w:rsidRPr="00D0194B">
        <w:rPr>
          <w:color w:val="000000" w:themeColor="text1"/>
          <w:szCs w:val="22"/>
        </w:rPr>
        <w:t xml:space="preserve">e transactions over positions, and the volume and complexity of daily transaction data, particularly under EMIR and SFTR, </w:t>
      </w:r>
      <w:r>
        <w:rPr>
          <w:color w:val="000000" w:themeColor="text1"/>
          <w:szCs w:val="22"/>
        </w:rPr>
        <w:t xml:space="preserve">would </w:t>
      </w:r>
      <w:r w:rsidRPr="00D0194B">
        <w:rPr>
          <w:color w:val="000000" w:themeColor="text1"/>
          <w:szCs w:val="22"/>
        </w:rPr>
        <w:t>make integration into a periodic system highly impractical. As such, we do not recommend incorporating transaction reporting at this stage.</w:t>
      </w:r>
    </w:p>
    <w:permEnd w:id="1818302197"/>
    <w:p w14:paraId="7666AADE" w14:textId="77777777" w:rsidR="00F21CF0" w:rsidRDefault="00F21CF0" w:rsidP="00F21CF0">
      <w:r>
        <w:t>&lt;ESMA_QUESTION_ICFD_6&gt;</w:t>
      </w:r>
    </w:p>
    <w:p w14:paraId="5BB5FE89" w14:textId="77777777" w:rsidR="00F21CF0" w:rsidRDefault="00F21CF0" w:rsidP="00F21CF0"/>
    <w:p w14:paraId="6FF2A79B" w14:textId="1637AAD7" w:rsidR="00F21CF0" w:rsidRDefault="00F21CF0" w:rsidP="00F21CF0">
      <w:pPr>
        <w:pStyle w:val="Questionstyle"/>
        <w:spacing w:before="120" w:after="120"/>
        <w:ind w:left="851" w:hanging="709"/>
      </w:pPr>
      <w:r>
        <w:t>How should this approach be implemented to ensure proportionality, efficiency, and data quality?</w:t>
      </w:r>
    </w:p>
    <w:p w14:paraId="4B14DD58" w14:textId="77777777" w:rsidR="00F21CF0" w:rsidRDefault="00F21CF0" w:rsidP="00F21CF0">
      <w:r>
        <w:t>&lt;ESMA_QUESTION_ICFD_7&gt;</w:t>
      </w:r>
    </w:p>
    <w:p w14:paraId="5BA86A30" w14:textId="7509EBF1" w:rsidR="00AB6A44" w:rsidRPr="00AB6A44" w:rsidRDefault="00AB6A44" w:rsidP="00AB6A44">
      <w:pPr>
        <w:shd w:val="clear" w:color="auto" w:fill="FAFAFA"/>
        <w:spacing w:before="100" w:beforeAutospacing="1" w:after="100" w:afterAutospacing="1" w:line="300" w:lineRule="atLeast"/>
        <w:jc w:val="left"/>
        <w:rPr>
          <w:rFonts w:eastAsia="Times New Roman"/>
          <w:color w:val="000000" w:themeColor="text1"/>
          <w:szCs w:val="22"/>
          <w:lang w:eastAsia="en-GB"/>
        </w:rPr>
      </w:pPr>
      <w:permStart w:id="2027955525" w:edGrp="everyone"/>
      <w:r w:rsidRPr="00AB6A44">
        <w:rPr>
          <w:rFonts w:eastAsia="Times New Roman"/>
          <w:color w:val="000000" w:themeColor="text1"/>
          <w:szCs w:val="22"/>
          <w:lang w:eastAsia="en-GB"/>
        </w:rPr>
        <w:t xml:space="preserve">We agree that the starting point must be a systematic analysis to assess whether the data elements currently collected </w:t>
      </w:r>
      <w:r w:rsidR="00B91559">
        <w:rPr>
          <w:rFonts w:eastAsia="Times New Roman"/>
          <w:color w:val="000000" w:themeColor="text1"/>
          <w:szCs w:val="22"/>
          <w:lang w:eastAsia="en-GB"/>
        </w:rPr>
        <w:t>actually</w:t>
      </w:r>
      <w:r w:rsidR="00B91559" w:rsidRPr="00AB6A44">
        <w:rPr>
          <w:rFonts w:eastAsia="Times New Roman"/>
          <w:color w:val="000000" w:themeColor="text1"/>
          <w:szCs w:val="22"/>
          <w:lang w:eastAsia="en-GB"/>
        </w:rPr>
        <w:t xml:space="preserve"> </w:t>
      </w:r>
      <w:r w:rsidRPr="00AB6A44">
        <w:rPr>
          <w:rFonts w:eastAsia="Times New Roman"/>
          <w:color w:val="000000" w:themeColor="text1"/>
          <w:szCs w:val="22"/>
          <w:lang w:eastAsia="en-GB"/>
        </w:rPr>
        <w:t xml:space="preserve">contribute </w:t>
      </w:r>
      <w:r w:rsidR="009E453C">
        <w:rPr>
          <w:rFonts w:eastAsia="Times New Roman"/>
          <w:color w:val="000000" w:themeColor="text1"/>
          <w:szCs w:val="22"/>
          <w:lang w:eastAsia="en-GB"/>
        </w:rPr>
        <w:t xml:space="preserve">meaningfully </w:t>
      </w:r>
      <w:r w:rsidRPr="00AB6A44">
        <w:rPr>
          <w:rFonts w:eastAsia="Times New Roman"/>
          <w:color w:val="000000" w:themeColor="text1"/>
          <w:szCs w:val="22"/>
          <w:lang w:eastAsia="en-GB"/>
        </w:rPr>
        <w:t xml:space="preserve">to supervisory processes. </w:t>
      </w:r>
      <w:r w:rsidR="00B505A7">
        <w:rPr>
          <w:rFonts w:eastAsia="Times New Roman"/>
          <w:color w:val="000000" w:themeColor="text1"/>
          <w:szCs w:val="22"/>
          <w:lang w:eastAsia="en-GB"/>
        </w:rPr>
        <w:t>W</w:t>
      </w:r>
      <w:r w:rsidRPr="00AB6A44">
        <w:rPr>
          <w:rFonts w:eastAsia="Times New Roman"/>
          <w:color w:val="000000" w:themeColor="text1"/>
          <w:szCs w:val="22"/>
          <w:lang w:eastAsia="en-GB"/>
        </w:rPr>
        <w:t xml:space="preserve">e </w:t>
      </w:r>
      <w:r>
        <w:rPr>
          <w:rFonts w:eastAsia="Times New Roman"/>
          <w:color w:val="000000" w:themeColor="text1"/>
          <w:szCs w:val="22"/>
          <w:lang w:eastAsia="en-GB"/>
        </w:rPr>
        <w:t xml:space="preserve">would </w:t>
      </w:r>
      <w:r w:rsidRPr="00AB6A44">
        <w:rPr>
          <w:rFonts w:eastAsia="Times New Roman"/>
          <w:color w:val="000000" w:themeColor="text1"/>
          <w:szCs w:val="22"/>
          <w:lang w:eastAsia="en-GB"/>
        </w:rPr>
        <w:t xml:space="preserve">support the removal of reporting fields that are </w:t>
      </w:r>
      <w:r>
        <w:rPr>
          <w:rFonts w:eastAsia="Times New Roman"/>
          <w:color w:val="000000" w:themeColor="text1"/>
          <w:szCs w:val="22"/>
          <w:lang w:eastAsia="en-GB"/>
        </w:rPr>
        <w:t xml:space="preserve">found to be </w:t>
      </w:r>
      <w:r w:rsidRPr="00AB6A44">
        <w:rPr>
          <w:rFonts w:eastAsia="Times New Roman"/>
          <w:color w:val="000000" w:themeColor="text1"/>
          <w:szCs w:val="22"/>
          <w:lang w:eastAsia="en-GB"/>
        </w:rPr>
        <w:t>redundant, outdated, or of limited analytical or supervisory value.</w:t>
      </w:r>
    </w:p>
    <w:p w14:paraId="66FE89C1" w14:textId="3D6DC852" w:rsidR="00AB6A44" w:rsidRPr="00AB6A44" w:rsidRDefault="00AB6A44" w:rsidP="00AB6A44">
      <w:pPr>
        <w:shd w:val="clear" w:color="auto" w:fill="FAFAFA"/>
        <w:spacing w:before="100" w:beforeAutospacing="1" w:after="100" w:afterAutospacing="1" w:line="300" w:lineRule="atLeast"/>
        <w:jc w:val="left"/>
        <w:rPr>
          <w:rFonts w:eastAsia="Times New Roman"/>
          <w:color w:val="000000" w:themeColor="text1"/>
          <w:szCs w:val="22"/>
          <w:lang w:eastAsia="en-GB"/>
        </w:rPr>
      </w:pPr>
      <w:r w:rsidRPr="00AB6A44">
        <w:rPr>
          <w:rFonts w:eastAsia="Times New Roman"/>
          <w:color w:val="000000" w:themeColor="text1"/>
          <w:szCs w:val="22"/>
          <w:lang w:eastAsia="en-GB"/>
        </w:rPr>
        <w:t>Regarding the proposed approaches for developing an integrated reporting template</w:t>
      </w:r>
      <w:r>
        <w:rPr>
          <w:rFonts w:eastAsia="Times New Roman"/>
          <w:color w:val="000000" w:themeColor="text1"/>
          <w:szCs w:val="22"/>
          <w:lang w:eastAsia="en-GB"/>
        </w:rPr>
        <w:t xml:space="preserve"> thereafter</w:t>
      </w:r>
      <w:r w:rsidRPr="00AB6A44">
        <w:rPr>
          <w:rFonts w:eastAsia="Times New Roman"/>
          <w:color w:val="000000" w:themeColor="text1"/>
          <w:szCs w:val="22"/>
          <w:lang w:eastAsia="en-GB"/>
        </w:rPr>
        <w:t>, BlackRock endorses Option 3 – the hybrid approach. This model ensures that data collection is guided by supervisory priorities, while the supporting data points remain aligned with established industry practices. We strongly believe that a coherent and simplified reporting framework can only be achieved by grounding requirements in the data and processes already embedded within the industry.</w:t>
      </w:r>
    </w:p>
    <w:p w14:paraId="4DF7948B" w14:textId="36260956" w:rsidR="00AB6A44" w:rsidRPr="00AB6A44" w:rsidRDefault="00AB6A44" w:rsidP="00AB6A44">
      <w:pPr>
        <w:shd w:val="clear" w:color="auto" w:fill="FAFAFA"/>
        <w:spacing w:before="100" w:beforeAutospacing="1" w:after="100" w:afterAutospacing="1" w:line="300" w:lineRule="atLeast"/>
        <w:jc w:val="left"/>
        <w:rPr>
          <w:rFonts w:eastAsia="Times New Roman"/>
          <w:color w:val="000000" w:themeColor="text1"/>
          <w:szCs w:val="22"/>
          <w:lang w:eastAsia="en-GB"/>
        </w:rPr>
      </w:pPr>
      <w:r w:rsidRPr="00AB6A44">
        <w:rPr>
          <w:rFonts w:eastAsia="Times New Roman"/>
          <w:color w:val="000000" w:themeColor="text1"/>
          <w:szCs w:val="22"/>
          <w:lang w:eastAsia="en-GB"/>
        </w:rPr>
        <w:t>The hybrid approach offers a pragmatic and efficient path forward. It builds on data already available at the fund level and avoids the risk</w:t>
      </w:r>
      <w:r w:rsidR="009528B0">
        <w:rPr>
          <w:rFonts w:eastAsia="Times New Roman"/>
          <w:color w:val="000000" w:themeColor="text1"/>
          <w:szCs w:val="22"/>
          <w:lang w:eastAsia="en-GB"/>
        </w:rPr>
        <w:t>s</w:t>
      </w:r>
      <w:r w:rsidRPr="00AB6A44">
        <w:rPr>
          <w:rFonts w:eastAsia="Times New Roman"/>
          <w:color w:val="000000" w:themeColor="text1"/>
          <w:szCs w:val="22"/>
          <w:lang w:eastAsia="en-GB"/>
        </w:rPr>
        <w:t xml:space="preserve"> of excessive data collection </w:t>
      </w:r>
      <w:r w:rsidR="009528B0">
        <w:rPr>
          <w:rFonts w:eastAsia="Times New Roman"/>
          <w:color w:val="000000" w:themeColor="text1"/>
          <w:szCs w:val="22"/>
          <w:lang w:eastAsia="en-GB"/>
        </w:rPr>
        <w:t>and confusion</w:t>
      </w:r>
      <w:r w:rsidR="007547D1">
        <w:rPr>
          <w:rFonts w:eastAsia="Times New Roman"/>
          <w:color w:val="000000" w:themeColor="text1"/>
          <w:szCs w:val="22"/>
          <w:lang w:eastAsia="en-GB"/>
        </w:rPr>
        <w:t xml:space="preserve"> with respect to aggregation </w:t>
      </w:r>
      <w:r w:rsidRPr="00AB6A44">
        <w:rPr>
          <w:rFonts w:eastAsia="Times New Roman"/>
          <w:color w:val="000000" w:themeColor="text1"/>
          <w:szCs w:val="22"/>
          <w:lang w:eastAsia="en-GB"/>
        </w:rPr>
        <w:t xml:space="preserve">that could arise from a purely bottom-up methodology. It enables </w:t>
      </w:r>
      <w:r w:rsidR="00DB5CB1">
        <w:rPr>
          <w:rFonts w:eastAsia="Times New Roman"/>
          <w:color w:val="000000" w:themeColor="text1"/>
          <w:szCs w:val="22"/>
          <w:lang w:eastAsia="en-GB"/>
        </w:rPr>
        <w:t xml:space="preserve">supervisors </w:t>
      </w:r>
      <w:r w:rsidRPr="00AB6A44">
        <w:rPr>
          <w:rFonts w:eastAsia="Times New Roman"/>
          <w:color w:val="000000" w:themeColor="text1"/>
          <w:szCs w:val="22"/>
          <w:lang w:eastAsia="en-GB"/>
        </w:rPr>
        <w:t xml:space="preserve">to examine existing industry practices and design data requirements that reflect operational realities. This emphasis on reuse, granularity, and automation </w:t>
      </w:r>
      <w:r w:rsidR="00A266F9">
        <w:rPr>
          <w:rFonts w:eastAsia="Times New Roman"/>
          <w:color w:val="000000" w:themeColor="text1"/>
          <w:szCs w:val="22"/>
          <w:lang w:eastAsia="en-GB"/>
        </w:rPr>
        <w:t xml:space="preserve">would </w:t>
      </w:r>
      <w:r w:rsidRPr="00AB6A44">
        <w:rPr>
          <w:rFonts w:eastAsia="Times New Roman"/>
          <w:color w:val="000000" w:themeColor="text1"/>
          <w:szCs w:val="22"/>
          <w:lang w:eastAsia="en-GB"/>
        </w:rPr>
        <w:t xml:space="preserve">not only enhance data </w:t>
      </w:r>
      <w:r w:rsidRPr="00AB6A44">
        <w:rPr>
          <w:rFonts w:eastAsia="Times New Roman"/>
          <w:color w:val="000000" w:themeColor="text1"/>
          <w:szCs w:val="22"/>
          <w:lang w:eastAsia="en-GB"/>
        </w:rPr>
        <w:lastRenderedPageBreak/>
        <w:t>quality but also reduce compliance costs and improve interoperability with existing standards. Crucially, it mirrors how risk managers across the industry currently operate.</w:t>
      </w:r>
    </w:p>
    <w:p w14:paraId="7663E7F6" w14:textId="54FFB878" w:rsidR="00AB6A44" w:rsidRPr="00492EA5" w:rsidRDefault="00AB6A44" w:rsidP="00DC3204">
      <w:pPr>
        <w:shd w:val="clear" w:color="auto" w:fill="FAFAFA"/>
        <w:spacing w:before="100" w:beforeAutospacing="1" w:after="100" w:afterAutospacing="1" w:line="300" w:lineRule="atLeast"/>
        <w:jc w:val="left"/>
        <w:rPr>
          <w:rFonts w:eastAsia="Times New Roman"/>
          <w:color w:val="000000" w:themeColor="text1"/>
          <w:szCs w:val="22"/>
          <w:lang w:eastAsia="en-GB"/>
        </w:rPr>
      </w:pPr>
      <w:r w:rsidRPr="00AB6A44">
        <w:rPr>
          <w:rFonts w:eastAsia="Times New Roman"/>
          <w:color w:val="000000" w:themeColor="text1"/>
          <w:szCs w:val="22"/>
          <w:lang w:eastAsia="en-GB"/>
        </w:rPr>
        <w:t>Conversely, BlackRock considers a fully top-down approach</w:t>
      </w:r>
      <w:r w:rsidR="00D11907">
        <w:rPr>
          <w:rFonts w:eastAsia="Times New Roman"/>
          <w:color w:val="000000" w:themeColor="text1"/>
          <w:szCs w:val="22"/>
          <w:lang w:eastAsia="en-GB"/>
        </w:rPr>
        <w:t xml:space="preserve"> - </w:t>
      </w:r>
      <w:r w:rsidRPr="00AB6A44">
        <w:rPr>
          <w:rFonts w:eastAsia="Times New Roman"/>
          <w:color w:val="000000" w:themeColor="text1"/>
          <w:szCs w:val="22"/>
          <w:lang w:eastAsia="en-GB"/>
        </w:rPr>
        <w:t xml:space="preserve">where </w:t>
      </w:r>
      <w:r w:rsidR="00331AA3">
        <w:rPr>
          <w:rFonts w:eastAsia="Times New Roman"/>
          <w:color w:val="000000" w:themeColor="text1"/>
          <w:szCs w:val="22"/>
          <w:lang w:eastAsia="en-GB"/>
        </w:rPr>
        <w:t xml:space="preserve">supervisors </w:t>
      </w:r>
      <w:r w:rsidRPr="00AB6A44">
        <w:rPr>
          <w:rFonts w:eastAsia="Times New Roman"/>
          <w:color w:val="000000" w:themeColor="text1"/>
          <w:szCs w:val="22"/>
          <w:lang w:eastAsia="en-GB"/>
        </w:rPr>
        <w:t>define key risks and then derive data points without regard to industry practices</w:t>
      </w:r>
      <w:r w:rsidR="00D11907">
        <w:rPr>
          <w:rFonts w:eastAsia="Times New Roman"/>
          <w:color w:val="000000" w:themeColor="text1"/>
          <w:szCs w:val="22"/>
          <w:lang w:eastAsia="en-GB"/>
        </w:rPr>
        <w:t xml:space="preserve"> - </w:t>
      </w:r>
      <w:r w:rsidRPr="00AB6A44">
        <w:rPr>
          <w:rFonts w:eastAsia="Times New Roman"/>
          <w:color w:val="000000" w:themeColor="text1"/>
          <w:szCs w:val="22"/>
          <w:lang w:eastAsia="en-GB"/>
        </w:rPr>
        <w:t xml:space="preserve">to be unworkable. Without </w:t>
      </w:r>
      <w:r w:rsidR="00383B29">
        <w:rPr>
          <w:rFonts w:eastAsia="Times New Roman"/>
          <w:color w:val="000000" w:themeColor="text1"/>
          <w:szCs w:val="22"/>
          <w:lang w:eastAsia="en-GB"/>
        </w:rPr>
        <w:t xml:space="preserve">the use of </w:t>
      </w:r>
      <w:r w:rsidR="00383B29" w:rsidRPr="001407B6">
        <w:rPr>
          <w:rFonts w:eastAsia="Times New Roman"/>
          <w:color w:val="000000" w:themeColor="text1"/>
          <w:szCs w:val="22"/>
          <w:lang w:eastAsia="en-GB"/>
        </w:rPr>
        <w:t>existing data</w:t>
      </w:r>
      <w:r w:rsidRPr="00AB6A44">
        <w:rPr>
          <w:rFonts w:eastAsia="Times New Roman"/>
          <w:color w:val="000000" w:themeColor="text1"/>
          <w:szCs w:val="22"/>
          <w:lang w:eastAsia="en-GB"/>
        </w:rPr>
        <w:t>, top-down initiatives risk generating open-ended debates</w:t>
      </w:r>
      <w:r w:rsidR="00383B29">
        <w:rPr>
          <w:rFonts w:eastAsia="Times New Roman"/>
          <w:color w:val="000000" w:themeColor="text1"/>
          <w:szCs w:val="22"/>
          <w:lang w:eastAsia="en-GB"/>
        </w:rPr>
        <w:t xml:space="preserve"> about which data points would be most appropriate</w:t>
      </w:r>
      <w:r w:rsidRPr="00AB6A44">
        <w:rPr>
          <w:rFonts w:eastAsia="Times New Roman"/>
          <w:color w:val="000000" w:themeColor="text1"/>
          <w:szCs w:val="22"/>
          <w:lang w:eastAsia="en-GB"/>
        </w:rPr>
        <w:t xml:space="preserve"> and increasing complexity rather than alleviating reporting burdens.</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0AE872B1"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24392CD2" w14:textId="75C5C0E0" w:rsidR="002961EC" w:rsidRDefault="007C6097" w:rsidP="00A220E7">
      <w:pPr>
        <w:shd w:val="clear" w:color="auto" w:fill="FFFFFF" w:themeFill="background1"/>
        <w:spacing w:before="120" w:after="60" w:line="300" w:lineRule="auto"/>
        <w:jc w:val="left"/>
        <w:rPr>
          <w:rFonts w:eastAsia="Times New Roman"/>
          <w:color w:val="auto"/>
          <w:szCs w:val="22"/>
          <w:lang w:eastAsia="en-GB"/>
        </w:rPr>
      </w:pPr>
      <w:permStart w:id="798060755" w:edGrp="everyone"/>
      <w:r w:rsidRPr="007C6097">
        <w:rPr>
          <w:rFonts w:eastAsia="Times New Roman"/>
          <w:color w:val="auto"/>
          <w:szCs w:val="22"/>
          <w:lang w:eastAsia="en-GB"/>
        </w:rPr>
        <w:t xml:space="preserve">Common data reporting language and templates would </w:t>
      </w:r>
      <w:r w:rsidR="00AB1C05">
        <w:rPr>
          <w:rFonts w:eastAsia="Times New Roman"/>
          <w:color w:val="auto"/>
          <w:szCs w:val="22"/>
          <w:lang w:eastAsia="en-GB"/>
        </w:rPr>
        <w:t xml:space="preserve">greatly </w:t>
      </w:r>
      <w:r w:rsidRPr="007C6097">
        <w:rPr>
          <w:rFonts w:eastAsia="Times New Roman"/>
          <w:color w:val="auto"/>
          <w:szCs w:val="22"/>
          <w:lang w:eastAsia="en-GB"/>
        </w:rPr>
        <w:t>assist firms from a burden reduction perspective and prioritise better data sharing</w:t>
      </w:r>
      <w:r w:rsidR="00C45216">
        <w:rPr>
          <w:rFonts w:eastAsia="Times New Roman"/>
          <w:color w:val="auto"/>
          <w:szCs w:val="22"/>
          <w:lang w:eastAsia="en-GB"/>
        </w:rPr>
        <w:t>.</w:t>
      </w:r>
      <w:r w:rsidR="002961EC">
        <w:rPr>
          <w:rFonts w:eastAsia="Times New Roman"/>
          <w:color w:val="auto"/>
          <w:szCs w:val="22"/>
          <w:lang w:eastAsia="en-GB"/>
        </w:rPr>
        <w:t xml:space="preserve"> </w:t>
      </w:r>
      <w:r w:rsidR="009B56C5" w:rsidRPr="00E86CE9">
        <w:rPr>
          <w:rFonts w:eastAsia="Times New Roman"/>
          <w:color w:val="auto"/>
          <w:szCs w:val="22"/>
          <w:lang w:eastAsia="en-GB"/>
        </w:rPr>
        <w:t xml:space="preserve">Semantic data integration should prioritise harmonisation of asset class definitions, exposure metrics, and counterparty identifiers. </w:t>
      </w:r>
    </w:p>
    <w:p w14:paraId="1A66E608" w14:textId="77777777" w:rsidR="00A837FB" w:rsidRDefault="00497F43" w:rsidP="00A837FB">
      <w:pPr>
        <w:shd w:val="clear" w:color="auto" w:fill="FFFFFF" w:themeFill="background1"/>
        <w:spacing w:before="120" w:after="60" w:line="300" w:lineRule="auto"/>
        <w:jc w:val="left"/>
      </w:pPr>
      <w:r w:rsidRPr="00E86CE9">
        <w:rPr>
          <w:rFonts w:eastAsia="Times New Roman"/>
          <w:color w:val="auto"/>
          <w:szCs w:val="22"/>
          <w:lang w:eastAsia="en-GB"/>
        </w:rPr>
        <w:t>Aligning on these semantic elements would improve comparability, reduce duplication, and support more accurate systemic risk assessments, particularly for derivatives and leverage metrics, where inconsistent definitions currently hinder supervisory insight</w:t>
      </w:r>
      <w:r w:rsidR="00C93503">
        <w:rPr>
          <w:rFonts w:eastAsia="Times New Roman"/>
          <w:color w:val="auto"/>
          <w:szCs w:val="22"/>
          <w:lang w:eastAsia="en-GB"/>
        </w:rPr>
        <w:t>.</w:t>
      </w:r>
    </w:p>
    <w:p w14:paraId="3FB8FC95" w14:textId="005B7D4E" w:rsidR="00F21CF0" w:rsidRPr="00A837FB" w:rsidRDefault="00F21CF0" w:rsidP="00A837FB">
      <w:pPr>
        <w:shd w:val="clear" w:color="auto" w:fill="FFFFFF" w:themeFill="background1"/>
        <w:spacing w:before="120" w:after="60" w:line="300" w:lineRule="auto"/>
        <w:jc w:val="left"/>
        <w:rPr>
          <w:rFonts w:eastAsia="Times New Roman"/>
          <w:color w:val="auto"/>
          <w:szCs w:val="22"/>
          <w:lang w:eastAsia="en-GB"/>
        </w:rPr>
      </w:pPr>
      <w:r>
        <w:t>E</w:t>
      </w:r>
      <w:permEnd w:id="798060755"/>
      <w:r>
        <w:t>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17D29A41" w14:textId="063889EF" w:rsidR="00B7609A" w:rsidRDefault="00CF7B8E" w:rsidP="00A220E7">
      <w:pPr>
        <w:pStyle w:val="NormalWeb"/>
        <w:spacing w:line="300" w:lineRule="atLeast"/>
        <w:jc w:val="left"/>
        <w:rPr>
          <w:rStyle w:val="Strong"/>
          <w:rFonts w:ascii="Arial" w:hAnsi="Arial"/>
          <w:b w:val="0"/>
          <w:sz w:val="22"/>
          <w:szCs w:val="22"/>
          <w:lang w:val="en-IE"/>
        </w:rPr>
      </w:pPr>
      <w:permStart w:id="825391439" w:edGrp="everyone"/>
      <w:r w:rsidRPr="001F3257">
        <w:rPr>
          <w:rFonts w:ascii="Arial" w:hAnsi="Arial"/>
          <w:sz w:val="22"/>
          <w:szCs w:val="22"/>
          <w:lang w:val="en-IE"/>
        </w:rPr>
        <w:t xml:space="preserve">We consider </w:t>
      </w:r>
      <w:r w:rsidR="008610B0">
        <w:rPr>
          <w:rFonts w:ascii="Arial" w:hAnsi="Arial"/>
          <w:sz w:val="22"/>
          <w:szCs w:val="22"/>
          <w:lang w:val="en-IE"/>
        </w:rPr>
        <w:t>a v</w:t>
      </w:r>
      <w:r w:rsidR="009B6132">
        <w:rPr>
          <w:rFonts w:ascii="Arial" w:hAnsi="Arial"/>
          <w:sz w:val="22"/>
          <w:szCs w:val="22"/>
          <w:lang w:val="en-IE"/>
        </w:rPr>
        <w:t xml:space="preserve">ariation of </w:t>
      </w:r>
      <w:r w:rsidRPr="001F3257">
        <w:rPr>
          <w:rStyle w:val="Strong"/>
          <w:rFonts w:ascii="Arial" w:hAnsi="Arial"/>
          <w:b w:val="0"/>
          <w:sz w:val="22"/>
          <w:szCs w:val="22"/>
          <w:lang w:val="en-IE"/>
        </w:rPr>
        <w:t>Option 2</w:t>
      </w:r>
      <w:r w:rsidR="009B6132">
        <w:rPr>
          <w:rStyle w:val="Strong"/>
          <w:rFonts w:ascii="Arial" w:hAnsi="Arial"/>
          <w:b w:val="0"/>
          <w:sz w:val="22"/>
          <w:szCs w:val="22"/>
          <w:lang w:val="en-IE"/>
        </w:rPr>
        <w:t xml:space="preserve"> </w:t>
      </w:r>
      <w:r w:rsidRPr="001F3257">
        <w:rPr>
          <w:rFonts w:ascii="Arial" w:hAnsi="Arial"/>
          <w:sz w:val="22"/>
          <w:szCs w:val="22"/>
          <w:lang w:val="en-IE"/>
        </w:rPr>
        <w:t xml:space="preserve">to be the most efficient and proportionate approach to fund data reporting. </w:t>
      </w:r>
      <w:r w:rsidR="00A53670">
        <w:rPr>
          <w:rStyle w:val="Strong"/>
          <w:rFonts w:ascii="Arial" w:hAnsi="Arial"/>
          <w:b w:val="0"/>
          <w:sz w:val="22"/>
          <w:szCs w:val="22"/>
          <w:lang w:val="en-IE"/>
        </w:rPr>
        <w:t xml:space="preserve">We agree with the </w:t>
      </w:r>
      <w:r w:rsidR="009A32BE">
        <w:rPr>
          <w:rStyle w:val="Strong"/>
          <w:rFonts w:ascii="Arial" w:hAnsi="Arial"/>
          <w:b w:val="0"/>
          <w:sz w:val="22"/>
          <w:szCs w:val="22"/>
          <w:lang w:val="en-IE"/>
        </w:rPr>
        <w:t xml:space="preserve">benefits of a </w:t>
      </w:r>
      <w:r w:rsidR="00A53670" w:rsidRPr="001F3257">
        <w:rPr>
          <w:rStyle w:val="Strong"/>
          <w:rFonts w:ascii="Arial" w:hAnsi="Arial"/>
          <w:b w:val="0"/>
          <w:sz w:val="22"/>
          <w:szCs w:val="22"/>
          <w:lang w:val="en-IE"/>
        </w:rPr>
        <w:t>single collection authority at national level</w:t>
      </w:r>
      <w:r w:rsidR="00B7609A">
        <w:rPr>
          <w:rStyle w:val="Strong"/>
          <w:rFonts w:ascii="Arial" w:hAnsi="Arial"/>
          <w:b w:val="0"/>
          <w:sz w:val="22"/>
          <w:szCs w:val="22"/>
          <w:lang w:val="en-IE"/>
        </w:rPr>
        <w:t xml:space="preserve"> with greater data sharing at EU level amongst </w:t>
      </w:r>
      <w:proofErr w:type="gramStart"/>
      <w:r w:rsidR="00B7609A">
        <w:rPr>
          <w:rStyle w:val="Strong"/>
          <w:rFonts w:ascii="Arial" w:hAnsi="Arial"/>
          <w:b w:val="0"/>
          <w:sz w:val="22"/>
          <w:szCs w:val="22"/>
          <w:lang w:val="en-IE"/>
        </w:rPr>
        <w:t>NCAs</w:t>
      </w:r>
      <w:r w:rsidR="00751345">
        <w:rPr>
          <w:rStyle w:val="Strong"/>
          <w:rFonts w:ascii="Arial" w:hAnsi="Arial"/>
          <w:b w:val="0"/>
          <w:sz w:val="22"/>
          <w:szCs w:val="22"/>
          <w:lang w:val="en-IE"/>
        </w:rPr>
        <w:t xml:space="preserve">, </w:t>
      </w:r>
      <w:r w:rsidR="00B7609A">
        <w:rPr>
          <w:rStyle w:val="Strong"/>
          <w:rFonts w:ascii="Arial" w:hAnsi="Arial"/>
          <w:b w:val="0"/>
          <w:sz w:val="22"/>
          <w:szCs w:val="22"/>
          <w:lang w:val="en-IE"/>
        </w:rPr>
        <w:t>but</w:t>
      </w:r>
      <w:proofErr w:type="gramEnd"/>
      <w:r w:rsidR="009A32BE">
        <w:rPr>
          <w:rStyle w:val="Strong"/>
          <w:rFonts w:ascii="Arial" w:hAnsi="Arial"/>
          <w:b w:val="0"/>
          <w:sz w:val="22"/>
          <w:szCs w:val="22"/>
          <w:lang w:val="en-IE"/>
        </w:rPr>
        <w:t xml:space="preserve"> stop short of supporting </w:t>
      </w:r>
      <w:r w:rsidR="00E35EE6">
        <w:rPr>
          <w:rStyle w:val="Strong"/>
          <w:rFonts w:ascii="Arial" w:hAnsi="Arial"/>
          <w:b w:val="0"/>
          <w:sz w:val="22"/>
          <w:szCs w:val="22"/>
          <w:lang w:val="en-IE"/>
        </w:rPr>
        <w:t xml:space="preserve">the </w:t>
      </w:r>
      <w:r w:rsidR="006B1138">
        <w:rPr>
          <w:rStyle w:val="Strong"/>
          <w:rFonts w:ascii="Arial" w:hAnsi="Arial"/>
          <w:b w:val="0"/>
          <w:sz w:val="22"/>
          <w:szCs w:val="22"/>
          <w:lang w:val="en-IE"/>
        </w:rPr>
        <w:t xml:space="preserve">subsequent transfer </w:t>
      </w:r>
      <w:r w:rsidR="00331AA3">
        <w:rPr>
          <w:rStyle w:val="Strong"/>
          <w:rFonts w:ascii="Arial" w:hAnsi="Arial"/>
          <w:b w:val="0"/>
          <w:sz w:val="22"/>
          <w:szCs w:val="22"/>
          <w:lang w:val="en-IE"/>
        </w:rPr>
        <w:t>of th</w:t>
      </w:r>
      <w:r w:rsidR="00774C13">
        <w:rPr>
          <w:rStyle w:val="Strong"/>
          <w:rFonts w:ascii="Arial" w:hAnsi="Arial"/>
          <w:b w:val="0"/>
          <w:sz w:val="22"/>
          <w:szCs w:val="22"/>
          <w:lang w:val="en-IE"/>
        </w:rPr>
        <w:t>at</w:t>
      </w:r>
      <w:r w:rsidR="00331AA3">
        <w:rPr>
          <w:rStyle w:val="Strong"/>
          <w:rFonts w:ascii="Arial" w:hAnsi="Arial"/>
          <w:b w:val="0"/>
          <w:sz w:val="22"/>
          <w:szCs w:val="22"/>
          <w:lang w:val="en-IE"/>
        </w:rPr>
        <w:t xml:space="preserve"> data</w:t>
      </w:r>
      <w:r w:rsidR="009A32BE">
        <w:rPr>
          <w:rStyle w:val="Strong"/>
          <w:rFonts w:ascii="Arial" w:hAnsi="Arial"/>
          <w:b w:val="0"/>
          <w:sz w:val="22"/>
          <w:szCs w:val="22"/>
          <w:lang w:val="en-IE"/>
        </w:rPr>
        <w:t xml:space="preserve"> </w:t>
      </w:r>
      <w:r w:rsidR="00A53670" w:rsidRPr="001F3257">
        <w:rPr>
          <w:rStyle w:val="Strong"/>
          <w:rFonts w:ascii="Arial" w:hAnsi="Arial"/>
          <w:b w:val="0"/>
          <w:sz w:val="22"/>
          <w:szCs w:val="22"/>
          <w:lang w:val="en-IE"/>
        </w:rPr>
        <w:t>to an EU-wide centralised system</w:t>
      </w:r>
      <w:r w:rsidR="00404904">
        <w:rPr>
          <w:rStyle w:val="Strong"/>
          <w:rFonts w:ascii="Arial" w:hAnsi="Arial"/>
          <w:b w:val="0"/>
          <w:sz w:val="22"/>
          <w:szCs w:val="22"/>
          <w:lang w:val="en-IE"/>
        </w:rPr>
        <w:t xml:space="preserve">. </w:t>
      </w:r>
    </w:p>
    <w:p w14:paraId="43C1B6B8" w14:textId="71769A5B" w:rsidR="00E57B76" w:rsidRPr="001F3257" w:rsidRDefault="004A404D" w:rsidP="00A220E7">
      <w:pPr>
        <w:pStyle w:val="NormalWeb"/>
        <w:spacing w:line="300" w:lineRule="atLeast"/>
        <w:jc w:val="left"/>
        <w:rPr>
          <w:rFonts w:ascii="Arial" w:hAnsi="Arial"/>
          <w:sz w:val="22"/>
          <w:szCs w:val="22"/>
          <w:lang w:val="en-IE"/>
        </w:rPr>
      </w:pPr>
      <w:r>
        <w:rPr>
          <w:rStyle w:val="Strong"/>
          <w:rFonts w:ascii="Arial" w:hAnsi="Arial"/>
          <w:b w:val="0"/>
          <w:bCs w:val="0"/>
          <w:sz w:val="22"/>
          <w:szCs w:val="22"/>
          <w:lang w:val="en-IE"/>
        </w:rPr>
        <w:lastRenderedPageBreak/>
        <w:t xml:space="preserve">Crucially, </w:t>
      </w:r>
      <w:r w:rsidR="003E62CB" w:rsidRPr="252A5F8C">
        <w:rPr>
          <w:rStyle w:val="Strong"/>
          <w:rFonts w:ascii="Arial" w:hAnsi="Arial"/>
          <w:b w:val="0"/>
          <w:bCs w:val="0"/>
          <w:sz w:val="22"/>
          <w:szCs w:val="22"/>
          <w:lang w:val="en-IE"/>
        </w:rPr>
        <w:t xml:space="preserve">the </w:t>
      </w:r>
      <w:r>
        <w:rPr>
          <w:rStyle w:val="Strong"/>
          <w:rFonts w:ascii="Arial" w:hAnsi="Arial"/>
          <w:b w:val="0"/>
          <w:bCs w:val="0"/>
          <w:sz w:val="22"/>
          <w:szCs w:val="22"/>
          <w:lang w:val="en-IE"/>
        </w:rPr>
        <w:t xml:space="preserve">national </w:t>
      </w:r>
      <w:r w:rsidR="00387FC2">
        <w:rPr>
          <w:rStyle w:val="Strong"/>
          <w:rFonts w:ascii="Arial" w:hAnsi="Arial"/>
          <w:b w:val="0"/>
          <w:bCs w:val="0"/>
          <w:sz w:val="22"/>
          <w:szCs w:val="22"/>
          <w:lang w:val="en-IE"/>
        </w:rPr>
        <w:t>interfaces</w:t>
      </w:r>
      <w:r w:rsidR="00387FC2" w:rsidRPr="252A5F8C">
        <w:rPr>
          <w:rStyle w:val="Strong"/>
          <w:rFonts w:ascii="Arial" w:hAnsi="Arial"/>
          <w:b w:val="0"/>
          <w:bCs w:val="0"/>
          <w:sz w:val="22"/>
          <w:szCs w:val="22"/>
          <w:lang w:val="en-IE"/>
        </w:rPr>
        <w:t xml:space="preserve"> </w:t>
      </w:r>
      <w:r w:rsidR="008C0B37" w:rsidRPr="252A5F8C">
        <w:rPr>
          <w:rStyle w:val="Strong"/>
          <w:rFonts w:ascii="Arial" w:hAnsi="Arial"/>
          <w:b w:val="0"/>
          <w:bCs w:val="0"/>
          <w:sz w:val="22"/>
          <w:szCs w:val="22"/>
          <w:lang w:val="en-IE"/>
        </w:rPr>
        <w:t>for submitting should be identical</w:t>
      </w:r>
      <w:r w:rsidR="00D4036B" w:rsidRPr="252A5F8C">
        <w:rPr>
          <w:rStyle w:val="Strong"/>
          <w:rFonts w:ascii="Arial" w:hAnsi="Arial"/>
          <w:b w:val="0"/>
          <w:bCs w:val="0"/>
          <w:sz w:val="22"/>
          <w:szCs w:val="22"/>
          <w:lang w:val="en-IE"/>
        </w:rPr>
        <w:t xml:space="preserve"> and the data being submitted standardised allowing for no discrepancies from Member State to Member State</w:t>
      </w:r>
      <w:r w:rsidR="00774C13">
        <w:rPr>
          <w:rStyle w:val="Strong"/>
          <w:rFonts w:ascii="Arial" w:hAnsi="Arial"/>
          <w:b w:val="0"/>
          <w:bCs w:val="0"/>
          <w:sz w:val="22"/>
          <w:szCs w:val="22"/>
          <w:lang w:val="en-IE"/>
        </w:rPr>
        <w:t xml:space="preserve"> so that reporting teams </w:t>
      </w:r>
      <w:r w:rsidR="00EE4B3F">
        <w:rPr>
          <w:rStyle w:val="Strong"/>
          <w:rFonts w:ascii="Arial" w:hAnsi="Arial"/>
          <w:b w:val="0"/>
          <w:bCs w:val="0"/>
          <w:sz w:val="22"/>
          <w:szCs w:val="22"/>
          <w:lang w:val="en-IE"/>
        </w:rPr>
        <w:t>only need to be familiar with one model irrespective of where they</w:t>
      </w:r>
      <w:r w:rsidR="009C3B96">
        <w:rPr>
          <w:rStyle w:val="Strong"/>
          <w:rFonts w:ascii="Arial" w:hAnsi="Arial"/>
          <w:b w:val="0"/>
          <w:bCs w:val="0"/>
          <w:sz w:val="22"/>
          <w:szCs w:val="22"/>
          <w:lang w:val="en-IE"/>
        </w:rPr>
        <w:t>’re based</w:t>
      </w:r>
      <w:r w:rsidR="00D4036B" w:rsidRPr="252A5F8C">
        <w:rPr>
          <w:rStyle w:val="Strong"/>
          <w:rFonts w:ascii="Arial" w:hAnsi="Arial"/>
          <w:b w:val="0"/>
          <w:bCs w:val="0"/>
          <w:sz w:val="22"/>
          <w:szCs w:val="22"/>
          <w:lang w:val="en-IE"/>
        </w:rPr>
        <w:t xml:space="preserve">. </w:t>
      </w:r>
      <w:r w:rsidR="00307762" w:rsidRPr="252A5F8C">
        <w:rPr>
          <w:rStyle w:val="Strong"/>
          <w:rFonts w:ascii="Arial" w:hAnsi="Arial"/>
          <w:b w:val="0"/>
          <w:bCs w:val="0"/>
          <w:sz w:val="22"/>
          <w:szCs w:val="22"/>
          <w:lang w:val="en-IE"/>
        </w:rPr>
        <w:t>That data can then remain in NCA repo</w:t>
      </w:r>
      <w:r w:rsidR="00D0012B" w:rsidRPr="252A5F8C">
        <w:rPr>
          <w:rStyle w:val="Strong"/>
          <w:rFonts w:ascii="Arial" w:hAnsi="Arial"/>
          <w:b w:val="0"/>
          <w:bCs w:val="0"/>
          <w:sz w:val="22"/>
          <w:szCs w:val="22"/>
          <w:lang w:val="en-IE"/>
        </w:rPr>
        <w:t>sitories</w:t>
      </w:r>
      <w:r w:rsidR="008A6F6A" w:rsidRPr="252A5F8C">
        <w:rPr>
          <w:rStyle w:val="Strong"/>
          <w:rFonts w:ascii="Arial" w:hAnsi="Arial"/>
          <w:b w:val="0"/>
          <w:bCs w:val="0"/>
          <w:sz w:val="22"/>
          <w:szCs w:val="22"/>
          <w:lang w:val="en-IE"/>
        </w:rPr>
        <w:t xml:space="preserve"> and through </w:t>
      </w:r>
      <w:r w:rsidR="00927E28" w:rsidRPr="252A5F8C">
        <w:rPr>
          <w:rStyle w:val="Strong"/>
          <w:rFonts w:ascii="Arial" w:hAnsi="Arial"/>
          <w:b w:val="0"/>
          <w:bCs w:val="0"/>
          <w:sz w:val="22"/>
          <w:szCs w:val="22"/>
          <w:lang w:val="en-IE"/>
        </w:rPr>
        <w:t>blockchain technology</w:t>
      </w:r>
      <w:r w:rsidR="00C6622F" w:rsidRPr="252A5F8C">
        <w:rPr>
          <w:rStyle w:val="Strong"/>
          <w:rFonts w:ascii="Arial" w:hAnsi="Arial"/>
          <w:b w:val="0"/>
          <w:bCs w:val="0"/>
          <w:sz w:val="22"/>
          <w:szCs w:val="22"/>
          <w:lang w:val="en-IE"/>
        </w:rPr>
        <w:t>, NCAs</w:t>
      </w:r>
      <w:r w:rsidR="000A1647" w:rsidRPr="252A5F8C">
        <w:rPr>
          <w:rStyle w:val="Strong"/>
          <w:rFonts w:ascii="Arial" w:hAnsi="Arial"/>
          <w:b w:val="0"/>
          <w:bCs w:val="0"/>
          <w:sz w:val="22"/>
          <w:szCs w:val="22"/>
          <w:lang w:val="en-IE"/>
        </w:rPr>
        <w:t>’ data</w:t>
      </w:r>
      <w:r w:rsidR="00C6622F" w:rsidRPr="252A5F8C">
        <w:rPr>
          <w:rStyle w:val="Strong"/>
          <w:rFonts w:ascii="Arial" w:hAnsi="Arial"/>
          <w:b w:val="0"/>
          <w:bCs w:val="0"/>
          <w:sz w:val="22"/>
          <w:szCs w:val="22"/>
          <w:lang w:val="en-IE"/>
        </w:rPr>
        <w:t xml:space="preserve"> can </w:t>
      </w:r>
      <w:r w:rsidR="000A1647" w:rsidRPr="252A5F8C">
        <w:rPr>
          <w:rStyle w:val="Strong"/>
          <w:rFonts w:ascii="Arial" w:hAnsi="Arial"/>
          <w:b w:val="0"/>
          <w:bCs w:val="0"/>
          <w:sz w:val="22"/>
          <w:szCs w:val="22"/>
          <w:lang w:val="en-IE"/>
        </w:rPr>
        <w:t xml:space="preserve">be </w:t>
      </w:r>
      <w:r w:rsidR="00C6622F" w:rsidRPr="252A5F8C">
        <w:rPr>
          <w:rStyle w:val="Strong"/>
          <w:rFonts w:ascii="Arial" w:hAnsi="Arial"/>
          <w:b w:val="0"/>
          <w:bCs w:val="0"/>
          <w:sz w:val="22"/>
          <w:szCs w:val="22"/>
          <w:lang w:val="en-IE"/>
        </w:rPr>
        <w:t>mesh</w:t>
      </w:r>
      <w:r w:rsidR="000A1647" w:rsidRPr="252A5F8C">
        <w:rPr>
          <w:rStyle w:val="Strong"/>
          <w:rFonts w:ascii="Arial" w:hAnsi="Arial"/>
          <w:b w:val="0"/>
          <w:bCs w:val="0"/>
          <w:sz w:val="22"/>
          <w:szCs w:val="22"/>
          <w:lang w:val="en-IE"/>
        </w:rPr>
        <w:t>ed</w:t>
      </w:r>
      <w:r w:rsidR="00C6622F" w:rsidRPr="252A5F8C">
        <w:rPr>
          <w:rStyle w:val="Strong"/>
          <w:rFonts w:ascii="Arial" w:hAnsi="Arial"/>
          <w:b w:val="0"/>
          <w:bCs w:val="0"/>
          <w:sz w:val="22"/>
          <w:szCs w:val="22"/>
          <w:lang w:val="en-IE"/>
        </w:rPr>
        <w:t xml:space="preserve"> through the cloud</w:t>
      </w:r>
      <w:r w:rsidR="000A1647" w:rsidRPr="252A5F8C">
        <w:rPr>
          <w:rStyle w:val="Strong"/>
          <w:rFonts w:ascii="Arial" w:hAnsi="Arial"/>
          <w:b w:val="0"/>
          <w:bCs w:val="0"/>
          <w:sz w:val="22"/>
          <w:szCs w:val="22"/>
          <w:lang w:val="en-IE"/>
        </w:rPr>
        <w:t xml:space="preserve"> without needing a data migration to a centralised hub</w:t>
      </w:r>
      <w:r w:rsidR="00735306" w:rsidRPr="252A5F8C">
        <w:rPr>
          <w:rStyle w:val="Strong"/>
          <w:rFonts w:ascii="Arial" w:hAnsi="Arial"/>
          <w:b w:val="0"/>
          <w:bCs w:val="0"/>
          <w:sz w:val="22"/>
          <w:szCs w:val="22"/>
          <w:lang w:val="en-IE"/>
        </w:rPr>
        <w:t>.</w:t>
      </w:r>
      <w:r w:rsidR="003E62CB" w:rsidRPr="252A5F8C">
        <w:rPr>
          <w:rFonts w:ascii="Arial" w:hAnsi="Arial"/>
          <w:sz w:val="22"/>
          <w:szCs w:val="22"/>
          <w:lang w:val="en-IE"/>
        </w:rPr>
        <w:t xml:space="preserve"> As outlined in response to Q. 10, i</w:t>
      </w:r>
      <w:r w:rsidR="005349CD" w:rsidRPr="252A5F8C">
        <w:rPr>
          <w:rFonts w:ascii="Arial" w:hAnsi="Arial"/>
          <w:sz w:val="22"/>
          <w:szCs w:val="22"/>
          <w:lang w:val="en-IE"/>
        </w:rPr>
        <w:t xml:space="preserve">t is important that NCAs maintain ownership </w:t>
      </w:r>
      <w:r w:rsidR="00735306" w:rsidRPr="252A5F8C">
        <w:rPr>
          <w:rFonts w:ascii="Arial" w:hAnsi="Arial"/>
          <w:sz w:val="22"/>
          <w:szCs w:val="22"/>
          <w:lang w:val="en-IE"/>
        </w:rPr>
        <w:t xml:space="preserve">and accountability for the data </w:t>
      </w:r>
      <w:r w:rsidR="003E62CB" w:rsidRPr="252A5F8C">
        <w:rPr>
          <w:rFonts w:ascii="Arial" w:hAnsi="Arial"/>
          <w:sz w:val="22"/>
          <w:szCs w:val="22"/>
          <w:lang w:val="en-IE"/>
        </w:rPr>
        <w:t>in keeping</w:t>
      </w:r>
      <w:r w:rsidR="00735306" w:rsidRPr="252A5F8C">
        <w:rPr>
          <w:rFonts w:ascii="Arial" w:hAnsi="Arial"/>
          <w:sz w:val="22"/>
          <w:szCs w:val="22"/>
          <w:lang w:val="en-IE"/>
        </w:rPr>
        <w:t xml:space="preserve"> with their supervisory responsibilities.</w:t>
      </w:r>
      <w:r w:rsidR="00B54EEE">
        <w:rPr>
          <w:rFonts w:ascii="Arial" w:hAnsi="Arial"/>
          <w:sz w:val="22"/>
          <w:szCs w:val="22"/>
          <w:lang w:val="en-IE"/>
        </w:rPr>
        <w:t xml:space="preserve"> </w:t>
      </w:r>
      <w:r w:rsidR="00FA1C0C">
        <w:rPr>
          <w:rFonts w:ascii="Arial" w:hAnsi="Arial"/>
          <w:sz w:val="22"/>
          <w:szCs w:val="22"/>
          <w:lang w:val="en-IE"/>
        </w:rPr>
        <w:t>D</w:t>
      </w:r>
      <w:r w:rsidR="00B54EEE">
        <w:rPr>
          <w:rFonts w:ascii="Arial" w:hAnsi="Arial"/>
          <w:sz w:val="22"/>
          <w:szCs w:val="22"/>
          <w:lang w:val="en-IE"/>
        </w:rPr>
        <w:t>ata security</w:t>
      </w:r>
      <w:r w:rsidR="002A4ECB">
        <w:rPr>
          <w:rFonts w:ascii="Arial" w:hAnsi="Arial"/>
          <w:sz w:val="22"/>
          <w:szCs w:val="22"/>
          <w:lang w:val="en-IE"/>
        </w:rPr>
        <w:t xml:space="preserve"> must be at the forefront of</w:t>
      </w:r>
      <w:r w:rsidR="001F50F0">
        <w:rPr>
          <w:rFonts w:ascii="Arial" w:hAnsi="Arial"/>
          <w:sz w:val="22"/>
          <w:szCs w:val="22"/>
          <w:lang w:val="en-IE"/>
        </w:rPr>
        <w:t xml:space="preserve"> the new interface</w:t>
      </w:r>
      <w:r w:rsidR="006867C1">
        <w:rPr>
          <w:rFonts w:ascii="Arial" w:hAnsi="Arial"/>
          <w:sz w:val="22"/>
          <w:szCs w:val="22"/>
          <w:lang w:val="en-IE"/>
        </w:rPr>
        <w:t xml:space="preserve"> build</w:t>
      </w:r>
      <w:r w:rsidR="001F50F0">
        <w:rPr>
          <w:rFonts w:ascii="Arial" w:hAnsi="Arial"/>
          <w:sz w:val="22"/>
          <w:szCs w:val="22"/>
          <w:lang w:val="en-IE"/>
        </w:rPr>
        <w:t>,</w:t>
      </w:r>
      <w:r w:rsidR="006960A2">
        <w:rPr>
          <w:rFonts w:ascii="Arial" w:hAnsi="Arial"/>
          <w:sz w:val="22"/>
          <w:szCs w:val="22"/>
          <w:lang w:val="en-IE"/>
        </w:rPr>
        <w:t xml:space="preserve"> </w:t>
      </w:r>
      <w:r w:rsidR="006867C1">
        <w:rPr>
          <w:rFonts w:ascii="Arial" w:hAnsi="Arial"/>
          <w:sz w:val="22"/>
          <w:szCs w:val="22"/>
          <w:lang w:val="en-IE"/>
        </w:rPr>
        <w:t xml:space="preserve">and </w:t>
      </w:r>
      <w:r w:rsidR="006960A2">
        <w:rPr>
          <w:rFonts w:ascii="Arial" w:hAnsi="Arial"/>
          <w:sz w:val="22"/>
          <w:szCs w:val="22"/>
          <w:lang w:val="en-IE"/>
        </w:rPr>
        <w:t xml:space="preserve">this workstream provides the opportunity to </w:t>
      </w:r>
      <w:r w:rsidR="006867C1">
        <w:rPr>
          <w:rFonts w:ascii="Arial" w:hAnsi="Arial"/>
          <w:sz w:val="22"/>
          <w:szCs w:val="22"/>
          <w:lang w:val="en-IE"/>
        </w:rPr>
        <w:t>significantly</w:t>
      </w:r>
      <w:r w:rsidR="006960A2">
        <w:rPr>
          <w:rFonts w:ascii="Arial" w:hAnsi="Arial"/>
          <w:sz w:val="22"/>
          <w:szCs w:val="22"/>
          <w:lang w:val="en-IE"/>
        </w:rPr>
        <w:t xml:space="preserve"> strengthen NCAs’ cybersecurity practices</w:t>
      </w:r>
      <w:r w:rsidR="006867C1">
        <w:rPr>
          <w:rFonts w:ascii="Arial" w:hAnsi="Arial"/>
          <w:sz w:val="22"/>
          <w:szCs w:val="22"/>
          <w:lang w:val="en-IE"/>
        </w:rPr>
        <w:t xml:space="preserve"> with respect to the storage of sensitive data.</w:t>
      </w:r>
    </w:p>
    <w:p w14:paraId="7997A0DD" w14:textId="1A5AB092" w:rsidR="00CF7B8E" w:rsidRPr="001F3257" w:rsidRDefault="00CF7B8E" w:rsidP="00A220E7">
      <w:pPr>
        <w:pStyle w:val="NormalWeb"/>
        <w:spacing w:line="300" w:lineRule="atLeast"/>
        <w:jc w:val="left"/>
        <w:rPr>
          <w:rFonts w:ascii="Arial" w:hAnsi="Arial"/>
          <w:sz w:val="22"/>
          <w:szCs w:val="22"/>
          <w:lang w:val="en-IE"/>
        </w:rPr>
      </w:pPr>
      <w:r w:rsidRPr="001F3257">
        <w:rPr>
          <w:rFonts w:ascii="Arial" w:hAnsi="Arial"/>
          <w:sz w:val="22"/>
          <w:szCs w:val="22"/>
          <w:lang w:val="en-IE"/>
        </w:rPr>
        <w:t>This structure simplifies the reporting process by establishing a single reference point</w:t>
      </w:r>
      <w:r w:rsidR="004A7B05" w:rsidRPr="001F3257">
        <w:rPr>
          <w:rFonts w:ascii="Arial" w:hAnsi="Arial"/>
          <w:sz w:val="22"/>
          <w:szCs w:val="22"/>
          <w:lang w:val="en-IE"/>
        </w:rPr>
        <w:t xml:space="preserve"> and template</w:t>
      </w:r>
      <w:r w:rsidRPr="001F3257">
        <w:rPr>
          <w:rFonts w:ascii="Arial" w:hAnsi="Arial"/>
          <w:sz w:val="22"/>
          <w:szCs w:val="22"/>
          <w:lang w:val="en-IE"/>
        </w:rPr>
        <w:t xml:space="preserve"> for firms, while also enhancing data sharing and reducing duplication across supervisory bodies. Importantly, it allows for cost efficiencies through shared infrastructure and pooled analytical resources, particularly for </w:t>
      </w:r>
      <w:r w:rsidR="00971124">
        <w:rPr>
          <w:rFonts w:ascii="Arial" w:hAnsi="Arial"/>
          <w:sz w:val="22"/>
          <w:szCs w:val="22"/>
          <w:lang w:val="en-IE"/>
        </w:rPr>
        <w:t>NCAs.</w:t>
      </w:r>
    </w:p>
    <w:p w14:paraId="6ABB899F" w14:textId="78418069" w:rsidR="00CF7B8E" w:rsidRPr="001F3257" w:rsidRDefault="00CF7B8E" w:rsidP="00A220E7">
      <w:pPr>
        <w:pStyle w:val="NormalWeb"/>
        <w:spacing w:line="300" w:lineRule="atLeast"/>
        <w:jc w:val="left"/>
        <w:rPr>
          <w:rFonts w:ascii="Arial" w:hAnsi="Arial"/>
          <w:sz w:val="22"/>
          <w:szCs w:val="22"/>
          <w:lang w:val="en-IE"/>
        </w:rPr>
      </w:pPr>
      <w:r w:rsidRPr="001F3257">
        <w:rPr>
          <w:rFonts w:ascii="Arial" w:hAnsi="Arial"/>
          <w:sz w:val="22"/>
          <w:szCs w:val="22"/>
          <w:lang w:val="en-IE"/>
        </w:rPr>
        <w:t xml:space="preserve">While Option 3 offers theoretical benefits in terms of consistency and centralised validation, we </w:t>
      </w:r>
      <w:r w:rsidR="000A5EFA">
        <w:rPr>
          <w:rFonts w:ascii="Arial" w:hAnsi="Arial"/>
          <w:sz w:val="22"/>
          <w:szCs w:val="22"/>
          <w:lang w:val="en-IE"/>
        </w:rPr>
        <w:t xml:space="preserve">think goes too far in that it cuts NCAs out of the reporting flow </w:t>
      </w:r>
      <w:r w:rsidR="00007CA2">
        <w:rPr>
          <w:rFonts w:ascii="Arial" w:hAnsi="Arial"/>
          <w:sz w:val="22"/>
          <w:szCs w:val="22"/>
          <w:lang w:val="en-IE"/>
        </w:rPr>
        <w:t>altogether</w:t>
      </w:r>
      <w:r w:rsidR="000A5EFA">
        <w:rPr>
          <w:rFonts w:ascii="Arial" w:hAnsi="Arial"/>
          <w:sz w:val="22"/>
          <w:szCs w:val="22"/>
          <w:lang w:val="en-IE"/>
        </w:rPr>
        <w:t xml:space="preserve">. As set out further in response to Q. 10, </w:t>
      </w:r>
      <w:r w:rsidR="00714954">
        <w:rPr>
          <w:rFonts w:ascii="Arial" w:hAnsi="Arial"/>
          <w:sz w:val="22"/>
          <w:szCs w:val="22"/>
          <w:lang w:val="en-GB"/>
        </w:rPr>
        <w:t>i</w:t>
      </w:r>
      <w:r w:rsidR="00714954" w:rsidRPr="00714954">
        <w:rPr>
          <w:rFonts w:ascii="Arial" w:hAnsi="Arial"/>
          <w:sz w:val="22"/>
          <w:szCs w:val="22"/>
          <w:lang w:val="en-GB"/>
        </w:rPr>
        <w:t>t is critical that supervising NCAs should remain the primary data collectors</w:t>
      </w:r>
      <w:r w:rsidR="0039693B">
        <w:rPr>
          <w:rFonts w:ascii="Arial" w:hAnsi="Arial"/>
          <w:sz w:val="22"/>
          <w:szCs w:val="22"/>
          <w:lang w:val="en-GB"/>
        </w:rPr>
        <w:t xml:space="preserve"> and owners</w:t>
      </w:r>
      <w:r w:rsidR="00714954">
        <w:rPr>
          <w:rFonts w:ascii="Arial" w:hAnsi="Arial"/>
          <w:sz w:val="22"/>
          <w:szCs w:val="22"/>
          <w:lang w:val="en-GB"/>
        </w:rPr>
        <w:t xml:space="preserve">, in keeping with their responsibility for ensuring financial stability in their </w:t>
      </w:r>
      <w:r w:rsidR="00007CA2">
        <w:rPr>
          <w:rFonts w:ascii="Arial" w:hAnsi="Arial"/>
          <w:sz w:val="22"/>
          <w:szCs w:val="22"/>
          <w:lang w:val="en-GB"/>
        </w:rPr>
        <w:t>respective jurisdictions.</w:t>
      </w:r>
      <w:r w:rsidR="000A5EFA">
        <w:rPr>
          <w:rFonts w:ascii="Arial" w:hAnsi="Arial"/>
          <w:sz w:val="22"/>
          <w:szCs w:val="22"/>
          <w:lang w:val="en-IE"/>
        </w:rPr>
        <w:t xml:space="preserve"> </w:t>
      </w:r>
      <w:r w:rsidR="00007CA2">
        <w:rPr>
          <w:rFonts w:ascii="Arial" w:hAnsi="Arial"/>
          <w:sz w:val="22"/>
          <w:szCs w:val="22"/>
          <w:lang w:val="en-IE"/>
        </w:rPr>
        <w:t>Option 3</w:t>
      </w:r>
      <w:r w:rsidR="00007CA2" w:rsidRPr="001F3257">
        <w:rPr>
          <w:rFonts w:ascii="Arial" w:hAnsi="Arial"/>
          <w:sz w:val="22"/>
          <w:szCs w:val="22"/>
          <w:lang w:val="en-IE"/>
        </w:rPr>
        <w:t xml:space="preserve"> </w:t>
      </w:r>
      <w:r w:rsidRPr="001F3257">
        <w:rPr>
          <w:rFonts w:ascii="Arial" w:hAnsi="Arial"/>
          <w:sz w:val="22"/>
          <w:szCs w:val="22"/>
          <w:lang w:val="en-IE"/>
        </w:rPr>
        <w:t xml:space="preserve">would also risk undermining the subsidiarity principle by centralising functions that are more effectively carried out at national level. </w:t>
      </w:r>
    </w:p>
    <w:p w14:paraId="766A6AF4" w14:textId="77777777" w:rsidR="009C1F36" w:rsidRPr="001F3257" w:rsidRDefault="00CF7B8E" w:rsidP="00A220E7">
      <w:pPr>
        <w:pStyle w:val="NormalWeb"/>
        <w:spacing w:line="300" w:lineRule="atLeast"/>
        <w:jc w:val="left"/>
        <w:rPr>
          <w:rFonts w:ascii="Arial" w:hAnsi="Arial"/>
          <w:sz w:val="22"/>
          <w:szCs w:val="22"/>
          <w:lang w:val="en-IE"/>
        </w:rPr>
      </w:pPr>
      <w:r w:rsidRPr="001F3257">
        <w:rPr>
          <w:rFonts w:ascii="Arial" w:hAnsi="Arial"/>
          <w:sz w:val="22"/>
          <w:szCs w:val="22"/>
          <w:lang w:val="en-IE"/>
        </w:rPr>
        <w:t>Option 1, by contrast, does not go far enough. While it offers some efficiencies through a single national collection point, it fails to address the core issue of fragmented data access and limited interoperability between national and EU-level authorities. As such, the benefits of Option 1 are too limited to justify the effort and investment required to implement it.</w:t>
      </w:r>
    </w:p>
    <w:p w14:paraId="448576D3" w14:textId="0DB3F875" w:rsidR="00CF7B8E" w:rsidRPr="001F3257" w:rsidRDefault="00CF7B8E" w:rsidP="00A220E7">
      <w:pPr>
        <w:pStyle w:val="NormalWeb"/>
        <w:spacing w:line="300" w:lineRule="atLeast"/>
        <w:jc w:val="left"/>
        <w:rPr>
          <w:rFonts w:ascii="Arial" w:hAnsi="Arial"/>
          <w:sz w:val="22"/>
          <w:szCs w:val="22"/>
          <w:lang w:val="en-IE"/>
        </w:rPr>
      </w:pPr>
      <w:r w:rsidRPr="001F3257">
        <w:rPr>
          <w:rFonts w:ascii="Arial" w:hAnsi="Arial"/>
          <w:sz w:val="22"/>
          <w:szCs w:val="22"/>
          <w:lang w:val="en-IE"/>
        </w:rPr>
        <w:t xml:space="preserve">In conclusion, Option 2 offers the most coherent and efficient path forward. It preserves the </w:t>
      </w:r>
      <w:r w:rsidR="008A5867">
        <w:rPr>
          <w:rFonts w:ascii="Arial" w:hAnsi="Arial"/>
          <w:sz w:val="22"/>
          <w:szCs w:val="22"/>
          <w:lang w:val="en-IE"/>
        </w:rPr>
        <w:t xml:space="preserve">important </w:t>
      </w:r>
      <w:r w:rsidRPr="001F3257">
        <w:rPr>
          <w:rFonts w:ascii="Arial" w:hAnsi="Arial"/>
          <w:sz w:val="22"/>
          <w:szCs w:val="22"/>
          <w:lang w:val="en-IE"/>
        </w:rPr>
        <w:t xml:space="preserve">supervisory role of NCAs, enhances data sharing and oversight, and avoids the pitfalls of both under- and over-centralisation. We </w:t>
      </w:r>
      <w:r w:rsidR="0031056E">
        <w:rPr>
          <w:rFonts w:ascii="Arial" w:hAnsi="Arial"/>
          <w:sz w:val="22"/>
          <w:szCs w:val="22"/>
          <w:lang w:val="en-IE"/>
        </w:rPr>
        <w:t>recommend</w:t>
      </w:r>
      <w:r w:rsidRPr="001F3257">
        <w:rPr>
          <w:rFonts w:ascii="Arial" w:hAnsi="Arial"/>
          <w:sz w:val="22"/>
          <w:szCs w:val="22"/>
          <w:lang w:val="en-IE"/>
        </w:rPr>
        <w:t xml:space="preserve"> ESMA and the Commission to adopt this model as the foundation for a future-proof, proportionate, and effective reporting framework.</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53A73B1D"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2ECE535D" w14:textId="307E8306" w:rsidR="00787172" w:rsidRDefault="00DD5E72" w:rsidP="00A220E7">
      <w:pPr>
        <w:pStyle w:val="NormalWeb"/>
        <w:spacing w:line="300" w:lineRule="atLeast"/>
        <w:jc w:val="left"/>
        <w:rPr>
          <w:rFonts w:ascii="Arial" w:hAnsi="Arial"/>
          <w:sz w:val="22"/>
          <w:szCs w:val="22"/>
          <w:lang w:val="en-GB"/>
        </w:rPr>
      </w:pPr>
      <w:permStart w:id="1057125905" w:edGrp="everyone"/>
      <w:r w:rsidRPr="001F3257">
        <w:rPr>
          <w:rFonts w:ascii="Arial" w:hAnsi="Arial"/>
          <w:sz w:val="22"/>
          <w:szCs w:val="22"/>
          <w:lang w:val="en-GB"/>
        </w:rPr>
        <w:lastRenderedPageBreak/>
        <w:t>We believe that</w:t>
      </w:r>
      <w:r w:rsidRPr="001F3257">
        <w:rPr>
          <w:rFonts w:ascii="Arial" w:hAnsi="Arial"/>
          <w:b/>
          <w:sz w:val="22"/>
          <w:szCs w:val="22"/>
          <w:lang w:val="en-GB"/>
        </w:rPr>
        <w:t xml:space="preserve"> </w:t>
      </w:r>
      <w:r w:rsidRPr="001F3257">
        <w:rPr>
          <w:rStyle w:val="Strong"/>
          <w:rFonts w:ascii="Arial" w:hAnsi="Arial"/>
          <w:b w:val="0"/>
          <w:sz w:val="22"/>
          <w:szCs w:val="22"/>
          <w:lang w:val="en-GB"/>
        </w:rPr>
        <w:t>NCAs must remain integral to the reporting flow</w:t>
      </w:r>
      <w:r w:rsidRPr="001F3257">
        <w:rPr>
          <w:rFonts w:ascii="Arial" w:hAnsi="Arial"/>
          <w:sz w:val="22"/>
          <w:szCs w:val="22"/>
          <w:lang w:val="en-GB"/>
        </w:rPr>
        <w:t xml:space="preserve">. As the authorities responsible for </w:t>
      </w:r>
      <w:r w:rsidR="00EC12A9" w:rsidRPr="001F3257">
        <w:rPr>
          <w:rFonts w:ascii="Arial" w:hAnsi="Arial"/>
          <w:sz w:val="22"/>
          <w:szCs w:val="22"/>
          <w:lang w:val="en-GB"/>
        </w:rPr>
        <w:t xml:space="preserve">financial stability </w:t>
      </w:r>
      <w:r w:rsidRPr="001F3257">
        <w:rPr>
          <w:rFonts w:ascii="Arial" w:hAnsi="Arial"/>
          <w:sz w:val="22"/>
          <w:szCs w:val="22"/>
          <w:lang w:val="en-GB"/>
        </w:rPr>
        <w:t>and investor protection within their jurisdictions, NCAs are best placed to manage relationships with firms operating in their markets. Their proximity to local market practices and supervisory needs ensures that data is interpreted and used in a manner that is both contextually relevant and proportionate. Removing NCAs</w:t>
      </w:r>
      <w:r w:rsidR="00980803">
        <w:rPr>
          <w:rFonts w:ascii="Arial" w:hAnsi="Arial"/>
          <w:sz w:val="22"/>
          <w:szCs w:val="22"/>
          <w:lang w:val="en-GB"/>
        </w:rPr>
        <w:t xml:space="preserve"> </w:t>
      </w:r>
      <w:r w:rsidRPr="001F3257">
        <w:rPr>
          <w:rFonts w:ascii="Arial" w:hAnsi="Arial"/>
          <w:sz w:val="22"/>
          <w:szCs w:val="22"/>
          <w:lang w:val="en-GB"/>
        </w:rPr>
        <w:t>from the reporting chain</w:t>
      </w:r>
      <w:r w:rsidR="00CB57D3">
        <w:rPr>
          <w:rFonts w:ascii="Arial" w:hAnsi="Arial"/>
          <w:sz w:val="22"/>
          <w:szCs w:val="22"/>
          <w:lang w:val="en-GB"/>
        </w:rPr>
        <w:t xml:space="preserve"> </w:t>
      </w:r>
      <w:r w:rsidRPr="001F3257">
        <w:rPr>
          <w:rFonts w:ascii="Arial" w:hAnsi="Arial"/>
          <w:sz w:val="22"/>
          <w:szCs w:val="22"/>
          <w:lang w:val="en-GB"/>
        </w:rPr>
        <w:t>would risk weakening this essential link and could lead to a disconnect between data collection and supervisory action.</w:t>
      </w:r>
      <w:r w:rsidR="00F77BED">
        <w:rPr>
          <w:rFonts w:ascii="Arial" w:hAnsi="Arial"/>
          <w:sz w:val="22"/>
          <w:szCs w:val="22"/>
          <w:lang w:val="en-GB"/>
        </w:rPr>
        <w:t xml:space="preserve"> </w:t>
      </w:r>
    </w:p>
    <w:p w14:paraId="181FEDC7" w14:textId="77777777" w:rsidR="00BA02C1" w:rsidRDefault="00F77BED" w:rsidP="00F21CF0">
      <w:r>
        <w:t xml:space="preserve">That </w:t>
      </w:r>
      <w:r w:rsidR="00B85E18">
        <w:t xml:space="preserve">said, </w:t>
      </w:r>
      <w:r w:rsidR="00560CBD">
        <w:t>while it’s</w:t>
      </w:r>
      <w:r w:rsidR="00C44F66">
        <w:t xml:space="preserve"> crucial </w:t>
      </w:r>
      <w:r w:rsidR="00560CBD">
        <w:t xml:space="preserve">to preserve the role of NCAs as intermediaries, there is significant room for improvement in how data </w:t>
      </w:r>
      <w:r w:rsidR="00F319A4">
        <w:t xml:space="preserve">harvesting, </w:t>
      </w:r>
      <w:r w:rsidR="00560CBD">
        <w:t xml:space="preserve">validation and technical checks are handled by the different NCAs. </w:t>
      </w:r>
      <w:r w:rsidR="00320342">
        <w:t xml:space="preserve">We often receive locked Excel sheets from NCAs </w:t>
      </w:r>
      <w:r w:rsidR="00881415">
        <w:t>to populate with data that must then be uploaded to aging regulatory tech systems</w:t>
      </w:r>
      <w:r w:rsidR="00F319A4">
        <w:t xml:space="preserve"> that regularly</w:t>
      </w:r>
      <w:r w:rsidR="00B73A7D">
        <w:t xml:space="preserve"> crash when</w:t>
      </w:r>
      <w:r w:rsidR="00B13646">
        <w:t xml:space="preserve"> multiple entities are trying to submit at the same time</w:t>
      </w:r>
      <w:r w:rsidR="004042BD">
        <w:t xml:space="preserve">. This is not efficient </w:t>
      </w:r>
      <w:r w:rsidR="00662EB5">
        <w:t xml:space="preserve">for </w:t>
      </w:r>
      <w:r w:rsidR="004042BD">
        <w:t>reporting entities</w:t>
      </w:r>
      <w:r w:rsidR="00662EB5">
        <w:t xml:space="preserve"> </w:t>
      </w:r>
      <w:r w:rsidR="0094271D">
        <w:t>submitting large volumes of data</w:t>
      </w:r>
      <w:r w:rsidR="00B13646">
        <w:t>, nor is</w:t>
      </w:r>
      <w:r w:rsidR="006A0360">
        <w:t xml:space="preserve"> scalable</w:t>
      </w:r>
      <w:r w:rsidR="00B13646">
        <w:t xml:space="preserve">, so we could </w:t>
      </w:r>
      <w:r w:rsidR="00CD3A8E">
        <w:t xml:space="preserve">strongly </w:t>
      </w:r>
      <w:r w:rsidR="00B13646">
        <w:t>encourage NCAs to invest in their data harvesting systems</w:t>
      </w:r>
      <w:r w:rsidR="00385245">
        <w:t xml:space="preserve">. </w:t>
      </w:r>
      <w:r w:rsidR="00C44F66">
        <w:t xml:space="preserve">Practices vary widely in the current system </w:t>
      </w:r>
      <w:r w:rsidR="00422D73">
        <w:t xml:space="preserve">with respect to data validation as well, </w:t>
      </w:r>
      <w:r w:rsidR="00C44F66">
        <w:t xml:space="preserve">and greater consistency </w:t>
      </w:r>
      <w:r w:rsidR="007F13F2">
        <w:t xml:space="preserve">on </w:t>
      </w:r>
      <w:r w:rsidR="00422D73">
        <w:t xml:space="preserve">this point </w:t>
      </w:r>
      <w:r w:rsidR="007F13F2">
        <w:t xml:space="preserve">alone </w:t>
      </w:r>
      <w:r w:rsidR="00C44F66">
        <w:t xml:space="preserve">would represent a significant improvement to </w:t>
      </w:r>
      <w:r w:rsidR="00A22E63">
        <w:t>the status quo</w:t>
      </w:r>
      <w:r w:rsidR="00C44F66">
        <w:t>.</w:t>
      </w:r>
      <w:r w:rsidR="003D0D4A">
        <w:t xml:space="preserve"> </w:t>
      </w:r>
    </w:p>
    <w:p w14:paraId="4EA01AE3" w14:textId="3197658F" w:rsidR="00F21CF0" w:rsidRDefault="00F21CF0" w:rsidP="00F21CF0">
      <w:r>
        <w:t>E</w:t>
      </w:r>
      <w:permEnd w:id="1057125905"/>
      <w:r>
        <w:t>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7DE66519" w14:textId="02B5EBBC" w:rsidR="00C945B1" w:rsidRPr="00AE373D" w:rsidRDefault="007B1537" w:rsidP="00404FBB">
      <w:pPr>
        <w:shd w:val="clear" w:color="auto" w:fill="FFFFFF" w:themeFill="background1"/>
        <w:spacing w:before="120" w:after="60" w:line="300" w:lineRule="auto"/>
        <w:jc w:val="left"/>
        <w:rPr>
          <w:rFonts w:eastAsia="Times New Roman"/>
          <w:color w:val="000000" w:themeColor="text1"/>
          <w:szCs w:val="22"/>
          <w:lang w:eastAsia="en-GB"/>
        </w:rPr>
      </w:pPr>
      <w:permStart w:id="462356840" w:edGrp="everyone"/>
      <w:r>
        <w:rPr>
          <w:rFonts w:eastAsia="Times New Roman"/>
          <w:color w:val="000000" w:themeColor="text1"/>
          <w:szCs w:val="22"/>
          <w:lang w:eastAsia="en-GB"/>
        </w:rPr>
        <w:t>Irrespective of the</w:t>
      </w:r>
      <w:r w:rsidR="00C945B1" w:rsidRPr="00AE373D">
        <w:rPr>
          <w:rFonts w:eastAsia="Times New Roman"/>
          <w:color w:val="000000" w:themeColor="text1"/>
          <w:szCs w:val="22"/>
          <w:lang w:eastAsia="en-GB"/>
        </w:rPr>
        <w:t xml:space="preserve"> reporting model </w:t>
      </w:r>
      <w:r>
        <w:rPr>
          <w:rFonts w:eastAsia="Times New Roman"/>
          <w:color w:val="000000" w:themeColor="text1"/>
          <w:szCs w:val="22"/>
          <w:lang w:eastAsia="en-GB"/>
        </w:rPr>
        <w:t xml:space="preserve">that </w:t>
      </w:r>
      <w:r w:rsidR="00C945B1" w:rsidRPr="00AE373D">
        <w:rPr>
          <w:rFonts w:eastAsia="Times New Roman"/>
          <w:color w:val="000000" w:themeColor="text1"/>
          <w:szCs w:val="22"/>
          <w:lang w:eastAsia="en-GB"/>
        </w:rPr>
        <w:t xml:space="preserve">is ultimately adopted, we believe it is essential that </w:t>
      </w:r>
      <w:r w:rsidR="00BC657B">
        <w:rPr>
          <w:rFonts w:eastAsia="Times New Roman"/>
          <w:color w:val="000000" w:themeColor="text1"/>
          <w:szCs w:val="22"/>
          <w:lang w:eastAsia="en-GB"/>
        </w:rPr>
        <w:t>NCAs can</w:t>
      </w:r>
      <w:r w:rsidR="00C945B1" w:rsidRPr="00AE373D">
        <w:rPr>
          <w:rFonts w:eastAsia="Times New Roman"/>
          <w:color w:val="000000" w:themeColor="text1"/>
          <w:szCs w:val="22"/>
          <w:lang w:eastAsia="en-GB"/>
        </w:rPr>
        <w:t xml:space="preserve"> share supervisory data efficiently and securely</w:t>
      </w:r>
      <w:r w:rsidR="00A177E8">
        <w:rPr>
          <w:rFonts w:eastAsia="Times New Roman"/>
          <w:color w:val="000000" w:themeColor="text1"/>
          <w:szCs w:val="22"/>
          <w:lang w:eastAsia="en-GB"/>
        </w:rPr>
        <w:t xml:space="preserve"> </w:t>
      </w:r>
      <w:r w:rsidR="00C945B1" w:rsidRPr="00AE373D">
        <w:rPr>
          <w:rFonts w:eastAsia="Times New Roman"/>
          <w:color w:val="000000" w:themeColor="text1"/>
          <w:szCs w:val="22"/>
          <w:lang w:eastAsia="en-GB"/>
        </w:rPr>
        <w:t>both across jurisdictions and within Member States.</w:t>
      </w:r>
      <w:r w:rsidR="00E271CA">
        <w:rPr>
          <w:rFonts w:eastAsia="Times New Roman"/>
          <w:color w:val="000000" w:themeColor="text1"/>
          <w:szCs w:val="22"/>
          <w:lang w:eastAsia="en-GB"/>
        </w:rPr>
        <w:t xml:space="preserve"> </w:t>
      </w:r>
      <w:r w:rsidR="00C945B1" w:rsidRPr="00AE373D">
        <w:rPr>
          <w:rFonts w:eastAsia="Times New Roman"/>
          <w:color w:val="000000" w:themeColor="text1"/>
          <w:szCs w:val="22"/>
          <w:lang w:eastAsia="en-GB"/>
        </w:rPr>
        <w:t>A common reporting framework will only be effective if it is accompanied by mechanisms that allow NCAs to access and exchange relevant data in a timely and consistent manner</w:t>
      </w:r>
      <w:r w:rsidR="006B1625">
        <w:rPr>
          <w:rFonts w:eastAsia="Times New Roman"/>
          <w:color w:val="000000" w:themeColor="text1"/>
          <w:szCs w:val="22"/>
          <w:lang w:eastAsia="en-GB"/>
        </w:rPr>
        <w:t xml:space="preserve"> – ideally through a decentralised blockchain model to maintain supervisory accountability</w:t>
      </w:r>
      <w:r w:rsidR="00C945B1" w:rsidRPr="00AE373D">
        <w:rPr>
          <w:rFonts w:eastAsia="Times New Roman"/>
          <w:color w:val="000000" w:themeColor="text1"/>
          <w:szCs w:val="22"/>
          <w:lang w:eastAsia="en-GB"/>
        </w:rPr>
        <w:t>.</w:t>
      </w:r>
    </w:p>
    <w:p w14:paraId="0AC15D08" w14:textId="16D3AE74" w:rsidR="00C945B1" w:rsidRPr="00AE373D" w:rsidRDefault="00C945B1" w:rsidP="00404FBB">
      <w:pPr>
        <w:shd w:val="clear" w:color="auto" w:fill="FFFFFF" w:themeFill="background1"/>
        <w:spacing w:before="120" w:after="60" w:line="300" w:lineRule="auto"/>
        <w:jc w:val="left"/>
        <w:rPr>
          <w:rFonts w:eastAsia="Times New Roman"/>
          <w:color w:val="000000" w:themeColor="text1"/>
          <w:szCs w:val="22"/>
          <w:lang w:eastAsia="en-GB"/>
        </w:rPr>
      </w:pPr>
      <w:r w:rsidRPr="00AE373D">
        <w:rPr>
          <w:rFonts w:eastAsia="Times New Roman"/>
          <w:color w:val="000000" w:themeColor="text1"/>
          <w:szCs w:val="22"/>
          <w:lang w:eastAsia="en-GB"/>
        </w:rPr>
        <w:t>Equally important is the ability to share data between different types of authorities within a Member State</w:t>
      </w:r>
      <w:r w:rsidR="00AE373D">
        <w:rPr>
          <w:rFonts w:eastAsia="Times New Roman"/>
          <w:color w:val="000000" w:themeColor="text1"/>
          <w:szCs w:val="22"/>
          <w:lang w:eastAsia="en-GB"/>
        </w:rPr>
        <w:t>, e.g.</w:t>
      </w:r>
      <w:r w:rsidRPr="00AE373D">
        <w:rPr>
          <w:rFonts w:eastAsia="Times New Roman"/>
          <w:color w:val="000000" w:themeColor="text1"/>
          <w:szCs w:val="22"/>
          <w:lang w:eastAsia="en-GB"/>
        </w:rPr>
        <w:t>, between market supervisors and central banks. This is particularly relevant where statistical and supervisory reporting intersect, or where monetary policy and financial stability considerations overlap. Without such coordination, risk</w:t>
      </w:r>
      <w:r w:rsidR="004F6566">
        <w:rPr>
          <w:rFonts w:eastAsia="Times New Roman"/>
          <w:color w:val="000000" w:themeColor="text1"/>
          <w:szCs w:val="22"/>
          <w:lang w:eastAsia="en-GB"/>
        </w:rPr>
        <w:t>s</w:t>
      </w:r>
      <w:r w:rsidRPr="00AE373D">
        <w:rPr>
          <w:rFonts w:eastAsia="Times New Roman"/>
          <w:color w:val="000000" w:themeColor="text1"/>
          <w:szCs w:val="22"/>
          <w:lang w:eastAsia="en-GB"/>
        </w:rPr>
        <w:t xml:space="preserve"> of duplicative requests, inconsistent interpretations, and missed opportunities for early intervention</w:t>
      </w:r>
      <w:r w:rsidR="004F6566">
        <w:rPr>
          <w:rFonts w:eastAsia="Times New Roman"/>
          <w:color w:val="000000" w:themeColor="text1"/>
          <w:szCs w:val="22"/>
          <w:lang w:eastAsia="en-GB"/>
        </w:rPr>
        <w:t xml:space="preserve"> will remain</w:t>
      </w:r>
      <w:r w:rsidRPr="00AE373D">
        <w:rPr>
          <w:rFonts w:eastAsia="Times New Roman"/>
          <w:color w:val="000000" w:themeColor="text1"/>
          <w:szCs w:val="22"/>
          <w:lang w:eastAsia="en-GB"/>
        </w:rPr>
        <w:t>.</w:t>
      </w:r>
    </w:p>
    <w:p w14:paraId="371AB394" w14:textId="77777777" w:rsidR="00BA02C1" w:rsidRDefault="00C945B1" w:rsidP="00BA02C1">
      <w:pPr>
        <w:shd w:val="clear" w:color="auto" w:fill="FFFFFF" w:themeFill="background1"/>
        <w:spacing w:before="120" w:after="60" w:line="300" w:lineRule="auto"/>
        <w:jc w:val="left"/>
        <w:rPr>
          <w:rFonts w:eastAsia="Times New Roman"/>
          <w:color w:val="000000" w:themeColor="text1"/>
          <w:szCs w:val="22"/>
          <w:lang w:eastAsia="en-GB"/>
        </w:rPr>
      </w:pPr>
      <w:r w:rsidRPr="00AE373D">
        <w:rPr>
          <w:rFonts w:eastAsia="Times New Roman"/>
          <w:color w:val="000000" w:themeColor="text1"/>
          <w:szCs w:val="22"/>
          <w:lang w:eastAsia="en-GB"/>
        </w:rPr>
        <w:t>We therefore recommend that ESMA prioritise the development of interoperable data-sharing arrangements as part of any integrated reporting framework. This should include clear legal and technical pathways for data exchange, safeguards for confidentiality, and alignment with existing EU data governance initiatives.</w:t>
      </w:r>
    </w:p>
    <w:p w14:paraId="080A2BB2" w14:textId="22898DB6" w:rsidR="00F21CF0" w:rsidRPr="00BA02C1" w:rsidRDefault="00F21CF0" w:rsidP="00BA02C1">
      <w:pPr>
        <w:shd w:val="clear" w:color="auto" w:fill="FFFFFF" w:themeFill="background1"/>
        <w:spacing w:before="120" w:after="60" w:line="300" w:lineRule="auto"/>
        <w:jc w:val="left"/>
        <w:rPr>
          <w:rFonts w:eastAsia="Times New Roman"/>
          <w:color w:val="000000" w:themeColor="text1"/>
          <w:szCs w:val="22"/>
          <w:lang w:eastAsia="en-GB"/>
        </w:rPr>
      </w:pPr>
      <w:r>
        <w:lastRenderedPageBreak/>
        <w:t>E</w:t>
      </w:r>
      <w:permEnd w:id="462356840"/>
      <w:r>
        <w:t>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5A8333B8" w14:textId="0CF63095" w:rsidR="0043266E" w:rsidRDefault="009C1F36" w:rsidP="009C1F36">
      <w:pPr>
        <w:pStyle w:val="NormalWeb"/>
        <w:spacing w:line="300" w:lineRule="atLeast"/>
        <w:jc w:val="left"/>
        <w:rPr>
          <w:rFonts w:ascii="Arial" w:hAnsi="Arial"/>
          <w:sz w:val="22"/>
          <w:szCs w:val="22"/>
          <w:lang w:val="en-IE"/>
        </w:rPr>
      </w:pPr>
      <w:permStart w:id="870546551" w:edGrp="everyone"/>
      <w:r w:rsidRPr="00571644">
        <w:rPr>
          <w:rFonts w:ascii="Arial" w:hAnsi="Arial"/>
          <w:sz w:val="22"/>
          <w:szCs w:val="22"/>
          <w:lang w:val="en-IE"/>
        </w:rPr>
        <w:t xml:space="preserve">We would not support </w:t>
      </w:r>
      <w:r w:rsidR="004B1491">
        <w:rPr>
          <w:rFonts w:ascii="Arial" w:hAnsi="Arial"/>
          <w:sz w:val="22"/>
          <w:szCs w:val="22"/>
          <w:lang w:val="en-IE"/>
        </w:rPr>
        <w:t xml:space="preserve">either </w:t>
      </w:r>
      <w:r w:rsidR="00980C34">
        <w:rPr>
          <w:rFonts w:ascii="Arial" w:hAnsi="Arial"/>
          <w:sz w:val="22"/>
          <w:szCs w:val="22"/>
          <w:lang w:val="en-IE"/>
        </w:rPr>
        <w:t xml:space="preserve">of the </w:t>
      </w:r>
      <w:r w:rsidR="004B1491">
        <w:rPr>
          <w:rFonts w:ascii="Arial" w:hAnsi="Arial"/>
          <w:sz w:val="22"/>
          <w:szCs w:val="22"/>
          <w:lang w:val="en-IE"/>
        </w:rPr>
        <w:t>option</w:t>
      </w:r>
      <w:r w:rsidR="00980C34">
        <w:rPr>
          <w:rFonts w:ascii="Arial" w:hAnsi="Arial"/>
          <w:sz w:val="22"/>
          <w:szCs w:val="22"/>
          <w:lang w:val="en-IE"/>
        </w:rPr>
        <w:t>s</w:t>
      </w:r>
      <w:r w:rsidR="004B1491">
        <w:rPr>
          <w:rFonts w:ascii="Arial" w:hAnsi="Arial"/>
          <w:sz w:val="22"/>
          <w:szCs w:val="22"/>
          <w:lang w:val="en-IE"/>
        </w:rPr>
        <w:t xml:space="preserve"> proposed by ESMA namely, (i) </w:t>
      </w:r>
      <w:r w:rsidRPr="00571644">
        <w:rPr>
          <w:rFonts w:ascii="Arial" w:hAnsi="Arial"/>
          <w:sz w:val="22"/>
          <w:szCs w:val="22"/>
          <w:lang w:val="en-IE"/>
        </w:rPr>
        <w:t xml:space="preserve">the introduction </w:t>
      </w:r>
      <w:r>
        <w:rPr>
          <w:rFonts w:ascii="Arial" w:hAnsi="Arial"/>
          <w:sz w:val="22"/>
          <w:szCs w:val="22"/>
          <w:lang w:val="en-IE"/>
        </w:rPr>
        <w:t xml:space="preserve">of </w:t>
      </w:r>
      <w:r w:rsidR="00AE0D81">
        <w:rPr>
          <w:rFonts w:ascii="Arial" w:hAnsi="Arial"/>
          <w:sz w:val="22"/>
          <w:szCs w:val="22"/>
          <w:lang w:val="en-IE"/>
        </w:rPr>
        <w:t>different</w:t>
      </w:r>
      <w:r w:rsidRPr="00571644">
        <w:rPr>
          <w:rFonts w:ascii="Arial" w:hAnsi="Arial"/>
          <w:sz w:val="22"/>
          <w:szCs w:val="22"/>
          <w:lang w:val="en-IE"/>
        </w:rPr>
        <w:t xml:space="preserve"> </w:t>
      </w:r>
      <w:r w:rsidRPr="00571644">
        <w:rPr>
          <w:rStyle w:val="Strong"/>
          <w:rFonts w:ascii="Arial" w:hAnsi="Arial"/>
          <w:b w:val="0"/>
          <w:sz w:val="22"/>
          <w:szCs w:val="22"/>
          <w:lang w:val="en-IE"/>
        </w:rPr>
        <w:t xml:space="preserve">transition </w:t>
      </w:r>
      <w:r w:rsidRPr="00571644">
        <w:rPr>
          <w:rStyle w:val="Strong"/>
          <w:rFonts w:ascii="Arial" w:hAnsi="Arial"/>
          <w:b w:val="0"/>
          <w:bCs w:val="0"/>
          <w:sz w:val="22"/>
          <w:szCs w:val="22"/>
          <w:lang w:val="en-IE"/>
        </w:rPr>
        <w:t>period</w:t>
      </w:r>
      <w:r w:rsidR="00CC6660">
        <w:rPr>
          <w:rStyle w:val="Strong"/>
          <w:rFonts w:ascii="Arial" w:hAnsi="Arial"/>
          <w:b w:val="0"/>
          <w:bCs w:val="0"/>
          <w:sz w:val="22"/>
          <w:szCs w:val="22"/>
          <w:lang w:val="en-IE"/>
        </w:rPr>
        <w:t>s</w:t>
      </w:r>
      <w:r w:rsidR="009B7206">
        <w:rPr>
          <w:rStyle w:val="Strong"/>
          <w:rFonts w:ascii="Arial" w:hAnsi="Arial"/>
          <w:b w:val="0"/>
          <w:bCs w:val="0"/>
          <w:sz w:val="22"/>
          <w:szCs w:val="22"/>
          <w:lang w:val="en-IE"/>
        </w:rPr>
        <w:t xml:space="preserve"> based</w:t>
      </w:r>
      <w:r w:rsidR="00AE0D81">
        <w:rPr>
          <w:rStyle w:val="Strong"/>
          <w:rFonts w:ascii="Arial" w:hAnsi="Arial"/>
          <w:b w:val="0"/>
          <w:bCs w:val="0"/>
          <w:sz w:val="22"/>
          <w:szCs w:val="22"/>
          <w:lang w:val="en-IE"/>
        </w:rPr>
        <w:t xml:space="preserve"> on the size of the </w:t>
      </w:r>
      <w:r w:rsidR="009B7206">
        <w:rPr>
          <w:rStyle w:val="Strong"/>
          <w:rFonts w:ascii="Arial" w:hAnsi="Arial"/>
          <w:b w:val="0"/>
          <w:bCs w:val="0"/>
          <w:sz w:val="22"/>
          <w:szCs w:val="22"/>
          <w:lang w:val="en-IE"/>
        </w:rPr>
        <w:t>reporting entity</w:t>
      </w:r>
      <w:r>
        <w:rPr>
          <w:rStyle w:val="Strong"/>
          <w:rFonts w:ascii="Arial" w:hAnsi="Arial"/>
          <w:b w:val="0"/>
          <w:sz w:val="22"/>
          <w:szCs w:val="22"/>
          <w:lang w:val="en-IE"/>
        </w:rPr>
        <w:t xml:space="preserve">, or </w:t>
      </w:r>
      <w:r w:rsidR="004B1491">
        <w:rPr>
          <w:rStyle w:val="Strong"/>
          <w:rFonts w:ascii="Arial" w:hAnsi="Arial"/>
          <w:b w:val="0"/>
          <w:bCs w:val="0"/>
          <w:sz w:val="22"/>
          <w:szCs w:val="22"/>
          <w:lang w:val="en-IE"/>
        </w:rPr>
        <w:t>(ii)</w:t>
      </w:r>
      <w:r w:rsidR="00AE0D81">
        <w:rPr>
          <w:rStyle w:val="Strong"/>
          <w:rFonts w:ascii="Arial" w:hAnsi="Arial"/>
          <w:b w:val="0"/>
          <w:bCs w:val="0"/>
          <w:sz w:val="22"/>
          <w:szCs w:val="22"/>
          <w:lang w:val="en-IE"/>
        </w:rPr>
        <w:t xml:space="preserve"> </w:t>
      </w:r>
      <w:r w:rsidRPr="00571644">
        <w:rPr>
          <w:rFonts w:ascii="Arial" w:hAnsi="Arial"/>
          <w:sz w:val="22"/>
          <w:szCs w:val="22"/>
          <w:lang w:val="en-IE"/>
        </w:rPr>
        <w:t>a</w:t>
      </w:r>
      <w:r w:rsidRPr="00571644">
        <w:rPr>
          <w:rFonts w:ascii="Arial" w:hAnsi="Arial"/>
          <w:b/>
          <w:sz w:val="22"/>
          <w:szCs w:val="22"/>
          <w:lang w:val="en-IE"/>
        </w:rPr>
        <w:t xml:space="preserve"> </w:t>
      </w:r>
      <w:r w:rsidRPr="00571644">
        <w:rPr>
          <w:rStyle w:val="Strong"/>
          <w:rFonts w:ascii="Arial" w:hAnsi="Arial"/>
          <w:b w:val="0"/>
          <w:sz w:val="22"/>
          <w:szCs w:val="22"/>
          <w:lang w:val="en-IE"/>
        </w:rPr>
        <w:t>hybrid approach</w:t>
      </w:r>
      <w:r>
        <w:rPr>
          <w:rStyle w:val="Strong"/>
          <w:rFonts w:ascii="Arial" w:hAnsi="Arial"/>
          <w:b w:val="0"/>
          <w:sz w:val="22"/>
          <w:szCs w:val="22"/>
          <w:lang w:val="en-IE"/>
        </w:rPr>
        <w:t xml:space="preserve"> </w:t>
      </w:r>
      <w:r w:rsidR="00EA5442">
        <w:rPr>
          <w:rStyle w:val="Strong"/>
          <w:rFonts w:ascii="Arial" w:hAnsi="Arial"/>
          <w:b w:val="0"/>
          <w:bCs w:val="0"/>
          <w:sz w:val="22"/>
          <w:szCs w:val="22"/>
          <w:lang w:val="en-IE"/>
        </w:rPr>
        <w:t>to reporting</w:t>
      </w:r>
      <w:r w:rsidRPr="00571644">
        <w:rPr>
          <w:rFonts w:ascii="Arial" w:hAnsi="Arial"/>
          <w:sz w:val="22"/>
          <w:szCs w:val="22"/>
          <w:lang w:val="en-IE"/>
        </w:rPr>
        <w:t xml:space="preserve"> where only larger entities report directly to</w:t>
      </w:r>
      <w:r w:rsidR="00DF2CC5">
        <w:rPr>
          <w:rFonts w:ascii="Arial" w:hAnsi="Arial"/>
          <w:sz w:val="22"/>
          <w:szCs w:val="22"/>
          <w:lang w:val="en-IE"/>
        </w:rPr>
        <w:t xml:space="preserve"> an</w:t>
      </w:r>
      <w:r w:rsidRPr="00571644">
        <w:rPr>
          <w:rFonts w:ascii="Arial" w:hAnsi="Arial"/>
          <w:sz w:val="22"/>
          <w:szCs w:val="22"/>
          <w:lang w:val="en-IE"/>
        </w:rPr>
        <w:t xml:space="preserve"> EU-level system while smaller firms continue to report nationally. </w:t>
      </w:r>
      <w:r w:rsidR="00980C34">
        <w:rPr>
          <w:rFonts w:ascii="Arial" w:hAnsi="Arial"/>
          <w:sz w:val="22"/>
          <w:szCs w:val="22"/>
          <w:lang w:val="en-IE"/>
        </w:rPr>
        <w:t>As outlined already, we are not supportive of a centralised EU-wide hub</w:t>
      </w:r>
      <w:r w:rsidR="0020097D">
        <w:rPr>
          <w:rFonts w:ascii="Arial" w:hAnsi="Arial"/>
          <w:sz w:val="22"/>
          <w:szCs w:val="22"/>
          <w:lang w:val="en-IE"/>
        </w:rPr>
        <w:t xml:space="preserve"> in the first place, but </w:t>
      </w:r>
      <w:r w:rsidR="007C2A97">
        <w:rPr>
          <w:rFonts w:ascii="Arial" w:hAnsi="Arial"/>
          <w:sz w:val="22"/>
          <w:szCs w:val="22"/>
          <w:lang w:val="en-IE"/>
        </w:rPr>
        <w:t>if ESMA does go down that road, we would emphasise that w</w:t>
      </w:r>
      <w:r w:rsidRPr="00571644">
        <w:rPr>
          <w:rFonts w:ascii="Arial" w:hAnsi="Arial"/>
          <w:sz w:val="22"/>
          <w:szCs w:val="22"/>
          <w:lang w:val="en-IE"/>
        </w:rPr>
        <w:t xml:space="preserve">hile these ideas may appear pragmatic, </w:t>
      </w:r>
      <w:r w:rsidR="00DF2CC5">
        <w:rPr>
          <w:rFonts w:ascii="Arial" w:hAnsi="Arial"/>
          <w:sz w:val="22"/>
          <w:szCs w:val="22"/>
          <w:lang w:val="en-IE"/>
        </w:rPr>
        <w:t xml:space="preserve">as already mentioned </w:t>
      </w:r>
      <w:r w:rsidR="004B4EAB">
        <w:rPr>
          <w:rFonts w:ascii="Arial" w:hAnsi="Arial"/>
          <w:sz w:val="22"/>
          <w:szCs w:val="22"/>
          <w:lang w:val="en-IE"/>
        </w:rPr>
        <w:t xml:space="preserve">we do not believe it </w:t>
      </w:r>
      <w:r w:rsidR="00515CFF">
        <w:rPr>
          <w:rFonts w:ascii="Arial" w:hAnsi="Arial"/>
          <w:sz w:val="22"/>
          <w:szCs w:val="22"/>
          <w:lang w:val="en-IE"/>
        </w:rPr>
        <w:t xml:space="preserve">is </w:t>
      </w:r>
      <w:r w:rsidR="00DF2CC5">
        <w:rPr>
          <w:rFonts w:ascii="Arial" w:hAnsi="Arial"/>
          <w:sz w:val="22"/>
          <w:szCs w:val="22"/>
          <w:lang w:val="en-IE"/>
        </w:rPr>
        <w:t>appropriate</w:t>
      </w:r>
      <w:r w:rsidR="00AD13FA">
        <w:rPr>
          <w:rFonts w:ascii="Arial" w:hAnsi="Arial"/>
          <w:sz w:val="22"/>
          <w:szCs w:val="22"/>
          <w:lang w:val="en-IE"/>
        </w:rPr>
        <w:t xml:space="preserve"> – or indeed realistic </w:t>
      </w:r>
      <w:r w:rsidR="00AE7BA1">
        <w:rPr>
          <w:rFonts w:ascii="Arial" w:hAnsi="Arial"/>
          <w:sz w:val="22"/>
          <w:szCs w:val="22"/>
          <w:lang w:val="en-IE"/>
        </w:rPr>
        <w:t>–</w:t>
      </w:r>
      <w:r w:rsidR="001544A4">
        <w:rPr>
          <w:rFonts w:ascii="Arial" w:hAnsi="Arial"/>
          <w:sz w:val="22"/>
          <w:szCs w:val="22"/>
          <w:lang w:val="en-IE"/>
        </w:rPr>
        <w:t xml:space="preserve"> </w:t>
      </w:r>
      <w:r w:rsidR="00AE7BA1">
        <w:rPr>
          <w:rFonts w:ascii="Arial" w:hAnsi="Arial"/>
          <w:sz w:val="22"/>
          <w:szCs w:val="22"/>
          <w:lang w:val="en-IE"/>
        </w:rPr>
        <w:t>to expect</w:t>
      </w:r>
      <w:r w:rsidR="001544A4">
        <w:rPr>
          <w:rFonts w:ascii="Arial" w:hAnsi="Arial"/>
          <w:sz w:val="22"/>
          <w:szCs w:val="22"/>
          <w:lang w:val="en-IE"/>
        </w:rPr>
        <w:t xml:space="preserve"> </w:t>
      </w:r>
      <w:r w:rsidR="0015584C" w:rsidRPr="00571644">
        <w:rPr>
          <w:rFonts w:ascii="Arial" w:hAnsi="Arial"/>
          <w:sz w:val="22"/>
          <w:szCs w:val="22"/>
          <w:lang w:val="en-IE"/>
        </w:rPr>
        <w:t xml:space="preserve">NCAs </w:t>
      </w:r>
      <w:r w:rsidR="001544A4">
        <w:rPr>
          <w:rFonts w:ascii="Arial" w:hAnsi="Arial"/>
          <w:sz w:val="22"/>
          <w:szCs w:val="22"/>
          <w:lang w:val="en-IE"/>
        </w:rPr>
        <w:t xml:space="preserve">to give </w:t>
      </w:r>
      <w:r w:rsidR="00D71F7F" w:rsidRPr="00571644">
        <w:rPr>
          <w:rFonts w:ascii="Arial" w:hAnsi="Arial"/>
          <w:sz w:val="22"/>
          <w:szCs w:val="22"/>
          <w:lang w:val="en-IE"/>
        </w:rPr>
        <w:t>up their prox</w:t>
      </w:r>
      <w:r w:rsidR="002C11FE">
        <w:rPr>
          <w:rFonts w:ascii="Arial" w:hAnsi="Arial"/>
          <w:sz w:val="22"/>
          <w:szCs w:val="22"/>
          <w:lang w:val="en-IE"/>
        </w:rPr>
        <w:t>i</w:t>
      </w:r>
      <w:r w:rsidR="00D71F7F" w:rsidRPr="00571644">
        <w:rPr>
          <w:rFonts w:ascii="Arial" w:hAnsi="Arial"/>
          <w:sz w:val="22"/>
          <w:szCs w:val="22"/>
          <w:lang w:val="en-IE"/>
        </w:rPr>
        <w:t xml:space="preserve">mity to the entities </w:t>
      </w:r>
      <w:r w:rsidR="002C11FE">
        <w:rPr>
          <w:rFonts w:ascii="Arial" w:hAnsi="Arial"/>
          <w:sz w:val="22"/>
          <w:szCs w:val="22"/>
          <w:lang w:val="en-IE"/>
        </w:rPr>
        <w:t>that they</w:t>
      </w:r>
      <w:r w:rsidR="00D71F7F" w:rsidRPr="00571644">
        <w:rPr>
          <w:rFonts w:ascii="Arial" w:hAnsi="Arial"/>
          <w:sz w:val="22"/>
          <w:szCs w:val="22"/>
          <w:lang w:val="en-IE"/>
        </w:rPr>
        <w:t xml:space="preserve"> are </w:t>
      </w:r>
      <w:r w:rsidR="002C11FE" w:rsidRPr="00571644">
        <w:rPr>
          <w:rFonts w:ascii="Arial" w:hAnsi="Arial"/>
          <w:sz w:val="22"/>
          <w:szCs w:val="22"/>
          <w:lang w:val="en-IE"/>
        </w:rPr>
        <w:t>responsible</w:t>
      </w:r>
      <w:r w:rsidR="00D71F7F" w:rsidRPr="00571644">
        <w:rPr>
          <w:rFonts w:ascii="Arial" w:hAnsi="Arial"/>
          <w:sz w:val="22"/>
          <w:szCs w:val="22"/>
          <w:lang w:val="en-IE"/>
        </w:rPr>
        <w:t xml:space="preserve"> for supervising. Therefore, it </w:t>
      </w:r>
      <w:r w:rsidR="00980C34">
        <w:rPr>
          <w:rFonts w:ascii="Arial" w:hAnsi="Arial"/>
          <w:sz w:val="22"/>
          <w:szCs w:val="22"/>
          <w:lang w:val="en-IE"/>
        </w:rPr>
        <w:t>would</w:t>
      </w:r>
      <w:r w:rsidR="00980C34" w:rsidRPr="00571644">
        <w:rPr>
          <w:rFonts w:ascii="Arial" w:hAnsi="Arial"/>
          <w:sz w:val="22"/>
          <w:szCs w:val="22"/>
          <w:lang w:val="en-IE"/>
        </w:rPr>
        <w:t xml:space="preserve"> </w:t>
      </w:r>
      <w:r w:rsidR="002C11FE">
        <w:rPr>
          <w:rFonts w:ascii="Arial" w:hAnsi="Arial"/>
          <w:sz w:val="22"/>
          <w:szCs w:val="22"/>
          <w:lang w:val="en-IE"/>
        </w:rPr>
        <w:t xml:space="preserve">inevitably </w:t>
      </w:r>
      <w:r w:rsidR="00D71F7F" w:rsidRPr="00571644">
        <w:rPr>
          <w:rFonts w:ascii="Arial" w:hAnsi="Arial"/>
          <w:sz w:val="22"/>
          <w:szCs w:val="22"/>
          <w:lang w:val="en-IE"/>
        </w:rPr>
        <w:t xml:space="preserve">result in a </w:t>
      </w:r>
      <w:r w:rsidR="0043266E" w:rsidRPr="00571644">
        <w:rPr>
          <w:rFonts w:ascii="Arial" w:hAnsi="Arial"/>
          <w:sz w:val="22"/>
          <w:szCs w:val="22"/>
          <w:lang w:val="en-IE"/>
        </w:rPr>
        <w:t>two-tier</w:t>
      </w:r>
      <w:r w:rsidR="00D71F7F" w:rsidRPr="00571644">
        <w:rPr>
          <w:rFonts w:ascii="Arial" w:hAnsi="Arial"/>
          <w:sz w:val="22"/>
          <w:szCs w:val="22"/>
          <w:lang w:val="en-IE"/>
        </w:rPr>
        <w:t xml:space="preserve"> system where </w:t>
      </w:r>
      <w:r w:rsidR="002A1211">
        <w:rPr>
          <w:rFonts w:ascii="Arial" w:hAnsi="Arial"/>
          <w:sz w:val="22"/>
          <w:szCs w:val="22"/>
          <w:lang w:val="en-IE"/>
        </w:rPr>
        <w:t xml:space="preserve">larger </w:t>
      </w:r>
      <w:r w:rsidR="00D71F7F" w:rsidRPr="00571644">
        <w:rPr>
          <w:rFonts w:ascii="Arial" w:hAnsi="Arial"/>
          <w:sz w:val="22"/>
          <w:szCs w:val="22"/>
          <w:lang w:val="en-IE"/>
        </w:rPr>
        <w:t xml:space="preserve">firms </w:t>
      </w:r>
      <w:r w:rsidR="00980C34">
        <w:rPr>
          <w:rFonts w:ascii="Arial" w:hAnsi="Arial"/>
          <w:sz w:val="22"/>
          <w:szCs w:val="22"/>
          <w:lang w:val="en-IE"/>
        </w:rPr>
        <w:t>would have to</w:t>
      </w:r>
      <w:r w:rsidR="00D71F7F" w:rsidRPr="00571644">
        <w:rPr>
          <w:rFonts w:ascii="Arial" w:hAnsi="Arial"/>
          <w:sz w:val="22"/>
          <w:szCs w:val="22"/>
          <w:lang w:val="en-IE"/>
        </w:rPr>
        <w:t xml:space="preserve"> report at </w:t>
      </w:r>
      <w:r w:rsidR="004F6566">
        <w:rPr>
          <w:rFonts w:ascii="Arial" w:hAnsi="Arial"/>
          <w:sz w:val="22"/>
          <w:szCs w:val="22"/>
          <w:lang w:val="en-IE"/>
        </w:rPr>
        <w:t>both</w:t>
      </w:r>
      <w:r w:rsidR="00D71F7F" w:rsidRPr="00571644">
        <w:rPr>
          <w:rFonts w:ascii="Arial" w:hAnsi="Arial"/>
          <w:sz w:val="22"/>
          <w:szCs w:val="22"/>
          <w:lang w:val="en-IE"/>
        </w:rPr>
        <w:t xml:space="preserve"> national and EU level</w:t>
      </w:r>
      <w:r w:rsidR="007C2A97">
        <w:rPr>
          <w:rFonts w:ascii="Arial" w:hAnsi="Arial"/>
          <w:sz w:val="22"/>
          <w:szCs w:val="22"/>
          <w:lang w:val="en-IE"/>
        </w:rPr>
        <w:t>s</w:t>
      </w:r>
      <w:r w:rsidR="002A1211">
        <w:rPr>
          <w:rFonts w:ascii="Arial" w:hAnsi="Arial"/>
          <w:sz w:val="22"/>
          <w:szCs w:val="22"/>
          <w:lang w:val="en-IE"/>
        </w:rPr>
        <w:t xml:space="preserve">, </w:t>
      </w:r>
      <w:r w:rsidR="007C2A97">
        <w:rPr>
          <w:rFonts w:ascii="Arial" w:hAnsi="Arial"/>
          <w:sz w:val="22"/>
          <w:szCs w:val="22"/>
          <w:lang w:val="en-IE"/>
        </w:rPr>
        <w:t>i</w:t>
      </w:r>
      <w:r w:rsidR="00980C34">
        <w:rPr>
          <w:rFonts w:ascii="Arial" w:hAnsi="Arial"/>
          <w:sz w:val="22"/>
          <w:szCs w:val="22"/>
          <w:lang w:val="en-IE"/>
        </w:rPr>
        <w:t>ntroducing even more duplication tha</w:t>
      </w:r>
      <w:r w:rsidR="007C2A97">
        <w:rPr>
          <w:rFonts w:ascii="Arial" w:hAnsi="Arial"/>
          <w:sz w:val="22"/>
          <w:szCs w:val="22"/>
          <w:lang w:val="en-IE"/>
        </w:rPr>
        <w:t>n</w:t>
      </w:r>
      <w:r w:rsidR="00980C34">
        <w:rPr>
          <w:rFonts w:ascii="Arial" w:hAnsi="Arial"/>
          <w:sz w:val="22"/>
          <w:szCs w:val="22"/>
          <w:lang w:val="en-IE"/>
        </w:rPr>
        <w:t xml:space="preserve"> the status quo</w:t>
      </w:r>
      <w:r w:rsidR="007C2A97">
        <w:rPr>
          <w:rFonts w:ascii="Arial" w:hAnsi="Arial"/>
          <w:sz w:val="22"/>
          <w:szCs w:val="22"/>
          <w:lang w:val="en-IE"/>
        </w:rPr>
        <w:t>, and undermining simplification – a key objective of this project</w:t>
      </w:r>
      <w:r w:rsidR="00980C34">
        <w:rPr>
          <w:rFonts w:ascii="Arial" w:hAnsi="Arial"/>
          <w:sz w:val="22"/>
          <w:szCs w:val="22"/>
          <w:lang w:val="en-IE"/>
        </w:rPr>
        <w:t>,</w:t>
      </w:r>
    </w:p>
    <w:p w14:paraId="2BC1CE66" w14:textId="51D4EC17" w:rsidR="004F6566" w:rsidRPr="00785892" w:rsidRDefault="00E71491" w:rsidP="00785892">
      <w:pPr>
        <w:pStyle w:val="xmsonormal"/>
        <w:spacing w:line="300" w:lineRule="atLeast"/>
        <w:jc w:val="both"/>
        <w:rPr>
          <w:color w:val="000000" w:themeColor="text1"/>
          <w:lang w:val="en-IE"/>
        </w:rPr>
      </w:pPr>
      <w:r w:rsidRPr="00102D06">
        <w:rPr>
          <w:color w:val="000000" w:themeColor="text1"/>
          <w:kern w:val="2"/>
          <w14:ligatures w14:val="standardContextual"/>
        </w:rPr>
        <w:t xml:space="preserve">Considering the scale of </w:t>
      </w:r>
      <w:r w:rsidR="007C2A97">
        <w:rPr>
          <w:color w:val="000000" w:themeColor="text1"/>
          <w:kern w:val="2"/>
          <w14:ligatures w14:val="standardContextual"/>
        </w:rPr>
        <w:t xml:space="preserve">any </w:t>
      </w:r>
      <w:r w:rsidRPr="00102D06">
        <w:rPr>
          <w:color w:val="000000" w:themeColor="text1"/>
          <w:kern w:val="2"/>
          <w14:ligatures w14:val="standardContextual"/>
        </w:rPr>
        <w:t>change that will be required, we think</w:t>
      </w:r>
      <w:r w:rsidR="009C1F36" w:rsidRPr="00102D06">
        <w:rPr>
          <w:color w:val="000000" w:themeColor="text1"/>
          <w:lang w:val="en-IE"/>
        </w:rPr>
        <w:t xml:space="preserve"> </w:t>
      </w:r>
      <w:r w:rsidR="00776363" w:rsidRPr="00102D06">
        <w:rPr>
          <w:color w:val="000000" w:themeColor="text1"/>
          <w:kern w:val="2"/>
          <w14:ligatures w14:val="standardContextual"/>
        </w:rPr>
        <w:t xml:space="preserve">a phased rollout would be </w:t>
      </w:r>
      <w:r w:rsidRPr="00102D06">
        <w:rPr>
          <w:color w:val="000000" w:themeColor="text1"/>
          <w:kern w:val="2"/>
          <w14:ligatures w14:val="standardContextual"/>
        </w:rPr>
        <w:t>beneficial</w:t>
      </w:r>
      <w:r w:rsidR="00102D06" w:rsidRPr="00102D06">
        <w:rPr>
          <w:color w:val="000000" w:themeColor="text1"/>
          <w:kern w:val="2"/>
          <w14:ligatures w14:val="standardContextual"/>
        </w:rPr>
        <w:t xml:space="preserve">, however </w:t>
      </w:r>
      <w:r w:rsidR="00102D06" w:rsidRPr="00102D06">
        <w:rPr>
          <w:color w:val="000000" w:themeColor="text1"/>
        </w:rPr>
        <w:t xml:space="preserve">it </w:t>
      </w:r>
      <w:r w:rsidR="00CF689E">
        <w:rPr>
          <w:color w:val="000000" w:themeColor="text1"/>
        </w:rPr>
        <w:t>c</w:t>
      </w:r>
      <w:r w:rsidR="00102D06" w:rsidRPr="00102D06">
        <w:rPr>
          <w:color w:val="000000" w:themeColor="text1"/>
        </w:rPr>
        <w:t>ould be more sensible to phase by reporting regime - starting with the simplest, i.e. UCITS - rather than by firm size.</w:t>
      </w:r>
      <w:r w:rsidR="00776363" w:rsidRPr="00102D06">
        <w:rPr>
          <w:color w:val="000000" w:themeColor="text1"/>
          <w:kern w:val="2"/>
          <w14:ligatures w14:val="standardContextual"/>
        </w:rPr>
        <w:t xml:space="preserve"> </w:t>
      </w:r>
      <w:r w:rsidR="00102D06" w:rsidRPr="00102D06">
        <w:rPr>
          <w:color w:val="000000" w:themeColor="text1"/>
          <w:kern w:val="2"/>
          <w14:ligatures w14:val="standardContextual"/>
        </w:rPr>
        <w:t>I</w:t>
      </w:r>
      <w:r w:rsidR="00776363" w:rsidRPr="00102D06">
        <w:rPr>
          <w:color w:val="000000" w:themeColor="text1"/>
          <w:kern w:val="2"/>
          <w14:ligatures w14:val="standardContextual"/>
        </w:rPr>
        <w:t>t w</w:t>
      </w:r>
      <w:r w:rsidR="001845C1">
        <w:rPr>
          <w:color w:val="000000" w:themeColor="text1"/>
          <w:kern w:val="2"/>
          <w14:ligatures w14:val="standardContextual"/>
        </w:rPr>
        <w:t>ill</w:t>
      </w:r>
      <w:r w:rsidR="00776363" w:rsidRPr="00102D06">
        <w:rPr>
          <w:color w:val="000000" w:themeColor="text1"/>
          <w:kern w:val="2"/>
          <w14:ligatures w14:val="standardContextual"/>
        </w:rPr>
        <w:t xml:space="preserve"> </w:t>
      </w:r>
      <w:r w:rsidR="00102D06" w:rsidRPr="00102D06">
        <w:rPr>
          <w:color w:val="000000" w:themeColor="text1"/>
          <w:kern w:val="2"/>
          <w14:ligatures w14:val="standardContextual"/>
        </w:rPr>
        <w:t xml:space="preserve">also </w:t>
      </w:r>
      <w:r w:rsidR="00776363" w:rsidRPr="00102D06">
        <w:rPr>
          <w:color w:val="000000" w:themeColor="text1"/>
          <w:kern w:val="2"/>
          <w14:ligatures w14:val="standardContextual"/>
        </w:rPr>
        <w:t xml:space="preserve">be </w:t>
      </w:r>
      <w:r w:rsidR="00102D06" w:rsidRPr="00102D06">
        <w:rPr>
          <w:color w:val="000000" w:themeColor="text1"/>
          <w:kern w:val="2"/>
          <w14:ligatures w14:val="standardContextual"/>
        </w:rPr>
        <w:t>crucial</w:t>
      </w:r>
      <w:r w:rsidR="00776363" w:rsidRPr="00102D06">
        <w:rPr>
          <w:color w:val="000000" w:themeColor="text1"/>
          <w:kern w:val="2"/>
          <w14:ligatures w14:val="standardContextual"/>
        </w:rPr>
        <w:t xml:space="preserve"> to allow a significant notice period between </w:t>
      </w:r>
      <w:proofErr w:type="gramStart"/>
      <w:r w:rsidR="00776363" w:rsidRPr="00102D06">
        <w:rPr>
          <w:color w:val="000000" w:themeColor="text1"/>
          <w:kern w:val="2"/>
          <w14:ligatures w14:val="standardContextual"/>
        </w:rPr>
        <w:t>finalisation</w:t>
      </w:r>
      <w:proofErr w:type="gramEnd"/>
      <w:r w:rsidR="00776363" w:rsidRPr="00102D06">
        <w:rPr>
          <w:color w:val="000000" w:themeColor="text1"/>
          <w:kern w:val="2"/>
          <w14:ligatures w14:val="standardContextual"/>
        </w:rPr>
        <w:t xml:space="preserve"> of an integrated model and a go-live date considering the substantial development time needed by reporting entities</w:t>
      </w:r>
      <w:r w:rsidR="00102D06" w:rsidRPr="00102D06">
        <w:rPr>
          <w:color w:val="000000" w:themeColor="text1"/>
          <w:kern w:val="2"/>
          <w14:ligatures w14:val="standardContextual"/>
        </w:rPr>
        <w:t xml:space="preserve"> to redesign systems</w:t>
      </w:r>
      <w:r w:rsidR="00571644" w:rsidRPr="00102D06">
        <w:rPr>
          <w:color w:val="000000" w:themeColor="text1"/>
          <w:lang w:val="en-IE"/>
        </w:rPr>
        <w:t>.</w:t>
      </w:r>
    </w:p>
    <w:permEnd w:id="870546551"/>
    <w:p w14:paraId="095C0809" w14:textId="77777777" w:rsidR="007C2A97" w:rsidRDefault="007C2A97" w:rsidP="00F21CF0"/>
    <w:p w14:paraId="0F97C649" w14:textId="37DB92F4"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639D93FA" w14:textId="1FBE9B1B" w:rsidR="008C08A5" w:rsidRPr="00FC747D" w:rsidRDefault="00A538B8" w:rsidP="00F21CF0">
      <w:pPr>
        <w:rPr>
          <w:color w:val="000000" w:themeColor="text1"/>
        </w:rPr>
      </w:pPr>
      <w:permStart w:id="1380926179" w:edGrp="everyone"/>
      <w:r w:rsidRPr="00FC747D">
        <w:rPr>
          <w:color w:val="000000" w:themeColor="text1"/>
        </w:rPr>
        <w:t>W</w:t>
      </w:r>
      <w:r w:rsidR="00F57FA9" w:rsidRPr="00FC747D">
        <w:rPr>
          <w:color w:val="000000" w:themeColor="text1"/>
        </w:rPr>
        <w:t>e agree that a</w:t>
      </w:r>
      <w:r w:rsidR="00FE6A05" w:rsidRPr="00FC747D">
        <w:rPr>
          <w:color w:val="000000" w:themeColor="text1"/>
        </w:rPr>
        <w:t>ligning on ISO 20022 as a</w:t>
      </w:r>
      <w:r w:rsidR="00F57FA9" w:rsidRPr="00FC747D">
        <w:rPr>
          <w:color w:val="000000" w:themeColor="text1"/>
        </w:rPr>
        <w:t xml:space="preserve"> common standard</w:t>
      </w:r>
      <w:r w:rsidR="00FE6A05" w:rsidRPr="00FC747D">
        <w:rPr>
          <w:color w:val="000000" w:themeColor="text1"/>
        </w:rPr>
        <w:t xml:space="preserve"> would be preferable</w:t>
      </w:r>
      <w:r w:rsidR="00D30673" w:rsidRPr="00FC747D">
        <w:rPr>
          <w:color w:val="000000" w:themeColor="text1"/>
        </w:rPr>
        <w:t xml:space="preserve">. </w:t>
      </w:r>
      <w:r w:rsidR="00CB3020" w:rsidRPr="00FC747D">
        <w:rPr>
          <w:color w:val="000000" w:themeColor="text1"/>
        </w:rPr>
        <w:t>W</w:t>
      </w:r>
      <w:r w:rsidR="009D5503" w:rsidRPr="00FC747D">
        <w:rPr>
          <w:color w:val="000000" w:themeColor="text1"/>
        </w:rPr>
        <w:t xml:space="preserve">e already support XML </w:t>
      </w:r>
      <w:r w:rsidR="00CB3020" w:rsidRPr="00FC747D">
        <w:rPr>
          <w:color w:val="000000" w:themeColor="text1"/>
        </w:rPr>
        <w:t>across a wide range of reporting functions</w:t>
      </w:r>
      <w:r w:rsidR="002634E0" w:rsidRPr="00FC747D">
        <w:rPr>
          <w:color w:val="000000" w:themeColor="text1"/>
        </w:rPr>
        <w:t>,</w:t>
      </w:r>
      <w:r w:rsidR="00CB3020" w:rsidRPr="00FC747D">
        <w:rPr>
          <w:color w:val="000000" w:themeColor="text1"/>
        </w:rPr>
        <w:t xml:space="preserve"> </w:t>
      </w:r>
      <w:r w:rsidR="009D5503" w:rsidRPr="00FC747D">
        <w:rPr>
          <w:color w:val="000000" w:themeColor="text1"/>
        </w:rPr>
        <w:t xml:space="preserve">and we would see a benefit in coalescing </w:t>
      </w:r>
      <w:r w:rsidR="009D5503" w:rsidRPr="00FC747D">
        <w:rPr>
          <w:color w:val="000000" w:themeColor="text1"/>
        </w:rPr>
        <w:lastRenderedPageBreak/>
        <w:t xml:space="preserve">on that format and </w:t>
      </w:r>
      <w:r w:rsidR="000C3F50" w:rsidRPr="00FC747D">
        <w:rPr>
          <w:color w:val="000000" w:themeColor="text1"/>
        </w:rPr>
        <w:t xml:space="preserve">streamlining </w:t>
      </w:r>
      <w:r w:rsidR="009D5503" w:rsidRPr="00FC747D">
        <w:rPr>
          <w:color w:val="000000" w:themeColor="text1"/>
        </w:rPr>
        <w:t xml:space="preserve">the </w:t>
      </w:r>
      <w:r w:rsidR="000C3F50" w:rsidRPr="00FC747D">
        <w:rPr>
          <w:color w:val="000000" w:themeColor="text1"/>
        </w:rPr>
        <w:t xml:space="preserve">range of formats </w:t>
      </w:r>
      <w:r w:rsidR="009D5503" w:rsidRPr="00FC747D">
        <w:rPr>
          <w:color w:val="000000" w:themeColor="text1"/>
        </w:rPr>
        <w:t>we need to support.</w:t>
      </w:r>
      <w:r w:rsidR="00843738" w:rsidRPr="00FC747D">
        <w:rPr>
          <w:color w:val="000000" w:themeColor="text1"/>
        </w:rPr>
        <w:t xml:space="preserve"> Doing this as we implement reporting for new regulations and refits of existing regulations would be the most effective way of achieving this outcome.</w:t>
      </w:r>
    </w:p>
    <w:permEnd w:id="1380926179"/>
    <w:p w14:paraId="0B86A342" w14:textId="0469A2F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45B8E852" w14:textId="0DD19C0C" w:rsidR="00886296" w:rsidRPr="00FC747D" w:rsidRDefault="00843738" w:rsidP="00886296">
      <w:pPr>
        <w:rPr>
          <w:color w:val="000000" w:themeColor="text1"/>
        </w:rPr>
      </w:pPr>
      <w:permStart w:id="158558208" w:edGrp="everyone"/>
      <w:r w:rsidRPr="00FC747D">
        <w:rPr>
          <w:color w:val="000000" w:themeColor="text1"/>
        </w:rPr>
        <w:t xml:space="preserve">We </w:t>
      </w:r>
      <w:r w:rsidR="00406858">
        <w:rPr>
          <w:color w:val="000000" w:themeColor="text1"/>
        </w:rPr>
        <w:t xml:space="preserve">are </w:t>
      </w:r>
      <w:r w:rsidR="00D15E55">
        <w:rPr>
          <w:color w:val="000000" w:themeColor="text1"/>
        </w:rPr>
        <w:t>supportive of</w:t>
      </w:r>
      <w:r w:rsidRPr="00FC747D">
        <w:rPr>
          <w:color w:val="000000" w:themeColor="text1"/>
        </w:rPr>
        <w:t xml:space="preserve"> XML because of its widespread adoption and support, </w:t>
      </w:r>
      <w:r w:rsidR="00006E41" w:rsidRPr="00FC747D">
        <w:rPr>
          <w:color w:val="000000" w:themeColor="text1"/>
        </w:rPr>
        <w:t xml:space="preserve">its extensibility </w:t>
      </w:r>
      <w:r w:rsidR="00D4440A">
        <w:rPr>
          <w:color w:val="000000" w:themeColor="text1"/>
        </w:rPr>
        <w:t xml:space="preserve">(i.e., </w:t>
      </w:r>
      <w:r w:rsidR="00C40C81">
        <w:rPr>
          <w:color w:val="000000" w:themeColor="text1"/>
        </w:rPr>
        <w:t xml:space="preserve">its ability to be adapted without requiring major changes to its core architecture) </w:t>
      </w:r>
      <w:r w:rsidR="00006E41" w:rsidRPr="00FC747D">
        <w:rPr>
          <w:color w:val="000000" w:themeColor="text1"/>
        </w:rPr>
        <w:t xml:space="preserve">and </w:t>
      </w:r>
      <w:r w:rsidRPr="00FC747D">
        <w:rPr>
          <w:color w:val="000000" w:themeColor="text1"/>
        </w:rPr>
        <w:t>the strength of validation t</w:t>
      </w:r>
      <w:r w:rsidR="00006E41" w:rsidRPr="00FC747D">
        <w:rPr>
          <w:color w:val="000000" w:themeColor="text1"/>
        </w:rPr>
        <w:t>h</w:t>
      </w:r>
      <w:r w:rsidRPr="00FC747D">
        <w:rPr>
          <w:color w:val="000000" w:themeColor="text1"/>
        </w:rPr>
        <w:t xml:space="preserve">at </w:t>
      </w:r>
      <w:r w:rsidR="00E46EEB" w:rsidRPr="00FC747D">
        <w:rPr>
          <w:color w:val="000000" w:themeColor="text1"/>
        </w:rPr>
        <w:t xml:space="preserve">is </w:t>
      </w:r>
      <w:r w:rsidR="00006E41" w:rsidRPr="00FC747D">
        <w:rPr>
          <w:color w:val="000000" w:themeColor="text1"/>
        </w:rPr>
        <w:t xml:space="preserve">provided by </w:t>
      </w:r>
      <w:r w:rsidRPr="00FC747D">
        <w:rPr>
          <w:color w:val="000000" w:themeColor="text1"/>
        </w:rPr>
        <w:t xml:space="preserve">XSD </w:t>
      </w:r>
      <w:r w:rsidR="00855D20" w:rsidRPr="00FC747D">
        <w:rPr>
          <w:color w:val="000000" w:themeColor="text1"/>
        </w:rPr>
        <w:t xml:space="preserve">and DTD </w:t>
      </w:r>
      <w:r w:rsidR="00006E41" w:rsidRPr="00FC747D">
        <w:rPr>
          <w:color w:val="000000" w:themeColor="text1"/>
        </w:rPr>
        <w:t>definitions. JSON</w:t>
      </w:r>
      <w:r w:rsidR="000B552A" w:rsidRPr="00FC747D">
        <w:rPr>
          <w:color w:val="000000" w:themeColor="text1"/>
        </w:rPr>
        <w:t xml:space="preserve"> is </w:t>
      </w:r>
      <w:r w:rsidR="00D8451E">
        <w:rPr>
          <w:color w:val="000000" w:themeColor="text1"/>
        </w:rPr>
        <w:t xml:space="preserve">an acceptable alternative because it is </w:t>
      </w:r>
      <w:r w:rsidR="00AF7F19" w:rsidRPr="00FC747D">
        <w:rPr>
          <w:color w:val="000000" w:themeColor="text1"/>
        </w:rPr>
        <w:t>more readable</w:t>
      </w:r>
      <w:r w:rsidR="00237243">
        <w:rPr>
          <w:color w:val="000000" w:themeColor="text1"/>
        </w:rPr>
        <w:t xml:space="preserve">, </w:t>
      </w:r>
      <w:r w:rsidR="00D8451E">
        <w:rPr>
          <w:color w:val="000000" w:themeColor="text1"/>
        </w:rPr>
        <w:t>lightweight</w:t>
      </w:r>
      <w:r w:rsidR="006735EF">
        <w:rPr>
          <w:color w:val="000000" w:themeColor="text1"/>
        </w:rPr>
        <w:t xml:space="preserve"> </w:t>
      </w:r>
      <w:r w:rsidR="00237243">
        <w:rPr>
          <w:color w:val="000000" w:themeColor="text1"/>
        </w:rPr>
        <w:t xml:space="preserve">and </w:t>
      </w:r>
      <w:r w:rsidR="00AD6261">
        <w:rPr>
          <w:color w:val="000000" w:themeColor="text1"/>
        </w:rPr>
        <w:t>heavily used by API</w:t>
      </w:r>
      <w:r w:rsidR="0044158E">
        <w:rPr>
          <w:color w:val="000000" w:themeColor="text1"/>
        </w:rPr>
        <w:t>s</w:t>
      </w:r>
      <w:r w:rsidR="00AD6261">
        <w:rPr>
          <w:color w:val="000000" w:themeColor="text1"/>
        </w:rPr>
        <w:t xml:space="preserve"> and web app</w:t>
      </w:r>
      <w:r w:rsidR="0044158E">
        <w:rPr>
          <w:color w:val="000000" w:themeColor="text1"/>
        </w:rPr>
        <w:t>lications</w:t>
      </w:r>
      <w:r w:rsidR="00695D3C">
        <w:rPr>
          <w:color w:val="000000" w:themeColor="text1"/>
        </w:rPr>
        <w:t xml:space="preserve">, </w:t>
      </w:r>
      <w:r w:rsidR="006735EF">
        <w:rPr>
          <w:color w:val="000000" w:themeColor="text1"/>
        </w:rPr>
        <w:t xml:space="preserve">albeit with </w:t>
      </w:r>
      <w:r w:rsidR="00AF7F19" w:rsidRPr="00FC747D">
        <w:rPr>
          <w:color w:val="000000" w:themeColor="text1"/>
        </w:rPr>
        <w:t xml:space="preserve">weaker </w:t>
      </w:r>
      <w:r w:rsidR="00006E41" w:rsidRPr="00FC747D">
        <w:rPr>
          <w:color w:val="000000" w:themeColor="text1"/>
        </w:rPr>
        <w:t>validation support</w:t>
      </w:r>
      <w:r w:rsidR="00D047F1">
        <w:rPr>
          <w:color w:val="000000" w:themeColor="text1"/>
        </w:rPr>
        <w:t xml:space="preserve">. </w:t>
      </w:r>
      <w:r w:rsidR="00006E41" w:rsidRPr="00FC747D">
        <w:rPr>
          <w:color w:val="000000" w:themeColor="text1"/>
        </w:rPr>
        <w:t xml:space="preserve">XBRL is not </w:t>
      </w:r>
      <w:r w:rsidR="00FF080D" w:rsidRPr="00FC747D">
        <w:rPr>
          <w:color w:val="000000" w:themeColor="text1"/>
        </w:rPr>
        <w:t xml:space="preserve">widely used by asset management </w:t>
      </w:r>
      <w:r w:rsidR="00BA0F01" w:rsidRPr="00FC747D">
        <w:rPr>
          <w:color w:val="000000" w:themeColor="text1"/>
        </w:rPr>
        <w:t xml:space="preserve">regulatory reporting </w:t>
      </w:r>
      <w:r w:rsidR="00FF080D" w:rsidRPr="00FC747D">
        <w:rPr>
          <w:color w:val="000000" w:themeColor="text1"/>
        </w:rPr>
        <w:t xml:space="preserve">and is not </w:t>
      </w:r>
      <w:r w:rsidR="00006E41" w:rsidRPr="00FC747D">
        <w:rPr>
          <w:color w:val="000000" w:themeColor="text1"/>
        </w:rPr>
        <w:t>ISO 20022 compliant.</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6889CD97" w14:textId="781B3593" w:rsidR="00C42EB2" w:rsidRDefault="00C02E50" w:rsidP="006F5A27">
      <w:pPr>
        <w:jc w:val="left"/>
      </w:pPr>
      <w:permStart w:id="1149514066" w:edGrp="everyone"/>
      <w:r>
        <w:t xml:space="preserve">It is </w:t>
      </w:r>
      <w:r w:rsidR="001551D7">
        <w:t>not clear that</w:t>
      </w:r>
      <w:r w:rsidR="000F3EFD">
        <w:t xml:space="preserve"> increasing data granularity </w:t>
      </w:r>
      <w:r w:rsidR="009F52C3">
        <w:t>w</w:t>
      </w:r>
      <w:r w:rsidR="008B3C79">
        <w:t>ill</w:t>
      </w:r>
      <w:r w:rsidR="001145A3">
        <w:t xml:space="preserve"> contribute to </w:t>
      </w:r>
      <w:r w:rsidR="001145A3" w:rsidRPr="0002065D">
        <w:t>improved data quality, usability and reduced duplications</w:t>
      </w:r>
      <w:r w:rsidR="009560A4">
        <w:t xml:space="preserve">. </w:t>
      </w:r>
    </w:p>
    <w:p w14:paraId="5720D328" w14:textId="6418053A" w:rsidR="001E59CD" w:rsidRPr="001E59CD" w:rsidRDefault="00E64F40" w:rsidP="001E59CD">
      <w:pPr>
        <w:jc w:val="left"/>
        <w:rPr>
          <w:lang w:val="fr-FR"/>
        </w:rPr>
      </w:pPr>
      <w:r>
        <w:t>Currently,</w:t>
      </w:r>
      <w:r w:rsidR="00136027">
        <w:t xml:space="preserve"> data provided</w:t>
      </w:r>
      <w:r w:rsidR="00C506BE">
        <w:t xml:space="preserve"> </w:t>
      </w:r>
      <w:r w:rsidR="00FA20D9">
        <w:t>on an aggregated basis</w:t>
      </w:r>
      <w:r w:rsidR="008F5427">
        <w:t xml:space="preserve"> is enriched </w:t>
      </w:r>
      <w:r w:rsidR="0043557E">
        <w:t>and quality-checked by asset managers in order to</w:t>
      </w:r>
      <w:r w:rsidR="00D91D85">
        <w:t xml:space="preserve"> ensure that </w:t>
      </w:r>
      <w:r w:rsidR="00BC6543">
        <w:t>it</w:t>
      </w:r>
      <w:r w:rsidR="00D11AAF">
        <w:t xml:space="preserve"> most accurately </w:t>
      </w:r>
      <w:r w:rsidR="00761F8F">
        <w:t>address</w:t>
      </w:r>
      <w:r w:rsidR="00D11AAF">
        <w:t>es</w:t>
      </w:r>
      <w:r w:rsidR="00761F8F">
        <w:t xml:space="preserve"> specific supe</w:t>
      </w:r>
      <w:r w:rsidR="00C2340C">
        <w:t>rvisory</w:t>
      </w:r>
      <w:r w:rsidR="007507FC">
        <w:t xml:space="preserve"> questions </w:t>
      </w:r>
      <w:r w:rsidR="005E3F36">
        <w:t>and</w:t>
      </w:r>
      <w:r w:rsidR="00E067D7">
        <w:t xml:space="preserve"> issues </w:t>
      </w:r>
      <w:r w:rsidR="00A45406">
        <w:t>NCA</w:t>
      </w:r>
      <w:r w:rsidR="00FB7137">
        <w:t>s</w:t>
      </w:r>
      <w:r w:rsidR="00E067D7">
        <w:t xml:space="preserve"> are tr</w:t>
      </w:r>
      <w:r w:rsidR="00841AC4">
        <w:t xml:space="preserve">ying to </w:t>
      </w:r>
      <w:r w:rsidR="007367BE">
        <w:t xml:space="preserve">assess. </w:t>
      </w:r>
      <w:r w:rsidR="002121D7">
        <w:t>Data</w:t>
      </w:r>
      <w:r w:rsidR="004E27F3">
        <w:t xml:space="preserve"> currently provided </w:t>
      </w:r>
      <w:r w:rsidR="002359E1">
        <w:t>on a more granular basis</w:t>
      </w:r>
      <w:r w:rsidR="00642A10">
        <w:t xml:space="preserve"> for </w:t>
      </w:r>
      <w:r w:rsidR="00B1036F">
        <w:t xml:space="preserve">statistical reporting </w:t>
      </w:r>
      <w:r w:rsidR="00E32624">
        <w:t xml:space="preserve">to the ECB, or </w:t>
      </w:r>
      <w:r w:rsidR="00DF1FC1">
        <w:t>under the</w:t>
      </w:r>
      <w:r w:rsidR="00E32624">
        <w:t xml:space="preserve"> </w:t>
      </w:r>
      <w:r w:rsidR="00D05AF6">
        <w:t>MMFR,</w:t>
      </w:r>
      <w:r w:rsidR="002359E1">
        <w:t xml:space="preserve"> </w:t>
      </w:r>
      <w:r w:rsidR="004E2A1F">
        <w:t xml:space="preserve">is done so to achieve </w:t>
      </w:r>
      <w:r w:rsidR="00447AE1">
        <w:t>outcomes</w:t>
      </w:r>
      <w:r w:rsidR="00A41710">
        <w:t xml:space="preserve"> well-suited</w:t>
      </w:r>
      <w:r w:rsidR="00447AE1">
        <w:t xml:space="preserve"> to t</w:t>
      </w:r>
      <w:r w:rsidR="00273BD8">
        <w:t>he nature of those asks</w:t>
      </w:r>
      <w:r w:rsidR="00D0455F">
        <w:t xml:space="preserve">. </w:t>
      </w:r>
      <w:r w:rsidR="00622A68">
        <w:t xml:space="preserve">The granular data provided to the </w:t>
      </w:r>
      <w:r w:rsidR="00DB2B80">
        <w:t>ECB is</w:t>
      </w:r>
      <w:r w:rsidR="00622A68" w:rsidRPr="00622A68">
        <w:t xml:space="preserve"> </w:t>
      </w:r>
      <w:r w:rsidR="00622A68" w:rsidRPr="00841130">
        <w:t>not enriched or structured to support supervisory oversight</w:t>
      </w:r>
      <w:r w:rsidR="00622A68" w:rsidRPr="00622A68">
        <w:t xml:space="preserve">. The data is primarily designed for </w:t>
      </w:r>
      <w:r w:rsidR="00622A68" w:rsidRPr="00841130">
        <w:t>macro-level analysis</w:t>
      </w:r>
      <w:r w:rsidR="00622A68" w:rsidRPr="00622A68">
        <w:t>, such as assessing monetary policy transmission, financial stability risks, and sectoral trends. It lacks the contextual and entity-specific enrichment needed to evaluate fund-level compliance, governance, risk management, or investor protection.</w:t>
      </w:r>
      <w:r w:rsidR="00D0455F" w:rsidDel="00802F31">
        <w:t xml:space="preserve"> </w:t>
      </w:r>
      <w:r w:rsidR="003319C3" w:rsidRPr="003319C3">
        <w:t xml:space="preserve">Supervisory reporting requires </w:t>
      </w:r>
      <w:r w:rsidR="003319C3" w:rsidRPr="00841130">
        <w:t xml:space="preserve">interpretation, </w:t>
      </w:r>
      <w:r w:rsidR="003319C3" w:rsidRPr="00841130">
        <w:lastRenderedPageBreak/>
        <w:t>classification, and aggregation</w:t>
      </w:r>
      <w:r w:rsidR="003319C3" w:rsidRPr="003319C3">
        <w:t xml:space="preserve"> that reflects regulatory frameworks and fund-specific nuances—something raw granular data cannot provide without significant transformation.</w:t>
      </w:r>
      <w:r w:rsidR="003319C3">
        <w:t xml:space="preserve"> </w:t>
      </w:r>
      <w:r w:rsidR="00105127">
        <w:t>In the case of</w:t>
      </w:r>
      <w:r w:rsidR="004A7BC1">
        <w:t xml:space="preserve"> MMFs, </w:t>
      </w:r>
      <w:r w:rsidR="00E03056" w:rsidRPr="00E03056">
        <w:t>aggregat</w:t>
      </w:r>
      <w:r w:rsidR="00E03056">
        <w:t>ing</w:t>
      </w:r>
      <w:r w:rsidR="00E03056" w:rsidRPr="00E03056">
        <w:t xml:space="preserve"> data across multiple dimensions (e.g., by issuer, country, maturity, currency)</w:t>
      </w:r>
      <w:r w:rsidR="00E03056">
        <w:t xml:space="preserve"> is typically easier to achieve as </w:t>
      </w:r>
      <w:r w:rsidR="000F26D3">
        <w:t xml:space="preserve">these funds tend to employ </w:t>
      </w:r>
      <w:r w:rsidR="00EB3B48">
        <w:t>similar investment strategies</w:t>
      </w:r>
      <w:r w:rsidR="00E03056" w:rsidRPr="00E03056">
        <w:t xml:space="preserve">. This flexibility is less </w:t>
      </w:r>
      <w:r w:rsidR="00EB3B48">
        <w:t>easy to achieve</w:t>
      </w:r>
      <w:r w:rsidR="043F27F2">
        <w:t xml:space="preserve"> for other UCITS and in particular </w:t>
      </w:r>
      <w:r w:rsidR="00E03056" w:rsidRPr="00E03056">
        <w:t xml:space="preserve">for AIFs, which often have </w:t>
      </w:r>
      <w:r w:rsidR="005B4C40">
        <w:t xml:space="preserve">much </w:t>
      </w:r>
      <w:r w:rsidR="00E03056" w:rsidRPr="00E03056">
        <w:t>more diversified portfolios</w:t>
      </w:r>
      <w:r w:rsidR="001E59CD">
        <w:t xml:space="preserve">. </w:t>
      </w:r>
      <w:r w:rsidR="001E59CD" w:rsidRPr="001E59CD">
        <w:rPr>
          <w:lang w:val="fr-FR"/>
        </w:rPr>
        <w:t xml:space="preserve">For these funds, </w:t>
      </w:r>
      <w:r w:rsidR="001E59CD" w:rsidRPr="00841130">
        <w:rPr>
          <w:lang w:val="fr-FR"/>
        </w:rPr>
        <w:t>aggregated reporting provides a clearer and more relevant view of exposures and potential vulnerabilities</w:t>
      </w:r>
      <w:r w:rsidR="001E59CD" w:rsidRPr="001E59CD">
        <w:rPr>
          <w:lang w:val="fr-FR"/>
        </w:rPr>
        <w:t>.</w:t>
      </w:r>
    </w:p>
    <w:p w14:paraId="215191BB" w14:textId="77777777" w:rsidR="001E59CD" w:rsidRPr="001E59CD" w:rsidRDefault="001E59CD" w:rsidP="001E59CD">
      <w:pPr>
        <w:jc w:val="left"/>
      </w:pPr>
      <w:r w:rsidRPr="001E59CD">
        <w:t>Increasing granularity—such as requiring full portfolio books or raw accounting data—may not improve the reporting process for either asset managers or NCAs. Instead, it may introduce several challenges:</w:t>
      </w:r>
    </w:p>
    <w:p w14:paraId="271EB1D3" w14:textId="77777777" w:rsidR="00C339BB" w:rsidRPr="00D46D65" w:rsidRDefault="00C339BB" w:rsidP="00D46D65">
      <w:pPr>
        <w:pStyle w:val="ListParagraph"/>
        <w:numPr>
          <w:ilvl w:val="0"/>
          <w:numId w:val="49"/>
        </w:numPr>
        <w:jc w:val="left"/>
        <w:rPr>
          <w:b/>
          <w:bCs/>
        </w:rPr>
      </w:pPr>
      <w:r w:rsidRPr="00D46D65">
        <w:rPr>
          <w:b/>
          <w:bCs/>
        </w:rPr>
        <w:t>Volume of raw data</w:t>
      </w:r>
    </w:p>
    <w:p w14:paraId="05320EB1" w14:textId="3F92F221" w:rsidR="008B0952" w:rsidRPr="00D92FFA" w:rsidRDefault="008B0952" w:rsidP="00C02409">
      <w:pPr>
        <w:jc w:val="left"/>
      </w:pPr>
      <w:r>
        <w:t>Providing the security-by-security level data in a European cont</w:t>
      </w:r>
      <w:r w:rsidR="00B009E5">
        <w:t xml:space="preserve">ext </w:t>
      </w:r>
      <w:r w:rsidR="00574D95">
        <w:t xml:space="preserve">represents a substantial increase in the amount of data currently provided to NCAs, and it is not clear that NCAs, or indeed ESMA, would have the requisite </w:t>
      </w:r>
      <w:r w:rsidR="009E1AD0">
        <w:t>infrastructure</w:t>
      </w:r>
      <w:r w:rsidR="00574D95">
        <w:t xml:space="preserve">, resource, or secure storage to prevent this from becoming an additional burden on the current reporting framework.  </w:t>
      </w:r>
    </w:p>
    <w:p w14:paraId="5F98BBF9" w14:textId="2E1BD311" w:rsidR="00C339BB" w:rsidRPr="00D46D65" w:rsidRDefault="00C339BB" w:rsidP="00D46D65">
      <w:pPr>
        <w:pStyle w:val="ListParagraph"/>
        <w:numPr>
          <w:ilvl w:val="0"/>
          <w:numId w:val="49"/>
        </w:numPr>
        <w:jc w:val="left"/>
        <w:rPr>
          <w:b/>
          <w:bCs/>
        </w:rPr>
      </w:pPr>
      <w:r w:rsidRPr="00D46D65">
        <w:rPr>
          <w:b/>
          <w:bCs/>
        </w:rPr>
        <w:t xml:space="preserve">Consistency </w:t>
      </w:r>
      <w:r w:rsidR="009E1AD0">
        <w:rPr>
          <w:b/>
          <w:bCs/>
        </w:rPr>
        <w:t>and interpretation</w:t>
      </w:r>
    </w:p>
    <w:p w14:paraId="10890501" w14:textId="4D606556" w:rsidR="00385FAB" w:rsidRDefault="00775951" w:rsidP="00C02409">
      <w:pPr>
        <w:jc w:val="left"/>
      </w:pPr>
      <w:r>
        <w:t>This would require NCAs to aggregate data they do not own or have direct oversight of</w:t>
      </w:r>
      <w:r w:rsidR="001438FA">
        <w:t>. As mentioned in</w:t>
      </w:r>
      <w:r w:rsidR="002011B0">
        <w:t xml:space="preserve"> response to Q</w:t>
      </w:r>
      <w:r w:rsidR="004348A9">
        <w:t>.</w:t>
      </w:r>
      <w:r w:rsidR="001438FA">
        <w:t xml:space="preserve">1, </w:t>
      </w:r>
      <w:r w:rsidR="00620085">
        <w:t xml:space="preserve">BlackRock </w:t>
      </w:r>
      <w:r w:rsidR="001438FA">
        <w:t>already receive</w:t>
      </w:r>
      <w:r w:rsidR="00620085">
        <w:t xml:space="preserve">s hundreds of queries </w:t>
      </w:r>
      <w:r w:rsidR="004B144F">
        <w:t xml:space="preserve">on the data </w:t>
      </w:r>
      <w:r w:rsidR="006503E5">
        <w:t xml:space="preserve">we report, and </w:t>
      </w:r>
      <w:r w:rsidR="00705D81">
        <w:t xml:space="preserve">more granular reporting </w:t>
      </w:r>
      <w:r>
        <w:t xml:space="preserve">would likely result in increased follow up queries to managers </w:t>
      </w:r>
      <w:r w:rsidR="00705D81">
        <w:t>as NCAs are less close to the provenance of the</w:t>
      </w:r>
      <w:r w:rsidR="00FE0BBC">
        <w:t xml:space="preserve"> </w:t>
      </w:r>
      <w:r w:rsidR="00705D81">
        <w:t xml:space="preserve">data, and </w:t>
      </w:r>
      <w:r w:rsidR="00381CDB">
        <w:t xml:space="preserve">thus </w:t>
      </w:r>
      <w:r w:rsidR="00F81C80">
        <w:t>less likely</w:t>
      </w:r>
      <w:r>
        <w:t xml:space="preserve"> understand discrepancies in how certain elements </w:t>
      </w:r>
      <w:r w:rsidR="00F81C80">
        <w:t>should be understood and are</w:t>
      </w:r>
      <w:r>
        <w:t xml:space="preserve"> represented</w:t>
      </w:r>
      <w:r w:rsidR="002011B0">
        <w:t>.</w:t>
      </w:r>
    </w:p>
    <w:p w14:paraId="300DB5FF" w14:textId="69E25491" w:rsidR="001145A3" w:rsidRPr="006F5A27" w:rsidRDefault="00820B8C" w:rsidP="00C02409">
      <w:pPr>
        <w:jc w:val="left"/>
      </w:pPr>
      <w:r>
        <w:t xml:space="preserve">For </w:t>
      </w:r>
      <w:r w:rsidR="00357101" w:rsidRPr="00357101">
        <w:t xml:space="preserve">aggregated exposures </w:t>
      </w:r>
      <w:r w:rsidR="002011B0">
        <w:t xml:space="preserve">which </w:t>
      </w:r>
      <w:r w:rsidR="00357101" w:rsidRPr="00357101">
        <w:t>are grouped by entity or instrument</w:t>
      </w:r>
      <w:r>
        <w:t>, w</w:t>
      </w:r>
      <w:r w:rsidR="001145A3" w:rsidRPr="006F5A27">
        <w:t>e support the greater use of international standards</w:t>
      </w:r>
      <w:r w:rsidR="001145A3">
        <w:t xml:space="preserve"> </w:t>
      </w:r>
      <w:r w:rsidR="001145A3" w:rsidRPr="006F5A27">
        <w:t>such as CFI codes, LEIs, and harmonised master data</w:t>
      </w:r>
      <w:r w:rsidR="001145A3">
        <w:t xml:space="preserve"> </w:t>
      </w:r>
      <w:r w:rsidR="001145A3" w:rsidRPr="006F5A27">
        <w:t xml:space="preserve">as a way to improve interoperability, reduce reconciliation efforts, and lower compliance costs. These tools can enhance the consistency and comparability of </w:t>
      </w:r>
      <w:r>
        <w:t xml:space="preserve">a sub-set of </w:t>
      </w:r>
      <w:r w:rsidR="001145A3" w:rsidRPr="006F5A27">
        <w:t>aggregated data.</w:t>
      </w:r>
      <w:r w:rsidR="001145A3">
        <w:t xml:space="preserve"> </w:t>
      </w:r>
    </w:p>
    <w:p w14:paraId="176205B3" w14:textId="09CEFEEF" w:rsidR="006F5A27" w:rsidRDefault="006F5A27" w:rsidP="006F5A27">
      <w:pPr>
        <w:jc w:val="left"/>
      </w:pPr>
      <w:r w:rsidRPr="006F5A27">
        <w:t>In our view, a proportionate, risk-focused framework</w:t>
      </w:r>
      <w:r>
        <w:t xml:space="preserve"> </w:t>
      </w:r>
      <w:r w:rsidRPr="006F5A27">
        <w:t>based on standardised, aggregated data and supported by international identifiers</w:t>
      </w:r>
      <w:r w:rsidR="00B76806">
        <w:t>,</w:t>
      </w:r>
      <w:r>
        <w:t xml:space="preserve"> </w:t>
      </w:r>
      <w:r w:rsidR="00B76806">
        <w:t>where appropriate,</w:t>
      </w:r>
      <w:r>
        <w:t xml:space="preserve"> </w:t>
      </w:r>
      <w:r w:rsidRPr="006F5A27">
        <w:t xml:space="preserve">would better serve the objectives of </w:t>
      </w:r>
      <w:r>
        <w:t>supervisory</w:t>
      </w:r>
      <w:r w:rsidRPr="006F5A27">
        <w:t xml:space="preserve"> oversight while minimising complexity and duplication.</w:t>
      </w:r>
      <w:r w:rsidR="002765D3">
        <w:t xml:space="preserve"> </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lastRenderedPageBreak/>
        <w:t>&lt;ESMA_QUESTION_ICFD_16&gt;</w:t>
      </w:r>
    </w:p>
    <w:p w14:paraId="73AD7449" w14:textId="73B6B6FA" w:rsidR="003029FA" w:rsidRDefault="002B5255" w:rsidP="002E27FF">
      <w:permStart w:id="484980599" w:edGrp="everyone"/>
      <w:r>
        <w:t xml:space="preserve">As stated in </w:t>
      </w:r>
      <w:r w:rsidR="007B3745">
        <w:t>paragraph 21</w:t>
      </w:r>
      <w:r w:rsidR="00DD46F0">
        <w:t xml:space="preserve"> of the consultation</w:t>
      </w:r>
      <w:r w:rsidR="007B3745">
        <w:t xml:space="preserve">, </w:t>
      </w:r>
      <w:r w:rsidR="00B240E1">
        <w:t>the primary</w:t>
      </w:r>
      <w:r w:rsidR="005F090F">
        <w:t xml:space="preserve"> objective of harmonised </w:t>
      </w:r>
      <w:r w:rsidR="007B3745">
        <w:t>s</w:t>
      </w:r>
      <w:r w:rsidR="00692877">
        <w:t xml:space="preserve">upervisory reporting </w:t>
      </w:r>
      <w:r w:rsidR="005F090F">
        <w:t xml:space="preserve">frameworks </w:t>
      </w:r>
      <w:r w:rsidR="004E5BA7">
        <w:t>is to</w:t>
      </w:r>
      <w:r w:rsidR="00B240E1">
        <w:t xml:space="preserve"> </w:t>
      </w:r>
      <w:r w:rsidR="003029FA" w:rsidRPr="003029FA">
        <w:t>facilitate risk assessment or risk monitoring in a harmonised manner</w:t>
      </w:r>
      <w:r w:rsidR="003029FA">
        <w:t xml:space="preserve">. </w:t>
      </w:r>
      <w:r w:rsidR="00811478">
        <w:t>It is not clear that providing data on a security-by-security</w:t>
      </w:r>
      <w:r w:rsidR="00C75C6B">
        <w:t xml:space="preserve"> granularity as the baseline would</w:t>
      </w:r>
      <w:r w:rsidR="009F54FD">
        <w:t xml:space="preserve"> best serve th</w:t>
      </w:r>
      <w:r w:rsidR="003029FA">
        <w:t>is</w:t>
      </w:r>
      <w:r w:rsidR="009F54FD">
        <w:t xml:space="preserve"> purpose</w:t>
      </w:r>
      <w:r w:rsidR="003029FA">
        <w:t xml:space="preserve">. </w:t>
      </w:r>
    </w:p>
    <w:p w14:paraId="6E86A7BF" w14:textId="41133B1A" w:rsidR="00032291" w:rsidRDefault="00DD46F0" w:rsidP="002E27FF">
      <w:r>
        <w:t xml:space="preserve">We agree </w:t>
      </w:r>
      <w:r w:rsidR="00976D21">
        <w:t xml:space="preserve">with </w:t>
      </w:r>
      <w:r w:rsidR="6E7335C3">
        <w:t>trade association comments</w:t>
      </w:r>
      <w:r>
        <w:t xml:space="preserve"> that</w:t>
      </w:r>
      <w:r w:rsidR="001134E4">
        <w:t xml:space="preserve"> </w:t>
      </w:r>
      <w:r w:rsidR="00F131E7" w:rsidRPr="00F131E7">
        <w:t>the development of a new reporting framework</w:t>
      </w:r>
      <w:r w:rsidR="00BA06A3">
        <w:t xml:space="preserve"> should </w:t>
      </w:r>
      <w:r w:rsidR="00F131E7" w:rsidRPr="00F131E7">
        <w:t xml:space="preserve">reflect the ways investors actually approach and manage risk. Rather than focusing solely on individual exposures, </w:t>
      </w:r>
      <w:r w:rsidR="00F330E5">
        <w:t>a more established practice amo</w:t>
      </w:r>
      <w:r w:rsidR="00DF5663">
        <w:t xml:space="preserve">ng NCAs has </w:t>
      </w:r>
      <w:r w:rsidR="008F35BD">
        <w:t xml:space="preserve">been to be </w:t>
      </w:r>
      <w:r w:rsidR="00F131E7" w:rsidRPr="00F131E7">
        <w:t xml:space="preserve">attentive to how risks can build up and interact across portfolios and institutions. </w:t>
      </w:r>
      <w:r w:rsidR="00A8124E">
        <w:t>S</w:t>
      </w:r>
      <w:r w:rsidR="00776BF5">
        <w:t>uch</w:t>
      </w:r>
      <w:r w:rsidR="001364E0">
        <w:t xml:space="preserve"> huge volume</w:t>
      </w:r>
      <w:r w:rsidR="00776BF5">
        <w:t>s</w:t>
      </w:r>
      <w:r w:rsidR="001364E0">
        <w:t xml:space="preserve"> of </w:t>
      </w:r>
      <w:r w:rsidR="00A05418">
        <w:t xml:space="preserve">granular </w:t>
      </w:r>
      <w:r w:rsidR="001364E0">
        <w:t>data</w:t>
      </w:r>
      <w:r w:rsidR="00D10CE4">
        <w:t xml:space="preserve"> </w:t>
      </w:r>
      <w:r w:rsidR="004F7003">
        <w:t xml:space="preserve">will likely be difficult for </w:t>
      </w:r>
      <w:r w:rsidR="001364E0">
        <w:t xml:space="preserve">regulators </w:t>
      </w:r>
      <w:r w:rsidR="00866B91">
        <w:t xml:space="preserve">to </w:t>
      </w:r>
      <w:r w:rsidR="00D10CE4" w:rsidRPr="00D706C4">
        <w:t>translate</w:t>
      </w:r>
      <w:r w:rsidR="00D706C4" w:rsidRPr="00D706C4">
        <w:t xml:space="preserve"> into meaningful </w:t>
      </w:r>
      <w:r w:rsidR="007A45F0">
        <w:t>insights</w:t>
      </w:r>
      <w:r w:rsidR="00FF36C6">
        <w:t xml:space="preserve">, </w:t>
      </w:r>
      <w:r w:rsidR="00C24546">
        <w:t>given the</w:t>
      </w:r>
      <w:r w:rsidR="00A05418">
        <w:t>ir</w:t>
      </w:r>
      <w:r w:rsidR="00C24546">
        <w:t xml:space="preserve"> distance from its origin </w:t>
      </w:r>
      <w:r w:rsidR="00A05418">
        <w:t>and the potential variab</w:t>
      </w:r>
      <w:r w:rsidR="005D6523">
        <w:t>ility across managers in data points</w:t>
      </w:r>
      <w:r w:rsidR="00032291">
        <w:t xml:space="preserve">. </w:t>
      </w:r>
      <w:r w:rsidR="005D6523">
        <w:t xml:space="preserve"> </w:t>
      </w:r>
    </w:p>
    <w:p w14:paraId="2D574C94" w14:textId="66069619" w:rsidR="00F131E7" w:rsidRDefault="00032291" w:rsidP="002E27FF">
      <w:r>
        <w:t>F</w:t>
      </w:r>
      <w:r w:rsidRPr="000F66A7">
        <w:t>or data to be useful, it must be structured in a way that allows it to be combined, compared, and anal</w:t>
      </w:r>
      <w:r w:rsidR="006E612E">
        <w:t>ys</w:t>
      </w:r>
      <w:r w:rsidRPr="000F66A7">
        <w:t>ed</w:t>
      </w:r>
      <w:r w:rsidR="00FF4E17">
        <w:t>. To note,</w:t>
      </w:r>
      <w:r w:rsidR="00E0484B">
        <w:t xml:space="preserve"> while the current ECB framework is conducted on a security-by-security basis, this </w:t>
      </w:r>
      <w:r w:rsidR="00770062">
        <w:t>is simply a list of the positions held, while ESMA proposes</w:t>
      </w:r>
      <w:r w:rsidR="00A36B83">
        <w:t xml:space="preserve"> potentially requiring the </w:t>
      </w:r>
      <w:r w:rsidR="00A36B83" w:rsidRPr="00A36B83">
        <w:t>report</w:t>
      </w:r>
      <w:r w:rsidR="00E47171">
        <w:t>ing</w:t>
      </w:r>
      <w:r w:rsidR="00F94755">
        <w:t xml:space="preserve"> of</w:t>
      </w:r>
      <w:r w:rsidR="00A36B83" w:rsidRPr="00A36B83">
        <w:t xml:space="preserve"> all exposures and financial assets on a security basis</w:t>
      </w:r>
      <w:r w:rsidR="00A36B83">
        <w:t xml:space="preserve">. </w:t>
      </w:r>
      <w:proofErr w:type="gramStart"/>
      <w:r w:rsidR="006D4B33">
        <w:t>Such</w:t>
      </w:r>
      <w:r w:rsidR="00A36B83">
        <w:t xml:space="preserve"> exposure analysis,</w:t>
      </w:r>
      <w:proofErr w:type="gramEnd"/>
      <w:r w:rsidR="00A36B83">
        <w:t xml:space="preserve"> </w:t>
      </w:r>
      <w:proofErr w:type="gramStart"/>
      <w:r w:rsidR="00510E35">
        <w:t>exceeds</w:t>
      </w:r>
      <w:r w:rsidR="002E0088">
        <w:t xml:space="preserve">  ESMA</w:t>
      </w:r>
      <w:proofErr w:type="gramEnd"/>
      <w:r w:rsidR="002E0088">
        <w:t xml:space="preserve"> </w:t>
      </w:r>
      <w:r w:rsidR="00FB43E1">
        <w:t xml:space="preserve">and </w:t>
      </w:r>
      <w:r w:rsidR="002E0088">
        <w:t xml:space="preserve">NCA </w:t>
      </w:r>
      <w:r w:rsidR="00FB43E1">
        <w:t>practice</w:t>
      </w:r>
      <w:r w:rsidR="002E0088">
        <w:t xml:space="preserve"> </w:t>
      </w:r>
      <w:r w:rsidR="002A1A6F">
        <w:t>currently</w:t>
      </w:r>
      <w:r w:rsidR="0078523B">
        <w:t xml:space="preserve">, and the process for transforming this data into </w:t>
      </w:r>
      <w:r w:rsidR="00234514">
        <w:t>useful metrics</w:t>
      </w:r>
      <w:r w:rsidR="002A1A6F">
        <w:t xml:space="preserve"> </w:t>
      </w:r>
      <w:r w:rsidR="004B2F2B">
        <w:t>is not outlined</w:t>
      </w:r>
      <w:r w:rsidR="00234514">
        <w:t xml:space="preserve">. </w:t>
      </w:r>
      <w:r w:rsidR="001068CC">
        <w:t xml:space="preserve">We </w:t>
      </w:r>
      <w:r w:rsidR="00101969">
        <w:t xml:space="preserve">strongly </w:t>
      </w:r>
      <w:r w:rsidR="001068CC">
        <w:t>believe such a complex</w:t>
      </w:r>
      <w:r w:rsidR="00331A19">
        <w:t xml:space="preserve"> third-party aggregation process </w:t>
      </w:r>
      <w:r w:rsidR="00101969">
        <w:t>is</w:t>
      </w:r>
      <w:r w:rsidR="00FF36C6">
        <w:t xml:space="preserve"> unlikely to provide the best chance of identifying systemic</w:t>
      </w:r>
      <w:r w:rsidR="005D6523">
        <w:t xml:space="preserve"> risk</w:t>
      </w:r>
      <w:r w:rsidR="00BA02C1">
        <w:t>.</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3A1C4867" w14:textId="77777777" w:rsidR="001E6704" w:rsidRPr="001E6704" w:rsidRDefault="001E6704" w:rsidP="001E6704">
      <w:pPr>
        <w:rPr>
          <w:lang w:val="en-US"/>
        </w:rPr>
      </w:pPr>
      <w:r w:rsidRPr="001E6704">
        <w:rPr>
          <w:lang w:val="en-US"/>
        </w:rPr>
        <w:t>Full share class level reporting of performance data would lead to a substantial increase in the volume of data required to be submitted to regulators. Reporting at a representative share class level reduces the burden on industry participants while providing a good representation of the overall performance of a fund.</w:t>
      </w:r>
    </w:p>
    <w:p w14:paraId="6A126677" w14:textId="1B3CA9FB" w:rsidR="001E6704" w:rsidRPr="001E6704" w:rsidRDefault="001E6704" w:rsidP="001E6704">
      <w:pPr>
        <w:rPr>
          <w:lang w:val="en-US"/>
        </w:rPr>
      </w:pPr>
      <w:r w:rsidRPr="001E6704">
        <w:rPr>
          <w:lang w:val="en-US"/>
        </w:rPr>
        <w:t xml:space="preserve">The reporting of NAV at a share class level may be more relevant as the NAV is naturally calculated at a share class level. Therefore, </w:t>
      </w:r>
      <w:r>
        <w:rPr>
          <w:lang w:val="en-US"/>
        </w:rPr>
        <w:t>we suggest</w:t>
      </w:r>
      <w:r w:rsidRPr="001E6704">
        <w:rPr>
          <w:lang w:val="en-US"/>
        </w:rPr>
        <w:t xml:space="preserve"> that</w:t>
      </w:r>
      <w:r>
        <w:rPr>
          <w:lang w:val="en-US"/>
        </w:rPr>
        <w:t xml:space="preserve"> any</w:t>
      </w:r>
      <w:r w:rsidRPr="001E6704">
        <w:rPr>
          <w:lang w:val="en-US"/>
        </w:rPr>
        <w:t xml:space="preserve"> share class level reporting should be limited to NAV and performance data. </w:t>
      </w:r>
    </w:p>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lastRenderedPageBreak/>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6CA311FB" w14:textId="53D3ADF9" w:rsidR="00F21CF0" w:rsidRDefault="0005000B" w:rsidP="00F21CF0">
      <w:permStart w:id="1812282010" w:edGrp="everyone"/>
      <w:r>
        <w:t xml:space="preserve">We </w:t>
      </w:r>
      <w:r w:rsidR="005D0466">
        <w:t xml:space="preserve">do not believe </w:t>
      </w:r>
      <w:r w:rsidR="00484CD1">
        <w:t>more granular</w:t>
      </w:r>
      <w:r w:rsidR="007A2F86">
        <w:t xml:space="preserve"> </w:t>
      </w:r>
      <w:r w:rsidR="00E609D6">
        <w:t xml:space="preserve">data </w:t>
      </w:r>
      <w:r w:rsidR="00C41D1E">
        <w:t>–</w:t>
      </w:r>
      <w:r w:rsidR="00E609D6">
        <w:t xml:space="preserve"> </w:t>
      </w:r>
      <w:r w:rsidR="00552DB1">
        <w:t>o</w:t>
      </w:r>
      <w:r w:rsidR="00C41D1E">
        <w:t xml:space="preserve">r ‘raw’ data </w:t>
      </w:r>
      <w:r w:rsidR="0020254E">
        <w:t xml:space="preserve">on the </w:t>
      </w:r>
      <w:r w:rsidR="007A03F5">
        <w:t>portfolio ho</w:t>
      </w:r>
      <w:r w:rsidR="00A637FB">
        <w:t xml:space="preserve">ldings should be </w:t>
      </w:r>
      <w:r w:rsidR="005F39B9">
        <w:t>provided</w:t>
      </w:r>
      <w:r w:rsidR="00CA37A0">
        <w:t xml:space="preserve"> beyond what is already required, see our answer to Q</w:t>
      </w:r>
      <w:r w:rsidR="00CF2785">
        <w:t>.</w:t>
      </w:r>
      <w:r w:rsidR="00CA37A0">
        <w:t xml:space="preserve"> 16</w:t>
      </w:r>
      <w:r w:rsidR="00100480">
        <w:t>.</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19B89AA4" w14:textId="2FBCE011" w:rsidR="0054280F" w:rsidRDefault="00835F06" w:rsidP="0054280F">
      <w:permStart w:id="1815633304" w:edGrp="everyone"/>
      <w:r>
        <w:t>W</w:t>
      </w:r>
      <w:r w:rsidR="00155804">
        <w:t xml:space="preserve">e do not </w:t>
      </w:r>
      <w:r w:rsidR="00D576CE">
        <w:t xml:space="preserve">think </w:t>
      </w:r>
      <w:r>
        <w:t xml:space="preserve">other areas </w:t>
      </w:r>
      <w:r w:rsidR="00C02409">
        <w:t>warrant further</w:t>
      </w:r>
      <w:r>
        <w:t xml:space="preserve"> explor</w:t>
      </w:r>
      <w:r w:rsidR="00C02409">
        <w:t>ation</w:t>
      </w:r>
      <w:r>
        <w:t xml:space="preserve"> at</w:t>
      </w:r>
      <w:r w:rsidR="00155804">
        <w:t xml:space="preserve"> this initial stage</w:t>
      </w:r>
      <w:r w:rsidR="006638F2">
        <w:t>.</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54D53006" w14:textId="5300DE22" w:rsidR="00D66419" w:rsidRDefault="003E6A03" w:rsidP="00B5787B">
      <w:pPr>
        <w:jc w:val="left"/>
        <w:rPr>
          <w:lang w:val="en-US"/>
        </w:rPr>
      </w:pPr>
      <w:permStart w:id="1492545028" w:edGrp="everyone"/>
      <w:r>
        <w:rPr>
          <w:lang w:val="en-US"/>
        </w:rPr>
        <w:t>F</w:t>
      </w:r>
      <w:r w:rsidRPr="00B5787B">
        <w:rPr>
          <w:lang w:val="en-US"/>
        </w:rPr>
        <w:t>und</w:t>
      </w:r>
      <w:r>
        <w:rPr>
          <w:lang w:val="en-US"/>
        </w:rPr>
        <w:t>s</w:t>
      </w:r>
      <w:r w:rsidRPr="00B5787B">
        <w:rPr>
          <w:lang w:val="en-US"/>
        </w:rPr>
        <w:t xml:space="preserve"> should report at a frequency that is appropriate to their strategy </w:t>
      </w:r>
      <w:r>
        <w:rPr>
          <w:lang w:val="en-US"/>
        </w:rPr>
        <w:t xml:space="preserve">and risk profile. </w:t>
      </w:r>
      <w:r w:rsidR="00DB0A0E">
        <w:rPr>
          <w:lang w:val="en-US"/>
        </w:rPr>
        <w:t xml:space="preserve">BlackRock </w:t>
      </w:r>
      <w:r w:rsidR="00B5787B" w:rsidRPr="00B5787B">
        <w:rPr>
          <w:lang w:val="en-US"/>
        </w:rPr>
        <w:t>supports an integrated</w:t>
      </w:r>
      <w:r w:rsidR="00C71CEE">
        <w:rPr>
          <w:lang w:val="en-US"/>
        </w:rPr>
        <w:t xml:space="preserve"> reporting</w:t>
      </w:r>
      <w:r w:rsidR="00B5787B" w:rsidRPr="00B5787B">
        <w:rPr>
          <w:lang w:val="en-US"/>
        </w:rPr>
        <w:t xml:space="preserve"> template that is designed to incorporate the common data points across all fund </w:t>
      </w:r>
      <w:proofErr w:type="gramStart"/>
      <w:r w:rsidR="00B5787B" w:rsidRPr="00B5787B">
        <w:rPr>
          <w:lang w:val="en-US"/>
        </w:rPr>
        <w:t>types, but</w:t>
      </w:r>
      <w:proofErr w:type="gramEnd"/>
      <w:r w:rsidR="00B5787B" w:rsidRPr="00B5787B">
        <w:rPr>
          <w:lang w:val="en-US"/>
        </w:rPr>
        <w:t xml:space="preserve"> also allow</w:t>
      </w:r>
      <w:r w:rsidR="001D71EF">
        <w:rPr>
          <w:lang w:val="en-US"/>
        </w:rPr>
        <w:t>s</w:t>
      </w:r>
      <w:r w:rsidR="00B5787B" w:rsidRPr="00B5787B">
        <w:rPr>
          <w:lang w:val="en-US"/>
        </w:rPr>
        <w:t xml:space="preserve"> for the specificities of each</w:t>
      </w:r>
      <w:r>
        <w:rPr>
          <w:lang w:val="en-US"/>
        </w:rPr>
        <w:t xml:space="preserve"> fund type</w:t>
      </w:r>
      <w:r w:rsidR="00506908">
        <w:rPr>
          <w:lang w:val="en-US"/>
        </w:rPr>
        <w:t xml:space="preserve"> </w:t>
      </w:r>
      <w:r w:rsidR="00C71CEE">
        <w:rPr>
          <w:lang w:val="en-US"/>
        </w:rPr>
        <w:t xml:space="preserve">to be accommodated </w:t>
      </w:r>
      <w:r>
        <w:rPr>
          <w:lang w:val="en-US"/>
        </w:rPr>
        <w:t>through modular add ons</w:t>
      </w:r>
      <w:r w:rsidR="00B54088">
        <w:rPr>
          <w:lang w:val="en-US"/>
        </w:rPr>
        <w:t xml:space="preserve"> </w:t>
      </w:r>
      <w:r w:rsidR="00506908">
        <w:rPr>
          <w:lang w:val="en-US"/>
        </w:rPr>
        <w:t xml:space="preserve">– reporting frequency </w:t>
      </w:r>
      <w:r w:rsidR="00C71CEE">
        <w:rPr>
          <w:lang w:val="en-US"/>
        </w:rPr>
        <w:t xml:space="preserve">is </w:t>
      </w:r>
      <w:r w:rsidR="00506908">
        <w:rPr>
          <w:lang w:val="en-US"/>
        </w:rPr>
        <w:t>one such specificity</w:t>
      </w:r>
      <w:r>
        <w:rPr>
          <w:lang w:val="en-US"/>
        </w:rPr>
        <w:t xml:space="preserve">. </w:t>
      </w:r>
    </w:p>
    <w:p w14:paraId="3EF65E91" w14:textId="1CF210BE" w:rsidR="00B54088" w:rsidRPr="00785892" w:rsidRDefault="005F448A" w:rsidP="00B54088">
      <w:pPr>
        <w:jc w:val="left"/>
      </w:pPr>
      <w:r>
        <w:rPr>
          <w:lang w:val="en-US"/>
        </w:rPr>
        <w:t xml:space="preserve">We do not support aligning reporting frequencies across fund regimes (i.e. making MMFs, UCITS, AIFs report at the same frequency as each other). </w:t>
      </w:r>
      <w:r w:rsidR="00B54088">
        <w:t xml:space="preserve">Increasing the frequency of reporting across fund regimes for the sake of alignment </w:t>
      </w:r>
      <w:r w:rsidR="00C71CEE">
        <w:t xml:space="preserve">in this way </w:t>
      </w:r>
      <w:r w:rsidR="00B54088">
        <w:t>would result in such an increased operational burden for reporting entities that the costs would significantly outweigh the benefits.</w:t>
      </w:r>
    </w:p>
    <w:p w14:paraId="0465A0B6" w14:textId="25160FF4" w:rsidR="00B65CE6" w:rsidRDefault="005F448A" w:rsidP="00586F94">
      <w:pPr>
        <w:jc w:val="left"/>
        <w:rPr>
          <w:lang w:val="en-US"/>
        </w:rPr>
      </w:pPr>
      <w:r>
        <w:rPr>
          <w:lang w:val="en-US"/>
        </w:rPr>
        <w:lastRenderedPageBreak/>
        <w:t xml:space="preserve">There is room for alignment </w:t>
      </w:r>
      <w:r w:rsidRPr="007346FD">
        <w:rPr>
          <w:i/>
          <w:iCs/>
          <w:lang w:val="en-US"/>
        </w:rPr>
        <w:t>within</w:t>
      </w:r>
      <w:r w:rsidR="00566106">
        <w:rPr>
          <w:i/>
          <w:iCs/>
          <w:lang w:val="en-US"/>
        </w:rPr>
        <w:t xml:space="preserve"> some</w:t>
      </w:r>
      <w:r w:rsidRPr="007346FD">
        <w:rPr>
          <w:i/>
          <w:iCs/>
          <w:lang w:val="en-US"/>
        </w:rPr>
        <w:t xml:space="preserve"> </w:t>
      </w:r>
      <w:r>
        <w:rPr>
          <w:lang w:val="en-US"/>
        </w:rPr>
        <w:t>regimes however</w:t>
      </w:r>
      <w:r w:rsidR="005F7377">
        <w:rPr>
          <w:lang w:val="en-US"/>
        </w:rPr>
        <w:t xml:space="preserve"> and we will consider each in turn</w:t>
      </w:r>
      <w:r w:rsidR="00B65CE6">
        <w:rPr>
          <w:lang w:val="en-US"/>
        </w:rPr>
        <w:t>:</w:t>
      </w:r>
      <w:r w:rsidR="0039788F">
        <w:rPr>
          <w:rStyle w:val="FootnoteReference"/>
          <w:lang w:val="en-US"/>
        </w:rPr>
        <w:footnoteReference w:id="3"/>
      </w:r>
    </w:p>
    <w:p w14:paraId="0EC8604E" w14:textId="107E68BB" w:rsidR="005F448A" w:rsidRDefault="00E544E1" w:rsidP="00E544E1">
      <w:pPr>
        <w:pStyle w:val="ListParagraph"/>
        <w:numPr>
          <w:ilvl w:val="0"/>
          <w:numId w:val="49"/>
        </w:numPr>
        <w:jc w:val="left"/>
        <w:rPr>
          <w:lang w:val="en-US"/>
        </w:rPr>
      </w:pPr>
      <w:r w:rsidRPr="00E200F9">
        <w:rPr>
          <w:b/>
          <w:bCs/>
          <w:lang w:val="en-US"/>
        </w:rPr>
        <w:t>AIFMD:</w:t>
      </w:r>
      <w:r>
        <w:rPr>
          <w:lang w:val="en-US"/>
        </w:rPr>
        <w:t xml:space="preserve"> </w:t>
      </w:r>
      <w:r w:rsidR="00BA3D61">
        <w:rPr>
          <w:lang w:val="en-US"/>
        </w:rPr>
        <w:t xml:space="preserve">Reporting frequency under AIFMD depends on </w:t>
      </w:r>
      <w:r w:rsidR="00847A7B">
        <w:rPr>
          <w:lang w:val="en-US"/>
        </w:rPr>
        <w:t xml:space="preserve">Level 2 AUM thresholds, leverage and whether the AIF is an unleveraged AIF investing in non-listed companies </w:t>
      </w:r>
      <w:r w:rsidR="0049061D">
        <w:rPr>
          <w:lang w:val="en-US"/>
        </w:rPr>
        <w:t>and issue</w:t>
      </w:r>
      <w:r w:rsidR="00545DA9">
        <w:rPr>
          <w:lang w:val="en-US"/>
        </w:rPr>
        <w:t>r</w:t>
      </w:r>
      <w:r w:rsidR="0049061D">
        <w:rPr>
          <w:lang w:val="en-US"/>
        </w:rPr>
        <w:t xml:space="preserve">s to acquire control. </w:t>
      </w:r>
      <w:r w:rsidR="00A60BF5">
        <w:rPr>
          <w:lang w:val="en-US"/>
        </w:rPr>
        <w:t>Reporting</w:t>
      </w:r>
      <w:r w:rsidR="00AB6ED3">
        <w:rPr>
          <w:lang w:val="en-US"/>
        </w:rPr>
        <w:t xml:space="preserve"> </w:t>
      </w:r>
      <w:r w:rsidR="00545DA9">
        <w:rPr>
          <w:lang w:val="en-US"/>
        </w:rPr>
        <w:t xml:space="preserve">can be </w:t>
      </w:r>
      <w:r w:rsidR="002109B5">
        <w:rPr>
          <w:lang w:val="en-US"/>
        </w:rPr>
        <w:t>quarterly, semi-annually or annually</w:t>
      </w:r>
      <w:r w:rsidR="004D38A0">
        <w:rPr>
          <w:lang w:val="en-US"/>
        </w:rPr>
        <w:t xml:space="preserve"> depending on</w:t>
      </w:r>
      <w:r w:rsidR="00AB6ED3">
        <w:rPr>
          <w:lang w:val="en-US"/>
        </w:rPr>
        <w:t xml:space="preserve"> how the specific AIF </w:t>
      </w:r>
      <w:r w:rsidR="00E457CC">
        <w:rPr>
          <w:lang w:val="en-US"/>
        </w:rPr>
        <w:t>aligns with</w:t>
      </w:r>
      <w:r w:rsidR="004D38A0">
        <w:rPr>
          <w:lang w:val="en-US"/>
        </w:rPr>
        <w:t xml:space="preserve"> those criteria</w:t>
      </w:r>
      <w:r w:rsidR="00E457CC">
        <w:rPr>
          <w:lang w:val="en-US"/>
        </w:rPr>
        <w:t>;</w:t>
      </w:r>
      <w:r w:rsidR="00E73170">
        <w:rPr>
          <w:lang w:val="en-US"/>
        </w:rPr>
        <w:t xml:space="preserve"> we believe</w:t>
      </w:r>
      <w:r w:rsidR="00E457CC">
        <w:rPr>
          <w:lang w:val="en-US"/>
        </w:rPr>
        <w:t xml:space="preserve"> this</w:t>
      </w:r>
      <w:r w:rsidR="00E73170">
        <w:rPr>
          <w:lang w:val="en-US"/>
        </w:rPr>
        <w:t xml:space="preserve"> is a proportionate approach</w:t>
      </w:r>
      <w:r w:rsidR="005D1047">
        <w:rPr>
          <w:lang w:val="en-US"/>
        </w:rPr>
        <w:t>.</w:t>
      </w:r>
      <w:r w:rsidR="00A60BF5">
        <w:rPr>
          <w:lang w:val="en-US"/>
        </w:rPr>
        <w:t xml:space="preserve"> While there isn’t a single frequency for AIFs, it is welcome that the criteria for assessment are the same across Member States.</w:t>
      </w:r>
      <w:r w:rsidR="00E457CC">
        <w:rPr>
          <w:lang w:val="en-US"/>
        </w:rPr>
        <w:t xml:space="preserve"> We do not advise changes within</w:t>
      </w:r>
      <w:r w:rsidR="00566106">
        <w:rPr>
          <w:lang w:val="en-US"/>
        </w:rPr>
        <w:t xml:space="preserve"> the AIFMD regime.</w:t>
      </w:r>
    </w:p>
    <w:p w14:paraId="336BA224" w14:textId="4A97A635" w:rsidR="005957D0" w:rsidRDefault="00E544E1" w:rsidP="00336608">
      <w:pPr>
        <w:pStyle w:val="ListParagraph"/>
        <w:numPr>
          <w:ilvl w:val="0"/>
          <w:numId w:val="49"/>
        </w:numPr>
        <w:jc w:val="left"/>
        <w:rPr>
          <w:lang w:val="en-US"/>
        </w:rPr>
      </w:pPr>
      <w:r w:rsidRPr="00E200F9">
        <w:rPr>
          <w:b/>
          <w:bCs/>
          <w:lang w:val="en-US"/>
        </w:rPr>
        <w:t>UCITS</w:t>
      </w:r>
      <w:r w:rsidR="00703A3E" w:rsidRPr="00E200F9">
        <w:rPr>
          <w:b/>
          <w:bCs/>
          <w:lang w:val="en-US"/>
        </w:rPr>
        <w:t>D</w:t>
      </w:r>
      <w:r w:rsidR="00B2684C" w:rsidRPr="00E200F9">
        <w:rPr>
          <w:b/>
          <w:bCs/>
          <w:lang w:val="en-US"/>
        </w:rPr>
        <w:t>:</w:t>
      </w:r>
      <w:r w:rsidR="00B2684C">
        <w:rPr>
          <w:lang w:val="en-US"/>
        </w:rPr>
        <w:t xml:space="preserve"> Reporting frequency is currently dependent on national reporting regimes</w:t>
      </w:r>
      <w:r w:rsidR="009451D3">
        <w:rPr>
          <w:lang w:val="en-US"/>
        </w:rPr>
        <w:t xml:space="preserve"> which is inefficient</w:t>
      </w:r>
      <w:r w:rsidR="00200167">
        <w:rPr>
          <w:lang w:val="en-US"/>
        </w:rPr>
        <w:t xml:space="preserve">, </w:t>
      </w:r>
      <w:r w:rsidR="007C39B5">
        <w:rPr>
          <w:lang w:val="en-US"/>
        </w:rPr>
        <w:t xml:space="preserve">UCITS </w:t>
      </w:r>
      <w:r w:rsidR="00200167">
        <w:rPr>
          <w:lang w:val="en-US"/>
        </w:rPr>
        <w:t>reporting frequency should be</w:t>
      </w:r>
      <w:r w:rsidR="007C39B5">
        <w:rPr>
          <w:lang w:val="en-US"/>
        </w:rPr>
        <w:t xml:space="preserve"> </w:t>
      </w:r>
      <w:r w:rsidR="001E0EB0">
        <w:rPr>
          <w:lang w:val="en-US"/>
        </w:rPr>
        <w:t>alig</w:t>
      </w:r>
      <w:r w:rsidR="00A55A0C">
        <w:rPr>
          <w:lang w:val="en-US"/>
        </w:rPr>
        <w:t>ned across Member States</w:t>
      </w:r>
      <w:r w:rsidR="00200167">
        <w:rPr>
          <w:lang w:val="en-US"/>
        </w:rPr>
        <w:t>,</w:t>
      </w:r>
      <w:r w:rsidR="00A55A0C">
        <w:rPr>
          <w:lang w:val="en-US"/>
        </w:rPr>
        <w:t xml:space="preserve"> </w:t>
      </w:r>
      <w:r w:rsidR="00254DF7">
        <w:rPr>
          <w:lang w:val="en-US"/>
        </w:rPr>
        <w:t xml:space="preserve">and that </w:t>
      </w:r>
      <w:r w:rsidR="001D672F">
        <w:rPr>
          <w:lang w:val="en-US"/>
        </w:rPr>
        <w:t>fr</w:t>
      </w:r>
      <w:r w:rsidR="00AC374B">
        <w:rPr>
          <w:lang w:val="en-US"/>
        </w:rPr>
        <w:t xml:space="preserve">equency </w:t>
      </w:r>
      <w:r w:rsidR="00254DF7">
        <w:rPr>
          <w:lang w:val="en-US"/>
        </w:rPr>
        <w:t>should be quarterly</w:t>
      </w:r>
      <w:r w:rsidR="00566106">
        <w:rPr>
          <w:lang w:val="en-US"/>
        </w:rPr>
        <w:t xml:space="preserve"> in our view</w:t>
      </w:r>
      <w:r w:rsidR="005957D0">
        <w:rPr>
          <w:lang w:val="en-US"/>
        </w:rPr>
        <w:t>.</w:t>
      </w:r>
    </w:p>
    <w:p w14:paraId="3EA9CADB" w14:textId="0A81880F" w:rsidR="000936AC" w:rsidRPr="00764606" w:rsidRDefault="002448C8" w:rsidP="00764606">
      <w:pPr>
        <w:pStyle w:val="ListParagraph"/>
        <w:numPr>
          <w:ilvl w:val="0"/>
          <w:numId w:val="49"/>
        </w:numPr>
        <w:jc w:val="left"/>
        <w:rPr>
          <w:lang w:val="en-US"/>
        </w:rPr>
      </w:pPr>
      <w:r w:rsidRPr="00E200F9">
        <w:rPr>
          <w:b/>
          <w:bCs/>
          <w:lang w:val="en-US"/>
        </w:rPr>
        <w:t>MMFR</w:t>
      </w:r>
      <w:r w:rsidR="00E544E1" w:rsidRPr="00E200F9">
        <w:rPr>
          <w:b/>
          <w:bCs/>
          <w:lang w:val="en-US"/>
        </w:rPr>
        <w:t>:</w:t>
      </w:r>
      <w:r w:rsidR="009A7F62" w:rsidRPr="005957D0">
        <w:rPr>
          <w:lang w:val="en-US"/>
        </w:rPr>
        <w:t xml:space="preserve"> </w:t>
      </w:r>
      <w:r w:rsidR="00EE0EAF" w:rsidRPr="005957D0">
        <w:rPr>
          <w:rFonts w:eastAsia="Times New Roman"/>
          <w:color w:val="auto"/>
          <w:szCs w:val="22"/>
          <w:lang w:eastAsia="en-GB"/>
        </w:rPr>
        <w:t xml:space="preserve">Article 37 of the MMFR requires money market funds to report at least quarterly, </w:t>
      </w:r>
      <w:r w:rsidR="00BF1D1C">
        <w:rPr>
          <w:rFonts w:eastAsia="Times New Roman"/>
          <w:color w:val="auto"/>
          <w:szCs w:val="22"/>
          <w:lang w:eastAsia="en-GB"/>
        </w:rPr>
        <w:t>and</w:t>
      </w:r>
      <w:r w:rsidR="00EE0EAF" w:rsidRPr="005957D0">
        <w:rPr>
          <w:rFonts w:eastAsia="Times New Roman"/>
          <w:color w:val="auto"/>
          <w:szCs w:val="22"/>
          <w:lang w:eastAsia="en-GB"/>
        </w:rPr>
        <w:t xml:space="preserve"> for funds under €100m AUM, only annually. In our opinion, information disclosed under this frequency of reporting is unlikely to be of significant use to supervisors</w:t>
      </w:r>
      <w:r w:rsidR="003F167B">
        <w:rPr>
          <w:rFonts w:eastAsia="Times New Roman"/>
          <w:color w:val="auto"/>
          <w:szCs w:val="22"/>
          <w:lang w:eastAsia="en-GB"/>
        </w:rPr>
        <w:t>.</w:t>
      </w:r>
      <w:r w:rsidR="00EE0EAF" w:rsidRPr="005957D0">
        <w:rPr>
          <w:rFonts w:eastAsia="Times New Roman"/>
          <w:color w:val="auto"/>
          <w:szCs w:val="22"/>
          <w:lang w:eastAsia="en-GB"/>
        </w:rPr>
        <w:t xml:space="preserve"> MMFs generally have a short overall maturity, high portfolio turnover (in line with the liquid asset buffers, a significant portion of an MMF’s portfolio will have a maturity of a week or less) and are very actively managed to reflect changing market liquidity conditions and investor subscription and redemption patterns. This means that much of an MMF’s portfolio will have turned over multiple times within the minimum reporting period set out by the regulation.</w:t>
      </w:r>
      <w:r w:rsidR="008B1BA0">
        <w:rPr>
          <w:rFonts w:eastAsia="Times New Roman"/>
          <w:color w:val="auto"/>
          <w:szCs w:val="22"/>
          <w:lang w:eastAsia="en-GB"/>
        </w:rPr>
        <w:t xml:space="preserve"> </w:t>
      </w:r>
      <w:r w:rsidR="00813ECD">
        <w:rPr>
          <w:rFonts w:eastAsia="Times New Roman"/>
          <w:color w:val="auto"/>
          <w:szCs w:val="22"/>
          <w:lang w:eastAsia="en-GB"/>
        </w:rPr>
        <w:t xml:space="preserve">Like index ETFs, MMFs are required to publicly </w:t>
      </w:r>
      <w:r w:rsidR="007A52AC">
        <w:rPr>
          <w:rFonts w:eastAsia="Times New Roman"/>
          <w:color w:val="auto"/>
          <w:szCs w:val="22"/>
          <w:lang w:eastAsia="en-GB"/>
        </w:rPr>
        <w:t xml:space="preserve">disclose certain </w:t>
      </w:r>
      <w:r w:rsidR="00E92646">
        <w:rPr>
          <w:rFonts w:eastAsia="Times New Roman"/>
          <w:color w:val="auto"/>
          <w:szCs w:val="22"/>
          <w:lang w:eastAsia="en-GB"/>
        </w:rPr>
        <w:t xml:space="preserve">information about their </w:t>
      </w:r>
      <w:r w:rsidR="00364301">
        <w:rPr>
          <w:rFonts w:eastAsia="Times New Roman"/>
          <w:color w:val="auto"/>
          <w:szCs w:val="22"/>
          <w:lang w:eastAsia="en-GB"/>
        </w:rPr>
        <w:t xml:space="preserve">NAV and </w:t>
      </w:r>
      <w:r w:rsidR="00E92646">
        <w:rPr>
          <w:rFonts w:eastAsia="Times New Roman"/>
          <w:color w:val="auto"/>
          <w:szCs w:val="22"/>
          <w:lang w:eastAsia="en-GB"/>
        </w:rPr>
        <w:t>holdings on their website</w:t>
      </w:r>
      <w:r w:rsidR="007A52AC">
        <w:rPr>
          <w:rFonts w:eastAsia="Times New Roman"/>
          <w:color w:val="auto"/>
          <w:szCs w:val="22"/>
          <w:lang w:eastAsia="en-GB"/>
        </w:rPr>
        <w:t xml:space="preserve"> </w:t>
      </w:r>
      <w:r w:rsidR="00C50FA0">
        <w:rPr>
          <w:rFonts w:eastAsia="Times New Roman"/>
          <w:color w:val="auto"/>
          <w:szCs w:val="22"/>
          <w:lang w:eastAsia="en-GB"/>
        </w:rPr>
        <w:t>for investor</w:t>
      </w:r>
      <w:r w:rsidR="007A52AC">
        <w:rPr>
          <w:rFonts w:eastAsia="Times New Roman"/>
          <w:color w:val="auto"/>
          <w:szCs w:val="22"/>
          <w:lang w:eastAsia="en-GB"/>
        </w:rPr>
        <w:t xml:space="preserve"> transparency </w:t>
      </w:r>
      <w:r w:rsidR="00C50FA0">
        <w:rPr>
          <w:rFonts w:eastAsia="Times New Roman"/>
          <w:color w:val="auto"/>
          <w:szCs w:val="22"/>
          <w:lang w:eastAsia="en-GB"/>
        </w:rPr>
        <w:t>purposes</w:t>
      </w:r>
      <w:r w:rsidR="00E92646">
        <w:rPr>
          <w:rFonts w:eastAsia="Times New Roman"/>
          <w:color w:val="auto"/>
          <w:szCs w:val="22"/>
          <w:lang w:eastAsia="en-GB"/>
        </w:rPr>
        <w:t>. I</w:t>
      </w:r>
      <w:r w:rsidR="007A52AC">
        <w:rPr>
          <w:rFonts w:eastAsia="Times New Roman"/>
          <w:color w:val="auto"/>
          <w:szCs w:val="22"/>
          <w:lang w:eastAsia="en-GB"/>
        </w:rPr>
        <w:t xml:space="preserve">t </w:t>
      </w:r>
      <w:r w:rsidR="008E0CA6">
        <w:rPr>
          <w:rFonts w:eastAsia="Times New Roman"/>
          <w:color w:val="auto"/>
          <w:szCs w:val="22"/>
          <w:lang w:eastAsia="en-GB"/>
        </w:rPr>
        <w:t xml:space="preserve">could </w:t>
      </w:r>
      <w:r w:rsidR="00C50FA0">
        <w:rPr>
          <w:rFonts w:eastAsia="Times New Roman"/>
          <w:color w:val="auto"/>
          <w:szCs w:val="22"/>
          <w:lang w:eastAsia="en-GB"/>
        </w:rPr>
        <w:t>b</w:t>
      </w:r>
      <w:r w:rsidR="008E0CA6">
        <w:rPr>
          <w:rFonts w:eastAsia="Times New Roman"/>
          <w:color w:val="auto"/>
          <w:szCs w:val="22"/>
          <w:lang w:eastAsia="en-GB"/>
        </w:rPr>
        <w:t>e worth examining whether supervisors could be</w:t>
      </w:r>
      <w:r w:rsidR="00E92646">
        <w:rPr>
          <w:rFonts w:eastAsia="Times New Roman"/>
          <w:color w:val="auto"/>
          <w:szCs w:val="22"/>
          <w:lang w:eastAsia="en-GB"/>
        </w:rPr>
        <w:t xml:space="preserve"> satisfied with </w:t>
      </w:r>
      <w:r w:rsidR="00867A6E">
        <w:rPr>
          <w:rFonts w:eastAsia="Times New Roman"/>
          <w:color w:val="auto"/>
          <w:szCs w:val="22"/>
          <w:lang w:eastAsia="en-GB"/>
        </w:rPr>
        <w:t>the public</w:t>
      </w:r>
      <w:r w:rsidR="00DA4665">
        <w:rPr>
          <w:rFonts w:eastAsia="Times New Roman"/>
          <w:color w:val="auto"/>
          <w:szCs w:val="22"/>
          <w:lang w:eastAsia="en-GB"/>
        </w:rPr>
        <w:t>ly available information or information already report</w:t>
      </w:r>
      <w:r w:rsidR="000D4B5A">
        <w:rPr>
          <w:rFonts w:eastAsia="Times New Roman"/>
          <w:color w:val="auto"/>
          <w:szCs w:val="22"/>
          <w:lang w:eastAsia="en-GB"/>
        </w:rPr>
        <w:t xml:space="preserve">ed </w:t>
      </w:r>
      <w:r w:rsidR="00DA4665">
        <w:rPr>
          <w:rFonts w:eastAsia="Times New Roman"/>
          <w:color w:val="auto"/>
          <w:szCs w:val="22"/>
          <w:lang w:eastAsia="en-GB"/>
        </w:rPr>
        <w:t>using alternate reporting channels, which may offer enhanced and more decision-useful insight.</w:t>
      </w:r>
    </w:p>
    <w:permEnd w:id="1492545028"/>
    <w:p w14:paraId="59E4C8A4" w14:textId="7B746B82"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72E79B78" w14:textId="618B1525" w:rsidR="00AA665C" w:rsidRDefault="00904223" w:rsidP="00AA665C">
      <w:pPr>
        <w:jc w:val="left"/>
        <w:rPr>
          <w:color w:val="auto"/>
        </w:rPr>
      </w:pPr>
      <w:permStart w:id="342758864" w:edGrp="everyone"/>
      <w:r>
        <w:rPr>
          <w:color w:val="auto"/>
        </w:rPr>
        <w:t xml:space="preserve">It is not possible to comment </w:t>
      </w:r>
      <w:r w:rsidR="00F07F40">
        <w:rPr>
          <w:color w:val="auto"/>
        </w:rPr>
        <w:t xml:space="preserve">meaningfully </w:t>
      </w:r>
      <w:r>
        <w:rPr>
          <w:color w:val="auto"/>
        </w:rPr>
        <w:t xml:space="preserve">on the specific solutions </w:t>
      </w:r>
      <w:r w:rsidR="00E27FCF">
        <w:rPr>
          <w:color w:val="auto"/>
        </w:rPr>
        <w:t xml:space="preserve">needed </w:t>
      </w:r>
      <w:r w:rsidR="00AA2565">
        <w:rPr>
          <w:color w:val="auto"/>
        </w:rPr>
        <w:t xml:space="preserve">for proportionate implementation </w:t>
      </w:r>
      <w:r w:rsidR="00E27FCF">
        <w:rPr>
          <w:color w:val="auto"/>
        </w:rPr>
        <w:t>in the absence of a concrete proposal</w:t>
      </w:r>
      <w:r w:rsidR="00F07F40">
        <w:rPr>
          <w:color w:val="auto"/>
        </w:rPr>
        <w:t>. However, a</w:t>
      </w:r>
      <w:r w:rsidR="00F753E7">
        <w:rPr>
          <w:color w:val="auto"/>
        </w:rPr>
        <w:t xml:space="preserve">s a general principle, </w:t>
      </w:r>
      <w:r w:rsidR="00DE7B9C">
        <w:rPr>
          <w:color w:val="auto"/>
        </w:rPr>
        <w:t>funds should report perio</w:t>
      </w:r>
      <w:r w:rsidR="00F2492F">
        <w:rPr>
          <w:color w:val="auto"/>
        </w:rPr>
        <w:t>dically in line with the</w:t>
      </w:r>
      <w:r w:rsidR="008B0CAA">
        <w:rPr>
          <w:color w:val="auto"/>
        </w:rPr>
        <w:t xml:space="preserve">ir underlying dealing frequency, i.e. </w:t>
      </w:r>
      <w:r w:rsidR="004623BF">
        <w:rPr>
          <w:color w:val="auto"/>
        </w:rPr>
        <w:t xml:space="preserve">ideally quarterly but </w:t>
      </w:r>
      <w:r w:rsidR="008B0CAA">
        <w:rPr>
          <w:color w:val="auto"/>
        </w:rPr>
        <w:lastRenderedPageBreak/>
        <w:t>certainly no more than monthly for a daily</w:t>
      </w:r>
      <w:r w:rsidR="00AA665C">
        <w:rPr>
          <w:color w:val="auto"/>
        </w:rPr>
        <w:t>-</w:t>
      </w:r>
      <w:r w:rsidR="008B0CAA">
        <w:rPr>
          <w:color w:val="auto"/>
        </w:rPr>
        <w:t>dealing fund</w:t>
      </w:r>
      <w:r w:rsidR="00C941C2">
        <w:rPr>
          <w:color w:val="auto"/>
        </w:rPr>
        <w:t xml:space="preserve"> and less frequently for a quarterly/semi-annually dealing fund</w:t>
      </w:r>
      <w:r w:rsidR="00AA665C">
        <w:rPr>
          <w:color w:val="auto"/>
        </w:rPr>
        <w:t>s</w:t>
      </w:r>
      <w:r w:rsidR="00C941C2">
        <w:rPr>
          <w:color w:val="auto"/>
        </w:rPr>
        <w:t>.</w:t>
      </w:r>
      <w:r w:rsidR="00F2492F">
        <w:rPr>
          <w:color w:val="auto"/>
        </w:rPr>
        <w:t xml:space="preserve"> </w:t>
      </w:r>
    </w:p>
    <w:p w14:paraId="72663789" w14:textId="62186C7C" w:rsidR="003E0CDC" w:rsidRDefault="00AA665C" w:rsidP="00784772">
      <w:pPr>
        <w:jc w:val="left"/>
        <w:rPr>
          <w:color w:val="auto"/>
        </w:rPr>
      </w:pPr>
      <w:r>
        <w:rPr>
          <w:color w:val="auto"/>
        </w:rPr>
        <w:t>We appreciate that certain fund types such as money market funds and index ETFs already provide more frequent reporting on holdings to the markets</w:t>
      </w:r>
      <w:r w:rsidR="00AA2565">
        <w:rPr>
          <w:color w:val="auto"/>
        </w:rPr>
        <w:t>,</w:t>
      </w:r>
      <w:r>
        <w:rPr>
          <w:color w:val="auto"/>
        </w:rPr>
        <w:t xml:space="preserve"> and we are not proposing changes here – the advantage of a modular reporting system as identified in our response to Q.5 is that it should allow for these differences to be accommodated. </w:t>
      </w:r>
    </w:p>
    <w:p w14:paraId="18FE11E1" w14:textId="5F3DC850" w:rsidR="00F21CF0" w:rsidRDefault="00532C0F" w:rsidP="00F21CF0">
      <w:r>
        <w:t>E</w:t>
      </w:r>
      <w:r w:rsidR="00F21CF0">
        <w:t>S</w:t>
      </w:r>
      <w:permEnd w:id="342758864"/>
      <w:r w:rsidR="00F21CF0">
        <w:t>MA_QUESTION_ICFD_21&gt;</w:t>
      </w:r>
    </w:p>
    <w:p w14:paraId="660090CB" w14:textId="77777777" w:rsidR="00F21CF0" w:rsidRDefault="00F21CF0" w:rsidP="00F21CF0"/>
    <w:p w14:paraId="3EBFB475" w14:textId="5193AC3D"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7132E9BA" w14:textId="211CC4DA" w:rsidR="00077521" w:rsidRDefault="00805F83" w:rsidP="00B52F9D">
      <w:pPr>
        <w:shd w:val="clear" w:color="auto" w:fill="FFFFFF" w:themeFill="background1"/>
        <w:spacing w:before="120" w:after="60" w:line="300" w:lineRule="auto"/>
        <w:jc w:val="left"/>
        <w:rPr>
          <w:rFonts w:eastAsia="Times New Roman"/>
          <w:color w:val="auto"/>
          <w:szCs w:val="22"/>
          <w:lang w:eastAsia="en-GB"/>
        </w:rPr>
      </w:pPr>
      <w:permStart w:id="1611232175" w:edGrp="everyone"/>
      <w:r>
        <w:rPr>
          <w:rFonts w:eastAsia="Times New Roman"/>
          <w:color w:val="auto"/>
          <w:szCs w:val="22"/>
          <w:lang w:eastAsia="en-GB"/>
        </w:rPr>
        <w:t xml:space="preserve">With the exception of money market funds and index ETFs (as described </w:t>
      </w:r>
      <w:r w:rsidR="0045368D">
        <w:rPr>
          <w:rFonts w:eastAsia="Times New Roman"/>
          <w:color w:val="auto"/>
          <w:szCs w:val="22"/>
          <w:lang w:eastAsia="en-GB"/>
        </w:rPr>
        <w:t>in response to Q.20</w:t>
      </w:r>
      <w:r w:rsidR="0072430E">
        <w:rPr>
          <w:rFonts w:eastAsia="Times New Roman"/>
          <w:color w:val="auto"/>
          <w:szCs w:val="22"/>
          <w:lang w:eastAsia="en-GB"/>
        </w:rPr>
        <w:t xml:space="preserve"> and Q.21</w:t>
      </w:r>
      <w:r w:rsidR="0045368D">
        <w:rPr>
          <w:rFonts w:eastAsia="Times New Roman"/>
          <w:color w:val="auto"/>
          <w:szCs w:val="22"/>
          <w:lang w:eastAsia="en-GB"/>
        </w:rPr>
        <w:t>), d</w:t>
      </w:r>
      <w:r w:rsidR="00BD3A3B">
        <w:rPr>
          <w:rFonts w:eastAsia="Times New Roman"/>
          <w:color w:val="auto"/>
          <w:szCs w:val="22"/>
          <w:lang w:eastAsia="en-GB"/>
        </w:rPr>
        <w:t>aily</w:t>
      </w:r>
      <w:r w:rsidR="00BD17AC" w:rsidRPr="002F7A35">
        <w:rPr>
          <w:rFonts w:eastAsia="Times New Roman"/>
          <w:color w:val="auto"/>
          <w:szCs w:val="22"/>
          <w:lang w:eastAsia="en-GB"/>
        </w:rPr>
        <w:t xml:space="preserve"> reporting </w:t>
      </w:r>
      <w:r w:rsidR="00507976">
        <w:rPr>
          <w:rFonts w:eastAsia="Times New Roman"/>
          <w:color w:val="auto"/>
          <w:szCs w:val="22"/>
          <w:lang w:eastAsia="en-GB"/>
        </w:rPr>
        <w:t>should</w:t>
      </w:r>
      <w:r w:rsidR="00BD17AC" w:rsidRPr="002F7A35">
        <w:rPr>
          <w:rFonts w:eastAsia="Times New Roman"/>
          <w:color w:val="auto"/>
          <w:szCs w:val="22"/>
          <w:lang w:eastAsia="en-GB"/>
        </w:rPr>
        <w:t xml:space="preserve"> be limited to </w:t>
      </w:r>
      <w:r w:rsidR="00356D06">
        <w:rPr>
          <w:rFonts w:eastAsia="Times New Roman"/>
          <w:color w:val="auto"/>
          <w:szCs w:val="22"/>
          <w:lang w:eastAsia="en-GB"/>
        </w:rPr>
        <w:t xml:space="preserve">severe </w:t>
      </w:r>
      <w:r w:rsidR="00717878">
        <w:rPr>
          <w:rFonts w:eastAsia="Times New Roman"/>
          <w:color w:val="auto"/>
          <w:szCs w:val="22"/>
          <w:lang w:eastAsia="en-GB"/>
        </w:rPr>
        <w:t>market stress events only</w:t>
      </w:r>
      <w:r w:rsidR="005957D0">
        <w:rPr>
          <w:rFonts w:eastAsia="Times New Roman"/>
          <w:color w:val="auto"/>
          <w:szCs w:val="22"/>
          <w:lang w:eastAsia="en-GB"/>
        </w:rPr>
        <w:t xml:space="preserve">. </w:t>
      </w:r>
      <w:r w:rsidR="00BB4DEA">
        <w:rPr>
          <w:rFonts w:eastAsia="Times New Roman"/>
          <w:color w:val="auto"/>
          <w:szCs w:val="22"/>
          <w:lang w:eastAsia="en-GB"/>
        </w:rPr>
        <w:t xml:space="preserve">BlackRock would not support </w:t>
      </w:r>
      <w:r w:rsidR="00BE3A6F">
        <w:rPr>
          <w:rFonts w:eastAsia="Times New Roman"/>
          <w:color w:val="auto"/>
          <w:szCs w:val="22"/>
          <w:lang w:eastAsia="en-GB"/>
        </w:rPr>
        <w:t>daily reporting as a baseline frequency in any other scenario</w:t>
      </w:r>
      <w:r w:rsidR="00BD17AC" w:rsidRPr="002F7A35">
        <w:rPr>
          <w:rFonts w:eastAsia="Times New Roman"/>
          <w:color w:val="auto"/>
          <w:szCs w:val="22"/>
          <w:lang w:eastAsia="en-GB"/>
        </w:rPr>
        <w:t xml:space="preserve">. </w:t>
      </w:r>
      <w:r w:rsidR="00641F04">
        <w:rPr>
          <w:rFonts w:eastAsia="Times New Roman"/>
          <w:color w:val="auto"/>
          <w:szCs w:val="22"/>
          <w:lang w:eastAsia="en-GB"/>
        </w:rPr>
        <w:t>Daily</w:t>
      </w:r>
      <w:r w:rsidR="00641F04" w:rsidRPr="00641F04">
        <w:rPr>
          <w:rFonts w:eastAsia="Times New Roman"/>
          <w:color w:val="auto"/>
          <w:szCs w:val="22"/>
          <w:lang w:eastAsia="en-GB"/>
        </w:rPr>
        <w:t xml:space="preserve"> reporting of position-level data </w:t>
      </w:r>
      <w:r w:rsidR="00E33CF2">
        <w:rPr>
          <w:rFonts w:eastAsia="Times New Roman"/>
          <w:color w:val="auto"/>
          <w:szCs w:val="22"/>
          <w:lang w:eastAsia="en-GB"/>
        </w:rPr>
        <w:t xml:space="preserve">on a routine basis </w:t>
      </w:r>
      <w:r w:rsidR="00D51434">
        <w:rPr>
          <w:rFonts w:eastAsia="Times New Roman"/>
          <w:color w:val="auto"/>
          <w:szCs w:val="22"/>
          <w:lang w:eastAsia="en-GB"/>
        </w:rPr>
        <w:t xml:space="preserve">is not necessary </w:t>
      </w:r>
      <w:r w:rsidR="001A6A77">
        <w:rPr>
          <w:rFonts w:eastAsia="Times New Roman"/>
          <w:color w:val="auto"/>
          <w:szCs w:val="22"/>
          <w:lang w:eastAsia="en-GB"/>
        </w:rPr>
        <w:t xml:space="preserve">for supervisory purposes and </w:t>
      </w:r>
      <w:r w:rsidR="00641F04">
        <w:rPr>
          <w:rFonts w:eastAsia="Times New Roman"/>
          <w:color w:val="auto"/>
          <w:szCs w:val="22"/>
          <w:lang w:eastAsia="en-GB"/>
        </w:rPr>
        <w:t xml:space="preserve">would </w:t>
      </w:r>
      <w:r w:rsidR="00641F04" w:rsidRPr="00641F04">
        <w:rPr>
          <w:rFonts w:eastAsia="Times New Roman"/>
          <w:color w:val="auto"/>
          <w:szCs w:val="22"/>
          <w:lang w:eastAsia="en-GB"/>
        </w:rPr>
        <w:t>increase</w:t>
      </w:r>
      <w:r w:rsidR="00641F04">
        <w:rPr>
          <w:rFonts w:eastAsia="Times New Roman"/>
          <w:color w:val="auto"/>
          <w:szCs w:val="22"/>
          <w:lang w:eastAsia="en-GB"/>
        </w:rPr>
        <w:t xml:space="preserve"> </w:t>
      </w:r>
      <w:r w:rsidR="00641F04" w:rsidRPr="00641F04">
        <w:rPr>
          <w:rFonts w:eastAsia="Times New Roman"/>
          <w:color w:val="auto"/>
          <w:szCs w:val="22"/>
          <w:lang w:eastAsia="en-GB"/>
        </w:rPr>
        <w:t>cybersecurity</w:t>
      </w:r>
      <w:r w:rsidR="00D51434">
        <w:rPr>
          <w:rFonts w:eastAsia="Times New Roman"/>
          <w:color w:val="auto"/>
          <w:szCs w:val="22"/>
          <w:lang w:eastAsia="en-GB"/>
        </w:rPr>
        <w:t xml:space="preserve"> and</w:t>
      </w:r>
      <w:r w:rsidR="00641F04" w:rsidRPr="00641F04">
        <w:rPr>
          <w:rFonts w:eastAsia="Times New Roman"/>
          <w:color w:val="auto"/>
          <w:szCs w:val="22"/>
          <w:lang w:eastAsia="en-GB"/>
        </w:rPr>
        <w:t xml:space="preserve"> market abuse risks. The more detailed and timely the data, the greater the risk of reverse engineering portfolios, front-running, or other misuse of non-public information. This can harm both investors and market integrity</w:t>
      </w:r>
      <w:r w:rsidR="00356D06">
        <w:rPr>
          <w:rFonts w:eastAsia="Times New Roman"/>
          <w:color w:val="auto"/>
          <w:szCs w:val="22"/>
          <w:lang w:eastAsia="en-GB"/>
        </w:rPr>
        <w:t xml:space="preserve">. </w:t>
      </w:r>
      <w:r w:rsidR="008B3AF8">
        <w:rPr>
          <w:rFonts w:eastAsia="Times New Roman"/>
          <w:color w:val="auto"/>
          <w:szCs w:val="22"/>
          <w:lang w:eastAsia="en-GB"/>
        </w:rPr>
        <w:t xml:space="preserve">On an international level, </w:t>
      </w:r>
      <w:r w:rsidR="005976F0">
        <w:rPr>
          <w:rFonts w:eastAsia="Times New Roman"/>
          <w:color w:val="auto"/>
          <w:szCs w:val="22"/>
          <w:lang w:eastAsia="en-GB"/>
        </w:rPr>
        <w:t>while IOSCO and FSB support the</w:t>
      </w:r>
      <w:r w:rsidR="00231D81" w:rsidRPr="00231D81">
        <w:t xml:space="preserve"> </w:t>
      </w:r>
      <w:r w:rsidR="00231D81" w:rsidRPr="00231D81">
        <w:rPr>
          <w:rFonts w:eastAsia="Times New Roman"/>
          <w:color w:val="auto"/>
          <w:szCs w:val="22"/>
          <w:lang w:eastAsia="en-GB"/>
        </w:rPr>
        <w:t>regular collection and analysis of investment fund data</w:t>
      </w:r>
      <w:r w:rsidR="00231D81">
        <w:rPr>
          <w:rFonts w:eastAsia="Times New Roman"/>
          <w:color w:val="auto"/>
          <w:szCs w:val="22"/>
          <w:lang w:eastAsia="en-GB"/>
        </w:rPr>
        <w:t xml:space="preserve">, neither prescribe </w:t>
      </w:r>
      <w:r w:rsidR="00F27471">
        <w:rPr>
          <w:rFonts w:eastAsia="Times New Roman"/>
          <w:color w:val="auto"/>
          <w:szCs w:val="22"/>
          <w:lang w:eastAsia="en-GB"/>
        </w:rPr>
        <w:t xml:space="preserve">daily reporting as a baseline requirement, </w:t>
      </w:r>
      <w:r w:rsidR="000C6468">
        <w:rPr>
          <w:rFonts w:eastAsia="Times New Roman"/>
          <w:color w:val="auto"/>
          <w:szCs w:val="22"/>
          <w:lang w:eastAsia="en-GB"/>
        </w:rPr>
        <w:t xml:space="preserve">but instead recommend </w:t>
      </w:r>
      <w:r w:rsidR="00E46CB4" w:rsidRPr="00E46CB4">
        <w:rPr>
          <w:rFonts w:eastAsia="Times New Roman"/>
          <w:color w:val="auto"/>
          <w:szCs w:val="22"/>
          <w:lang w:eastAsia="en-GB"/>
        </w:rPr>
        <w:t>proportiona</w:t>
      </w:r>
      <w:r w:rsidR="00E46CB4">
        <w:rPr>
          <w:rFonts w:eastAsia="Times New Roman"/>
          <w:color w:val="auto"/>
          <w:szCs w:val="22"/>
          <w:lang w:eastAsia="en-GB"/>
        </w:rPr>
        <w:t>te</w:t>
      </w:r>
      <w:r w:rsidR="00E46CB4" w:rsidRPr="00E46CB4">
        <w:rPr>
          <w:rFonts w:eastAsia="Times New Roman"/>
          <w:color w:val="auto"/>
          <w:szCs w:val="22"/>
          <w:lang w:eastAsia="en-GB"/>
        </w:rPr>
        <w:t xml:space="preserve"> risk-based approaches</w:t>
      </w:r>
      <w:r w:rsidR="00E46CB4">
        <w:rPr>
          <w:rFonts w:eastAsia="Times New Roman"/>
          <w:color w:val="auto"/>
          <w:szCs w:val="22"/>
          <w:lang w:eastAsia="en-GB"/>
        </w:rPr>
        <w:t>.</w:t>
      </w:r>
      <w:r w:rsidR="00E46CB4">
        <w:rPr>
          <w:rStyle w:val="FootnoteReference"/>
          <w:rFonts w:eastAsia="Times New Roman"/>
          <w:color w:val="auto"/>
          <w:szCs w:val="22"/>
          <w:lang w:eastAsia="en-GB"/>
        </w:rPr>
        <w:footnoteReference w:id="4"/>
      </w:r>
      <w:r w:rsidR="00634489">
        <w:rPr>
          <w:rFonts w:eastAsia="Times New Roman"/>
          <w:color w:val="auto"/>
          <w:szCs w:val="22"/>
          <w:lang w:eastAsia="en-GB"/>
        </w:rPr>
        <w:t xml:space="preserve"> </w:t>
      </w:r>
      <w:r w:rsidR="00BD17AC" w:rsidRPr="002F7A35">
        <w:rPr>
          <w:rFonts w:eastAsia="Times New Roman"/>
          <w:color w:val="auto"/>
          <w:szCs w:val="22"/>
          <w:lang w:eastAsia="en-GB"/>
        </w:rPr>
        <w:t xml:space="preserve">Instead, we recommend quarterly reporting as the standard </w:t>
      </w:r>
      <w:r w:rsidR="005055F2">
        <w:rPr>
          <w:rFonts w:eastAsia="Times New Roman"/>
          <w:color w:val="auto"/>
          <w:szCs w:val="22"/>
          <w:lang w:eastAsia="en-GB"/>
        </w:rPr>
        <w:t xml:space="preserve">for UCITS and AIFs </w:t>
      </w:r>
      <w:r w:rsidR="00BD17AC" w:rsidRPr="002F7A35">
        <w:rPr>
          <w:rFonts w:eastAsia="Times New Roman"/>
          <w:color w:val="auto"/>
          <w:szCs w:val="22"/>
          <w:lang w:eastAsia="en-GB"/>
        </w:rPr>
        <w:t>and event-driven reporting for urgent risk signals.</w:t>
      </w:r>
    </w:p>
    <w:permEnd w:id="1611232175"/>
    <w:p w14:paraId="4940C01F" w14:textId="77777777" w:rsidR="00077521" w:rsidRDefault="00077521" w:rsidP="00F21CF0"/>
    <w:p w14:paraId="5E3B6B11" w14:textId="6A2930C4"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179958B7" w14:textId="77777777" w:rsidR="00BF75BD" w:rsidRPr="00BF75BD" w:rsidRDefault="00BF75BD" w:rsidP="00BF75BD">
      <w:pPr>
        <w:jc w:val="left"/>
      </w:pPr>
      <w:permStart w:id="1099658953" w:edGrp="everyone"/>
      <w:r w:rsidRPr="00BF75BD">
        <w:t>In our view, reporting templates for use in exceptional circumstances should be designed with three key principles in mind: simplicity, flexibility, and relevance.</w:t>
      </w:r>
    </w:p>
    <w:p w14:paraId="70ED297D" w14:textId="52E216F3" w:rsidR="00BF75BD" w:rsidRPr="00BF75BD" w:rsidRDefault="00BF75BD" w:rsidP="00BF75BD">
      <w:pPr>
        <w:jc w:val="left"/>
      </w:pPr>
      <w:r w:rsidRPr="00BC4499">
        <w:rPr>
          <w:b/>
          <w:bCs/>
        </w:rPr>
        <w:t>1.</w:t>
      </w:r>
      <w:r w:rsidRPr="00BF3BD9">
        <w:t xml:space="preserve"> </w:t>
      </w:r>
      <w:r w:rsidRPr="00BC4499">
        <w:rPr>
          <w:b/>
          <w:bCs/>
        </w:rPr>
        <w:t>Simplicity and clarity:</w:t>
      </w:r>
      <w:r w:rsidRPr="00BF3BD9">
        <w:t xml:space="preserve"> Templates</w:t>
      </w:r>
      <w:r w:rsidRPr="00BF75BD">
        <w:t xml:space="preserve"> should be streamlined and intuitive, with a limited number of fields focused solely on the information necessary to assess the nature and severity of the crisis. This avoids overburdening firms at a time when operational resources are likely to be stretched. Binary or dropdown-style fields (e.g. “Has the fund halted redemptions? Yes/No”) can help reduce ambiguity and speed up completion.</w:t>
      </w:r>
    </w:p>
    <w:p w14:paraId="555D856A" w14:textId="2691B0F9" w:rsidR="00BF75BD" w:rsidRPr="00BF75BD" w:rsidRDefault="00BF75BD" w:rsidP="00BF75BD">
      <w:pPr>
        <w:jc w:val="left"/>
      </w:pPr>
      <w:r w:rsidRPr="00BC4499">
        <w:rPr>
          <w:b/>
          <w:bCs/>
        </w:rPr>
        <w:t>2. Flexibility to adapt to different crisis types</w:t>
      </w:r>
      <w:r w:rsidR="00E8348F" w:rsidRPr="00BC4499">
        <w:rPr>
          <w:b/>
          <w:bCs/>
        </w:rPr>
        <w:t>:</w:t>
      </w:r>
      <w:r w:rsidR="00E8348F">
        <w:t xml:space="preserve"> </w:t>
      </w:r>
      <w:r w:rsidRPr="00BF75BD">
        <w:t>The template should be modular, allowing ESMA or NCAs to activate specific sections depending on the nature of the event (e.g. liquidity stress, counterparty default, market dislocation). This avoids a one-size-fits-all approach and ensures that reporting remains proportionate and targeted.</w:t>
      </w:r>
    </w:p>
    <w:p w14:paraId="7FD407A6" w14:textId="1FB71338" w:rsidR="00BF75BD" w:rsidRPr="00BF75BD" w:rsidRDefault="00BF75BD" w:rsidP="00BF75BD">
      <w:pPr>
        <w:jc w:val="left"/>
      </w:pPr>
      <w:r w:rsidRPr="00BC4499">
        <w:rPr>
          <w:b/>
          <w:bCs/>
        </w:rPr>
        <w:t>3. Focus on systemic risk relevance</w:t>
      </w:r>
      <w:r w:rsidR="00E8348F" w:rsidRPr="00BC4499">
        <w:rPr>
          <w:b/>
          <w:bCs/>
        </w:rPr>
        <w:t xml:space="preserve">: </w:t>
      </w:r>
      <w:r w:rsidRPr="00BC4499">
        <w:t>Only</w:t>
      </w:r>
      <w:r w:rsidRPr="00BF75BD">
        <w:t xml:space="preserve"> data points that are directly relevant to systemic risk transmission should be included. For example, information on margin calls, redemption suspensions, or concentrated counterparty exposures is likely to be more useful than detailed portfolio holdings. This ensures that the reporting supports supervisory decision-making without duplicating existing obligations.</w:t>
      </w:r>
    </w:p>
    <w:p w14:paraId="04366AD6" w14:textId="2A4965F1" w:rsidR="00BF75BD" w:rsidRPr="00BF75BD" w:rsidRDefault="00BF75BD" w:rsidP="00BF75BD">
      <w:pPr>
        <w:jc w:val="left"/>
      </w:pPr>
      <w:r w:rsidRPr="00BF75BD">
        <w:t>We also recommend that the template be pre-positioned and tested in advance</w:t>
      </w:r>
      <w:r w:rsidR="0075706F">
        <w:t xml:space="preserve"> (e.g., </w:t>
      </w:r>
      <w:r w:rsidR="000E4BCD">
        <w:t>as part of routine stress test</w:t>
      </w:r>
      <w:r w:rsidR="00C43902">
        <w:t>s)</w:t>
      </w:r>
      <w:r w:rsidRPr="00BF75BD">
        <w:t>, so that firms are familiar with the format and can respond quickly when needed. Where possible, it should align with existing reporting systems to minimise manual intervention.</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3D767252" w14:textId="0CAC2EC9" w:rsidR="006638F2" w:rsidRDefault="00F21CF0" w:rsidP="00F21CF0">
      <w:r>
        <w:t>&lt;ESMA_QUESTION_ICFD_24&gt;</w:t>
      </w:r>
    </w:p>
    <w:p w14:paraId="37AD7761" w14:textId="448A500B" w:rsidR="006638F2" w:rsidRDefault="006638F2" w:rsidP="00F21CF0">
      <w:r>
        <w:lastRenderedPageBreak/>
        <w:t xml:space="preserve">No comment. </w:t>
      </w:r>
    </w:p>
    <w:p w14:paraId="2ADEBDC2" w14:textId="77777777" w:rsidR="00F21CF0" w:rsidRDefault="00F21CF0" w:rsidP="00F21CF0">
      <w:r>
        <w:t>&lt;ESMA_QUESTION_ICFD_24&gt;</w:t>
      </w:r>
    </w:p>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4C15" w14:textId="77777777" w:rsidR="00E2282B" w:rsidRDefault="00E2282B" w:rsidP="00F716D4">
      <w:r>
        <w:separator/>
      </w:r>
    </w:p>
    <w:p w14:paraId="7A148596" w14:textId="77777777" w:rsidR="00E2282B" w:rsidRDefault="00E2282B" w:rsidP="00F716D4"/>
  </w:endnote>
  <w:endnote w:type="continuationSeparator" w:id="0">
    <w:p w14:paraId="75016E2A" w14:textId="77777777" w:rsidR="00E2282B" w:rsidRDefault="00E2282B" w:rsidP="00F716D4">
      <w:r>
        <w:continuationSeparator/>
      </w:r>
    </w:p>
    <w:p w14:paraId="52EC497A" w14:textId="77777777" w:rsidR="00E2282B" w:rsidRDefault="00E2282B" w:rsidP="00F716D4"/>
  </w:endnote>
  <w:endnote w:type="continuationNotice" w:id="1">
    <w:p w14:paraId="1C4839FF" w14:textId="77777777" w:rsidR="00E2282B" w:rsidRDefault="00E2282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EF8B" w14:textId="77777777" w:rsidR="00E2282B" w:rsidRDefault="00E2282B" w:rsidP="00F716D4">
      <w:r>
        <w:separator/>
      </w:r>
    </w:p>
    <w:p w14:paraId="05DD8C6E" w14:textId="77777777" w:rsidR="00E2282B" w:rsidRDefault="00E2282B" w:rsidP="00F716D4"/>
  </w:footnote>
  <w:footnote w:type="continuationSeparator" w:id="0">
    <w:p w14:paraId="671ACF37" w14:textId="77777777" w:rsidR="00E2282B" w:rsidRDefault="00E2282B" w:rsidP="00F716D4">
      <w:r>
        <w:continuationSeparator/>
      </w:r>
    </w:p>
    <w:p w14:paraId="0A8C504B" w14:textId="77777777" w:rsidR="00E2282B" w:rsidRDefault="00E2282B" w:rsidP="00F716D4"/>
  </w:footnote>
  <w:footnote w:type="continuationNotice" w:id="1">
    <w:p w14:paraId="0FFA87C7" w14:textId="77777777" w:rsidR="00E2282B" w:rsidRDefault="00E2282B" w:rsidP="00F716D4"/>
  </w:footnote>
  <w:footnote w:id="2">
    <w:p w14:paraId="47ACD8D0" w14:textId="77777777" w:rsidR="00EA377C" w:rsidRPr="00B81B7F" w:rsidRDefault="00EA377C" w:rsidP="00EA377C">
      <w:pPr>
        <w:pStyle w:val="FootnoteText"/>
        <w:rPr>
          <w:szCs w:val="16"/>
        </w:rPr>
      </w:pPr>
      <w:r w:rsidRPr="00B81B7F">
        <w:rPr>
          <w:rStyle w:val="FootnoteReference"/>
          <w:szCs w:val="16"/>
        </w:rPr>
        <w:footnoteRef/>
      </w:r>
      <w:r w:rsidRPr="00B81B7F">
        <w:rPr>
          <w:szCs w:val="16"/>
        </w:rPr>
        <w:t xml:space="preserve"> As set out on P. 81 of the discussion paper, reporting frequency varies across and within regimes: </w:t>
      </w:r>
      <w:r w:rsidRPr="00B81B7F">
        <w:rPr>
          <w:b/>
          <w:bCs/>
          <w:szCs w:val="16"/>
        </w:rPr>
        <w:t>AIF</w:t>
      </w:r>
      <w:r w:rsidRPr="00B81B7F">
        <w:rPr>
          <w:szCs w:val="16"/>
        </w:rPr>
        <w:t xml:space="preserve"> reporting frequency depends on Level 2 AUM thresholds, leverage and whether the AIF is an unleveraged AIF investing in non-listed companies and issuers to acquire control. It can be quarterly, semi-annually or annually. </w:t>
      </w:r>
      <w:r w:rsidRPr="00B81B7F">
        <w:rPr>
          <w:b/>
          <w:bCs/>
          <w:szCs w:val="16"/>
        </w:rPr>
        <w:t>UCITS</w:t>
      </w:r>
      <w:r w:rsidRPr="00B81B7F">
        <w:rPr>
          <w:szCs w:val="16"/>
        </w:rPr>
        <w:t xml:space="preserve"> reporting frequency depends on national reporting regimes. </w:t>
      </w:r>
      <w:r w:rsidRPr="00B81B7F">
        <w:rPr>
          <w:b/>
          <w:bCs/>
          <w:szCs w:val="16"/>
        </w:rPr>
        <w:t>MMF</w:t>
      </w:r>
      <w:r w:rsidRPr="00B81B7F">
        <w:rPr>
          <w:szCs w:val="16"/>
        </w:rPr>
        <w:t xml:space="preserve"> reporting frequency is usually </w:t>
      </w:r>
      <w:proofErr w:type="gramStart"/>
      <w:r w:rsidRPr="00B81B7F">
        <w:rPr>
          <w:szCs w:val="16"/>
        </w:rPr>
        <w:t>quarterly, but</w:t>
      </w:r>
      <w:proofErr w:type="gramEnd"/>
      <w:r w:rsidRPr="00B81B7F">
        <w:rPr>
          <w:szCs w:val="16"/>
        </w:rPr>
        <w:t xml:space="preserve"> can be annually if AUM is below a EUR 1 million threshold as stipulated in the MMFR. </w:t>
      </w:r>
    </w:p>
    <w:p w14:paraId="4D068498" w14:textId="77777777" w:rsidR="00EA377C" w:rsidRDefault="00EA377C" w:rsidP="00EA377C">
      <w:pPr>
        <w:pStyle w:val="FootnoteText"/>
      </w:pPr>
    </w:p>
  </w:footnote>
  <w:footnote w:id="3">
    <w:p w14:paraId="5F37F507" w14:textId="5189CF9F" w:rsidR="0039788F" w:rsidRDefault="0039788F">
      <w:pPr>
        <w:pStyle w:val="FootnoteText"/>
      </w:pPr>
      <w:r w:rsidRPr="00B81B7F">
        <w:rPr>
          <w:rStyle w:val="FootnoteReference"/>
          <w:szCs w:val="16"/>
        </w:rPr>
        <w:footnoteRef/>
      </w:r>
      <w:r w:rsidRPr="00B81B7F">
        <w:rPr>
          <w:szCs w:val="16"/>
        </w:rPr>
        <w:t xml:space="preserve"> </w:t>
      </w:r>
      <w:r w:rsidRPr="00BA02C1">
        <w:rPr>
          <w:b/>
          <w:bCs/>
          <w:szCs w:val="16"/>
          <w:lang w:val="en-US"/>
        </w:rPr>
        <w:t>Note</w:t>
      </w:r>
      <w:r w:rsidR="00BA02C1">
        <w:rPr>
          <w:b/>
          <w:bCs/>
          <w:szCs w:val="16"/>
          <w:lang w:val="en-US"/>
        </w:rPr>
        <w:t>:</w:t>
      </w:r>
      <w:r w:rsidRPr="00B81B7F">
        <w:rPr>
          <w:szCs w:val="16"/>
          <w:lang w:val="en-US"/>
        </w:rPr>
        <w:t xml:space="preserve"> </w:t>
      </w:r>
      <w:r w:rsidR="00BA02C1">
        <w:rPr>
          <w:szCs w:val="16"/>
          <w:lang w:val="en-US"/>
        </w:rPr>
        <w:t>W</w:t>
      </w:r>
      <w:r w:rsidRPr="00B81B7F">
        <w:rPr>
          <w:szCs w:val="16"/>
          <w:lang w:val="en-US"/>
        </w:rPr>
        <w:t>e have excluded statistical reporting from this analysis because we think its inclusion would overcomplicate the reporting framework at this</w:t>
      </w:r>
      <w:r w:rsidR="005E2D5E" w:rsidRPr="00B81B7F">
        <w:rPr>
          <w:szCs w:val="16"/>
          <w:lang w:val="en-US"/>
        </w:rPr>
        <w:t xml:space="preserve"> design</w:t>
      </w:r>
      <w:r w:rsidRPr="00B81B7F">
        <w:rPr>
          <w:szCs w:val="16"/>
          <w:lang w:val="en-US"/>
        </w:rPr>
        <w:t xml:space="preserve"> stage</w:t>
      </w:r>
      <w:r w:rsidR="005E2D5E" w:rsidRPr="00B81B7F">
        <w:rPr>
          <w:szCs w:val="16"/>
          <w:lang w:val="en-US"/>
        </w:rPr>
        <w:t xml:space="preserve"> and suggest ESMA </w:t>
      </w:r>
      <w:r w:rsidR="00B96A2F" w:rsidRPr="00B81B7F">
        <w:rPr>
          <w:szCs w:val="16"/>
          <w:lang w:val="en-US"/>
        </w:rPr>
        <w:t>focus on alignment of</w:t>
      </w:r>
      <w:r w:rsidR="005E2D5E" w:rsidRPr="00B81B7F">
        <w:rPr>
          <w:szCs w:val="16"/>
          <w:lang w:val="en-US"/>
        </w:rPr>
        <w:t xml:space="preserve"> supervisory reporting first</w:t>
      </w:r>
      <w:r w:rsidRPr="00B81B7F">
        <w:rPr>
          <w:szCs w:val="16"/>
          <w:lang w:val="en-US"/>
        </w:rPr>
        <w:t>.</w:t>
      </w:r>
    </w:p>
  </w:footnote>
  <w:footnote w:id="4">
    <w:p w14:paraId="40BA1277" w14:textId="7D89503F" w:rsidR="00E46CB4" w:rsidRDefault="00E46CB4">
      <w:pPr>
        <w:pStyle w:val="FootnoteText"/>
      </w:pPr>
      <w:r>
        <w:rPr>
          <w:rStyle w:val="FootnoteReference"/>
        </w:rPr>
        <w:footnoteRef/>
      </w:r>
      <w:r>
        <w:t xml:space="preserve"> </w:t>
      </w:r>
      <w:r w:rsidR="00152E7E" w:rsidRPr="00152E7E">
        <w:rPr>
          <w:b/>
          <w:bCs/>
        </w:rPr>
        <w:t>FSB’s Revised Policy Recommendations</w:t>
      </w:r>
      <w:r w:rsidR="00152E7E" w:rsidRPr="00152E7E">
        <w:t xml:space="preserve"> (2023)</w:t>
      </w:r>
      <w:r w:rsidR="00152E7E">
        <w:t xml:space="preserve">, </w:t>
      </w:r>
      <w:r w:rsidR="00CA50FB" w:rsidRPr="00CA50FB">
        <w:t>“Authorities should collect information on the liquidity profile of open-ended funds in their jurisdiction proportionate to the risks they may pose from a financial stability perspective… reporting should be sufficiently granular and frequent.”</w:t>
      </w:r>
      <w:r w:rsidR="00CA50FB">
        <w:t xml:space="preserve"> </w:t>
      </w:r>
      <w:r w:rsidR="00A10C70" w:rsidRPr="00BA02C1">
        <w:rPr>
          <w:b/>
          <w:bCs/>
        </w:rPr>
        <w:t>IOSCO,</w:t>
      </w:r>
      <w:r w:rsidR="0061174A" w:rsidRPr="00BA02C1">
        <w:rPr>
          <w:b/>
          <w:bCs/>
        </w:rPr>
        <w:t xml:space="preserve"> Final Report on Revised Recommendations for Liquidity Risk Management for Collective Investment Schemes,</w:t>
      </w:r>
      <w:r w:rsidR="0061174A">
        <w:t xml:space="preserve"> “</w:t>
      </w:r>
      <w:r w:rsidR="000F2ACE" w:rsidRPr="000F2ACE">
        <w:t>“Reporting and liquidity management practices should be proportionate to the nature of the fund and the risks it poses. Supervisory frameworks should allow for flexibility in both normal and stressed market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4144"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0288"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CD33B1"/>
    <w:multiLevelType w:val="multilevel"/>
    <w:tmpl w:val="7B84E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D6FB1"/>
    <w:multiLevelType w:val="hybridMultilevel"/>
    <w:tmpl w:val="4816F676"/>
    <w:lvl w:ilvl="0" w:tplc="A06E3DEE">
      <w:start w:val="1"/>
      <w:numFmt w:val="decimal"/>
      <w:lvlText w:val="%1."/>
      <w:lvlJc w:val="left"/>
      <w:pPr>
        <w:ind w:left="1020" w:hanging="360"/>
      </w:pPr>
    </w:lvl>
    <w:lvl w:ilvl="1" w:tplc="67EAE5BC">
      <w:start w:val="1"/>
      <w:numFmt w:val="decimal"/>
      <w:lvlText w:val="%2."/>
      <w:lvlJc w:val="left"/>
      <w:pPr>
        <w:ind w:left="1020" w:hanging="360"/>
      </w:pPr>
    </w:lvl>
    <w:lvl w:ilvl="2" w:tplc="F1D416EC">
      <w:start w:val="1"/>
      <w:numFmt w:val="decimal"/>
      <w:lvlText w:val="%3."/>
      <w:lvlJc w:val="left"/>
      <w:pPr>
        <w:ind w:left="1020" w:hanging="360"/>
      </w:pPr>
    </w:lvl>
    <w:lvl w:ilvl="3" w:tplc="C53AEA5E">
      <w:start w:val="1"/>
      <w:numFmt w:val="decimal"/>
      <w:lvlText w:val="%4."/>
      <w:lvlJc w:val="left"/>
      <w:pPr>
        <w:ind w:left="1020" w:hanging="360"/>
      </w:pPr>
    </w:lvl>
    <w:lvl w:ilvl="4" w:tplc="BD3C1F76">
      <w:start w:val="1"/>
      <w:numFmt w:val="decimal"/>
      <w:lvlText w:val="%5."/>
      <w:lvlJc w:val="left"/>
      <w:pPr>
        <w:ind w:left="1020" w:hanging="360"/>
      </w:pPr>
    </w:lvl>
    <w:lvl w:ilvl="5" w:tplc="44D6341A">
      <w:start w:val="1"/>
      <w:numFmt w:val="decimal"/>
      <w:lvlText w:val="%6."/>
      <w:lvlJc w:val="left"/>
      <w:pPr>
        <w:ind w:left="1020" w:hanging="360"/>
      </w:pPr>
    </w:lvl>
    <w:lvl w:ilvl="6" w:tplc="32EA9C74">
      <w:start w:val="1"/>
      <w:numFmt w:val="decimal"/>
      <w:lvlText w:val="%7."/>
      <w:lvlJc w:val="left"/>
      <w:pPr>
        <w:ind w:left="1020" w:hanging="360"/>
      </w:pPr>
    </w:lvl>
    <w:lvl w:ilvl="7" w:tplc="84F40DFC">
      <w:start w:val="1"/>
      <w:numFmt w:val="decimal"/>
      <w:lvlText w:val="%8."/>
      <w:lvlJc w:val="left"/>
      <w:pPr>
        <w:ind w:left="1020" w:hanging="360"/>
      </w:pPr>
    </w:lvl>
    <w:lvl w:ilvl="8" w:tplc="E80A6B90">
      <w:start w:val="1"/>
      <w:numFmt w:val="decimal"/>
      <w:lvlText w:val="%9."/>
      <w:lvlJc w:val="left"/>
      <w:pPr>
        <w:ind w:left="1020" w:hanging="360"/>
      </w:pPr>
    </w:lvl>
  </w:abstractNum>
  <w:abstractNum w:abstractNumId="4" w15:restartNumberingAfterBreak="0">
    <w:nsid w:val="1292223C"/>
    <w:multiLevelType w:val="multilevel"/>
    <w:tmpl w:val="FC58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EE76D7"/>
    <w:multiLevelType w:val="multilevel"/>
    <w:tmpl w:val="D7D0C1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DB07E1"/>
    <w:multiLevelType w:val="hybridMultilevel"/>
    <w:tmpl w:val="EBCC8B2A"/>
    <w:lvl w:ilvl="0" w:tplc="61E270A6">
      <w:start w:val="1"/>
      <w:numFmt w:val="decimal"/>
      <w:lvlText w:val="%1."/>
      <w:lvlJc w:val="left"/>
      <w:pPr>
        <w:ind w:left="1020" w:hanging="360"/>
      </w:pPr>
    </w:lvl>
    <w:lvl w:ilvl="1" w:tplc="043CB874">
      <w:start w:val="1"/>
      <w:numFmt w:val="decimal"/>
      <w:lvlText w:val="%2."/>
      <w:lvlJc w:val="left"/>
      <w:pPr>
        <w:ind w:left="1020" w:hanging="360"/>
      </w:pPr>
    </w:lvl>
    <w:lvl w:ilvl="2" w:tplc="BA26E876">
      <w:start w:val="1"/>
      <w:numFmt w:val="decimal"/>
      <w:lvlText w:val="%3."/>
      <w:lvlJc w:val="left"/>
      <w:pPr>
        <w:ind w:left="1020" w:hanging="360"/>
      </w:pPr>
    </w:lvl>
    <w:lvl w:ilvl="3" w:tplc="90B2840E">
      <w:start w:val="1"/>
      <w:numFmt w:val="decimal"/>
      <w:lvlText w:val="%4."/>
      <w:lvlJc w:val="left"/>
      <w:pPr>
        <w:ind w:left="1020" w:hanging="360"/>
      </w:pPr>
    </w:lvl>
    <w:lvl w:ilvl="4" w:tplc="A9221A1E">
      <w:start w:val="1"/>
      <w:numFmt w:val="decimal"/>
      <w:lvlText w:val="%5."/>
      <w:lvlJc w:val="left"/>
      <w:pPr>
        <w:ind w:left="1020" w:hanging="360"/>
      </w:pPr>
    </w:lvl>
    <w:lvl w:ilvl="5" w:tplc="46E04FAA">
      <w:start w:val="1"/>
      <w:numFmt w:val="decimal"/>
      <w:lvlText w:val="%6."/>
      <w:lvlJc w:val="left"/>
      <w:pPr>
        <w:ind w:left="1020" w:hanging="360"/>
      </w:pPr>
    </w:lvl>
    <w:lvl w:ilvl="6" w:tplc="7CC63A40">
      <w:start w:val="1"/>
      <w:numFmt w:val="decimal"/>
      <w:lvlText w:val="%7."/>
      <w:lvlJc w:val="left"/>
      <w:pPr>
        <w:ind w:left="1020" w:hanging="360"/>
      </w:pPr>
    </w:lvl>
    <w:lvl w:ilvl="7" w:tplc="242622A4">
      <w:start w:val="1"/>
      <w:numFmt w:val="decimal"/>
      <w:lvlText w:val="%8."/>
      <w:lvlJc w:val="left"/>
      <w:pPr>
        <w:ind w:left="1020" w:hanging="360"/>
      </w:pPr>
    </w:lvl>
    <w:lvl w:ilvl="8" w:tplc="4A2AC432">
      <w:start w:val="1"/>
      <w:numFmt w:val="decimal"/>
      <w:lvlText w:val="%9."/>
      <w:lvlJc w:val="left"/>
      <w:pPr>
        <w:ind w:left="1020" w:hanging="360"/>
      </w:pPr>
    </w:lvl>
  </w:abstractNum>
  <w:abstractNum w:abstractNumId="14" w15:restartNumberingAfterBreak="0">
    <w:nsid w:val="33FF7A33"/>
    <w:multiLevelType w:val="hybridMultilevel"/>
    <w:tmpl w:val="7C66DB0C"/>
    <w:lvl w:ilvl="0" w:tplc="E962DF9C">
      <w:start w:val="1"/>
      <w:numFmt w:val="decimal"/>
      <w:lvlText w:val="%1."/>
      <w:lvlJc w:val="left"/>
      <w:pPr>
        <w:ind w:left="1020" w:hanging="360"/>
      </w:pPr>
    </w:lvl>
    <w:lvl w:ilvl="1" w:tplc="0B16C9BC">
      <w:start w:val="1"/>
      <w:numFmt w:val="decimal"/>
      <w:lvlText w:val="%2."/>
      <w:lvlJc w:val="left"/>
      <w:pPr>
        <w:ind w:left="1020" w:hanging="360"/>
      </w:pPr>
    </w:lvl>
    <w:lvl w:ilvl="2" w:tplc="E56E5414">
      <w:start w:val="1"/>
      <w:numFmt w:val="decimal"/>
      <w:lvlText w:val="%3."/>
      <w:lvlJc w:val="left"/>
      <w:pPr>
        <w:ind w:left="1020" w:hanging="360"/>
      </w:pPr>
    </w:lvl>
    <w:lvl w:ilvl="3" w:tplc="01684ECE">
      <w:start w:val="1"/>
      <w:numFmt w:val="decimal"/>
      <w:lvlText w:val="%4."/>
      <w:lvlJc w:val="left"/>
      <w:pPr>
        <w:ind w:left="1020" w:hanging="360"/>
      </w:pPr>
    </w:lvl>
    <w:lvl w:ilvl="4" w:tplc="997E1CD2">
      <w:start w:val="1"/>
      <w:numFmt w:val="decimal"/>
      <w:lvlText w:val="%5."/>
      <w:lvlJc w:val="left"/>
      <w:pPr>
        <w:ind w:left="1020" w:hanging="360"/>
      </w:pPr>
    </w:lvl>
    <w:lvl w:ilvl="5" w:tplc="22009BCA">
      <w:start w:val="1"/>
      <w:numFmt w:val="decimal"/>
      <w:lvlText w:val="%6."/>
      <w:lvlJc w:val="left"/>
      <w:pPr>
        <w:ind w:left="1020" w:hanging="360"/>
      </w:pPr>
    </w:lvl>
    <w:lvl w:ilvl="6" w:tplc="2A84824C">
      <w:start w:val="1"/>
      <w:numFmt w:val="decimal"/>
      <w:lvlText w:val="%7."/>
      <w:lvlJc w:val="left"/>
      <w:pPr>
        <w:ind w:left="1020" w:hanging="360"/>
      </w:pPr>
    </w:lvl>
    <w:lvl w:ilvl="7" w:tplc="387433EE">
      <w:start w:val="1"/>
      <w:numFmt w:val="decimal"/>
      <w:lvlText w:val="%8."/>
      <w:lvlJc w:val="left"/>
      <w:pPr>
        <w:ind w:left="1020" w:hanging="360"/>
      </w:pPr>
    </w:lvl>
    <w:lvl w:ilvl="8" w:tplc="7B2A8876">
      <w:start w:val="1"/>
      <w:numFmt w:val="decimal"/>
      <w:lvlText w:val="%9."/>
      <w:lvlJc w:val="left"/>
      <w:pPr>
        <w:ind w:left="1020" w:hanging="360"/>
      </w:pPr>
    </w:lvl>
  </w:abstractNum>
  <w:abstractNum w:abstractNumId="15" w15:restartNumberingAfterBreak="0">
    <w:nsid w:val="349B55A2"/>
    <w:multiLevelType w:val="multilevel"/>
    <w:tmpl w:val="F1E23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AA422892"/>
    <w:lvl w:ilvl="0" w:tplc="CD90B470">
      <w:start w:val="1"/>
      <w:numFmt w:val="decimal"/>
      <w:pStyle w:val="Questionstyle"/>
      <w:lvlText w:val="Q%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6CD692D"/>
    <w:multiLevelType w:val="hybridMultilevel"/>
    <w:tmpl w:val="FB42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BFA6E16"/>
    <w:multiLevelType w:val="hybridMultilevel"/>
    <w:tmpl w:val="FE8A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68407B"/>
    <w:multiLevelType w:val="hybridMultilevel"/>
    <w:tmpl w:val="D786A672"/>
    <w:lvl w:ilvl="0" w:tplc="172C4D62">
      <w:start w:val="1"/>
      <w:numFmt w:val="decimal"/>
      <w:lvlText w:val="%1."/>
      <w:lvlJc w:val="left"/>
      <w:pPr>
        <w:ind w:left="720" w:hanging="360"/>
      </w:pPr>
    </w:lvl>
    <w:lvl w:ilvl="1" w:tplc="35FA1824">
      <w:start w:val="1"/>
      <w:numFmt w:val="decimal"/>
      <w:lvlText w:val="%2."/>
      <w:lvlJc w:val="left"/>
      <w:pPr>
        <w:ind w:left="720" w:hanging="360"/>
      </w:pPr>
    </w:lvl>
    <w:lvl w:ilvl="2" w:tplc="7EDC3EF0">
      <w:start w:val="1"/>
      <w:numFmt w:val="decimal"/>
      <w:lvlText w:val="%3."/>
      <w:lvlJc w:val="left"/>
      <w:pPr>
        <w:ind w:left="720" w:hanging="360"/>
      </w:pPr>
    </w:lvl>
    <w:lvl w:ilvl="3" w:tplc="E43686D8">
      <w:start w:val="1"/>
      <w:numFmt w:val="decimal"/>
      <w:lvlText w:val="%4."/>
      <w:lvlJc w:val="left"/>
      <w:pPr>
        <w:ind w:left="720" w:hanging="360"/>
      </w:pPr>
    </w:lvl>
    <w:lvl w:ilvl="4" w:tplc="74D6D16E">
      <w:start w:val="1"/>
      <w:numFmt w:val="decimal"/>
      <w:lvlText w:val="%5."/>
      <w:lvlJc w:val="left"/>
      <w:pPr>
        <w:ind w:left="720" w:hanging="360"/>
      </w:pPr>
    </w:lvl>
    <w:lvl w:ilvl="5" w:tplc="00C628D0">
      <w:start w:val="1"/>
      <w:numFmt w:val="decimal"/>
      <w:lvlText w:val="%6."/>
      <w:lvlJc w:val="left"/>
      <w:pPr>
        <w:ind w:left="720" w:hanging="360"/>
      </w:pPr>
    </w:lvl>
    <w:lvl w:ilvl="6" w:tplc="22FC6184">
      <w:start w:val="1"/>
      <w:numFmt w:val="decimal"/>
      <w:lvlText w:val="%7."/>
      <w:lvlJc w:val="left"/>
      <w:pPr>
        <w:ind w:left="720" w:hanging="360"/>
      </w:pPr>
    </w:lvl>
    <w:lvl w:ilvl="7" w:tplc="995CF4DE">
      <w:start w:val="1"/>
      <w:numFmt w:val="decimal"/>
      <w:lvlText w:val="%8."/>
      <w:lvlJc w:val="left"/>
      <w:pPr>
        <w:ind w:left="720" w:hanging="360"/>
      </w:pPr>
    </w:lvl>
    <w:lvl w:ilvl="8" w:tplc="87429172">
      <w:start w:val="1"/>
      <w:numFmt w:val="decimal"/>
      <w:lvlText w:val="%9."/>
      <w:lvlJc w:val="left"/>
      <w:pPr>
        <w:ind w:left="720" w:hanging="360"/>
      </w:pPr>
    </w:lvl>
  </w:abstractNum>
  <w:abstractNum w:abstractNumId="32" w15:restartNumberingAfterBreak="0">
    <w:nsid w:val="50EC2B21"/>
    <w:multiLevelType w:val="hybridMultilevel"/>
    <w:tmpl w:val="85B047C6"/>
    <w:lvl w:ilvl="0" w:tplc="EC669DFC">
      <w:start w:val="1"/>
      <w:numFmt w:val="bullet"/>
      <w:lvlText w:val=""/>
      <w:lvlJc w:val="left"/>
      <w:pPr>
        <w:ind w:left="1080" w:hanging="360"/>
      </w:pPr>
      <w:rPr>
        <w:rFonts w:ascii="Symbol" w:hAnsi="Symbol"/>
      </w:rPr>
    </w:lvl>
    <w:lvl w:ilvl="1" w:tplc="699268D0">
      <w:start w:val="1"/>
      <w:numFmt w:val="bullet"/>
      <w:lvlText w:val=""/>
      <w:lvlJc w:val="left"/>
      <w:pPr>
        <w:ind w:left="1080" w:hanging="360"/>
      </w:pPr>
      <w:rPr>
        <w:rFonts w:ascii="Symbol" w:hAnsi="Symbol"/>
      </w:rPr>
    </w:lvl>
    <w:lvl w:ilvl="2" w:tplc="90E4E4AA">
      <w:start w:val="1"/>
      <w:numFmt w:val="bullet"/>
      <w:lvlText w:val=""/>
      <w:lvlJc w:val="left"/>
      <w:pPr>
        <w:ind w:left="1080" w:hanging="360"/>
      </w:pPr>
      <w:rPr>
        <w:rFonts w:ascii="Symbol" w:hAnsi="Symbol"/>
      </w:rPr>
    </w:lvl>
    <w:lvl w:ilvl="3" w:tplc="005C3118">
      <w:start w:val="1"/>
      <w:numFmt w:val="bullet"/>
      <w:lvlText w:val=""/>
      <w:lvlJc w:val="left"/>
      <w:pPr>
        <w:ind w:left="1080" w:hanging="360"/>
      </w:pPr>
      <w:rPr>
        <w:rFonts w:ascii="Symbol" w:hAnsi="Symbol"/>
      </w:rPr>
    </w:lvl>
    <w:lvl w:ilvl="4" w:tplc="C4FC8D46">
      <w:start w:val="1"/>
      <w:numFmt w:val="bullet"/>
      <w:lvlText w:val=""/>
      <w:lvlJc w:val="left"/>
      <w:pPr>
        <w:ind w:left="1080" w:hanging="360"/>
      </w:pPr>
      <w:rPr>
        <w:rFonts w:ascii="Symbol" w:hAnsi="Symbol"/>
      </w:rPr>
    </w:lvl>
    <w:lvl w:ilvl="5" w:tplc="2F8A406E">
      <w:start w:val="1"/>
      <w:numFmt w:val="bullet"/>
      <w:lvlText w:val=""/>
      <w:lvlJc w:val="left"/>
      <w:pPr>
        <w:ind w:left="1080" w:hanging="360"/>
      </w:pPr>
      <w:rPr>
        <w:rFonts w:ascii="Symbol" w:hAnsi="Symbol"/>
      </w:rPr>
    </w:lvl>
    <w:lvl w:ilvl="6" w:tplc="0D40D510">
      <w:start w:val="1"/>
      <w:numFmt w:val="bullet"/>
      <w:lvlText w:val=""/>
      <w:lvlJc w:val="left"/>
      <w:pPr>
        <w:ind w:left="1080" w:hanging="360"/>
      </w:pPr>
      <w:rPr>
        <w:rFonts w:ascii="Symbol" w:hAnsi="Symbol"/>
      </w:rPr>
    </w:lvl>
    <w:lvl w:ilvl="7" w:tplc="66AAE0D8">
      <w:start w:val="1"/>
      <w:numFmt w:val="bullet"/>
      <w:lvlText w:val=""/>
      <w:lvlJc w:val="left"/>
      <w:pPr>
        <w:ind w:left="1080" w:hanging="360"/>
      </w:pPr>
      <w:rPr>
        <w:rFonts w:ascii="Symbol" w:hAnsi="Symbol"/>
      </w:rPr>
    </w:lvl>
    <w:lvl w:ilvl="8" w:tplc="67E2E996">
      <w:start w:val="1"/>
      <w:numFmt w:val="bullet"/>
      <w:lvlText w:val=""/>
      <w:lvlJc w:val="left"/>
      <w:pPr>
        <w:ind w:left="1080" w:hanging="360"/>
      </w:pPr>
      <w:rPr>
        <w:rFonts w:ascii="Symbol" w:hAnsi="Symbol"/>
      </w:rPr>
    </w:lvl>
  </w:abstractNum>
  <w:abstractNum w:abstractNumId="33" w15:restartNumberingAfterBreak="0">
    <w:nsid w:val="52CC2717"/>
    <w:multiLevelType w:val="hybridMultilevel"/>
    <w:tmpl w:val="C504D9E0"/>
    <w:lvl w:ilvl="0" w:tplc="41B8B738">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7" w15:restartNumberingAfterBreak="0">
    <w:nsid w:val="59DC1E88"/>
    <w:multiLevelType w:val="hybridMultilevel"/>
    <w:tmpl w:val="0966CB7E"/>
    <w:lvl w:ilvl="0" w:tplc="236C63C6">
      <w:start w:val="1"/>
      <w:numFmt w:val="bullet"/>
      <w:lvlText w:val=""/>
      <w:lvlJc w:val="left"/>
      <w:pPr>
        <w:ind w:left="1080" w:hanging="360"/>
      </w:pPr>
      <w:rPr>
        <w:rFonts w:ascii="Symbol" w:hAnsi="Symbol"/>
      </w:rPr>
    </w:lvl>
    <w:lvl w:ilvl="1" w:tplc="2BC8074E">
      <w:start w:val="1"/>
      <w:numFmt w:val="bullet"/>
      <w:lvlText w:val=""/>
      <w:lvlJc w:val="left"/>
      <w:pPr>
        <w:ind w:left="1080" w:hanging="360"/>
      </w:pPr>
      <w:rPr>
        <w:rFonts w:ascii="Symbol" w:hAnsi="Symbol"/>
      </w:rPr>
    </w:lvl>
    <w:lvl w:ilvl="2" w:tplc="A734F68A">
      <w:start w:val="1"/>
      <w:numFmt w:val="bullet"/>
      <w:lvlText w:val=""/>
      <w:lvlJc w:val="left"/>
      <w:pPr>
        <w:ind w:left="1080" w:hanging="360"/>
      </w:pPr>
      <w:rPr>
        <w:rFonts w:ascii="Symbol" w:hAnsi="Symbol"/>
      </w:rPr>
    </w:lvl>
    <w:lvl w:ilvl="3" w:tplc="B6267D6C">
      <w:start w:val="1"/>
      <w:numFmt w:val="bullet"/>
      <w:lvlText w:val=""/>
      <w:lvlJc w:val="left"/>
      <w:pPr>
        <w:ind w:left="1080" w:hanging="360"/>
      </w:pPr>
      <w:rPr>
        <w:rFonts w:ascii="Symbol" w:hAnsi="Symbol"/>
      </w:rPr>
    </w:lvl>
    <w:lvl w:ilvl="4" w:tplc="17C897E4">
      <w:start w:val="1"/>
      <w:numFmt w:val="bullet"/>
      <w:lvlText w:val=""/>
      <w:lvlJc w:val="left"/>
      <w:pPr>
        <w:ind w:left="1080" w:hanging="360"/>
      </w:pPr>
      <w:rPr>
        <w:rFonts w:ascii="Symbol" w:hAnsi="Symbol"/>
      </w:rPr>
    </w:lvl>
    <w:lvl w:ilvl="5" w:tplc="A29002A8">
      <w:start w:val="1"/>
      <w:numFmt w:val="bullet"/>
      <w:lvlText w:val=""/>
      <w:lvlJc w:val="left"/>
      <w:pPr>
        <w:ind w:left="1080" w:hanging="360"/>
      </w:pPr>
      <w:rPr>
        <w:rFonts w:ascii="Symbol" w:hAnsi="Symbol"/>
      </w:rPr>
    </w:lvl>
    <w:lvl w:ilvl="6" w:tplc="6756E528">
      <w:start w:val="1"/>
      <w:numFmt w:val="bullet"/>
      <w:lvlText w:val=""/>
      <w:lvlJc w:val="left"/>
      <w:pPr>
        <w:ind w:left="1080" w:hanging="360"/>
      </w:pPr>
      <w:rPr>
        <w:rFonts w:ascii="Symbol" w:hAnsi="Symbol"/>
      </w:rPr>
    </w:lvl>
    <w:lvl w:ilvl="7" w:tplc="DD080D22">
      <w:start w:val="1"/>
      <w:numFmt w:val="bullet"/>
      <w:lvlText w:val=""/>
      <w:lvlJc w:val="left"/>
      <w:pPr>
        <w:ind w:left="1080" w:hanging="360"/>
      </w:pPr>
      <w:rPr>
        <w:rFonts w:ascii="Symbol" w:hAnsi="Symbol"/>
      </w:rPr>
    </w:lvl>
    <w:lvl w:ilvl="8" w:tplc="49BE8978">
      <w:start w:val="1"/>
      <w:numFmt w:val="bullet"/>
      <w:lvlText w:val=""/>
      <w:lvlJc w:val="left"/>
      <w:pPr>
        <w:ind w:left="1080" w:hanging="360"/>
      </w:pPr>
      <w:rPr>
        <w:rFonts w:ascii="Symbol" w:hAnsi="Symbol"/>
      </w:rPr>
    </w:lvl>
  </w:abstractNum>
  <w:abstractNum w:abstractNumId="3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DCB7C75"/>
    <w:multiLevelType w:val="hybridMultilevel"/>
    <w:tmpl w:val="1E063436"/>
    <w:lvl w:ilvl="0" w:tplc="5010D112">
      <w:numFmt w:val="bullet"/>
      <w:lvlText w:val="-"/>
      <w:lvlJc w:val="left"/>
      <w:pPr>
        <w:ind w:left="36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0"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1"/>
  </w:num>
  <w:num w:numId="2" w16cid:durableId="1769932826">
    <w:abstractNumId w:val="24"/>
  </w:num>
  <w:num w:numId="3" w16cid:durableId="550074866">
    <w:abstractNumId w:val="16"/>
  </w:num>
  <w:num w:numId="4" w16cid:durableId="1881627233">
    <w:abstractNumId w:val="34"/>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43"/>
  </w:num>
  <w:num w:numId="9" w16cid:durableId="1008846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8"/>
  </w:num>
  <w:num w:numId="12" w16cid:durableId="1500659627">
    <w:abstractNumId w:val="42"/>
  </w:num>
  <w:num w:numId="13" w16cid:durableId="1879658227">
    <w:abstractNumId w:val="30"/>
  </w:num>
  <w:num w:numId="14" w16cid:durableId="1495758855">
    <w:abstractNumId w:val="12"/>
  </w:num>
  <w:num w:numId="15" w16cid:durableId="1186556611">
    <w:abstractNumId w:val="1"/>
  </w:num>
  <w:num w:numId="16" w16cid:durableId="679087124">
    <w:abstractNumId w:val="19"/>
  </w:num>
  <w:num w:numId="17" w16cid:durableId="1695498691">
    <w:abstractNumId w:val="20"/>
  </w:num>
  <w:num w:numId="18" w16cid:durableId="1042363640">
    <w:abstractNumId w:val="22"/>
  </w:num>
  <w:num w:numId="19" w16cid:durableId="820345968">
    <w:abstractNumId w:val="36"/>
  </w:num>
  <w:num w:numId="20" w16cid:durableId="1805388212">
    <w:abstractNumId w:val="47"/>
  </w:num>
  <w:num w:numId="21" w16cid:durableId="538709007">
    <w:abstractNumId w:val="35"/>
  </w:num>
  <w:num w:numId="22" w16cid:durableId="104540172">
    <w:abstractNumId w:val="11"/>
  </w:num>
  <w:num w:numId="23" w16cid:durableId="1824349076">
    <w:abstractNumId w:val="41"/>
  </w:num>
  <w:num w:numId="24" w16cid:durableId="672032853">
    <w:abstractNumId w:val="40"/>
  </w:num>
  <w:num w:numId="25" w16cid:durableId="48917541">
    <w:abstractNumId w:val="26"/>
  </w:num>
  <w:num w:numId="26" w16cid:durableId="978925443">
    <w:abstractNumId w:val="44"/>
  </w:num>
  <w:num w:numId="27" w16cid:durableId="1036613928">
    <w:abstractNumId w:val="49"/>
  </w:num>
  <w:num w:numId="28" w16cid:durableId="872039349">
    <w:abstractNumId w:val="9"/>
  </w:num>
  <w:num w:numId="29" w16cid:durableId="924530660">
    <w:abstractNumId w:val="5"/>
  </w:num>
  <w:num w:numId="30" w16cid:durableId="419180233">
    <w:abstractNumId w:val="28"/>
  </w:num>
  <w:num w:numId="31" w16cid:durableId="276761337">
    <w:abstractNumId w:val="27"/>
  </w:num>
  <w:num w:numId="32" w16cid:durableId="1166238383">
    <w:abstractNumId w:val="46"/>
  </w:num>
  <w:num w:numId="33" w16cid:durableId="2076850202">
    <w:abstractNumId w:val="45"/>
  </w:num>
  <w:num w:numId="34" w16cid:durableId="469176496">
    <w:abstractNumId w:val="17"/>
  </w:num>
  <w:num w:numId="35" w16cid:durableId="674843309">
    <w:abstractNumId w:val="23"/>
  </w:num>
  <w:num w:numId="36" w16cid:durableId="1954971501">
    <w:abstractNumId w:val="50"/>
  </w:num>
  <w:num w:numId="37" w16cid:durableId="344332460">
    <w:abstractNumId w:val="15"/>
  </w:num>
  <w:num w:numId="38" w16cid:durableId="1945725121">
    <w:abstractNumId w:val="3"/>
  </w:num>
  <w:num w:numId="39" w16cid:durableId="1380278499">
    <w:abstractNumId w:val="32"/>
  </w:num>
  <w:num w:numId="40" w16cid:durableId="791902559">
    <w:abstractNumId w:val="39"/>
  </w:num>
  <w:num w:numId="41" w16cid:durableId="443039400">
    <w:abstractNumId w:val="31"/>
  </w:num>
  <w:num w:numId="42" w16cid:durableId="1117796187">
    <w:abstractNumId w:val="14"/>
  </w:num>
  <w:num w:numId="43" w16cid:durableId="319962758">
    <w:abstractNumId w:val="13"/>
  </w:num>
  <w:num w:numId="44" w16cid:durableId="1352609773">
    <w:abstractNumId w:val="29"/>
  </w:num>
  <w:num w:numId="45" w16cid:durableId="77021470">
    <w:abstractNumId w:val="33"/>
  </w:num>
  <w:num w:numId="46" w16cid:durableId="1437944953">
    <w:abstractNumId w:val="2"/>
  </w:num>
  <w:num w:numId="47" w16cid:durableId="472530513">
    <w:abstractNumId w:val="4"/>
  </w:num>
  <w:num w:numId="48" w16cid:durableId="2063671560">
    <w:abstractNumId w:val="8"/>
  </w:num>
  <w:num w:numId="49" w16cid:durableId="1895309749">
    <w:abstractNumId w:val="25"/>
  </w:num>
  <w:num w:numId="50" w16cid:durableId="644435100">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784"/>
    <w:rsid w:val="000009D2"/>
    <w:rsid w:val="000012B4"/>
    <w:rsid w:val="00001490"/>
    <w:rsid w:val="0000150E"/>
    <w:rsid w:val="00001D34"/>
    <w:rsid w:val="0000207A"/>
    <w:rsid w:val="00002232"/>
    <w:rsid w:val="000023A4"/>
    <w:rsid w:val="00002491"/>
    <w:rsid w:val="00003054"/>
    <w:rsid w:val="0000378E"/>
    <w:rsid w:val="00003AEB"/>
    <w:rsid w:val="000043C9"/>
    <w:rsid w:val="00004F17"/>
    <w:rsid w:val="00005688"/>
    <w:rsid w:val="0000580C"/>
    <w:rsid w:val="00005BBA"/>
    <w:rsid w:val="00005D8C"/>
    <w:rsid w:val="00006C2B"/>
    <w:rsid w:val="00006E41"/>
    <w:rsid w:val="00007014"/>
    <w:rsid w:val="000075D7"/>
    <w:rsid w:val="00007968"/>
    <w:rsid w:val="00007977"/>
    <w:rsid w:val="00007C9C"/>
    <w:rsid w:val="00007CA2"/>
    <w:rsid w:val="0001067A"/>
    <w:rsid w:val="0001099F"/>
    <w:rsid w:val="00011CB6"/>
    <w:rsid w:val="000121E6"/>
    <w:rsid w:val="00013123"/>
    <w:rsid w:val="00013CCE"/>
    <w:rsid w:val="00014069"/>
    <w:rsid w:val="000140D5"/>
    <w:rsid w:val="0001410B"/>
    <w:rsid w:val="000141D6"/>
    <w:rsid w:val="000148F5"/>
    <w:rsid w:val="00014A95"/>
    <w:rsid w:val="0001504A"/>
    <w:rsid w:val="00015B5E"/>
    <w:rsid w:val="00015F1D"/>
    <w:rsid w:val="00016D54"/>
    <w:rsid w:val="0001774B"/>
    <w:rsid w:val="00020774"/>
    <w:rsid w:val="00020795"/>
    <w:rsid w:val="00020D0F"/>
    <w:rsid w:val="00020F2D"/>
    <w:rsid w:val="000215EB"/>
    <w:rsid w:val="00021E83"/>
    <w:rsid w:val="00023713"/>
    <w:rsid w:val="00023C4D"/>
    <w:rsid w:val="00025E71"/>
    <w:rsid w:val="00026226"/>
    <w:rsid w:val="00026269"/>
    <w:rsid w:val="00026F1A"/>
    <w:rsid w:val="00026F8D"/>
    <w:rsid w:val="00027154"/>
    <w:rsid w:val="00027276"/>
    <w:rsid w:val="00027D72"/>
    <w:rsid w:val="00027ECF"/>
    <w:rsid w:val="000303BE"/>
    <w:rsid w:val="00031187"/>
    <w:rsid w:val="00032291"/>
    <w:rsid w:val="00033A94"/>
    <w:rsid w:val="00034142"/>
    <w:rsid w:val="000344D6"/>
    <w:rsid w:val="00034960"/>
    <w:rsid w:val="000367A7"/>
    <w:rsid w:val="00036FAE"/>
    <w:rsid w:val="000379E8"/>
    <w:rsid w:val="00037BAB"/>
    <w:rsid w:val="00041121"/>
    <w:rsid w:val="00041858"/>
    <w:rsid w:val="00041AB4"/>
    <w:rsid w:val="00041DB6"/>
    <w:rsid w:val="00042954"/>
    <w:rsid w:val="0004389E"/>
    <w:rsid w:val="00043D12"/>
    <w:rsid w:val="00044616"/>
    <w:rsid w:val="00044857"/>
    <w:rsid w:val="00044A1A"/>
    <w:rsid w:val="00044D8A"/>
    <w:rsid w:val="00045CA6"/>
    <w:rsid w:val="000463A6"/>
    <w:rsid w:val="00046CC9"/>
    <w:rsid w:val="00046E91"/>
    <w:rsid w:val="00047C68"/>
    <w:rsid w:val="0005000B"/>
    <w:rsid w:val="000502FE"/>
    <w:rsid w:val="0005058C"/>
    <w:rsid w:val="00050A6A"/>
    <w:rsid w:val="0005126D"/>
    <w:rsid w:val="00051992"/>
    <w:rsid w:val="00051E9A"/>
    <w:rsid w:val="000521A7"/>
    <w:rsid w:val="00052AE8"/>
    <w:rsid w:val="00052C45"/>
    <w:rsid w:val="00052F47"/>
    <w:rsid w:val="000537BB"/>
    <w:rsid w:val="0005399B"/>
    <w:rsid w:val="00054DE6"/>
    <w:rsid w:val="0005520E"/>
    <w:rsid w:val="000552F2"/>
    <w:rsid w:val="000553F1"/>
    <w:rsid w:val="00055BBB"/>
    <w:rsid w:val="00055D8A"/>
    <w:rsid w:val="00055E39"/>
    <w:rsid w:val="00056256"/>
    <w:rsid w:val="000569D7"/>
    <w:rsid w:val="00056A8F"/>
    <w:rsid w:val="000576D7"/>
    <w:rsid w:val="00057729"/>
    <w:rsid w:val="00057DC7"/>
    <w:rsid w:val="00057DDF"/>
    <w:rsid w:val="00060471"/>
    <w:rsid w:val="00060B7A"/>
    <w:rsid w:val="00060F72"/>
    <w:rsid w:val="00062592"/>
    <w:rsid w:val="00063445"/>
    <w:rsid w:val="000636A1"/>
    <w:rsid w:val="00063BA4"/>
    <w:rsid w:val="00063D72"/>
    <w:rsid w:val="000649D9"/>
    <w:rsid w:val="00064CD7"/>
    <w:rsid w:val="00064EF4"/>
    <w:rsid w:val="0006528C"/>
    <w:rsid w:val="000652BE"/>
    <w:rsid w:val="000654EA"/>
    <w:rsid w:val="00065566"/>
    <w:rsid w:val="000663EC"/>
    <w:rsid w:val="00066479"/>
    <w:rsid w:val="00066E46"/>
    <w:rsid w:val="0006723C"/>
    <w:rsid w:val="00070376"/>
    <w:rsid w:val="00070630"/>
    <w:rsid w:val="00070974"/>
    <w:rsid w:val="00070DB4"/>
    <w:rsid w:val="0007139F"/>
    <w:rsid w:val="00071603"/>
    <w:rsid w:val="00071EAD"/>
    <w:rsid w:val="00071F4E"/>
    <w:rsid w:val="00072271"/>
    <w:rsid w:val="0007239C"/>
    <w:rsid w:val="00072B54"/>
    <w:rsid w:val="00072D31"/>
    <w:rsid w:val="0007463D"/>
    <w:rsid w:val="00074979"/>
    <w:rsid w:val="000749F0"/>
    <w:rsid w:val="00075568"/>
    <w:rsid w:val="00075F83"/>
    <w:rsid w:val="0007609D"/>
    <w:rsid w:val="00076C89"/>
    <w:rsid w:val="00077521"/>
    <w:rsid w:val="00077C67"/>
    <w:rsid w:val="00080976"/>
    <w:rsid w:val="00081CEB"/>
    <w:rsid w:val="00081E60"/>
    <w:rsid w:val="00082C9E"/>
    <w:rsid w:val="00082D8E"/>
    <w:rsid w:val="00082E31"/>
    <w:rsid w:val="00083AA3"/>
    <w:rsid w:val="000841CD"/>
    <w:rsid w:val="00084232"/>
    <w:rsid w:val="0008459B"/>
    <w:rsid w:val="00085467"/>
    <w:rsid w:val="00085947"/>
    <w:rsid w:val="000862B5"/>
    <w:rsid w:val="00086534"/>
    <w:rsid w:val="000868FE"/>
    <w:rsid w:val="00086A89"/>
    <w:rsid w:val="00086C5D"/>
    <w:rsid w:val="00086CF0"/>
    <w:rsid w:val="000878D1"/>
    <w:rsid w:val="00087B2A"/>
    <w:rsid w:val="00087CDD"/>
    <w:rsid w:val="00087FA5"/>
    <w:rsid w:val="00090080"/>
    <w:rsid w:val="00090565"/>
    <w:rsid w:val="000909C0"/>
    <w:rsid w:val="000915D6"/>
    <w:rsid w:val="0009195F"/>
    <w:rsid w:val="000921AE"/>
    <w:rsid w:val="000921D7"/>
    <w:rsid w:val="000925FF"/>
    <w:rsid w:val="00092952"/>
    <w:rsid w:val="00092DDE"/>
    <w:rsid w:val="000932E0"/>
    <w:rsid w:val="000936AC"/>
    <w:rsid w:val="00093A99"/>
    <w:rsid w:val="00094853"/>
    <w:rsid w:val="00094C4C"/>
    <w:rsid w:val="00095178"/>
    <w:rsid w:val="000952C3"/>
    <w:rsid w:val="000955A2"/>
    <w:rsid w:val="00096729"/>
    <w:rsid w:val="00096762"/>
    <w:rsid w:val="00096829"/>
    <w:rsid w:val="000969C8"/>
    <w:rsid w:val="00096FB3"/>
    <w:rsid w:val="0009752D"/>
    <w:rsid w:val="00097AEE"/>
    <w:rsid w:val="00097E65"/>
    <w:rsid w:val="000A014A"/>
    <w:rsid w:val="000A0396"/>
    <w:rsid w:val="000A04B6"/>
    <w:rsid w:val="000A0E36"/>
    <w:rsid w:val="000A1647"/>
    <w:rsid w:val="000A1BD2"/>
    <w:rsid w:val="000A2127"/>
    <w:rsid w:val="000A2A53"/>
    <w:rsid w:val="000A2F9E"/>
    <w:rsid w:val="000A358F"/>
    <w:rsid w:val="000A43CC"/>
    <w:rsid w:val="000A4E99"/>
    <w:rsid w:val="000A4EA4"/>
    <w:rsid w:val="000A5408"/>
    <w:rsid w:val="000A5EFA"/>
    <w:rsid w:val="000A62DB"/>
    <w:rsid w:val="000A72CF"/>
    <w:rsid w:val="000A7314"/>
    <w:rsid w:val="000A7AD2"/>
    <w:rsid w:val="000A7B53"/>
    <w:rsid w:val="000A7B64"/>
    <w:rsid w:val="000B1A0D"/>
    <w:rsid w:val="000B275C"/>
    <w:rsid w:val="000B2C3D"/>
    <w:rsid w:val="000B4DCD"/>
    <w:rsid w:val="000B552A"/>
    <w:rsid w:val="000B55C0"/>
    <w:rsid w:val="000B5643"/>
    <w:rsid w:val="000B5A93"/>
    <w:rsid w:val="000B5DF2"/>
    <w:rsid w:val="000C0314"/>
    <w:rsid w:val="000C06C9"/>
    <w:rsid w:val="000C0E0A"/>
    <w:rsid w:val="000C1606"/>
    <w:rsid w:val="000C1DCC"/>
    <w:rsid w:val="000C1FBC"/>
    <w:rsid w:val="000C2B6A"/>
    <w:rsid w:val="000C2DD0"/>
    <w:rsid w:val="000C2F88"/>
    <w:rsid w:val="000C3141"/>
    <w:rsid w:val="000C334C"/>
    <w:rsid w:val="000C3AC3"/>
    <w:rsid w:val="000C3ED7"/>
    <w:rsid w:val="000C3F50"/>
    <w:rsid w:val="000C44DC"/>
    <w:rsid w:val="000C5049"/>
    <w:rsid w:val="000C55C8"/>
    <w:rsid w:val="000C57C4"/>
    <w:rsid w:val="000C5FD3"/>
    <w:rsid w:val="000C6468"/>
    <w:rsid w:val="000C6698"/>
    <w:rsid w:val="000C6E44"/>
    <w:rsid w:val="000C701D"/>
    <w:rsid w:val="000C773C"/>
    <w:rsid w:val="000C7C4A"/>
    <w:rsid w:val="000C7F55"/>
    <w:rsid w:val="000D17AA"/>
    <w:rsid w:val="000D2368"/>
    <w:rsid w:val="000D2D0B"/>
    <w:rsid w:val="000D2DE9"/>
    <w:rsid w:val="000D3284"/>
    <w:rsid w:val="000D4660"/>
    <w:rsid w:val="000D4B5A"/>
    <w:rsid w:val="000D5D8F"/>
    <w:rsid w:val="000D6275"/>
    <w:rsid w:val="000D705D"/>
    <w:rsid w:val="000D71F1"/>
    <w:rsid w:val="000D7305"/>
    <w:rsid w:val="000D7809"/>
    <w:rsid w:val="000D7B38"/>
    <w:rsid w:val="000D7EB9"/>
    <w:rsid w:val="000E0223"/>
    <w:rsid w:val="000E0237"/>
    <w:rsid w:val="000E0CEF"/>
    <w:rsid w:val="000E0CF3"/>
    <w:rsid w:val="000E13DD"/>
    <w:rsid w:val="000E18A8"/>
    <w:rsid w:val="000E1AEC"/>
    <w:rsid w:val="000E296B"/>
    <w:rsid w:val="000E3937"/>
    <w:rsid w:val="000E3D11"/>
    <w:rsid w:val="000E4926"/>
    <w:rsid w:val="000E49B7"/>
    <w:rsid w:val="000E4BCD"/>
    <w:rsid w:val="000E4FB6"/>
    <w:rsid w:val="000E597B"/>
    <w:rsid w:val="000E5A2E"/>
    <w:rsid w:val="000E5F7F"/>
    <w:rsid w:val="000E669A"/>
    <w:rsid w:val="000E6810"/>
    <w:rsid w:val="000E6A59"/>
    <w:rsid w:val="000E6B2C"/>
    <w:rsid w:val="000E7086"/>
    <w:rsid w:val="000E70F5"/>
    <w:rsid w:val="000E7C65"/>
    <w:rsid w:val="000E7DD0"/>
    <w:rsid w:val="000F04D2"/>
    <w:rsid w:val="000F060C"/>
    <w:rsid w:val="000F15A4"/>
    <w:rsid w:val="000F1A05"/>
    <w:rsid w:val="000F1B3C"/>
    <w:rsid w:val="000F26D3"/>
    <w:rsid w:val="000F2ACE"/>
    <w:rsid w:val="000F34E9"/>
    <w:rsid w:val="000F3EFD"/>
    <w:rsid w:val="000F50F7"/>
    <w:rsid w:val="000F55B7"/>
    <w:rsid w:val="000F571B"/>
    <w:rsid w:val="000F604F"/>
    <w:rsid w:val="000F66A7"/>
    <w:rsid w:val="000F6D64"/>
    <w:rsid w:val="000F7399"/>
    <w:rsid w:val="00100480"/>
    <w:rsid w:val="001008CD"/>
    <w:rsid w:val="00101969"/>
    <w:rsid w:val="00101BF1"/>
    <w:rsid w:val="00102215"/>
    <w:rsid w:val="001025D6"/>
    <w:rsid w:val="001027F1"/>
    <w:rsid w:val="00102ACA"/>
    <w:rsid w:val="00102D06"/>
    <w:rsid w:val="00104021"/>
    <w:rsid w:val="00104CF3"/>
    <w:rsid w:val="00104E00"/>
    <w:rsid w:val="00104F2E"/>
    <w:rsid w:val="00105127"/>
    <w:rsid w:val="0010517D"/>
    <w:rsid w:val="001068CC"/>
    <w:rsid w:val="001072DD"/>
    <w:rsid w:val="001075B8"/>
    <w:rsid w:val="00110207"/>
    <w:rsid w:val="00110D7A"/>
    <w:rsid w:val="00111464"/>
    <w:rsid w:val="0011167D"/>
    <w:rsid w:val="0011226F"/>
    <w:rsid w:val="00112892"/>
    <w:rsid w:val="00112AC8"/>
    <w:rsid w:val="00112ADB"/>
    <w:rsid w:val="00112E48"/>
    <w:rsid w:val="001130EA"/>
    <w:rsid w:val="00113101"/>
    <w:rsid w:val="001134E4"/>
    <w:rsid w:val="001138E8"/>
    <w:rsid w:val="00113B66"/>
    <w:rsid w:val="00113E39"/>
    <w:rsid w:val="00114259"/>
    <w:rsid w:val="00114519"/>
    <w:rsid w:val="001145A3"/>
    <w:rsid w:val="00115133"/>
    <w:rsid w:val="001165D2"/>
    <w:rsid w:val="001168B2"/>
    <w:rsid w:val="00117C20"/>
    <w:rsid w:val="00120F0E"/>
    <w:rsid w:val="00120FC5"/>
    <w:rsid w:val="00121A5D"/>
    <w:rsid w:val="00121BED"/>
    <w:rsid w:val="0012260B"/>
    <w:rsid w:val="001236ED"/>
    <w:rsid w:val="00123D39"/>
    <w:rsid w:val="00124109"/>
    <w:rsid w:val="001244CD"/>
    <w:rsid w:val="00125546"/>
    <w:rsid w:val="0012562E"/>
    <w:rsid w:val="0012566F"/>
    <w:rsid w:val="00125A06"/>
    <w:rsid w:val="001262B1"/>
    <w:rsid w:val="00126E07"/>
    <w:rsid w:val="001273EF"/>
    <w:rsid w:val="00127510"/>
    <w:rsid w:val="00130188"/>
    <w:rsid w:val="00130F41"/>
    <w:rsid w:val="00130FAF"/>
    <w:rsid w:val="00131E7D"/>
    <w:rsid w:val="00133F1F"/>
    <w:rsid w:val="0013446E"/>
    <w:rsid w:val="001352DD"/>
    <w:rsid w:val="00135935"/>
    <w:rsid w:val="00135E53"/>
    <w:rsid w:val="00135F2B"/>
    <w:rsid w:val="00136027"/>
    <w:rsid w:val="001364E0"/>
    <w:rsid w:val="00136FE6"/>
    <w:rsid w:val="001372DD"/>
    <w:rsid w:val="00137505"/>
    <w:rsid w:val="00137A92"/>
    <w:rsid w:val="00137C89"/>
    <w:rsid w:val="0014058B"/>
    <w:rsid w:val="001405BA"/>
    <w:rsid w:val="001407B6"/>
    <w:rsid w:val="001409DF"/>
    <w:rsid w:val="00140A15"/>
    <w:rsid w:val="001412CE"/>
    <w:rsid w:val="00141497"/>
    <w:rsid w:val="00141598"/>
    <w:rsid w:val="00141ABD"/>
    <w:rsid w:val="00141FA3"/>
    <w:rsid w:val="0014253A"/>
    <w:rsid w:val="001425C8"/>
    <w:rsid w:val="001431AE"/>
    <w:rsid w:val="001438FA"/>
    <w:rsid w:val="00143B37"/>
    <w:rsid w:val="00143B87"/>
    <w:rsid w:val="0014586E"/>
    <w:rsid w:val="001459E3"/>
    <w:rsid w:val="00146A0B"/>
    <w:rsid w:val="0014761E"/>
    <w:rsid w:val="0015061C"/>
    <w:rsid w:val="00151907"/>
    <w:rsid w:val="00152E7E"/>
    <w:rsid w:val="00153D8B"/>
    <w:rsid w:val="00153D9F"/>
    <w:rsid w:val="001544A4"/>
    <w:rsid w:val="001544C8"/>
    <w:rsid w:val="0015455F"/>
    <w:rsid w:val="001551D7"/>
    <w:rsid w:val="0015565A"/>
    <w:rsid w:val="00155804"/>
    <w:rsid w:val="0015584C"/>
    <w:rsid w:val="001559FA"/>
    <w:rsid w:val="00155FAB"/>
    <w:rsid w:val="001566D2"/>
    <w:rsid w:val="001567A1"/>
    <w:rsid w:val="00156857"/>
    <w:rsid w:val="001568E7"/>
    <w:rsid w:val="00156DB8"/>
    <w:rsid w:val="001578C4"/>
    <w:rsid w:val="00157BC9"/>
    <w:rsid w:val="00157D6A"/>
    <w:rsid w:val="00157E79"/>
    <w:rsid w:val="00157EED"/>
    <w:rsid w:val="0016087A"/>
    <w:rsid w:val="00160A5C"/>
    <w:rsid w:val="00160BDD"/>
    <w:rsid w:val="00161247"/>
    <w:rsid w:val="001613EC"/>
    <w:rsid w:val="001620BB"/>
    <w:rsid w:val="001628C0"/>
    <w:rsid w:val="0016302A"/>
    <w:rsid w:val="0016358A"/>
    <w:rsid w:val="001638D4"/>
    <w:rsid w:val="00164664"/>
    <w:rsid w:val="00164F15"/>
    <w:rsid w:val="001651A4"/>
    <w:rsid w:val="0016552B"/>
    <w:rsid w:val="00165761"/>
    <w:rsid w:val="001668AF"/>
    <w:rsid w:val="00166B04"/>
    <w:rsid w:val="00166B6C"/>
    <w:rsid w:val="001670A6"/>
    <w:rsid w:val="001701FA"/>
    <w:rsid w:val="00170FC5"/>
    <w:rsid w:val="00171183"/>
    <w:rsid w:val="00171A5C"/>
    <w:rsid w:val="001725A5"/>
    <w:rsid w:val="00172681"/>
    <w:rsid w:val="001727FA"/>
    <w:rsid w:val="00172B3B"/>
    <w:rsid w:val="001730BF"/>
    <w:rsid w:val="0017312F"/>
    <w:rsid w:val="0017357F"/>
    <w:rsid w:val="00173755"/>
    <w:rsid w:val="00173AC7"/>
    <w:rsid w:val="00173CEA"/>
    <w:rsid w:val="00174071"/>
    <w:rsid w:val="00174187"/>
    <w:rsid w:val="001745D7"/>
    <w:rsid w:val="00175754"/>
    <w:rsid w:val="00176982"/>
    <w:rsid w:val="00176B86"/>
    <w:rsid w:val="0017701C"/>
    <w:rsid w:val="00177FBD"/>
    <w:rsid w:val="00180841"/>
    <w:rsid w:val="00180E94"/>
    <w:rsid w:val="00181264"/>
    <w:rsid w:val="001817CC"/>
    <w:rsid w:val="00181BD1"/>
    <w:rsid w:val="0018204A"/>
    <w:rsid w:val="00182CE1"/>
    <w:rsid w:val="00182F7C"/>
    <w:rsid w:val="00183205"/>
    <w:rsid w:val="001832F2"/>
    <w:rsid w:val="0018343C"/>
    <w:rsid w:val="001841FA"/>
    <w:rsid w:val="00184312"/>
    <w:rsid w:val="001843B5"/>
    <w:rsid w:val="001845C1"/>
    <w:rsid w:val="00184ADF"/>
    <w:rsid w:val="001862D8"/>
    <w:rsid w:val="0018647F"/>
    <w:rsid w:val="00186829"/>
    <w:rsid w:val="001868CA"/>
    <w:rsid w:val="00186F66"/>
    <w:rsid w:val="001872FD"/>
    <w:rsid w:val="00187304"/>
    <w:rsid w:val="001873C7"/>
    <w:rsid w:val="001875BE"/>
    <w:rsid w:val="001878C6"/>
    <w:rsid w:val="00187EAC"/>
    <w:rsid w:val="0019017A"/>
    <w:rsid w:val="00190727"/>
    <w:rsid w:val="00190B8C"/>
    <w:rsid w:val="00190FF8"/>
    <w:rsid w:val="001910E4"/>
    <w:rsid w:val="00191597"/>
    <w:rsid w:val="00192E70"/>
    <w:rsid w:val="0019311A"/>
    <w:rsid w:val="0019368B"/>
    <w:rsid w:val="001938D1"/>
    <w:rsid w:val="00193AC7"/>
    <w:rsid w:val="00194085"/>
    <w:rsid w:val="00194A22"/>
    <w:rsid w:val="00194D44"/>
    <w:rsid w:val="00194DBA"/>
    <w:rsid w:val="0019508A"/>
    <w:rsid w:val="001960D8"/>
    <w:rsid w:val="001968F5"/>
    <w:rsid w:val="001A0574"/>
    <w:rsid w:val="001A0763"/>
    <w:rsid w:val="001A0B72"/>
    <w:rsid w:val="001A0FBE"/>
    <w:rsid w:val="001A1642"/>
    <w:rsid w:val="001A219A"/>
    <w:rsid w:val="001A29F0"/>
    <w:rsid w:val="001A2ABE"/>
    <w:rsid w:val="001A2C3F"/>
    <w:rsid w:val="001A371B"/>
    <w:rsid w:val="001A3861"/>
    <w:rsid w:val="001A3FE7"/>
    <w:rsid w:val="001A44AB"/>
    <w:rsid w:val="001A46A3"/>
    <w:rsid w:val="001A4766"/>
    <w:rsid w:val="001A4C09"/>
    <w:rsid w:val="001A4FE3"/>
    <w:rsid w:val="001A54B7"/>
    <w:rsid w:val="001A5700"/>
    <w:rsid w:val="001A5803"/>
    <w:rsid w:val="001A5946"/>
    <w:rsid w:val="001A5E5F"/>
    <w:rsid w:val="001A6531"/>
    <w:rsid w:val="001A6A0D"/>
    <w:rsid w:val="001A6A77"/>
    <w:rsid w:val="001A6C51"/>
    <w:rsid w:val="001A6FAA"/>
    <w:rsid w:val="001A7831"/>
    <w:rsid w:val="001A78AC"/>
    <w:rsid w:val="001A7D73"/>
    <w:rsid w:val="001B0363"/>
    <w:rsid w:val="001B12CF"/>
    <w:rsid w:val="001B1355"/>
    <w:rsid w:val="001B2768"/>
    <w:rsid w:val="001B2DED"/>
    <w:rsid w:val="001B2FC9"/>
    <w:rsid w:val="001B3138"/>
    <w:rsid w:val="001B378F"/>
    <w:rsid w:val="001B3FA5"/>
    <w:rsid w:val="001B4CBF"/>
    <w:rsid w:val="001B4E4B"/>
    <w:rsid w:val="001B50AC"/>
    <w:rsid w:val="001B52C5"/>
    <w:rsid w:val="001B5902"/>
    <w:rsid w:val="001B5A5B"/>
    <w:rsid w:val="001B5E05"/>
    <w:rsid w:val="001B65E5"/>
    <w:rsid w:val="001B6C49"/>
    <w:rsid w:val="001B6D68"/>
    <w:rsid w:val="001B6F2E"/>
    <w:rsid w:val="001C0190"/>
    <w:rsid w:val="001C0204"/>
    <w:rsid w:val="001C0344"/>
    <w:rsid w:val="001C0F18"/>
    <w:rsid w:val="001C0F2A"/>
    <w:rsid w:val="001C1503"/>
    <w:rsid w:val="001C18AE"/>
    <w:rsid w:val="001C1A59"/>
    <w:rsid w:val="001C25B1"/>
    <w:rsid w:val="001C270F"/>
    <w:rsid w:val="001C3764"/>
    <w:rsid w:val="001C4679"/>
    <w:rsid w:val="001C508A"/>
    <w:rsid w:val="001C54CB"/>
    <w:rsid w:val="001C5770"/>
    <w:rsid w:val="001C5E88"/>
    <w:rsid w:val="001C6195"/>
    <w:rsid w:val="001C65F6"/>
    <w:rsid w:val="001C6F87"/>
    <w:rsid w:val="001C757E"/>
    <w:rsid w:val="001C7C07"/>
    <w:rsid w:val="001D000A"/>
    <w:rsid w:val="001D0883"/>
    <w:rsid w:val="001D2205"/>
    <w:rsid w:val="001D23D2"/>
    <w:rsid w:val="001D26E9"/>
    <w:rsid w:val="001D280E"/>
    <w:rsid w:val="001D3267"/>
    <w:rsid w:val="001D3A1F"/>
    <w:rsid w:val="001D3FB6"/>
    <w:rsid w:val="001D4342"/>
    <w:rsid w:val="001D4550"/>
    <w:rsid w:val="001D4CF8"/>
    <w:rsid w:val="001D524E"/>
    <w:rsid w:val="001D5498"/>
    <w:rsid w:val="001D54E5"/>
    <w:rsid w:val="001D5942"/>
    <w:rsid w:val="001D5BAF"/>
    <w:rsid w:val="001D6222"/>
    <w:rsid w:val="001D6401"/>
    <w:rsid w:val="001D66C9"/>
    <w:rsid w:val="001D66FA"/>
    <w:rsid w:val="001D672F"/>
    <w:rsid w:val="001D6C93"/>
    <w:rsid w:val="001D71EF"/>
    <w:rsid w:val="001D722A"/>
    <w:rsid w:val="001D78D3"/>
    <w:rsid w:val="001E04FC"/>
    <w:rsid w:val="001E0EB0"/>
    <w:rsid w:val="001E1A43"/>
    <w:rsid w:val="001E1D4A"/>
    <w:rsid w:val="001E277A"/>
    <w:rsid w:val="001E2A2F"/>
    <w:rsid w:val="001E3837"/>
    <w:rsid w:val="001E3A24"/>
    <w:rsid w:val="001E3E7D"/>
    <w:rsid w:val="001E3F35"/>
    <w:rsid w:val="001E407D"/>
    <w:rsid w:val="001E40FB"/>
    <w:rsid w:val="001E4857"/>
    <w:rsid w:val="001E5446"/>
    <w:rsid w:val="001E59CD"/>
    <w:rsid w:val="001E63F8"/>
    <w:rsid w:val="001E66EC"/>
    <w:rsid w:val="001E6704"/>
    <w:rsid w:val="001E68C5"/>
    <w:rsid w:val="001E6BFC"/>
    <w:rsid w:val="001E6FA8"/>
    <w:rsid w:val="001E758A"/>
    <w:rsid w:val="001F0F63"/>
    <w:rsid w:val="001F20CD"/>
    <w:rsid w:val="001F2C2E"/>
    <w:rsid w:val="001F3257"/>
    <w:rsid w:val="001F33B2"/>
    <w:rsid w:val="001F358F"/>
    <w:rsid w:val="001F3996"/>
    <w:rsid w:val="001F44A4"/>
    <w:rsid w:val="001F46F2"/>
    <w:rsid w:val="001F50F0"/>
    <w:rsid w:val="001F563D"/>
    <w:rsid w:val="001F579D"/>
    <w:rsid w:val="001F5A9B"/>
    <w:rsid w:val="001F63CD"/>
    <w:rsid w:val="001F65EF"/>
    <w:rsid w:val="001F697B"/>
    <w:rsid w:val="001F7070"/>
    <w:rsid w:val="001F70B2"/>
    <w:rsid w:val="00200167"/>
    <w:rsid w:val="002001DC"/>
    <w:rsid w:val="002005A6"/>
    <w:rsid w:val="002007B7"/>
    <w:rsid w:val="0020097D"/>
    <w:rsid w:val="002011B0"/>
    <w:rsid w:val="00201583"/>
    <w:rsid w:val="0020254E"/>
    <w:rsid w:val="00204CBC"/>
    <w:rsid w:val="00204FB4"/>
    <w:rsid w:val="002051F1"/>
    <w:rsid w:val="002067BA"/>
    <w:rsid w:val="002070FF"/>
    <w:rsid w:val="00207884"/>
    <w:rsid w:val="0021058D"/>
    <w:rsid w:val="00210617"/>
    <w:rsid w:val="0021096C"/>
    <w:rsid w:val="002109B5"/>
    <w:rsid w:val="00211E2F"/>
    <w:rsid w:val="00211E9E"/>
    <w:rsid w:val="00211F88"/>
    <w:rsid w:val="002121D7"/>
    <w:rsid w:val="002125D6"/>
    <w:rsid w:val="002145FE"/>
    <w:rsid w:val="00214FB4"/>
    <w:rsid w:val="00215940"/>
    <w:rsid w:val="00216B78"/>
    <w:rsid w:val="00217C23"/>
    <w:rsid w:val="00217D6A"/>
    <w:rsid w:val="002201D7"/>
    <w:rsid w:val="00220561"/>
    <w:rsid w:val="00220C59"/>
    <w:rsid w:val="00220CE4"/>
    <w:rsid w:val="00221353"/>
    <w:rsid w:val="00221D84"/>
    <w:rsid w:val="00222D9B"/>
    <w:rsid w:val="0022317B"/>
    <w:rsid w:val="00223788"/>
    <w:rsid w:val="00223C95"/>
    <w:rsid w:val="00223D11"/>
    <w:rsid w:val="002242D3"/>
    <w:rsid w:val="00224F1E"/>
    <w:rsid w:val="00225B4B"/>
    <w:rsid w:val="0022703F"/>
    <w:rsid w:val="00227C1A"/>
    <w:rsid w:val="002301E6"/>
    <w:rsid w:val="002305B6"/>
    <w:rsid w:val="00231254"/>
    <w:rsid w:val="00231D81"/>
    <w:rsid w:val="00232555"/>
    <w:rsid w:val="00232F90"/>
    <w:rsid w:val="00233B08"/>
    <w:rsid w:val="00233C3B"/>
    <w:rsid w:val="00234514"/>
    <w:rsid w:val="0023499C"/>
    <w:rsid w:val="00234B6E"/>
    <w:rsid w:val="00234FA7"/>
    <w:rsid w:val="002359E1"/>
    <w:rsid w:val="00235CE3"/>
    <w:rsid w:val="0023636A"/>
    <w:rsid w:val="00236F34"/>
    <w:rsid w:val="00237243"/>
    <w:rsid w:val="002372F7"/>
    <w:rsid w:val="00237775"/>
    <w:rsid w:val="00237C46"/>
    <w:rsid w:val="00237FA3"/>
    <w:rsid w:val="0024001A"/>
    <w:rsid w:val="00240532"/>
    <w:rsid w:val="00240651"/>
    <w:rsid w:val="00240803"/>
    <w:rsid w:val="00240C35"/>
    <w:rsid w:val="00240CF2"/>
    <w:rsid w:val="00240DDD"/>
    <w:rsid w:val="00240F40"/>
    <w:rsid w:val="00241EDC"/>
    <w:rsid w:val="00242140"/>
    <w:rsid w:val="00242520"/>
    <w:rsid w:val="00242795"/>
    <w:rsid w:val="002427F9"/>
    <w:rsid w:val="002435E7"/>
    <w:rsid w:val="00243A2B"/>
    <w:rsid w:val="0024426D"/>
    <w:rsid w:val="00244861"/>
    <w:rsid w:val="002448C8"/>
    <w:rsid w:val="00244F1D"/>
    <w:rsid w:val="00245004"/>
    <w:rsid w:val="0024545A"/>
    <w:rsid w:val="00245D56"/>
    <w:rsid w:val="00245FB4"/>
    <w:rsid w:val="00250397"/>
    <w:rsid w:val="0025049B"/>
    <w:rsid w:val="00250898"/>
    <w:rsid w:val="002508AF"/>
    <w:rsid w:val="00250B0D"/>
    <w:rsid w:val="00251EA9"/>
    <w:rsid w:val="00252134"/>
    <w:rsid w:val="002525C9"/>
    <w:rsid w:val="00252843"/>
    <w:rsid w:val="00252A47"/>
    <w:rsid w:val="0025302B"/>
    <w:rsid w:val="0025360F"/>
    <w:rsid w:val="002543F8"/>
    <w:rsid w:val="00254405"/>
    <w:rsid w:val="00254518"/>
    <w:rsid w:val="00254DF7"/>
    <w:rsid w:val="002551A4"/>
    <w:rsid w:val="002559F3"/>
    <w:rsid w:val="00256DFE"/>
    <w:rsid w:val="0026055D"/>
    <w:rsid w:val="002613E5"/>
    <w:rsid w:val="00261D56"/>
    <w:rsid w:val="00261FD3"/>
    <w:rsid w:val="0026203F"/>
    <w:rsid w:val="0026255A"/>
    <w:rsid w:val="00262A5C"/>
    <w:rsid w:val="00262B4F"/>
    <w:rsid w:val="002633D2"/>
    <w:rsid w:val="002634E0"/>
    <w:rsid w:val="00263505"/>
    <w:rsid w:val="0026405C"/>
    <w:rsid w:val="00264077"/>
    <w:rsid w:val="0026462B"/>
    <w:rsid w:val="002648DB"/>
    <w:rsid w:val="00265C62"/>
    <w:rsid w:val="002660B9"/>
    <w:rsid w:val="0026617B"/>
    <w:rsid w:val="00266244"/>
    <w:rsid w:val="00266B9A"/>
    <w:rsid w:val="00267027"/>
    <w:rsid w:val="00270E54"/>
    <w:rsid w:val="00271304"/>
    <w:rsid w:val="002716C0"/>
    <w:rsid w:val="002720F5"/>
    <w:rsid w:val="0027261B"/>
    <w:rsid w:val="00272BE9"/>
    <w:rsid w:val="00273633"/>
    <w:rsid w:val="00273681"/>
    <w:rsid w:val="00273BD8"/>
    <w:rsid w:val="002740DC"/>
    <w:rsid w:val="0027489D"/>
    <w:rsid w:val="00275176"/>
    <w:rsid w:val="002754B5"/>
    <w:rsid w:val="002759B9"/>
    <w:rsid w:val="002764C5"/>
    <w:rsid w:val="002765D3"/>
    <w:rsid w:val="0027699D"/>
    <w:rsid w:val="00276A5A"/>
    <w:rsid w:val="00276A7D"/>
    <w:rsid w:val="00276B23"/>
    <w:rsid w:val="002772AE"/>
    <w:rsid w:val="002778EA"/>
    <w:rsid w:val="00280613"/>
    <w:rsid w:val="002808E6"/>
    <w:rsid w:val="00280D5B"/>
    <w:rsid w:val="00280FA9"/>
    <w:rsid w:val="002819C4"/>
    <w:rsid w:val="00281BB1"/>
    <w:rsid w:val="0028274D"/>
    <w:rsid w:val="00282B96"/>
    <w:rsid w:val="00282F5C"/>
    <w:rsid w:val="00283363"/>
    <w:rsid w:val="002833D6"/>
    <w:rsid w:val="00283496"/>
    <w:rsid w:val="0028374A"/>
    <w:rsid w:val="00283CFE"/>
    <w:rsid w:val="00283F51"/>
    <w:rsid w:val="00284551"/>
    <w:rsid w:val="002845AF"/>
    <w:rsid w:val="00285B7C"/>
    <w:rsid w:val="00285CC1"/>
    <w:rsid w:val="00286064"/>
    <w:rsid w:val="002867B1"/>
    <w:rsid w:val="002868FC"/>
    <w:rsid w:val="00287BBB"/>
    <w:rsid w:val="00287E3B"/>
    <w:rsid w:val="00290522"/>
    <w:rsid w:val="00290638"/>
    <w:rsid w:val="002906B5"/>
    <w:rsid w:val="00291763"/>
    <w:rsid w:val="002919F4"/>
    <w:rsid w:val="00291C49"/>
    <w:rsid w:val="00291D80"/>
    <w:rsid w:val="00292E82"/>
    <w:rsid w:val="00293154"/>
    <w:rsid w:val="00293156"/>
    <w:rsid w:val="00293328"/>
    <w:rsid w:val="00293BE7"/>
    <w:rsid w:val="00293D78"/>
    <w:rsid w:val="0029458E"/>
    <w:rsid w:val="002946DC"/>
    <w:rsid w:val="002952B9"/>
    <w:rsid w:val="002954A8"/>
    <w:rsid w:val="002956C2"/>
    <w:rsid w:val="002961EC"/>
    <w:rsid w:val="0029664B"/>
    <w:rsid w:val="00296F56"/>
    <w:rsid w:val="002976DD"/>
    <w:rsid w:val="00297AC0"/>
    <w:rsid w:val="00297B54"/>
    <w:rsid w:val="00297D0C"/>
    <w:rsid w:val="002A05FD"/>
    <w:rsid w:val="002A0C82"/>
    <w:rsid w:val="002A0CD8"/>
    <w:rsid w:val="002A104A"/>
    <w:rsid w:val="002A1211"/>
    <w:rsid w:val="002A1287"/>
    <w:rsid w:val="002A13EB"/>
    <w:rsid w:val="002A1A6F"/>
    <w:rsid w:val="002A2431"/>
    <w:rsid w:val="002A35EF"/>
    <w:rsid w:val="002A3DE0"/>
    <w:rsid w:val="002A40EA"/>
    <w:rsid w:val="002A41CA"/>
    <w:rsid w:val="002A45FD"/>
    <w:rsid w:val="002A46E8"/>
    <w:rsid w:val="002A473F"/>
    <w:rsid w:val="002A491C"/>
    <w:rsid w:val="002A4C8E"/>
    <w:rsid w:val="002A4ECB"/>
    <w:rsid w:val="002A4F17"/>
    <w:rsid w:val="002A5010"/>
    <w:rsid w:val="002A5A4C"/>
    <w:rsid w:val="002A67E1"/>
    <w:rsid w:val="002A6816"/>
    <w:rsid w:val="002A725B"/>
    <w:rsid w:val="002A7801"/>
    <w:rsid w:val="002A7BA3"/>
    <w:rsid w:val="002B033D"/>
    <w:rsid w:val="002B082F"/>
    <w:rsid w:val="002B0C6E"/>
    <w:rsid w:val="002B1D8C"/>
    <w:rsid w:val="002B1FEF"/>
    <w:rsid w:val="002B2ADB"/>
    <w:rsid w:val="002B2DF8"/>
    <w:rsid w:val="002B3473"/>
    <w:rsid w:val="002B354F"/>
    <w:rsid w:val="002B3614"/>
    <w:rsid w:val="002B45D1"/>
    <w:rsid w:val="002B4ED8"/>
    <w:rsid w:val="002B4FAA"/>
    <w:rsid w:val="002B5255"/>
    <w:rsid w:val="002B52C2"/>
    <w:rsid w:val="002B636B"/>
    <w:rsid w:val="002B6986"/>
    <w:rsid w:val="002B6C89"/>
    <w:rsid w:val="002B6E46"/>
    <w:rsid w:val="002B7656"/>
    <w:rsid w:val="002B78D5"/>
    <w:rsid w:val="002B7915"/>
    <w:rsid w:val="002B7982"/>
    <w:rsid w:val="002C0642"/>
    <w:rsid w:val="002C0D07"/>
    <w:rsid w:val="002C11FE"/>
    <w:rsid w:val="002C1307"/>
    <w:rsid w:val="002C1492"/>
    <w:rsid w:val="002C1E8B"/>
    <w:rsid w:val="002C2E98"/>
    <w:rsid w:val="002C2EFE"/>
    <w:rsid w:val="002C3518"/>
    <w:rsid w:val="002C3A16"/>
    <w:rsid w:val="002C41E3"/>
    <w:rsid w:val="002C42C4"/>
    <w:rsid w:val="002C53AA"/>
    <w:rsid w:val="002C5B2D"/>
    <w:rsid w:val="002C60A2"/>
    <w:rsid w:val="002C65D3"/>
    <w:rsid w:val="002C6988"/>
    <w:rsid w:val="002C6AF9"/>
    <w:rsid w:val="002C6E8C"/>
    <w:rsid w:val="002C7DFC"/>
    <w:rsid w:val="002D08B8"/>
    <w:rsid w:val="002D11D9"/>
    <w:rsid w:val="002D14F3"/>
    <w:rsid w:val="002D152A"/>
    <w:rsid w:val="002D16E4"/>
    <w:rsid w:val="002D2670"/>
    <w:rsid w:val="002D2FEF"/>
    <w:rsid w:val="002D32E2"/>
    <w:rsid w:val="002D36A3"/>
    <w:rsid w:val="002D36C2"/>
    <w:rsid w:val="002D3C7E"/>
    <w:rsid w:val="002D3FCB"/>
    <w:rsid w:val="002D4FEF"/>
    <w:rsid w:val="002D502D"/>
    <w:rsid w:val="002D5DD3"/>
    <w:rsid w:val="002D63F5"/>
    <w:rsid w:val="002D68D1"/>
    <w:rsid w:val="002D6E1A"/>
    <w:rsid w:val="002D755A"/>
    <w:rsid w:val="002D77C5"/>
    <w:rsid w:val="002D7E56"/>
    <w:rsid w:val="002E0088"/>
    <w:rsid w:val="002E0339"/>
    <w:rsid w:val="002E036D"/>
    <w:rsid w:val="002E10A5"/>
    <w:rsid w:val="002E135C"/>
    <w:rsid w:val="002E1517"/>
    <w:rsid w:val="002E16B9"/>
    <w:rsid w:val="002E1760"/>
    <w:rsid w:val="002E1B22"/>
    <w:rsid w:val="002E20CF"/>
    <w:rsid w:val="002E27FF"/>
    <w:rsid w:val="002E3294"/>
    <w:rsid w:val="002E387F"/>
    <w:rsid w:val="002E3CC1"/>
    <w:rsid w:val="002E3FB0"/>
    <w:rsid w:val="002E50B4"/>
    <w:rsid w:val="002E76FC"/>
    <w:rsid w:val="002E7742"/>
    <w:rsid w:val="002E7C5E"/>
    <w:rsid w:val="002E7F4B"/>
    <w:rsid w:val="002F0C91"/>
    <w:rsid w:val="002F0CF9"/>
    <w:rsid w:val="002F0E3E"/>
    <w:rsid w:val="002F1683"/>
    <w:rsid w:val="002F1B19"/>
    <w:rsid w:val="002F1FBF"/>
    <w:rsid w:val="002F22A0"/>
    <w:rsid w:val="002F2D76"/>
    <w:rsid w:val="002F2F06"/>
    <w:rsid w:val="002F2F77"/>
    <w:rsid w:val="002F3952"/>
    <w:rsid w:val="002F4139"/>
    <w:rsid w:val="002F4FE5"/>
    <w:rsid w:val="002F6156"/>
    <w:rsid w:val="002F6AA3"/>
    <w:rsid w:val="002F7A35"/>
    <w:rsid w:val="00300624"/>
    <w:rsid w:val="00300DC3"/>
    <w:rsid w:val="00300F56"/>
    <w:rsid w:val="00301006"/>
    <w:rsid w:val="00301C2B"/>
    <w:rsid w:val="003029FA"/>
    <w:rsid w:val="00302AA6"/>
    <w:rsid w:val="003041C7"/>
    <w:rsid w:val="00304A71"/>
    <w:rsid w:val="00305F27"/>
    <w:rsid w:val="003066C8"/>
    <w:rsid w:val="003066F8"/>
    <w:rsid w:val="00306A95"/>
    <w:rsid w:val="00306ADD"/>
    <w:rsid w:val="0030739D"/>
    <w:rsid w:val="00307762"/>
    <w:rsid w:val="00307AFB"/>
    <w:rsid w:val="00307CE8"/>
    <w:rsid w:val="0031056E"/>
    <w:rsid w:val="00311184"/>
    <w:rsid w:val="0031183B"/>
    <w:rsid w:val="00311E05"/>
    <w:rsid w:val="003121E9"/>
    <w:rsid w:val="00312675"/>
    <w:rsid w:val="00313F3D"/>
    <w:rsid w:val="00314013"/>
    <w:rsid w:val="003140A5"/>
    <w:rsid w:val="003141DE"/>
    <w:rsid w:val="0031433B"/>
    <w:rsid w:val="00314875"/>
    <w:rsid w:val="00314945"/>
    <w:rsid w:val="00314C8B"/>
    <w:rsid w:val="00315389"/>
    <w:rsid w:val="00315746"/>
    <w:rsid w:val="0031595F"/>
    <w:rsid w:val="0031596E"/>
    <w:rsid w:val="0031597E"/>
    <w:rsid w:val="00315D87"/>
    <w:rsid w:val="00315DB4"/>
    <w:rsid w:val="00315E96"/>
    <w:rsid w:val="00317FC8"/>
    <w:rsid w:val="00320152"/>
    <w:rsid w:val="00320342"/>
    <w:rsid w:val="003205AF"/>
    <w:rsid w:val="003209F5"/>
    <w:rsid w:val="00321847"/>
    <w:rsid w:val="003223D7"/>
    <w:rsid w:val="00323D9F"/>
    <w:rsid w:val="00324FDB"/>
    <w:rsid w:val="003254DA"/>
    <w:rsid w:val="00325F48"/>
    <w:rsid w:val="00326A68"/>
    <w:rsid w:val="00326F66"/>
    <w:rsid w:val="0032736C"/>
    <w:rsid w:val="003277A1"/>
    <w:rsid w:val="003303CC"/>
    <w:rsid w:val="0033056E"/>
    <w:rsid w:val="00331163"/>
    <w:rsid w:val="0033194F"/>
    <w:rsid w:val="003319C3"/>
    <w:rsid w:val="00331A19"/>
    <w:rsid w:val="00331AA3"/>
    <w:rsid w:val="00331AD8"/>
    <w:rsid w:val="00332304"/>
    <w:rsid w:val="00332406"/>
    <w:rsid w:val="00332D8D"/>
    <w:rsid w:val="00333F4D"/>
    <w:rsid w:val="00333FFA"/>
    <w:rsid w:val="00334CD7"/>
    <w:rsid w:val="00335B3E"/>
    <w:rsid w:val="00336608"/>
    <w:rsid w:val="00336670"/>
    <w:rsid w:val="00336B56"/>
    <w:rsid w:val="00337468"/>
    <w:rsid w:val="00340141"/>
    <w:rsid w:val="00341B25"/>
    <w:rsid w:val="00341EC0"/>
    <w:rsid w:val="0034240C"/>
    <w:rsid w:val="0034374F"/>
    <w:rsid w:val="00343A8B"/>
    <w:rsid w:val="003441C7"/>
    <w:rsid w:val="00344496"/>
    <w:rsid w:val="0034450F"/>
    <w:rsid w:val="003445B1"/>
    <w:rsid w:val="00344A59"/>
    <w:rsid w:val="00345968"/>
    <w:rsid w:val="00347667"/>
    <w:rsid w:val="003507E2"/>
    <w:rsid w:val="00351138"/>
    <w:rsid w:val="003522B2"/>
    <w:rsid w:val="0035455E"/>
    <w:rsid w:val="00354A6F"/>
    <w:rsid w:val="00354B48"/>
    <w:rsid w:val="00355789"/>
    <w:rsid w:val="00355FC6"/>
    <w:rsid w:val="00356355"/>
    <w:rsid w:val="00356C63"/>
    <w:rsid w:val="00356D06"/>
    <w:rsid w:val="00356DBA"/>
    <w:rsid w:val="00357101"/>
    <w:rsid w:val="003609B6"/>
    <w:rsid w:val="00361119"/>
    <w:rsid w:val="003612F0"/>
    <w:rsid w:val="003614BB"/>
    <w:rsid w:val="00361B56"/>
    <w:rsid w:val="00363A6B"/>
    <w:rsid w:val="00363D02"/>
    <w:rsid w:val="00364301"/>
    <w:rsid w:val="0036538D"/>
    <w:rsid w:val="00365D12"/>
    <w:rsid w:val="00366331"/>
    <w:rsid w:val="003664BC"/>
    <w:rsid w:val="00366E20"/>
    <w:rsid w:val="00367F38"/>
    <w:rsid w:val="0037018D"/>
    <w:rsid w:val="0037063A"/>
    <w:rsid w:val="00370C90"/>
    <w:rsid w:val="00370E02"/>
    <w:rsid w:val="0037146F"/>
    <w:rsid w:val="003714D5"/>
    <w:rsid w:val="00372299"/>
    <w:rsid w:val="0037278B"/>
    <w:rsid w:val="00372F02"/>
    <w:rsid w:val="00373519"/>
    <w:rsid w:val="00373729"/>
    <w:rsid w:val="00373C91"/>
    <w:rsid w:val="00373D08"/>
    <w:rsid w:val="00373F7D"/>
    <w:rsid w:val="00374302"/>
    <w:rsid w:val="003747FE"/>
    <w:rsid w:val="003748F0"/>
    <w:rsid w:val="00374987"/>
    <w:rsid w:val="003755C6"/>
    <w:rsid w:val="00375AEF"/>
    <w:rsid w:val="00375EAD"/>
    <w:rsid w:val="00376367"/>
    <w:rsid w:val="0037637A"/>
    <w:rsid w:val="00376687"/>
    <w:rsid w:val="00376B02"/>
    <w:rsid w:val="00376BC3"/>
    <w:rsid w:val="0037716F"/>
    <w:rsid w:val="0037733A"/>
    <w:rsid w:val="003776DC"/>
    <w:rsid w:val="003779C1"/>
    <w:rsid w:val="003801A8"/>
    <w:rsid w:val="00380FEC"/>
    <w:rsid w:val="00381226"/>
    <w:rsid w:val="00381486"/>
    <w:rsid w:val="00381B1B"/>
    <w:rsid w:val="00381CDB"/>
    <w:rsid w:val="00381FF6"/>
    <w:rsid w:val="00382234"/>
    <w:rsid w:val="0038246D"/>
    <w:rsid w:val="0038258F"/>
    <w:rsid w:val="00382BCE"/>
    <w:rsid w:val="00383B29"/>
    <w:rsid w:val="00383D7D"/>
    <w:rsid w:val="00384CCE"/>
    <w:rsid w:val="00385245"/>
    <w:rsid w:val="00385FAB"/>
    <w:rsid w:val="003865E5"/>
    <w:rsid w:val="003878C9"/>
    <w:rsid w:val="00387E50"/>
    <w:rsid w:val="00387FC2"/>
    <w:rsid w:val="003900DD"/>
    <w:rsid w:val="003926C1"/>
    <w:rsid w:val="0039279F"/>
    <w:rsid w:val="00392900"/>
    <w:rsid w:val="00393357"/>
    <w:rsid w:val="00393A3D"/>
    <w:rsid w:val="00395383"/>
    <w:rsid w:val="0039553B"/>
    <w:rsid w:val="00395A15"/>
    <w:rsid w:val="00395E7B"/>
    <w:rsid w:val="00395F4C"/>
    <w:rsid w:val="0039693B"/>
    <w:rsid w:val="003969E7"/>
    <w:rsid w:val="003971EC"/>
    <w:rsid w:val="0039788F"/>
    <w:rsid w:val="003A0079"/>
    <w:rsid w:val="003A1B2E"/>
    <w:rsid w:val="003A1CE7"/>
    <w:rsid w:val="003A2C2B"/>
    <w:rsid w:val="003A3337"/>
    <w:rsid w:val="003A51C5"/>
    <w:rsid w:val="003A5A73"/>
    <w:rsid w:val="003A5DAC"/>
    <w:rsid w:val="003A6591"/>
    <w:rsid w:val="003A6E9A"/>
    <w:rsid w:val="003A75C3"/>
    <w:rsid w:val="003A77A5"/>
    <w:rsid w:val="003B08C8"/>
    <w:rsid w:val="003B1306"/>
    <w:rsid w:val="003B2527"/>
    <w:rsid w:val="003B2567"/>
    <w:rsid w:val="003B381A"/>
    <w:rsid w:val="003B419D"/>
    <w:rsid w:val="003B4867"/>
    <w:rsid w:val="003B4976"/>
    <w:rsid w:val="003B4B3F"/>
    <w:rsid w:val="003B4BE1"/>
    <w:rsid w:val="003B5780"/>
    <w:rsid w:val="003B5EFA"/>
    <w:rsid w:val="003B5F7D"/>
    <w:rsid w:val="003B6258"/>
    <w:rsid w:val="003B6504"/>
    <w:rsid w:val="003B655C"/>
    <w:rsid w:val="003B6C33"/>
    <w:rsid w:val="003B7394"/>
    <w:rsid w:val="003B7A99"/>
    <w:rsid w:val="003C0343"/>
    <w:rsid w:val="003C0432"/>
    <w:rsid w:val="003C1503"/>
    <w:rsid w:val="003C16F2"/>
    <w:rsid w:val="003C1B8F"/>
    <w:rsid w:val="003C1C32"/>
    <w:rsid w:val="003C1E38"/>
    <w:rsid w:val="003C1F99"/>
    <w:rsid w:val="003C360B"/>
    <w:rsid w:val="003C40DA"/>
    <w:rsid w:val="003C42BA"/>
    <w:rsid w:val="003C462F"/>
    <w:rsid w:val="003C4A02"/>
    <w:rsid w:val="003C4E49"/>
    <w:rsid w:val="003C4F05"/>
    <w:rsid w:val="003C5CE8"/>
    <w:rsid w:val="003C6191"/>
    <w:rsid w:val="003C6BE9"/>
    <w:rsid w:val="003C6E49"/>
    <w:rsid w:val="003C7953"/>
    <w:rsid w:val="003C7EB4"/>
    <w:rsid w:val="003D0CBF"/>
    <w:rsid w:val="003D0D4A"/>
    <w:rsid w:val="003D0DD6"/>
    <w:rsid w:val="003D17EA"/>
    <w:rsid w:val="003D1D9A"/>
    <w:rsid w:val="003D337C"/>
    <w:rsid w:val="003D49DF"/>
    <w:rsid w:val="003D4AD2"/>
    <w:rsid w:val="003D4B73"/>
    <w:rsid w:val="003D503B"/>
    <w:rsid w:val="003D525C"/>
    <w:rsid w:val="003D5881"/>
    <w:rsid w:val="003D605E"/>
    <w:rsid w:val="003D60EA"/>
    <w:rsid w:val="003D61D1"/>
    <w:rsid w:val="003D6780"/>
    <w:rsid w:val="003D6FCB"/>
    <w:rsid w:val="003D781E"/>
    <w:rsid w:val="003E0CDC"/>
    <w:rsid w:val="003E0F84"/>
    <w:rsid w:val="003E1126"/>
    <w:rsid w:val="003E191F"/>
    <w:rsid w:val="003E1FF3"/>
    <w:rsid w:val="003E2682"/>
    <w:rsid w:val="003E34DF"/>
    <w:rsid w:val="003E3ACA"/>
    <w:rsid w:val="003E4EF0"/>
    <w:rsid w:val="003E50EA"/>
    <w:rsid w:val="003E5168"/>
    <w:rsid w:val="003E5178"/>
    <w:rsid w:val="003E57E0"/>
    <w:rsid w:val="003E5BF6"/>
    <w:rsid w:val="003E61C3"/>
    <w:rsid w:val="003E62CB"/>
    <w:rsid w:val="003E68C7"/>
    <w:rsid w:val="003E6A03"/>
    <w:rsid w:val="003E77AB"/>
    <w:rsid w:val="003E79B0"/>
    <w:rsid w:val="003E7AA1"/>
    <w:rsid w:val="003F03BC"/>
    <w:rsid w:val="003F0403"/>
    <w:rsid w:val="003F04E3"/>
    <w:rsid w:val="003F0981"/>
    <w:rsid w:val="003F1094"/>
    <w:rsid w:val="003F167B"/>
    <w:rsid w:val="003F24A6"/>
    <w:rsid w:val="003F2891"/>
    <w:rsid w:val="003F2E45"/>
    <w:rsid w:val="003F33C5"/>
    <w:rsid w:val="003F3EFE"/>
    <w:rsid w:val="003F40AB"/>
    <w:rsid w:val="003F40B8"/>
    <w:rsid w:val="003F4605"/>
    <w:rsid w:val="003F4FE3"/>
    <w:rsid w:val="003F5C06"/>
    <w:rsid w:val="00400195"/>
    <w:rsid w:val="00400392"/>
    <w:rsid w:val="00400AA6"/>
    <w:rsid w:val="00401900"/>
    <w:rsid w:val="004019E0"/>
    <w:rsid w:val="0040254B"/>
    <w:rsid w:val="004028F1"/>
    <w:rsid w:val="00403086"/>
    <w:rsid w:val="00403460"/>
    <w:rsid w:val="00403D04"/>
    <w:rsid w:val="004040FF"/>
    <w:rsid w:val="00404284"/>
    <w:rsid w:val="004042BD"/>
    <w:rsid w:val="004042C4"/>
    <w:rsid w:val="00404350"/>
    <w:rsid w:val="004045D2"/>
    <w:rsid w:val="00404904"/>
    <w:rsid w:val="00404C04"/>
    <w:rsid w:val="00404FBB"/>
    <w:rsid w:val="00405447"/>
    <w:rsid w:val="0040551F"/>
    <w:rsid w:val="00406858"/>
    <w:rsid w:val="00406E90"/>
    <w:rsid w:val="00410240"/>
    <w:rsid w:val="00410682"/>
    <w:rsid w:val="00411900"/>
    <w:rsid w:val="00411F3C"/>
    <w:rsid w:val="00412253"/>
    <w:rsid w:val="004126FD"/>
    <w:rsid w:val="00412DB6"/>
    <w:rsid w:val="004142ED"/>
    <w:rsid w:val="00414312"/>
    <w:rsid w:val="004162C7"/>
    <w:rsid w:val="0041634D"/>
    <w:rsid w:val="00416ABC"/>
    <w:rsid w:val="00416C5D"/>
    <w:rsid w:val="00416E57"/>
    <w:rsid w:val="0041726E"/>
    <w:rsid w:val="004178BA"/>
    <w:rsid w:val="00417EF7"/>
    <w:rsid w:val="004207EB"/>
    <w:rsid w:val="00420885"/>
    <w:rsid w:val="00420D47"/>
    <w:rsid w:val="004215D8"/>
    <w:rsid w:val="004216EB"/>
    <w:rsid w:val="00421F35"/>
    <w:rsid w:val="0042259E"/>
    <w:rsid w:val="00422A7D"/>
    <w:rsid w:val="00422BFC"/>
    <w:rsid w:val="00422D73"/>
    <w:rsid w:val="00424329"/>
    <w:rsid w:val="00424642"/>
    <w:rsid w:val="00424BC7"/>
    <w:rsid w:val="00424CBE"/>
    <w:rsid w:val="00424F12"/>
    <w:rsid w:val="00425ABB"/>
    <w:rsid w:val="00425BB6"/>
    <w:rsid w:val="00425E6A"/>
    <w:rsid w:val="004261A0"/>
    <w:rsid w:val="004265AA"/>
    <w:rsid w:val="00426BC3"/>
    <w:rsid w:val="00426CE1"/>
    <w:rsid w:val="004270E6"/>
    <w:rsid w:val="00427287"/>
    <w:rsid w:val="0042739E"/>
    <w:rsid w:val="00427D52"/>
    <w:rsid w:val="00430412"/>
    <w:rsid w:val="00430497"/>
    <w:rsid w:val="004307B8"/>
    <w:rsid w:val="0043173B"/>
    <w:rsid w:val="0043183D"/>
    <w:rsid w:val="00431B0A"/>
    <w:rsid w:val="00431DA3"/>
    <w:rsid w:val="00431DA4"/>
    <w:rsid w:val="0043266E"/>
    <w:rsid w:val="00432A91"/>
    <w:rsid w:val="00432C2C"/>
    <w:rsid w:val="004332A4"/>
    <w:rsid w:val="0043453F"/>
    <w:rsid w:val="004348A9"/>
    <w:rsid w:val="004349EC"/>
    <w:rsid w:val="00434A74"/>
    <w:rsid w:val="00434D70"/>
    <w:rsid w:val="0043502B"/>
    <w:rsid w:val="0043557E"/>
    <w:rsid w:val="0043583C"/>
    <w:rsid w:val="00436C50"/>
    <w:rsid w:val="00436CE6"/>
    <w:rsid w:val="00437929"/>
    <w:rsid w:val="00437A4A"/>
    <w:rsid w:val="00440541"/>
    <w:rsid w:val="00440A32"/>
    <w:rsid w:val="0044132F"/>
    <w:rsid w:val="0044158E"/>
    <w:rsid w:val="0044162D"/>
    <w:rsid w:val="00441CC2"/>
    <w:rsid w:val="00442396"/>
    <w:rsid w:val="0044277A"/>
    <w:rsid w:val="004434EF"/>
    <w:rsid w:val="00443755"/>
    <w:rsid w:val="004439FA"/>
    <w:rsid w:val="004452E5"/>
    <w:rsid w:val="004456DC"/>
    <w:rsid w:val="004463D2"/>
    <w:rsid w:val="00447AE1"/>
    <w:rsid w:val="00447FBE"/>
    <w:rsid w:val="0045012F"/>
    <w:rsid w:val="00450168"/>
    <w:rsid w:val="0045021A"/>
    <w:rsid w:val="0045035E"/>
    <w:rsid w:val="00450407"/>
    <w:rsid w:val="00450CCF"/>
    <w:rsid w:val="0045175A"/>
    <w:rsid w:val="00451D05"/>
    <w:rsid w:val="00451DA5"/>
    <w:rsid w:val="00451ED9"/>
    <w:rsid w:val="00452180"/>
    <w:rsid w:val="004527C8"/>
    <w:rsid w:val="00452C29"/>
    <w:rsid w:val="00452C59"/>
    <w:rsid w:val="00452CDB"/>
    <w:rsid w:val="00453072"/>
    <w:rsid w:val="00453509"/>
    <w:rsid w:val="0045368D"/>
    <w:rsid w:val="004539F8"/>
    <w:rsid w:val="00453F26"/>
    <w:rsid w:val="00454949"/>
    <w:rsid w:val="00454D83"/>
    <w:rsid w:val="0045503F"/>
    <w:rsid w:val="00455273"/>
    <w:rsid w:val="00455574"/>
    <w:rsid w:val="004560DE"/>
    <w:rsid w:val="0045643D"/>
    <w:rsid w:val="00456E22"/>
    <w:rsid w:val="00457783"/>
    <w:rsid w:val="00460905"/>
    <w:rsid w:val="00461254"/>
    <w:rsid w:val="0046194E"/>
    <w:rsid w:val="00461D61"/>
    <w:rsid w:val="00461E35"/>
    <w:rsid w:val="004621DB"/>
    <w:rsid w:val="004623BF"/>
    <w:rsid w:val="004634A7"/>
    <w:rsid w:val="00463787"/>
    <w:rsid w:val="0046409B"/>
    <w:rsid w:val="00464354"/>
    <w:rsid w:val="004650D6"/>
    <w:rsid w:val="00465A5C"/>
    <w:rsid w:val="004662A7"/>
    <w:rsid w:val="0046691D"/>
    <w:rsid w:val="00466926"/>
    <w:rsid w:val="00466C70"/>
    <w:rsid w:val="00466E8F"/>
    <w:rsid w:val="00466F48"/>
    <w:rsid w:val="00466FDA"/>
    <w:rsid w:val="004671D0"/>
    <w:rsid w:val="004674D1"/>
    <w:rsid w:val="00467842"/>
    <w:rsid w:val="00467B7F"/>
    <w:rsid w:val="00467F30"/>
    <w:rsid w:val="00470773"/>
    <w:rsid w:val="004709FA"/>
    <w:rsid w:val="004711BD"/>
    <w:rsid w:val="004718A5"/>
    <w:rsid w:val="00471A13"/>
    <w:rsid w:val="00471FF9"/>
    <w:rsid w:val="004721A2"/>
    <w:rsid w:val="00472CB5"/>
    <w:rsid w:val="004730CC"/>
    <w:rsid w:val="004730EA"/>
    <w:rsid w:val="00473A42"/>
    <w:rsid w:val="00473C0C"/>
    <w:rsid w:val="00473E74"/>
    <w:rsid w:val="00473FEF"/>
    <w:rsid w:val="00474584"/>
    <w:rsid w:val="00475A99"/>
    <w:rsid w:val="00475B8E"/>
    <w:rsid w:val="00475D53"/>
    <w:rsid w:val="00477542"/>
    <w:rsid w:val="00480E10"/>
    <w:rsid w:val="00480FC0"/>
    <w:rsid w:val="0048104E"/>
    <w:rsid w:val="004814BB"/>
    <w:rsid w:val="004815DA"/>
    <w:rsid w:val="00481774"/>
    <w:rsid w:val="00481AE5"/>
    <w:rsid w:val="004822AD"/>
    <w:rsid w:val="00482337"/>
    <w:rsid w:val="00482458"/>
    <w:rsid w:val="00482559"/>
    <w:rsid w:val="00482A2C"/>
    <w:rsid w:val="00482F38"/>
    <w:rsid w:val="00482F8E"/>
    <w:rsid w:val="00482FCA"/>
    <w:rsid w:val="00483192"/>
    <w:rsid w:val="004837ED"/>
    <w:rsid w:val="00483942"/>
    <w:rsid w:val="00483B32"/>
    <w:rsid w:val="004843CE"/>
    <w:rsid w:val="004849F3"/>
    <w:rsid w:val="00484CD1"/>
    <w:rsid w:val="00484ED1"/>
    <w:rsid w:val="00485142"/>
    <w:rsid w:val="004852A7"/>
    <w:rsid w:val="004860AE"/>
    <w:rsid w:val="00486C17"/>
    <w:rsid w:val="00486DE2"/>
    <w:rsid w:val="00487117"/>
    <w:rsid w:val="004878A1"/>
    <w:rsid w:val="00487A32"/>
    <w:rsid w:val="00487A91"/>
    <w:rsid w:val="004900C0"/>
    <w:rsid w:val="004901E5"/>
    <w:rsid w:val="0049027D"/>
    <w:rsid w:val="004903D4"/>
    <w:rsid w:val="0049052B"/>
    <w:rsid w:val="0049061D"/>
    <w:rsid w:val="00491375"/>
    <w:rsid w:val="00492457"/>
    <w:rsid w:val="004924A8"/>
    <w:rsid w:val="00492EA5"/>
    <w:rsid w:val="004934BA"/>
    <w:rsid w:val="004934E9"/>
    <w:rsid w:val="00494737"/>
    <w:rsid w:val="00494914"/>
    <w:rsid w:val="00494D5C"/>
    <w:rsid w:val="00495A6A"/>
    <w:rsid w:val="004964F6"/>
    <w:rsid w:val="00496821"/>
    <w:rsid w:val="00497750"/>
    <w:rsid w:val="004978A0"/>
    <w:rsid w:val="00497B44"/>
    <w:rsid w:val="00497E80"/>
    <w:rsid w:val="00497F43"/>
    <w:rsid w:val="004A00E5"/>
    <w:rsid w:val="004A01A7"/>
    <w:rsid w:val="004A04A3"/>
    <w:rsid w:val="004A0D09"/>
    <w:rsid w:val="004A116E"/>
    <w:rsid w:val="004A1750"/>
    <w:rsid w:val="004A357F"/>
    <w:rsid w:val="004A3DAD"/>
    <w:rsid w:val="004A404D"/>
    <w:rsid w:val="004A4DCD"/>
    <w:rsid w:val="004A7021"/>
    <w:rsid w:val="004A7B05"/>
    <w:rsid w:val="004A7BC1"/>
    <w:rsid w:val="004B0335"/>
    <w:rsid w:val="004B0EC7"/>
    <w:rsid w:val="004B0F1C"/>
    <w:rsid w:val="004B1230"/>
    <w:rsid w:val="004B144F"/>
    <w:rsid w:val="004B1478"/>
    <w:rsid w:val="004B1491"/>
    <w:rsid w:val="004B15D8"/>
    <w:rsid w:val="004B1E61"/>
    <w:rsid w:val="004B21AB"/>
    <w:rsid w:val="004B236D"/>
    <w:rsid w:val="004B23F3"/>
    <w:rsid w:val="004B2774"/>
    <w:rsid w:val="004B2DE7"/>
    <w:rsid w:val="004B2F2B"/>
    <w:rsid w:val="004B44A4"/>
    <w:rsid w:val="004B4DC7"/>
    <w:rsid w:val="004B4EAB"/>
    <w:rsid w:val="004B54CA"/>
    <w:rsid w:val="004B59E0"/>
    <w:rsid w:val="004B5B34"/>
    <w:rsid w:val="004B60DA"/>
    <w:rsid w:val="004B6672"/>
    <w:rsid w:val="004B667B"/>
    <w:rsid w:val="004B718B"/>
    <w:rsid w:val="004B71C7"/>
    <w:rsid w:val="004B7B61"/>
    <w:rsid w:val="004B7CD8"/>
    <w:rsid w:val="004C03AA"/>
    <w:rsid w:val="004C0684"/>
    <w:rsid w:val="004C0B9A"/>
    <w:rsid w:val="004C14E7"/>
    <w:rsid w:val="004C1D89"/>
    <w:rsid w:val="004C2055"/>
    <w:rsid w:val="004C2A94"/>
    <w:rsid w:val="004C2CD0"/>
    <w:rsid w:val="004C2D8C"/>
    <w:rsid w:val="004C2DFE"/>
    <w:rsid w:val="004C3464"/>
    <w:rsid w:val="004C3AC0"/>
    <w:rsid w:val="004C3DAB"/>
    <w:rsid w:val="004C407C"/>
    <w:rsid w:val="004C4182"/>
    <w:rsid w:val="004C4294"/>
    <w:rsid w:val="004C4ACD"/>
    <w:rsid w:val="004C4F66"/>
    <w:rsid w:val="004C50BA"/>
    <w:rsid w:val="004C5766"/>
    <w:rsid w:val="004C59A7"/>
    <w:rsid w:val="004C5AA6"/>
    <w:rsid w:val="004C5F54"/>
    <w:rsid w:val="004C635E"/>
    <w:rsid w:val="004C6C9A"/>
    <w:rsid w:val="004C6E76"/>
    <w:rsid w:val="004C77DD"/>
    <w:rsid w:val="004C7826"/>
    <w:rsid w:val="004C7B33"/>
    <w:rsid w:val="004D0915"/>
    <w:rsid w:val="004D1410"/>
    <w:rsid w:val="004D1478"/>
    <w:rsid w:val="004D19EE"/>
    <w:rsid w:val="004D1CF2"/>
    <w:rsid w:val="004D27EB"/>
    <w:rsid w:val="004D290C"/>
    <w:rsid w:val="004D2910"/>
    <w:rsid w:val="004D2A6C"/>
    <w:rsid w:val="004D2D3A"/>
    <w:rsid w:val="004D2F45"/>
    <w:rsid w:val="004D374D"/>
    <w:rsid w:val="004D38A0"/>
    <w:rsid w:val="004D3DEC"/>
    <w:rsid w:val="004D418D"/>
    <w:rsid w:val="004D42C8"/>
    <w:rsid w:val="004D4720"/>
    <w:rsid w:val="004D4F57"/>
    <w:rsid w:val="004D50E5"/>
    <w:rsid w:val="004D50F6"/>
    <w:rsid w:val="004D53C6"/>
    <w:rsid w:val="004D543F"/>
    <w:rsid w:val="004D5A0D"/>
    <w:rsid w:val="004D5E68"/>
    <w:rsid w:val="004D611F"/>
    <w:rsid w:val="004D71BA"/>
    <w:rsid w:val="004D7910"/>
    <w:rsid w:val="004D7DEA"/>
    <w:rsid w:val="004E0A28"/>
    <w:rsid w:val="004E0E8B"/>
    <w:rsid w:val="004E1A0F"/>
    <w:rsid w:val="004E1AF9"/>
    <w:rsid w:val="004E1BAD"/>
    <w:rsid w:val="004E1D7A"/>
    <w:rsid w:val="004E1E07"/>
    <w:rsid w:val="004E27F3"/>
    <w:rsid w:val="004E2835"/>
    <w:rsid w:val="004E2A1F"/>
    <w:rsid w:val="004E2E89"/>
    <w:rsid w:val="004E33C2"/>
    <w:rsid w:val="004E3B9A"/>
    <w:rsid w:val="004E49B0"/>
    <w:rsid w:val="004E5BA7"/>
    <w:rsid w:val="004E62DE"/>
    <w:rsid w:val="004E6B05"/>
    <w:rsid w:val="004E76A1"/>
    <w:rsid w:val="004E770F"/>
    <w:rsid w:val="004F0587"/>
    <w:rsid w:val="004F05DE"/>
    <w:rsid w:val="004F14DF"/>
    <w:rsid w:val="004F2D3D"/>
    <w:rsid w:val="004F5726"/>
    <w:rsid w:val="004F5813"/>
    <w:rsid w:val="004F5830"/>
    <w:rsid w:val="004F613B"/>
    <w:rsid w:val="004F6376"/>
    <w:rsid w:val="004F6566"/>
    <w:rsid w:val="004F6A0A"/>
    <w:rsid w:val="004F6A93"/>
    <w:rsid w:val="004F6CCF"/>
    <w:rsid w:val="004F6F14"/>
    <w:rsid w:val="004F7003"/>
    <w:rsid w:val="004F728D"/>
    <w:rsid w:val="004F7335"/>
    <w:rsid w:val="004F76D9"/>
    <w:rsid w:val="004F79A6"/>
    <w:rsid w:val="005003B1"/>
    <w:rsid w:val="005011DA"/>
    <w:rsid w:val="00501BF5"/>
    <w:rsid w:val="00501D8B"/>
    <w:rsid w:val="0050234C"/>
    <w:rsid w:val="005032F0"/>
    <w:rsid w:val="005036A1"/>
    <w:rsid w:val="005039B6"/>
    <w:rsid w:val="00503A3E"/>
    <w:rsid w:val="00503F59"/>
    <w:rsid w:val="00504911"/>
    <w:rsid w:val="005049A7"/>
    <w:rsid w:val="005053B2"/>
    <w:rsid w:val="005055F2"/>
    <w:rsid w:val="005056F4"/>
    <w:rsid w:val="00506109"/>
    <w:rsid w:val="00506331"/>
    <w:rsid w:val="00506908"/>
    <w:rsid w:val="00507976"/>
    <w:rsid w:val="00507D11"/>
    <w:rsid w:val="00510662"/>
    <w:rsid w:val="005109B7"/>
    <w:rsid w:val="00510A19"/>
    <w:rsid w:val="00510E35"/>
    <w:rsid w:val="00511AAB"/>
    <w:rsid w:val="00511ACB"/>
    <w:rsid w:val="00511B54"/>
    <w:rsid w:val="00511CAD"/>
    <w:rsid w:val="005122A0"/>
    <w:rsid w:val="00512BB9"/>
    <w:rsid w:val="0051335A"/>
    <w:rsid w:val="005133CF"/>
    <w:rsid w:val="00513CC7"/>
    <w:rsid w:val="00514D10"/>
    <w:rsid w:val="00515206"/>
    <w:rsid w:val="00515CFF"/>
    <w:rsid w:val="00516783"/>
    <w:rsid w:val="00516809"/>
    <w:rsid w:val="005171FB"/>
    <w:rsid w:val="00517EF8"/>
    <w:rsid w:val="00520083"/>
    <w:rsid w:val="0052029E"/>
    <w:rsid w:val="00520758"/>
    <w:rsid w:val="0052076A"/>
    <w:rsid w:val="00520A2C"/>
    <w:rsid w:val="00520D31"/>
    <w:rsid w:val="00520E25"/>
    <w:rsid w:val="00521537"/>
    <w:rsid w:val="0052183D"/>
    <w:rsid w:val="00522482"/>
    <w:rsid w:val="00522B01"/>
    <w:rsid w:val="00522E39"/>
    <w:rsid w:val="00522EA0"/>
    <w:rsid w:val="00522F0E"/>
    <w:rsid w:val="00522F33"/>
    <w:rsid w:val="00522F44"/>
    <w:rsid w:val="005235D9"/>
    <w:rsid w:val="0052360A"/>
    <w:rsid w:val="00523A11"/>
    <w:rsid w:val="00523AC4"/>
    <w:rsid w:val="005242BA"/>
    <w:rsid w:val="005243B8"/>
    <w:rsid w:val="005252DD"/>
    <w:rsid w:val="005255CB"/>
    <w:rsid w:val="00525DBB"/>
    <w:rsid w:val="005266ED"/>
    <w:rsid w:val="00527204"/>
    <w:rsid w:val="005277FC"/>
    <w:rsid w:val="005279A7"/>
    <w:rsid w:val="00530A8D"/>
    <w:rsid w:val="00530F3B"/>
    <w:rsid w:val="005312DE"/>
    <w:rsid w:val="005317CD"/>
    <w:rsid w:val="00531C6D"/>
    <w:rsid w:val="00532721"/>
    <w:rsid w:val="00532C0F"/>
    <w:rsid w:val="00532EF4"/>
    <w:rsid w:val="00534510"/>
    <w:rsid w:val="005347CE"/>
    <w:rsid w:val="005349CD"/>
    <w:rsid w:val="00534A5E"/>
    <w:rsid w:val="00535477"/>
    <w:rsid w:val="0053548A"/>
    <w:rsid w:val="00535845"/>
    <w:rsid w:val="00535A3C"/>
    <w:rsid w:val="00535DEA"/>
    <w:rsid w:val="005360D3"/>
    <w:rsid w:val="005363CD"/>
    <w:rsid w:val="00536AAB"/>
    <w:rsid w:val="00536BEE"/>
    <w:rsid w:val="0053723A"/>
    <w:rsid w:val="00537636"/>
    <w:rsid w:val="00537943"/>
    <w:rsid w:val="00537ADD"/>
    <w:rsid w:val="00537B1D"/>
    <w:rsid w:val="00540191"/>
    <w:rsid w:val="0054068B"/>
    <w:rsid w:val="005406E8"/>
    <w:rsid w:val="0054089D"/>
    <w:rsid w:val="00540A2A"/>
    <w:rsid w:val="00541293"/>
    <w:rsid w:val="005414EF"/>
    <w:rsid w:val="00541F27"/>
    <w:rsid w:val="00542297"/>
    <w:rsid w:val="005424BC"/>
    <w:rsid w:val="005427DB"/>
    <w:rsid w:val="005427DC"/>
    <w:rsid w:val="0054280F"/>
    <w:rsid w:val="00542A28"/>
    <w:rsid w:val="00542B95"/>
    <w:rsid w:val="00542C66"/>
    <w:rsid w:val="00543C7B"/>
    <w:rsid w:val="00543F82"/>
    <w:rsid w:val="005441D4"/>
    <w:rsid w:val="00544D23"/>
    <w:rsid w:val="005450C2"/>
    <w:rsid w:val="00545164"/>
    <w:rsid w:val="005459E0"/>
    <w:rsid w:val="00545AD0"/>
    <w:rsid w:val="00545DA9"/>
    <w:rsid w:val="0054672D"/>
    <w:rsid w:val="00547120"/>
    <w:rsid w:val="00550E2A"/>
    <w:rsid w:val="00550F4E"/>
    <w:rsid w:val="005513CB"/>
    <w:rsid w:val="00551E98"/>
    <w:rsid w:val="00552227"/>
    <w:rsid w:val="00552526"/>
    <w:rsid w:val="00552883"/>
    <w:rsid w:val="00552A4B"/>
    <w:rsid w:val="00552DB1"/>
    <w:rsid w:val="00552FD7"/>
    <w:rsid w:val="005532B5"/>
    <w:rsid w:val="00553B8A"/>
    <w:rsid w:val="00554A05"/>
    <w:rsid w:val="0055571D"/>
    <w:rsid w:val="00555849"/>
    <w:rsid w:val="005559A8"/>
    <w:rsid w:val="005565ED"/>
    <w:rsid w:val="005565FF"/>
    <w:rsid w:val="00556FB8"/>
    <w:rsid w:val="00557048"/>
    <w:rsid w:val="005579CA"/>
    <w:rsid w:val="00557A55"/>
    <w:rsid w:val="00557B53"/>
    <w:rsid w:val="00557FB5"/>
    <w:rsid w:val="00560BD2"/>
    <w:rsid w:val="00560CBD"/>
    <w:rsid w:val="00560DC5"/>
    <w:rsid w:val="00561AED"/>
    <w:rsid w:val="0056406B"/>
    <w:rsid w:val="005648A8"/>
    <w:rsid w:val="00564966"/>
    <w:rsid w:val="00564D8C"/>
    <w:rsid w:val="00564DE3"/>
    <w:rsid w:val="00564E44"/>
    <w:rsid w:val="00566106"/>
    <w:rsid w:val="0056645D"/>
    <w:rsid w:val="00566C6A"/>
    <w:rsid w:val="00566CE5"/>
    <w:rsid w:val="00566D36"/>
    <w:rsid w:val="00566DBA"/>
    <w:rsid w:val="00566FF8"/>
    <w:rsid w:val="005673ED"/>
    <w:rsid w:val="00567D47"/>
    <w:rsid w:val="00567E52"/>
    <w:rsid w:val="005707E4"/>
    <w:rsid w:val="0057087D"/>
    <w:rsid w:val="00570B9F"/>
    <w:rsid w:val="00570C50"/>
    <w:rsid w:val="0057163A"/>
    <w:rsid w:val="00571644"/>
    <w:rsid w:val="0057174D"/>
    <w:rsid w:val="00571B55"/>
    <w:rsid w:val="005733A7"/>
    <w:rsid w:val="00573569"/>
    <w:rsid w:val="00573871"/>
    <w:rsid w:val="0057389E"/>
    <w:rsid w:val="00573B2D"/>
    <w:rsid w:val="00574D95"/>
    <w:rsid w:val="00575482"/>
    <w:rsid w:val="00575D0D"/>
    <w:rsid w:val="005765C0"/>
    <w:rsid w:val="00576AAD"/>
    <w:rsid w:val="00576CAD"/>
    <w:rsid w:val="00577028"/>
    <w:rsid w:val="0057720F"/>
    <w:rsid w:val="005774A9"/>
    <w:rsid w:val="00577830"/>
    <w:rsid w:val="005778DE"/>
    <w:rsid w:val="00580B3F"/>
    <w:rsid w:val="0058161F"/>
    <w:rsid w:val="0058217A"/>
    <w:rsid w:val="0058240D"/>
    <w:rsid w:val="005825F2"/>
    <w:rsid w:val="00582F74"/>
    <w:rsid w:val="0058344D"/>
    <w:rsid w:val="00583852"/>
    <w:rsid w:val="00583885"/>
    <w:rsid w:val="00584539"/>
    <w:rsid w:val="005858F6"/>
    <w:rsid w:val="005860AF"/>
    <w:rsid w:val="00586D99"/>
    <w:rsid w:val="00586F94"/>
    <w:rsid w:val="005871DA"/>
    <w:rsid w:val="00587749"/>
    <w:rsid w:val="00587B8E"/>
    <w:rsid w:val="00587F1D"/>
    <w:rsid w:val="00590348"/>
    <w:rsid w:val="00590C2B"/>
    <w:rsid w:val="00591161"/>
    <w:rsid w:val="005912E8"/>
    <w:rsid w:val="0059140C"/>
    <w:rsid w:val="0059166C"/>
    <w:rsid w:val="00591DFD"/>
    <w:rsid w:val="00591FCB"/>
    <w:rsid w:val="00592318"/>
    <w:rsid w:val="00593133"/>
    <w:rsid w:val="00593710"/>
    <w:rsid w:val="00593C0D"/>
    <w:rsid w:val="0059414B"/>
    <w:rsid w:val="00594238"/>
    <w:rsid w:val="005942F7"/>
    <w:rsid w:val="005953A9"/>
    <w:rsid w:val="0059575D"/>
    <w:rsid w:val="005957D0"/>
    <w:rsid w:val="00596825"/>
    <w:rsid w:val="00596FC3"/>
    <w:rsid w:val="005976F0"/>
    <w:rsid w:val="005A06A0"/>
    <w:rsid w:val="005A0A3C"/>
    <w:rsid w:val="005A10E9"/>
    <w:rsid w:val="005A150A"/>
    <w:rsid w:val="005A1B6C"/>
    <w:rsid w:val="005A1D9B"/>
    <w:rsid w:val="005A2A6F"/>
    <w:rsid w:val="005A2B3E"/>
    <w:rsid w:val="005A2D72"/>
    <w:rsid w:val="005A3644"/>
    <w:rsid w:val="005A4087"/>
    <w:rsid w:val="005A4178"/>
    <w:rsid w:val="005A4B18"/>
    <w:rsid w:val="005A4FBB"/>
    <w:rsid w:val="005A537E"/>
    <w:rsid w:val="005A58B6"/>
    <w:rsid w:val="005A6F43"/>
    <w:rsid w:val="005A767D"/>
    <w:rsid w:val="005A775C"/>
    <w:rsid w:val="005A7939"/>
    <w:rsid w:val="005B00F1"/>
    <w:rsid w:val="005B0A8B"/>
    <w:rsid w:val="005B0CE7"/>
    <w:rsid w:val="005B0F81"/>
    <w:rsid w:val="005B10E2"/>
    <w:rsid w:val="005B1803"/>
    <w:rsid w:val="005B2245"/>
    <w:rsid w:val="005B4079"/>
    <w:rsid w:val="005B428E"/>
    <w:rsid w:val="005B46E4"/>
    <w:rsid w:val="005B4C40"/>
    <w:rsid w:val="005B5B3C"/>
    <w:rsid w:val="005B64CA"/>
    <w:rsid w:val="005B64CB"/>
    <w:rsid w:val="005B65C0"/>
    <w:rsid w:val="005B66C6"/>
    <w:rsid w:val="005B6AAA"/>
    <w:rsid w:val="005B74B6"/>
    <w:rsid w:val="005B7554"/>
    <w:rsid w:val="005B787C"/>
    <w:rsid w:val="005B7C78"/>
    <w:rsid w:val="005C0588"/>
    <w:rsid w:val="005C0A63"/>
    <w:rsid w:val="005C0FB2"/>
    <w:rsid w:val="005C1169"/>
    <w:rsid w:val="005C16E2"/>
    <w:rsid w:val="005C1D61"/>
    <w:rsid w:val="005C24EF"/>
    <w:rsid w:val="005C2796"/>
    <w:rsid w:val="005C2E98"/>
    <w:rsid w:val="005C3C6C"/>
    <w:rsid w:val="005C3F4C"/>
    <w:rsid w:val="005C41B1"/>
    <w:rsid w:val="005C43AA"/>
    <w:rsid w:val="005C48C8"/>
    <w:rsid w:val="005C4AAC"/>
    <w:rsid w:val="005C56D3"/>
    <w:rsid w:val="005C59EF"/>
    <w:rsid w:val="005C5FB3"/>
    <w:rsid w:val="005C663C"/>
    <w:rsid w:val="005C6BB5"/>
    <w:rsid w:val="005C7162"/>
    <w:rsid w:val="005D0466"/>
    <w:rsid w:val="005D0750"/>
    <w:rsid w:val="005D1023"/>
    <w:rsid w:val="005D1047"/>
    <w:rsid w:val="005D148F"/>
    <w:rsid w:val="005D2AD2"/>
    <w:rsid w:val="005D311B"/>
    <w:rsid w:val="005D31A3"/>
    <w:rsid w:val="005D3957"/>
    <w:rsid w:val="005D454F"/>
    <w:rsid w:val="005D4863"/>
    <w:rsid w:val="005D4A86"/>
    <w:rsid w:val="005D4AB5"/>
    <w:rsid w:val="005D4CCA"/>
    <w:rsid w:val="005D4F78"/>
    <w:rsid w:val="005D5EB1"/>
    <w:rsid w:val="005D6523"/>
    <w:rsid w:val="005D6850"/>
    <w:rsid w:val="005D6A29"/>
    <w:rsid w:val="005D74C2"/>
    <w:rsid w:val="005D76C7"/>
    <w:rsid w:val="005D7A41"/>
    <w:rsid w:val="005E0139"/>
    <w:rsid w:val="005E0481"/>
    <w:rsid w:val="005E0E55"/>
    <w:rsid w:val="005E10BF"/>
    <w:rsid w:val="005E1834"/>
    <w:rsid w:val="005E1E0D"/>
    <w:rsid w:val="005E223A"/>
    <w:rsid w:val="005E2D5E"/>
    <w:rsid w:val="005E3F36"/>
    <w:rsid w:val="005E49E5"/>
    <w:rsid w:val="005E4E00"/>
    <w:rsid w:val="005E5252"/>
    <w:rsid w:val="005E5481"/>
    <w:rsid w:val="005E55E4"/>
    <w:rsid w:val="005E6C5F"/>
    <w:rsid w:val="005E7204"/>
    <w:rsid w:val="005E7539"/>
    <w:rsid w:val="005E7636"/>
    <w:rsid w:val="005E774A"/>
    <w:rsid w:val="005E7B03"/>
    <w:rsid w:val="005F01F7"/>
    <w:rsid w:val="005F028E"/>
    <w:rsid w:val="005F04B4"/>
    <w:rsid w:val="005F090F"/>
    <w:rsid w:val="005F0ACF"/>
    <w:rsid w:val="005F11A4"/>
    <w:rsid w:val="005F19F8"/>
    <w:rsid w:val="005F1F27"/>
    <w:rsid w:val="005F223B"/>
    <w:rsid w:val="005F29D0"/>
    <w:rsid w:val="005F2CB5"/>
    <w:rsid w:val="005F2FC8"/>
    <w:rsid w:val="005F39B9"/>
    <w:rsid w:val="005F3FB1"/>
    <w:rsid w:val="005F448A"/>
    <w:rsid w:val="005F45ED"/>
    <w:rsid w:val="005F46F2"/>
    <w:rsid w:val="005F4C33"/>
    <w:rsid w:val="005F4D29"/>
    <w:rsid w:val="005F58A5"/>
    <w:rsid w:val="005F5ACF"/>
    <w:rsid w:val="005F5BC8"/>
    <w:rsid w:val="005F60DC"/>
    <w:rsid w:val="005F65ED"/>
    <w:rsid w:val="005F7377"/>
    <w:rsid w:val="005F7508"/>
    <w:rsid w:val="005F7979"/>
    <w:rsid w:val="005F7ABF"/>
    <w:rsid w:val="006000DD"/>
    <w:rsid w:val="00600F63"/>
    <w:rsid w:val="0060123B"/>
    <w:rsid w:val="006012E1"/>
    <w:rsid w:val="006019BE"/>
    <w:rsid w:val="00602253"/>
    <w:rsid w:val="006022E4"/>
    <w:rsid w:val="006023E1"/>
    <w:rsid w:val="0060246B"/>
    <w:rsid w:val="00603022"/>
    <w:rsid w:val="00603134"/>
    <w:rsid w:val="00603402"/>
    <w:rsid w:val="00604942"/>
    <w:rsid w:val="00605531"/>
    <w:rsid w:val="00605748"/>
    <w:rsid w:val="006057C5"/>
    <w:rsid w:val="0060589F"/>
    <w:rsid w:val="006058AF"/>
    <w:rsid w:val="00606240"/>
    <w:rsid w:val="00606400"/>
    <w:rsid w:val="006064A3"/>
    <w:rsid w:val="0060674A"/>
    <w:rsid w:val="00606E4B"/>
    <w:rsid w:val="00606F77"/>
    <w:rsid w:val="00607832"/>
    <w:rsid w:val="0060784B"/>
    <w:rsid w:val="00610254"/>
    <w:rsid w:val="006105FB"/>
    <w:rsid w:val="00610F94"/>
    <w:rsid w:val="00611293"/>
    <w:rsid w:val="006112CA"/>
    <w:rsid w:val="0061135E"/>
    <w:rsid w:val="0061174A"/>
    <w:rsid w:val="006117AC"/>
    <w:rsid w:val="00611FE8"/>
    <w:rsid w:val="0061263A"/>
    <w:rsid w:val="00612C41"/>
    <w:rsid w:val="006130C0"/>
    <w:rsid w:val="006135E6"/>
    <w:rsid w:val="006145DE"/>
    <w:rsid w:val="0061478E"/>
    <w:rsid w:val="00614F25"/>
    <w:rsid w:val="006151E1"/>
    <w:rsid w:val="00616A11"/>
    <w:rsid w:val="00616B9B"/>
    <w:rsid w:val="00617520"/>
    <w:rsid w:val="00617BD8"/>
    <w:rsid w:val="00617FAA"/>
    <w:rsid w:val="00620085"/>
    <w:rsid w:val="0062022D"/>
    <w:rsid w:val="00620351"/>
    <w:rsid w:val="00620D7C"/>
    <w:rsid w:val="00621089"/>
    <w:rsid w:val="00621283"/>
    <w:rsid w:val="00621973"/>
    <w:rsid w:val="00621ACF"/>
    <w:rsid w:val="00621E1F"/>
    <w:rsid w:val="006228B2"/>
    <w:rsid w:val="006228E1"/>
    <w:rsid w:val="00622A26"/>
    <w:rsid w:val="00622A68"/>
    <w:rsid w:val="00622B2F"/>
    <w:rsid w:val="00622E32"/>
    <w:rsid w:val="00623034"/>
    <w:rsid w:val="006233E0"/>
    <w:rsid w:val="006235EB"/>
    <w:rsid w:val="00623688"/>
    <w:rsid w:val="006238C0"/>
    <w:rsid w:val="00624345"/>
    <w:rsid w:val="006247E0"/>
    <w:rsid w:val="00625B58"/>
    <w:rsid w:val="00625F82"/>
    <w:rsid w:val="00626CD1"/>
    <w:rsid w:val="0062752C"/>
    <w:rsid w:val="00627873"/>
    <w:rsid w:val="00627999"/>
    <w:rsid w:val="006303BD"/>
    <w:rsid w:val="00630CE2"/>
    <w:rsid w:val="00630FF7"/>
    <w:rsid w:val="006315C5"/>
    <w:rsid w:val="00631F01"/>
    <w:rsid w:val="006320EE"/>
    <w:rsid w:val="0063220A"/>
    <w:rsid w:val="00633433"/>
    <w:rsid w:val="00633AB9"/>
    <w:rsid w:val="00633AFF"/>
    <w:rsid w:val="006341B5"/>
    <w:rsid w:val="00634489"/>
    <w:rsid w:val="00634598"/>
    <w:rsid w:val="006346C9"/>
    <w:rsid w:val="006346DD"/>
    <w:rsid w:val="00634727"/>
    <w:rsid w:val="00634B64"/>
    <w:rsid w:val="0063578C"/>
    <w:rsid w:val="00635FF8"/>
    <w:rsid w:val="0063642C"/>
    <w:rsid w:val="0063681E"/>
    <w:rsid w:val="00636FF9"/>
    <w:rsid w:val="0063716F"/>
    <w:rsid w:val="00640A65"/>
    <w:rsid w:val="00640DCD"/>
    <w:rsid w:val="00640DF9"/>
    <w:rsid w:val="00640EEC"/>
    <w:rsid w:val="00641DC3"/>
    <w:rsid w:val="00641F04"/>
    <w:rsid w:val="00642972"/>
    <w:rsid w:val="00642A10"/>
    <w:rsid w:val="00642CE4"/>
    <w:rsid w:val="0064344B"/>
    <w:rsid w:val="00644F4D"/>
    <w:rsid w:val="00645077"/>
    <w:rsid w:val="00645780"/>
    <w:rsid w:val="006460EF"/>
    <w:rsid w:val="006469B1"/>
    <w:rsid w:val="00646C0D"/>
    <w:rsid w:val="00646C30"/>
    <w:rsid w:val="006472A3"/>
    <w:rsid w:val="006476F7"/>
    <w:rsid w:val="0064779E"/>
    <w:rsid w:val="00647F29"/>
    <w:rsid w:val="006501FA"/>
    <w:rsid w:val="006503E5"/>
    <w:rsid w:val="006509B0"/>
    <w:rsid w:val="006521F3"/>
    <w:rsid w:val="006524D5"/>
    <w:rsid w:val="0065296E"/>
    <w:rsid w:val="00652BBD"/>
    <w:rsid w:val="00653299"/>
    <w:rsid w:val="0065362F"/>
    <w:rsid w:val="00653633"/>
    <w:rsid w:val="00653F69"/>
    <w:rsid w:val="00654558"/>
    <w:rsid w:val="00654936"/>
    <w:rsid w:val="00654CD6"/>
    <w:rsid w:val="00654E84"/>
    <w:rsid w:val="00655485"/>
    <w:rsid w:val="006558B3"/>
    <w:rsid w:val="0065745F"/>
    <w:rsid w:val="00660BF0"/>
    <w:rsid w:val="0066189C"/>
    <w:rsid w:val="006618A3"/>
    <w:rsid w:val="0066233D"/>
    <w:rsid w:val="00662D23"/>
    <w:rsid w:val="00662EB5"/>
    <w:rsid w:val="00662EF8"/>
    <w:rsid w:val="00663019"/>
    <w:rsid w:val="00663058"/>
    <w:rsid w:val="006630CF"/>
    <w:rsid w:val="00663119"/>
    <w:rsid w:val="006638CD"/>
    <w:rsid w:val="006638F2"/>
    <w:rsid w:val="00663EFF"/>
    <w:rsid w:val="00664DF9"/>
    <w:rsid w:val="00664FFB"/>
    <w:rsid w:val="006653DB"/>
    <w:rsid w:val="00665797"/>
    <w:rsid w:val="006659DF"/>
    <w:rsid w:val="00665B87"/>
    <w:rsid w:val="006665E2"/>
    <w:rsid w:val="00666F74"/>
    <w:rsid w:val="006673C7"/>
    <w:rsid w:val="00667A8C"/>
    <w:rsid w:val="00667FEA"/>
    <w:rsid w:val="00670DDE"/>
    <w:rsid w:val="006710D2"/>
    <w:rsid w:val="00671A8B"/>
    <w:rsid w:val="00671D14"/>
    <w:rsid w:val="00671F53"/>
    <w:rsid w:val="00671F79"/>
    <w:rsid w:val="006724F9"/>
    <w:rsid w:val="006725A0"/>
    <w:rsid w:val="006735EF"/>
    <w:rsid w:val="006737E3"/>
    <w:rsid w:val="00674009"/>
    <w:rsid w:val="0067400C"/>
    <w:rsid w:val="00674628"/>
    <w:rsid w:val="00674740"/>
    <w:rsid w:val="00674C92"/>
    <w:rsid w:val="0067555E"/>
    <w:rsid w:val="00675FCD"/>
    <w:rsid w:val="00676514"/>
    <w:rsid w:val="0067663F"/>
    <w:rsid w:val="00677146"/>
    <w:rsid w:val="00677CE9"/>
    <w:rsid w:val="00677FAD"/>
    <w:rsid w:val="006802DE"/>
    <w:rsid w:val="0068032D"/>
    <w:rsid w:val="0068068C"/>
    <w:rsid w:val="00681115"/>
    <w:rsid w:val="00681BCE"/>
    <w:rsid w:val="00682406"/>
    <w:rsid w:val="00682714"/>
    <w:rsid w:val="00682EAD"/>
    <w:rsid w:val="00683920"/>
    <w:rsid w:val="00684667"/>
    <w:rsid w:val="00685147"/>
    <w:rsid w:val="00685533"/>
    <w:rsid w:val="00685653"/>
    <w:rsid w:val="0068590D"/>
    <w:rsid w:val="00685A89"/>
    <w:rsid w:val="006861B3"/>
    <w:rsid w:val="006867C1"/>
    <w:rsid w:val="00686FA2"/>
    <w:rsid w:val="006870C5"/>
    <w:rsid w:val="006871B6"/>
    <w:rsid w:val="00687523"/>
    <w:rsid w:val="00687612"/>
    <w:rsid w:val="006877C7"/>
    <w:rsid w:val="00690F0E"/>
    <w:rsid w:val="006911C0"/>
    <w:rsid w:val="0069184F"/>
    <w:rsid w:val="00691B7C"/>
    <w:rsid w:val="00691E65"/>
    <w:rsid w:val="0069286E"/>
    <w:rsid w:val="00692877"/>
    <w:rsid w:val="00692947"/>
    <w:rsid w:val="00692ADF"/>
    <w:rsid w:val="00692CBC"/>
    <w:rsid w:val="00693497"/>
    <w:rsid w:val="00694113"/>
    <w:rsid w:val="00694689"/>
    <w:rsid w:val="00694879"/>
    <w:rsid w:val="00694A94"/>
    <w:rsid w:val="00694B73"/>
    <w:rsid w:val="00694DF2"/>
    <w:rsid w:val="00695370"/>
    <w:rsid w:val="006958E5"/>
    <w:rsid w:val="00695D16"/>
    <w:rsid w:val="00695D3C"/>
    <w:rsid w:val="00695F6E"/>
    <w:rsid w:val="00695F80"/>
    <w:rsid w:val="006960A2"/>
    <w:rsid w:val="006963E1"/>
    <w:rsid w:val="006966CD"/>
    <w:rsid w:val="00696735"/>
    <w:rsid w:val="00696CBA"/>
    <w:rsid w:val="006970FD"/>
    <w:rsid w:val="0069780E"/>
    <w:rsid w:val="00697F4B"/>
    <w:rsid w:val="006A0360"/>
    <w:rsid w:val="006A1C9E"/>
    <w:rsid w:val="006A2517"/>
    <w:rsid w:val="006A2582"/>
    <w:rsid w:val="006A2CA2"/>
    <w:rsid w:val="006A3026"/>
    <w:rsid w:val="006A3310"/>
    <w:rsid w:val="006A4322"/>
    <w:rsid w:val="006A62B3"/>
    <w:rsid w:val="006B01D3"/>
    <w:rsid w:val="006B1138"/>
    <w:rsid w:val="006B1625"/>
    <w:rsid w:val="006B2D40"/>
    <w:rsid w:val="006B2DCC"/>
    <w:rsid w:val="006B34DF"/>
    <w:rsid w:val="006B39B2"/>
    <w:rsid w:val="006B3AF9"/>
    <w:rsid w:val="006B45A0"/>
    <w:rsid w:val="006B5668"/>
    <w:rsid w:val="006B5F71"/>
    <w:rsid w:val="006B65C2"/>
    <w:rsid w:val="006B6A4D"/>
    <w:rsid w:val="006B6E44"/>
    <w:rsid w:val="006B7059"/>
    <w:rsid w:val="006B7287"/>
    <w:rsid w:val="006B7ABB"/>
    <w:rsid w:val="006B7F2E"/>
    <w:rsid w:val="006C0082"/>
    <w:rsid w:val="006C0BF8"/>
    <w:rsid w:val="006C0CF5"/>
    <w:rsid w:val="006C1784"/>
    <w:rsid w:val="006C2253"/>
    <w:rsid w:val="006C2A88"/>
    <w:rsid w:val="006C2CCB"/>
    <w:rsid w:val="006C2F2C"/>
    <w:rsid w:val="006C36F5"/>
    <w:rsid w:val="006C3C06"/>
    <w:rsid w:val="006C4334"/>
    <w:rsid w:val="006C44BE"/>
    <w:rsid w:val="006C4B0F"/>
    <w:rsid w:val="006C4B48"/>
    <w:rsid w:val="006C4D1B"/>
    <w:rsid w:val="006C5BFB"/>
    <w:rsid w:val="006C5E96"/>
    <w:rsid w:val="006C7352"/>
    <w:rsid w:val="006C7D61"/>
    <w:rsid w:val="006D04D8"/>
    <w:rsid w:val="006D0C37"/>
    <w:rsid w:val="006D1538"/>
    <w:rsid w:val="006D1AEB"/>
    <w:rsid w:val="006D1FDC"/>
    <w:rsid w:val="006D2DEF"/>
    <w:rsid w:val="006D399F"/>
    <w:rsid w:val="006D4891"/>
    <w:rsid w:val="006D4B33"/>
    <w:rsid w:val="006D4CC9"/>
    <w:rsid w:val="006D4D70"/>
    <w:rsid w:val="006D4F0C"/>
    <w:rsid w:val="006D53C4"/>
    <w:rsid w:val="006D5645"/>
    <w:rsid w:val="006D736F"/>
    <w:rsid w:val="006D7A63"/>
    <w:rsid w:val="006E0C8A"/>
    <w:rsid w:val="006E155D"/>
    <w:rsid w:val="006E1A58"/>
    <w:rsid w:val="006E1DB1"/>
    <w:rsid w:val="006E2A23"/>
    <w:rsid w:val="006E2E80"/>
    <w:rsid w:val="006E31A0"/>
    <w:rsid w:val="006E32A4"/>
    <w:rsid w:val="006E35E5"/>
    <w:rsid w:val="006E3A6C"/>
    <w:rsid w:val="006E3C72"/>
    <w:rsid w:val="006E4F20"/>
    <w:rsid w:val="006E612E"/>
    <w:rsid w:val="006E6143"/>
    <w:rsid w:val="006E649A"/>
    <w:rsid w:val="006E7713"/>
    <w:rsid w:val="006F048A"/>
    <w:rsid w:val="006F08DC"/>
    <w:rsid w:val="006F185B"/>
    <w:rsid w:val="006F1A1C"/>
    <w:rsid w:val="006F1A79"/>
    <w:rsid w:val="006F2243"/>
    <w:rsid w:val="006F257C"/>
    <w:rsid w:val="006F3889"/>
    <w:rsid w:val="006F3948"/>
    <w:rsid w:val="006F3AA6"/>
    <w:rsid w:val="006F4403"/>
    <w:rsid w:val="006F45EC"/>
    <w:rsid w:val="006F47B8"/>
    <w:rsid w:val="006F47D2"/>
    <w:rsid w:val="006F4B04"/>
    <w:rsid w:val="006F5456"/>
    <w:rsid w:val="006F57F2"/>
    <w:rsid w:val="006F5A27"/>
    <w:rsid w:val="006F5FFA"/>
    <w:rsid w:val="006F6468"/>
    <w:rsid w:val="006F68F2"/>
    <w:rsid w:val="006F713F"/>
    <w:rsid w:val="006F71FA"/>
    <w:rsid w:val="00700247"/>
    <w:rsid w:val="00700CAE"/>
    <w:rsid w:val="00701019"/>
    <w:rsid w:val="00701051"/>
    <w:rsid w:val="00701969"/>
    <w:rsid w:val="00701E69"/>
    <w:rsid w:val="007021C2"/>
    <w:rsid w:val="00702502"/>
    <w:rsid w:val="00702CF8"/>
    <w:rsid w:val="007033A8"/>
    <w:rsid w:val="007033E2"/>
    <w:rsid w:val="0070358F"/>
    <w:rsid w:val="00703A3E"/>
    <w:rsid w:val="0070421B"/>
    <w:rsid w:val="007043F0"/>
    <w:rsid w:val="0070482E"/>
    <w:rsid w:val="00704D25"/>
    <w:rsid w:val="00705265"/>
    <w:rsid w:val="007058DE"/>
    <w:rsid w:val="00705D81"/>
    <w:rsid w:val="00705F07"/>
    <w:rsid w:val="00705FC4"/>
    <w:rsid w:val="00707D68"/>
    <w:rsid w:val="00710519"/>
    <w:rsid w:val="00710B27"/>
    <w:rsid w:val="00710F6E"/>
    <w:rsid w:val="00711663"/>
    <w:rsid w:val="007116B4"/>
    <w:rsid w:val="00711A98"/>
    <w:rsid w:val="00711AD9"/>
    <w:rsid w:val="00711C69"/>
    <w:rsid w:val="00711D65"/>
    <w:rsid w:val="00711F1F"/>
    <w:rsid w:val="00712172"/>
    <w:rsid w:val="007121FB"/>
    <w:rsid w:val="00712580"/>
    <w:rsid w:val="007133E4"/>
    <w:rsid w:val="00713788"/>
    <w:rsid w:val="00713940"/>
    <w:rsid w:val="00714954"/>
    <w:rsid w:val="00715140"/>
    <w:rsid w:val="007151A2"/>
    <w:rsid w:val="007151DD"/>
    <w:rsid w:val="00715D0B"/>
    <w:rsid w:val="007163AF"/>
    <w:rsid w:val="00716774"/>
    <w:rsid w:val="007167C5"/>
    <w:rsid w:val="0071740A"/>
    <w:rsid w:val="00717878"/>
    <w:rsid w:val="00717D61"/>
    <w:rsid w:val="007207DD"/>
    <w:rsid w:val="007209DD"/>
    <w:rsid w:val="00720E69"/>
    <w:rsid w:val="00722062"/>
    <w:rsid w:val="00722C81"/>
    <w:rsid w:val="00722E49"/>
    <w:rsid w:val="00723A08"/>
    <w:rsid w:val="00723B5C"/>
    <w:rsid w:val="00723D65"/>
    <w:rsid w:val="007240D2"/>
    <w:rsid w:val="0072430E"/>
    <w:rsid w:val="00724391"/>
    <w:rsid w:val="00724688"/>
    <w:rsid w:val="00724C18"/>
    <w:rsid w:val="0072512A"/>
    <w:rsid w:val="0072536A"/>
    <w:rsid w:val="007255B7"/>
    <w:rsid w:val="00725FB1"/>
    <w:rsid w:val="00726630"/>
    <w:rsid w:val="00727141"/>
    <w:rsid w:val="00727F73"/>
    <w:rsid w:val="007303A4"/>
    <w:rsid w:val="00730705"/>
    <w:rsid w:val="00730944"/>
    <w:rsid w:val="00730ED6"/>
    <w:rsid w:val="00731475"/>
    <w:rsid w:val="00731AD5"/>
    <w:rsid w:val="0073248E"/>
    <w:rsid w:val="00733EE9"/>
    <w:rsid w:val="007346FD"/>
    <w:rsid w:val="00734711"/>
    <w:rsid w:val="00735306"/>
    <w:rsid w:val="00735B8E"/>
    <w:rsid w:val="00736651"/>
    <w:rsid w:val="0073673C"/>
    <w:rsid w:val="007367BE"/>
    <w:rsid w:val="007368C7"/>
    <w:rsid w:val="00736935"/>
    <w:rsid w:val="00736D79"/>
    <w:rsid w:val="007378EC"/>
    <w:rsid w:val="007379C6"/>
    <w:rsid w:val="00737DD9"/>
    <w:rsid w:val="00740B9F"/>
    <w:rsid w:val="00743DE7"/>
    <w:rsid w:val="007440B4"/>
    <w:rsid w:val="00744FE1"/>
    <w:rsid w:val="0074509E"/>
    <w:rsid w:val="007450FE"/>
    <w:rsid w:val="007455B4"/>
    <w:rsid w:val="00745B15"/>
    <w:rsid w:val="00745B9F"/>
    <w:rsid w:val="0074689E"/>
    <w:rsid w:val="00747030"/>
    <w:rsid w:val="0074726F"/>
    <w:rsid w:val="007507FC"/>
    <w:rsid w:val="00751345"/>
    <w:rsid w:val="0075163B"/>
    <w:rsid w:val="00751F50"/>
    <w:rsid w:val="007521A5"/>
    <w:rsid w:val="00752D4F"/>
    <w:rsid w:val="00752EA2"/>
    <w:rsid w:val="00753003"/>
    <w:rsid w:val="00753252"/>
    <w:rsid w:val="007533D5"/>
    <w:rsid w:val="007539D5"/>
    <w:rsid w:val="00753D88"/>
    <w:rsid w:val="00753DF6"/>
    <w:rsid w:val="0075409F"/>
    <w:rsid w:val="007541AD"/>
    <w:rsid w:val="0075444A"/>
    <w:rsid w:val="007547D1"/>
    <w:rsid w:val="007549EF"/>
    <w:rsid w:val="0075525A"/>
    <w:rsid w:val="00755609"/>
    <w:rsid w:val="00755986"/>
    <w:rsid w:val="00755B00"/>
    <w:rsid w:val="00755C86"/>
    <w:rsid w:val="00755E19"/>
    <w:rsid w:val="00756227"/>
    <w:rsid w:val="0075659A"/>
    <w:rsid w:val="007565BB"/>
    <w:rsid w:val="00756BFF"/>
    <w:rsid w:val="00756D77"/>
    <w:rsid w:val="00756EA1"/>
    <w:rsid w:val="0075706F"/>
    <w:rsid w:val="00757127"/>
    <w:rsid w:val="00760041"/>
    <w:rsid w:val="007605C7"/>
    <w:rsid w:val="00760B08"/>
    <w:rsid w:val="00760B6C"/>
    <w:rsid w:val="00760EDA"/>
    <w:rsid w:val="00761ED9"/>
    <w:rsid w:val="00761F4E"/>
    <w:rsid w:val="00761F8F"/>
    <w:rsid w:val="00761FAA"/>
    <w:rsid w:val="00762150"/>
    <w:rsid w:val="00762517"/>
    <w:rsid w:val="00762621"/>
    <w:rsid w:val="00762910"/>
    <w:rsid w:val="007639C0"/>
    <w:rsid w:val="00763F36"/>
    <w:rsid w:val="00764054"/>
    <w:rsid w:val="00764606"/>
    <w:rsid w:val="007647E0"/>
    <w:rsid w:val="007648A0"/>
    <w:rsid w:val="00765753"/>
    <w:rsid w:val="00765DF9"/>
    <w:rsid w:val="00766477"/>
    <w:rsid w:val="00766635"/>
    <w:rsid w:val="00766F4D"/>
    <w:rsid w:val="00770049"/>
    <w:rsid w:val="00770062"/>
    <w:rsid w:val="00770268"/>
    <w:rsid w:val="0077045E"/>
    <w:rsid w:val="007706B9"/>
    <w:rsid w:val="007707ED"/>
    <w:rsid w:val="00771C3B"/>
    <w:rsid w:val="00771F48"/>
    <w:rsid w:val="007726F9"/>
    <w:rsid w:val="00772AF4"/>
    <w:rsid w:val="00773B94"/>
    <w:rsid w:val="00773C65"/>
    <w:rsid w:val="0077422C"/>
    <w:rsid w:val="007744F7"/>
    <w:rsid w:val="00774C13"/>
    <w:rsid w:val="00774F62"/>
    <w:rsid w:val="00775872"/>
    <w:rsid w:val="00775937"/>
    <w:rsid w:val="00775951"/>
    <w:rsid w:val="00776363"/>
    <w:rsid w:val="00776BF5"/>
    <w:rsid w:val="00777046"/>
    <w:rsid w:val="007770DA"/>
    <w:rsid w:val="00777EE3"/>
    <w:rsid w:val="007805B9"/>
    <w:rsid w:val="00780C3A"/>
    <w:rsid w:val="00781D7E"/>
    <w:rsid w:val="007822C0"/>
    <w:rsid w:val="007834A1"/>
    <w:rsid w:val="0078407A"/>
    <w:rsid w:val="00784772"/>
    <w:rsid w:val="0078478C"/>
    <w:rsid w:val="00784C34"/>
    <w:rsid w:val="0078523B"/>
    <w:rsid w:val="007852A8"/>
    <w:rsid w:val="007852E9"/>
    <w:rsid w:val="00785892"/>
    <w:rsid w:val="00787172"/>
    <w:rsid w:val="00787D94"/>
    <w:rsid w:val="00790362"/>
    <w:rsid w:val="00790990"/>
    <w:rsid w:val="00790AF0"/>
    <w:rsid w:val="00791260"/>
    <w:rsid w:val="00791662"/>
    <w:rsid w:val="00791EB4"/>
    <w:rsid w:val="007924EF"/>
    <w:rsid w:val="007928F1"/>
    <w:rsid w:val="0079293A"/>
    <w:rsid w:val="0079330E"/>
    <w:rsid w:val="0079357D"/>
    <w:rsid w:val="007936DE"/>
    <w:rsid w:val="007937CC"/>
    <w:rsid w:val="00793A31"/>
    <w:rsid w:val="0079411F"/>
    <w:rsid w:val="0079485D"/>
    <w:rsid w:val="00794979"/>
    <w:rsid w:val="007956B7"/>
    <w:rsid w:val="007957EB"/>
    <w:rsid w:val="00795B84"/>
    <w:rsid w:val="00795F1A"/>
    <w:rsid w:val="00796EDE"/>
    <w:rsid w:val="00796F81"/>
    <w:rsid w:val="00797297"/>
    <w:rsid w:val="007974B3"/>
    <w:rsid w:val="007976AF"/>
    <w:rsid w:val="007977DA"/>
    <w:rsid w:val="00797875"/>
    <w:rsid w:val="007A03F5"/>
    <w:rsid w:val="007A076C"/>
    <w:rsid w:val="007A2140"/>
    <w:rsid w:val="007A23E2"/>
    <w:rsid w:val="007A2F86"/>
    <w:rsid w:val="007A31A5"/>
    <w:rsid w:val="007A40C1"/>
    <w:rsid w:val="007A411B"/>
    <w:rsid w:val="007A44A4"/>
    <w:rsid w:val="007A45E6"/>
    <w:rsid w:val="007A45F0"/>
    <w:rsid w:val="007A4B28"/>
    <w:rsid w:val="007A510D"/>
    <w:rsid w:val="007A527B"/>
    <w:rsid w:val="007A52AC"/>
    <w:rsid w:val="007A549F"/>
    <w:rsid w:val="007A5623"/>
    <w:rsid w:val="007A5860"/>
    <w:rsid w:val="007A5991"/>
    <w:rsid w:val="007A5C2C"/>
    <w:rsid w:val="007A5FE6"/>
    <w:rsid w:val="007A6C5B"/>
    <w:rsid w:val="007A7438"/>
    <w:rsid w:val="007A7678"/>
    <w:rsid w:val="007B0AF6"/>
    <w:rsid w:val="007B0CD8"/>
    <w:rsid w:val="007B0DE0"/>
    <w:rsid w:val="007B1537"/>
    <w:rsid w:val="007B21DE"/>
    <w:rsid w:val="007B2BB9"/>
    <w:rsid w:val="007B3745"/>
    <w:rsid w:val="007B4294"/>
    <w:rsid w:val="007B43E8"/>
    <w:rsid w:val="007B462F"/>
    <w:rsid w:val="007B4740"/>
    <w:rsid w:val="007B502C"/>
    <w:rsid w:val="007B57E5"/>
    <w:rsid w:val="007B58B0"/>
    <w:rsid w:val="007B5B09"/>
    <w:rsid w:val="007B5CBC"/>
    <w:rsid w:val="007B5F3B"/>
    <w:rsid w:val="007B600A"/>
    <w:rsid w:val="007B6538"/>
    <w:rsid w:val="007B70B3"/>
    <w:rsid w:val="007B7366"/>
    <w:rsid w:val="007B73DB"/>
    <w:rsid w:val="007B7FE9"/>
    <w:rsid w:val="007C02B0"/>
    <w:rsid w:val="007C063E"/>
    <w:rsid w:val="007C1901"/>
    <w:rsid w:val="007C1CF0"/>
    <w:rsid w:val="007C20D0"/>
    <w:rsid w:val="007C21E7"/>
    <w:rsid w:val="007C22C2"/>
    <w:rsid w:val="007C230F"/>
    <w:rsid w:val="007C2A97"/>
    <w:rsid w:val="007C326C"/>
    <w:rsid w:val="007C3289"/>
    <w:rsid w:val="007C39B5"/>
    <w:rsid w:val="007C49C0"/>
    <w:rsid w:val="007C55C1"/>
    <w:rsid w:val="007C5738"/>
    <w:rsid w:val="007C5772"/>
    <w:rsid w:val="007C5AC3"/>
    <w:rsid w:val="007C5BD5"/>
    <w:rsid w:val="007C5E67"/>
    <w:rsid w:val="007C5F44"/>
    <w:rsid w:val="007C6097"/>
    <w:rsid w:val="007C6512"/>
    <w:rsid w:val="007C7233"/>
    <w:rsid w:val="007C7AD9"/>
    <w:rsid w:val="007C7FE4"/>
    <w:rsid w:val="007D0DA7"/>
    <w:rsid w:val="007D10EE"/>
    <w:rsid w:val="007D1193"/>
    <w:rsid w:val="007D21D5"/>
    <w:rsid w:val="007D2264"/>
    <w:rsid w:val="007D33BC"/>
    <w:rsid w:val="007D3E8D"/>
    <w:rsid w:val="007D50F7"/>
    <w:rsid w:val="007D52F8"/>
    <w:rsid w:val="007D54F1"/>
    <w:rsid w:val="007D5915"/>
    <w:rsid w:val="007D5B4F"/>
    <w:rsid w:val="007D5C0F"/>
    <w:rsid w:val="007D5C15"/>
    <w:rsid w:val="007D5C30"/>
    <w:rsid w:val="007D5F65"/>
    <w:rsid w:val="007D6496"/>
    <w:rsid w:val="007D674D"/>
    <w:rsid w:val="007D6951"/>
    <w:rsid w:val="007D6FBE"/>
    <w:rsid w:val="007D7497"/>
    <w:rsid w:val="007D7601"/>
    <w:rsid w:val="007E0660"/>
    <w:rsid w:val="007E06A3"/>
    <w:rsid w:val="007E079A"/>
    <w:rsid w:val="007E0A54"/>
    <w:rsid w:val="007E1411"/>
    <w:rsid w:val="007E1789"/>
    <w:rsid w:val="007E1882"/>
    <w:rsid w:val="007E196F"/>
    <w:rsid w:val="007E1BB4"/>
    <w:rsid w:val="007E1E22"/>
    <w:rsid w:val="007E2077"/>
    <w:rsid w:val="007E20E7"/>
    <w:rsid w:val="007E3514"/>
    <w:rsid w:val="007E4207"/>
    <w:rsid w:val="007E4AAA"/>
    <w:rsid w:val="007E4BD2"/>
    <w:rsid w:val="007E4C29"/>
    <w:rsid w:val="007E4CD2"/>
    <w:rsid w:val="007E5B4A"/>
    <w:rsid w:val="007E5D84"/>
    <w:rsid w:val="007E5E44"/>
    <w:rsid w:val="007E7F45"/>
    <w:rsid w:val="007F022C"/>
    <w:rsid w:val="007F06DF"/>
    <w:rsid w:val="007F07A3"/>
    <w:rsid w:val="007F09BA"/>
    <w:rsid w:val="007F0DDA"/>
    <w:rsid w:val="007F13D8"/>
    <w:rsid w:val="007F13F2"/>
    <w:rsid w:val="007F1524"/>
    <w:rsid w:val="007F17E2"/>
    <w:rsid w:val="007F1939"/>
    <w:rsid w:val="007F34A5"/>
    <w:rsid w:val="007F365C"/>
    <w:rsid w:val="007F5066"/>
    <w:rsid w:val="007F5496"/>
    <w:rsid w:val="007F60BC"/>
    <w:rsid w:val="007F621C"/>
    <w:rsid w:val="007F627A"/>
    <w:rsid w:val="007F6544"/>
    <w:rsid w:val="007F7155"/>
    <w:rsid w:val="007F7CB0"/>
    <w:rsid w:val="008001F1"/>
    <w:rsid w:val="00800C28"/>
    <w:rsid w:val="008023FA"/>
    <w:rsid w:val="0080245E"/>
    <w:rsid w:val="00802E10"/>
    <w:rsid w:val="00802F31"/>
    <w:rsid w:val="0080342C"/>
    <w:rsid w:val="00803480"/>
    <w:rsid w:val="0080359C"/>
    <w:rsid w:val="008037AE"/>
    <w:rsid w:val="008037F6"/>
    <w:rsid w:val="0080398A"/>
    <w:rsid w:val="0080439F"/>
    <w:rsid w:val="008043F4"/>
    <w:rsid w:val="00804BB4"/>
    <w:rsid w:val="00805D9F"/>
    <w:rsid w:val="00805F83"/>
    <w:rsid w:val="0080659F"/>
    <w:rsid w:val="0080668F"/>
    <w:rsid w:val="00806A54"/>
    <w:rsid w:val="00807A4D"/>
    <w:rsid w:val="00807F30"/>
    <w:rsid w:val="008100DC"/>
    <w:rsid w:val="008103DC"/>
    <w:rsid w:val="0081119F"/>
    <w:rsid w:val="0081134D"/>
    <w:rsid w:val="00811478"/>
    <w:rsid w:val="00811EDA"/>
    <w:rsid w:val="00812403"/>
    <w:rsid w:val="00812FD7"/>
    <w:rsid w:val="00813ECD"/>
    <w:rsid w:val="0081468E"/>
    <w:rsid w:val="00816341"/>
    <w:rsid w:val="00816990"/>
    <w:rsid w:val="00817308"/>
    <w:rsid w:val="00817577"/>
    <w:rsid w:val="0081795C"/>
    <w:rsid w:val="008201D9"/>
    <w:rsid w:val="00820623"/>
    <w:rsid w:val="00820B8C"/>
    <w:rsid w:val="00820F4D"/>
    <w:rsid w:val="00821567"/>
    <w:rsid w:val="00821747"/>
    <w:rsid w:val="00822409"/>
    <w:rsid w:val="008229A3"/>
    <w:rsid w:val="00822A32"/>
    <w:rsid w:val="00822DFB"/>
    <w:rsid w:val="00822F64"/>
    <w:rsid w:val="0082356E"/>
    <w:rsid w:val="0082376E"/>
    <w:rsid w:val="008253A6"/>
    <w:rsid w:val="00825A6B"/>
    <w:rsid w:val="00825C50"/>
    <w:rsid w:val="00825EDC"/>
    <w:rsid w:val="00826577"/>
    <w:rsid w:val="00826A65"/>
    <w:rsid w:val="00827439"/>
    <w:rsid w:val="00827567"/>
    <w:rsid w:val="00827C79"/>
    <w:rsid w:val="00827C9D"/>
    <w:rsid w:val="00827D85"/>
    <w:rsid w:val="0083003F"/>
    <w:rsid w:val="008304AA"/>
    <w:rsid w:val="00830A94"/>
    <w:rsid w:val="00831077"/>
    <w:rsid w:val="008316B2"/>
    <w:rsid w:val="00831A04"/>
    <w:rsid w:val="00831A4A"/>
    <w:rsid w:val="00831FB9"/>
    <w:rsid w:val="008320F5"/>
    <w:rsid w:val="00832134"/>
    <w:rsid w:val="0083219E"/>
    <w:rsid w:val="008322C1"/>
    <w:rsid w:val="008324B3"/>
    <w:rsid w:val="008327A8"/>
    <w:rsid w:val="008329B0"/>
    <w:rsid w:val="008336F2"/>
    <w:rsid w:val="00833899"/>
    <w:rsid w:val="0083486D"/>
    <w:rsid w:val="0083497C"/>
    <w:rsid w:val="00834DC7"/>
    <w:rsid w:val="008352A6"/>
    <w:rsid w:val="00835576"/>
    <w:rsid w:val="0083568B"/>
    <w:rsid w:val="00835B5B"/>
    <w:rsid w:val="00835CC2"/>
    <w:rsid w:val="00835F06"/>
    <w:rsid w:val="0083669B"/>
    <w:rsid w:val="008366AC"/>
    <w:rsid w:val="008367AE"/>
    <w:rsid w:val="00836E50"/>
    <w:rsid w:val="00837AA6"/>
    <w:rsid w:val="00840477"/>
    <w:rsid w:val="00840BB6"/>
    <w:rsid w:val="00841130"/>
    <w:rsid w:val="008411BF"/>
    <w:rsid w:val="0084121D"/>
    <w:rsid w:val="008418E3"/>
    <w:rsid w:val="008419C1"/>
    <w:rsid w:val="00841AC4"/>
    <w:rsid w:val="00842DF4"/>
    <w:rsid w:val="008431BD"/>
    <w:rsid w:val="00843738"/>
    <w:rsid w:val="00844515"/>
    <w:rsid w:val="0084454E"/>
    <w:rsid w:val="0084465A"/>
    <w:rsid w:val="0084489A"/>
    <w:rsid w:val="00844DFF"/>
    <w:rsid w:val="00845656"/>
    <w:rsid w:val="008459BA"/>
    <w:rsid w:val="00845D87"/>
    <w:rsid w:val="00846C3A"/>
    <w:rsid w:val="008477BF"/>
    <w:rsid w:val="00847A7B"/>
    <w:rsid w:val="008503DA"/>
    <w:rsid w:val="00850882"/>
    <w:rsid w:val="00850B68"/>
    <w:rsid w:val="00850E58"/>
    <w:rsid w:val="00850E82"/>
    <w:rsid w:val="0085122D"/>
    <w:rsid w:val="008517D3"/>
    <w:rsid w:val="008519E8"/>
    <w:rsid w:val="00851E32"/>
    <w:rsid w:val="008525FF"/>
    <w:rsid w:val="008526D2"/>
    <w:rsid w:val="00852C03"/>
    <w:rsid w:val="0085361F"/>
    <w:rsid w:val="0085374F"/>
    <w:rsid w:val="00854A79"/>
    <w:rsid w:val="008558D7"/>
    <w:rsid w:val="008558F0"/>
    <w:rsid w:val="0085590C"/>
    <w:rsid w:val="00855BEE"/>
    <w:rsid w:val="00855D20"/>
    <w:rsid w:val="008566E1"/>
    <w:rsid w:val="00856E1D"/>
    <w:rsid w:val="008575EB"/>
    <w:rsid w:val="00860FBF"/>
    <w:rsid w:val="008610B0"/>
    <w:rsid w:val="00861A78"/>
    <w:rsid w:val="00862491"/>
    <w:rsid w:val="0086255F"/>
    <w:rsid w:val="00862759"/>
    <w:rsid w:val="0086281E"/>
    <w:rsid w:val="00862C1B"/>
    <w:rsid w:val="00862DDD"/>
    <w:rsid w:val="0086312D"/>
    <w:rsid w:val="0086326D"/>
    <w:rsid w:val="0086354D"/>
    <w:rsid w:val="00863CC1"/>
    <w:rsid w:val="008648A7"/>
    <w:rsid w:val="00865B01"/>
    <w:rsid w:val="00865FAE"/>
    <w:rsid w:val="008667C4"/>
    <w:rsid w:val="00866B91"/>
    <w:rsid w:val="00866D7A"/>
    <w:rsid w:val="00866DE8"/>
    <w:rsid w:val="00866EE3"/>
    <w:rsid w:val="00867A6E"/>
    <w:rsid w:val="00867D58"/>
    <w:rsid w:val="008700C4"/>
    <w:rsid w:val="00870C31"/>
    <w:rsid w:val="00870FD2"/>
    <w:rsid w:val="00871F04"/>
    <w:rsid w:val="0087330D"/>
    <w:rsid w:val="00873E91"/>
    <w:rsid w:val="00873FE2"/>
    <w:rsid w:val="008746C1"/>
    <w:rsid w:val="00874A99"/>
    <w:rsid w:val="00874FD4"/>
    <w:rsid w:val="00875357"/>
    <w:rsid w:val="00875D38"/>
    <w:rsid w:val="00877646"/>
    <w:rsid w:val="00877738"/>
    <w:rsid w:val="00880224"/>
    <w:rsid w:val="00881415"/>
    <w:rsid w:val="00881755"/>
    <w:rsid w:val="00881BF5"/>
    <w:rsid w:val="00881FEC"/>
    <w:rsid w:val="0088244C"/>
    <w:rsid w:val="00882798"/>
    <w:rsid w:val="008828E1"/>
    <w:rsid w:val="00882FCD"/>
    <w:rsid w:val="0088326A"/>
    <w:rsid w:val="00883367"/>
    <w:rsid w:val="00884024"/>
    <w:rsid w:val="00884C47"/>
    <w:rsid w:val="00885483"/>
    <w:rsid w:val="00885E6F"/>
    <w:rsid w:val="008861AC"/>
    <w:rsid w:val="00886296"/>
    <w:rsid w:val="008868E4"/>
    <w:rsid w:val="00886A60"/>
    <w:rsid w:val="008873E6"/>
    <w:rsid w:val="0088759B"/>
    <w:rsid w:val="008909B4"/>
    <w:rsid w:val="00890D14"/>
    <w:rsid w:val="0089101E"/>
    <w:rsid w:val="00891AD9"/>
    <w:rsid w:val="008922E8"/>
    <w:rsid w:val="00892CCF"/>
    <w:rsid w:val="00893916"/>
    <w:rsid w:val="008941DD"/>
    <w:rsid w:val="0089442C"/>
    <w:rsid w:val="0089577E"/>
    <w:rsid w:val="00895818"/>
    <w:rsid w:val="00895866"/>
    <w:rsid w:val="00896344"/>
    <w:rsid w:val="0089707E"/>
    <w:rsid w:val="008978B9"/>
    <w:rsid w:val="008A0181"/>
    <w:rsid w:val="008A05DB"/>
    <w:rsid w:val="008A076C"/>
    <w:rsid w:val="008A22E3"/>
    <w:rsid w:val="008A2585"/>
    <w:rsid w:val="008A2718"/>
    <w:rsid w:val="008A4A69"/>
    <w:rsid w:val="008A4CF6"/>
    <w:rsid w:val="008A4E42"/>
    <w:rsid w:val="008A51AA"/>
    <w:rsid w:val="008A5867"/>
    <w:rsid w:val="008A633D"/>
    <w:rsid w:val="008A688B"/>
    <w:rsid w:val="008A6A12"/>
    <w:rsid w:val="008A6F6A"/>
    <w:rsid w:val="008A738B"/>
    <w:rsid w:val="008B0952"/>
    <w:rsid w:val="008B0A61"/>
    <w:rsid w:val="008B0CAA"/>
    <w:rsid w:val="008B0CC3"/>
    <w:rsid w:val="008B0DC6"/>
    <w:rsid w:val="008B0F9A"/>
    <w:rsid w:val="008B1BA0"/>
    <w:rsid w:val="008B21B2"/>
    <w:rsid w:val="008B2B9E"/>
    <w:rsid w:val="008B31F5"/>
    <w:rsid w:val="008B3542"/>
    <w:rsid w:val="008B37D2"/>
    <w:rsid w:val="008B3AF8"/>
    <w:rsid w:val="008B3C79"/>
    <w:rsid w:val="008B3DBC"/>
    <w:rsid w:val="008B4117"/>
    <w:rsid w:val="008B4449"/>
    <w:rsid w:val="008B4C79"/>
    <w:rsid w:val="008B55B5"/>
    <w:rsid w:val="008B5D2D"/>
    <w:rsid w:val="008B5DE4"/>
    <w:rsid w:val="008B6361"/>
    <w:rsid w:val="008C0320"/>
    <w:rsid w:val="008C08A5"/>
    <w:rsid w:val="008C0B2E"/>
    <w:rsid w:val="008C0B37"/>
    <w:rsid w:val="008C1054"/>
    <w:rsid w:val="008C17FC"/>
    <w:rsid w:val="008C182B"/>
    <w:rsid w:val="008C1B4D"/>
    <w:rsid w:val="008C2458"/>
    <w:rsid w:val="008C254B"/>
    <w:rsid w:val="008C2A81"/>
    <w:rsid w:val="008C3863"/>
    <w:rsid w:val="008C3B6B"/>
    <w:rsid w:val="008C44D7"/>
    <w:rsid w:val="008C4BDC"/>
    <w:rsid w:val="008C50FF"/>
    <w:rsid w:val="008C5435"/>
    <w:rsid w:val="008C6BD1"/>
    <w:rsid w:val="008C7F94"/>
    <w:rsid w:val="008D1C2D"/>
    <w:rsid w:val="008D2DB5"/>
    <w:rsid w:val="008D329C"/>
    <w:rsid w:val="008D3815"/>
    <w:rsid w:val="008D3F10"/>
    <w:rsid w:val="008D6009"/>
    <w:rsid w:val="008D6083"/>
    <w:rsid w:val="008D611D"/>
    <w:rsid w:val="008E0AFA"/>
    <w:rsid w:val="008E0CA6"/>
    <w:rsid w:val="008E19F9"/>
    <w:rsid w:val="008E1B6A"/>
    <w:rsid w:val="008E2B2E"/>
    <w:rsid w:val="008E2D10"/>
    <w:rsid w:val="008E3054"/>
    <w:rsid w:val="008E32FF"/>
    <w:rsid w:val="008E333B"/>
    <w:rsid w:val="008E5335"/>
    <w:rsid w:val="008E5625"/>
    <w:rsid w:val="008E5C5B"/>
    <w:rsid w:val="008E6A37"/>
    <w:rsid w:val="008E6BE2"/>
    <w:rsid w:val="008E6E08"/>
    <w:rsid w:val="008E6EC8"/>
    <w:rsid w:val="008E74A4"/>
    <w:rsid w:val="008E7F01"/>
    <w:rsid w:val="008F0354"/>
    <w:rsid w:val="008F0367"/>
    <w:rsid w:val="008F085A"/>
    <w:rsid w:val="008F0E54"/>
    <w:rsid w:val="008F1462"/>
    <w:rsid w:val="008F2413"/>
    <w:rsid w:val="008F248D"/>
    <w:rsid w:val="008F2734"/>
    <w:rsid w:val="008F2A15"/>
    <w:rsid w:val="008F35BD"/>
    <w:rsid w:val="008F3AFC"/>
    <w:rsid w:val="008F4B2C"/>
    <w:rsid w:val="008F4C08"/>
    <w:rsid w:val="008F4D36"/>
    <w:rsid w:val="008F5427"/>
    <w:rsid w:val="008F586F"/>
    <w:rsid w:val="008F5F97"/>
    <w:rsid w:val="008F5FF1"/>
    <w:rsid w:val="008F6582"/>
    <w:rsid w:val="008F6800"/>
    <w:rsid w:val="008F6828"/>
    <w:rsid w:val="008F6851"/>
    <w:rsid w:val="008F6F39"/>
    <w:rsid w:val="008F75FD"/>
    <w:rsid w:val="008F76BD"/>
    <w:rsid w:val="008F7BC4"/>
    <w:rsid w:val="009001AF"/>
    <w:rsid w:val="009003B8"/>
    <w:rsid w:val="00900A71"/>
    <w:rsid w:val="00900E7A"/>
    <w:rsid w:val="009012BC"/>
    <w:rsid w:val="00901375"/>
    <w:rsid w:val="009014CC"/>
    <w:rsid w:val="0090373A"/>
    <w:rsid w:val="00903E11"/>
    <w:rsid w:val="00903EBE"/>
    <w:rsid w:val="00904176"/>
    <w:rsid w:val="009041DE"/>
    <w:rsid w:val="00904223"/>
    <w:rsid w:val="009047F7"/>
    <w:rsid w:val="00904EAA"/>
    <w:rsid w:val="00905D59"/>
    <w:rsid w:val="009062CA"/>
    <w:rsid w:val="00906862"/>
    <w:rsid w:val="00907631"/>
    <w:rsid w:val="00907776"/>
    <w:rsid w:val="00907865"/>
    <w:rsid w:val="00910E4D"/>
    <w:rsid w:val="00913401"/>
    <w:rsid w:val="00913567"/>
    <w:rsid w:val="009137B6"/>
    <w:rsid w:val="009142CB"/>
    <w:rsid w:val="0091491C"/>
    <w:rsid w:val="00915BB3"/>
    <w:rsid w:val="00915EBA"/>
    <w:rsid w:val="0091699E"/>
    <w:rsid w:val="009169C3"/>
    <w:rsid w:val="009169EC"/>
    <w:rsid w:val="00917093"/>
    <w:rsid w:val="00917F09"/>
    <w:rsid w:val="0092030E"/>
    <w:rsid w:val="00920423"/>
    <w:rsid w:val="009217A0"/>
    <w:rsid w:val="009217B1"/>
    <w:rsid w:val="00921A42"/>
    <w:rsid w:val="00921F7A"/>
    <w:rsid w:val="009223BB"/>
    <w:rsid w:val="00922491"/>
    <w:rsid w:val="00922657"/>
    <w:rsid w:val="00922698"/>
    <w:rsid w:val="00923654"/>
    <w:rsid w:val="009237F1"/>
    <w:rsid w:val="009237FE"/>
    <w:rsid w:val="00923BCF"/>
    <w:rsid w:val="009240BC"/>
    <w:rsid w:val="0092516D"/>
    <w:rsid w:val="009259E1"/>
    <w:rsid w:val="00925AEC"/>
    <w:rsid w:val="00925CD4"/>
    <w:rsid w:val="00925F53"/>
    <w:rsid w:val="009273D7"/>
    <w:rsid w:val="0092751A"/>
    <w:rsid w:val="00927E28"/>
    <w:rsid w:val="009305C4"/>
    <w:rsid w:val="0093079C"/>
    <w:rsid w:val="009309A8"/>
    <w:rsid w:val="00931184"/>
    <w:rsid w:val="00931FAF"/>
    <w:rsid w:val="00932478"/>
    <w:rsid w:val="009326ED"/>
    <w:rsid w:val="00933013"/>
    <w:rsid w:val="009334BA"/>
    <w:rsid w:val="009336D0"/>
    <w:rsid w:val="00934D2A"/>
    <w:rsid w:val="00935579"/>
    <w:rsid w:val="009356F7"/>
    <w:rsid w:val="0093580E"/>
    <w:rsid w:val="009360F6"/>
    <w:rsid w:val="009361EA"/>
    <w:rsid w:val="0093708A"/>
    <w:rsid w:val="009371DC"/>
    <w:rsid w:val="0093759D"/>
    <w:rsid w:val="0093764F"/>
    <w:rsid w:val="00940239"/>
    <w:rsid w:val="00941318"/>
    <w:rsid w:val="00942170"/>
    <w:rsid w:val="0094271D"/>
    <w:rsid w:val="009427D2"/>
    <w:rsid w:val="00942BD6"/>
    <w:rsid w:val="00942DED"/>
    <w:rsid w:val="00943345"/>
    <w:rsid w:val="009437AF"/>
    <w:rsid w:val="00943CFE"/>
    <w:rsid w:val="00944404"/>
    <w:rsid w:val="0094460A"/>
    <w:rsid w:val="009451D3"/>
    <w:rsid w:val="009452D7"/>
    <w:rsid w:val="00945FD1"/>
    <w:rsid w:val="00946232"/>
    <w:rsid w:val="00946687"/>
    <w:rsid w:val="00946CCC"/>
    <w:rsid w:val="00947246"/>
    <w:rsid w:val="009503E5"/>
    <w:rsid w:val="00950D5E"/>
    <w:rsid w:val="00950F71"/>
    <w:rsid w:val="00950FD5"/>
    <w:rsid w:val="009519D0"/>
    <w:rsid w:val="00951DCF"/>
    <w:rsid w:val="009528B0"/>
    <w:rsid w:val="00952F2C"/>
    <w:rsid w:val="009532E3"/>
    <w:rsid w:val="00953615"/>
    <w:rsid w:val="00953ED1"/>
    <w:rsid w:val="009542B1"/>
    <w:rsid w:val="00954711"/>
    <w:rsid w:val="00954BAF"/>
    <w:rsid w:val="00954EC7"/>
    <w:rsid w:val="00955F48"/>
    <w:rsid w:val="009560A4"/>
    <w:rsid w:val="009560B3"/>
    <w:rsid w:val="00956465"/>
    <w:rsid w:val="00956D80"/>
    <w:rsid w:val="0095745E"/>
    <w:rsid w:val="00957CE0"/>
    <w:rsid w:val="00957F9D"/>
    <w:rsid w:val="0096002E"/>
    <w:rsid w:val="0096033C"/>
    <w:rsid w:val="0096039E"/>
    <w:rsid w:val="00960D2A"/>
    <w:rsid w:val="0096205A"/>
    <w:rsid w:val="00962A3A"/>
    <w:rsid w:val="00962BA3"/>
    <w:rsid w:val="00962CEF"/>
    <w:rsid w:val="00963764"/>
    <w:rsid w:val="00963766"/>
    <w:rsid w:val="00963FDF"/>
    <w:rsid w:val="009641CD"/>
    <w:rsid w:val="00964A5C"/>
    <w:rsid w:val="00964C32"/>
    <w:rsid w:val="00964D86"/>
    <w:rsid w:val="0096528F"/>
    <w:rsid w:val="009653F2"/>
    <w:rsid w:val="00965E68"/>
    <w:rsid w:val="009661DF"/>
    <w:rsid w:val="009667BD"/>
    <w:rsid w:val="00967C2B"/>
    <w:rsid w:val="00967CE2"/>
    <w:rsid w:val="00967FD2"/>
    <w:rsid w:val="00970367"/>
    <w:rsid w:val="009703DF"/>
    <w:rsid w:val="00971124"/>
    <w:rsid w:val="00971852"/>
    <w:rsid w:val="00971956"/>
    <w:rsid w:val="009719F7"/>
    <w:rsid w:val="00971C86"/>
    <w:rsid w:val="00971DA3"/>
    <w:rsid w:val="00971F1B"/>
    <w:rsid w:val="00971FCB"/>
    <w:rsid w:val="00972161"/>
    <w:rsid w:val="0097261B"/>
    <w:rsid w:val="0097280E"/>
    <w:rsid w:val="00972E4D"/>
    <w:rsid w:val="009734F9"/>
    <w:rsid w:val="00974322"/>
    <w:rsid w:val="00974881"/>
    <w:rsid w:val="00974DA7"/>
    <w:rsid w:val="009754B9"/>
    <w:rsid w:val="00975BEA"/>
    <w:rsid w:val="0097606C"/>
    <w:rsid w:val="00976B4B"/>
    <w:rsid w:val="00976D21"/>
    <w:rsid w:val="009770F0"/>
    <w:rsid w:val="009771D1"/>
    <w:rsid w:val="0098012D"/>
    <w:rsid w:val="00980803"/>
    <w:rsid w:val="00980845"/>
    <w:rsid w:val="00980C34"/>
    <w:rsid w:val="00981185"/>
    <w:rsid w:val="00981674"/>
    <w:rsid w:val="009818F2"/>
    <w:rsid w:val="00981BD9"/>
    <w:rsid w:val="0098225F"/>
    <w:rsid w:val="00982301"/>
    <w:rsid w:val="00982A36"/>
    <w:rsid w:val="00982C06"/>
    <w:rsid w:val="00983694"/>
    <w:rsid w:val="00983A3C"/>
    <w:rsid w:val="00983EFA"/>
    <w:rsid w:val="009842F1"/>
    <w:rsid w:val="00984AC9"/>
    <w:rsid w:val="00984C15"/>
    <w:rsid w:val="00984E6E"/>
    <w:rsid w:val="00987829"/>
    <w:rsid w:val="009878A3"/>
    <w:rsid w:val="00987F7A"/>
    <w:rsid w:val="009906DE"/>
    <w:rsid w:val="00991276"/>
    <w:rsid w:val="00991F30"/>
    <w:rsid w:val="00992010"/>
    <w:rsid w:val="009923E7"/>
    <w:rsid w:val="00992697"/>
    <w:rsid w:val="00992C89"/>
    <w:rsid w:val="00992D4E"/>
    <w:rsid w:val="00992E46"/>
    <w:rsid w:val="009934BB"/>
    <w:rsid w:val="00993987"/>
    <w:rsid w:val="0099439E"/>
    <w:rsid w:val="00994621"/>
    <w:rsid w:val="009947FF"/>
    <w:rsid w:val="009948E9"/>
    <w:rsid w:val="009949FF"/>
    <w:rsid w:val="0099544B"/>
    <w:rsid w:val="00995DC8"/>
    <w:rsid w:val="00996BDC"/>
    <w:rsid w:val="00996F5A"/>
    <w:rsid w:val="00997719"/>
    <w:rsid w:val="009A00DB"/>
    <w:rsid w:val="009A07A6"/>
    <w:rsid w:val="009A0D56"/>
    <w:rsid w:val="009A13ED"/>
    <w:rsid w:val="009A29DC"/>
    <w:rsid w:val="009A31B9"/>
    <w:rsid w:val="009A32BE"/>
    <w:rsid w:val="009A42F7"/>
    <w:rsid w:val="009A438B"/>
    <w:rsid w:val="009A4824"/>
    <w:rsid w:val="009A4D4F"/>
    <w:rsid w:val="009A53D8"/>
    <w:rsid w:val="009A545B"/>
    <w:rsid w:val="009A5954"/>
    <w:rsid w:val="009A597F"/>
    <w:rsid w:val="009A613F"/>
    <w:rsid w:val="009A6891"/>
    <w:rsid w:val="009A6B51"/>
    <w:rsid w:val="009A7B72"/>
    <w:rsid w:val="009A7F49"/>
    <w:rsid w:val="009A7F62"/>
    <w:rsid w:val="009B03C4"/>
    <w:rsid w:val="009B0AA2"/>
    <w:rsid w:val="009B1D02"/>
    <w:rsid w:val="009B2437"/>
    <w:rsid w:val="009B2CC3"/>
    <w:rsid w:val="009B3018"/>
    <w:rsid w:val="009B35F9"/>
    <w:rsid w:val="009B536E"/>
    <w:rsid w:val="009B56C5"/>
    <w:rsid w:val="009B6132"/>
    <w:rsid w:val="009B7133"/>
    <w:rsid w:val="009B7206"/>
    <w:rsid w:val="009B7658"/>
    <w:rsid w:val="009B7CD1"/>
    <w:rsid w:val="009B7E22"/>
    <w:rsid w:val="009B7E78"/>
    <w:rsid w:val="009C048D"/>
    <w:rsid w:val="009C08F0"/>
    <w:rsid w:val="009C0A76"/>
    <w:rsid w:val="009C0BB9"/>
    <w:rsid w:val="009C0DC1"/>
    <w:rsid w:val="009C10FE"/>
    <w:rsid w:val="009C13BC"/>
    <w:rsid w:val="009C1574"/>
    <w:rsid w:val="009C1CA4"/>
    <w:rsid w:val="009C1EB2"/>
    <w:rsid w:val="009C1F36"/>
    <w:rsid w:val="009C2532"/>
    <w:rsid w:val="009C25E1"/>
    <w:rsid w:val="009C2BA4"/>
    <w:rsid w:val="009C2D2B"/>
    <w:rsid w:val="009C34C9"/>
    <w:rsid w:val="009C3B96"/>
    <w:rsid w:val="009C3CD6"/>
    <w:rsid w:val="009C5160"/>
    <w:rsid w:val="009C5737"/>
    <w:rsid w:val="009C5CCA"/>
    <w:rsid w:val="009C5D7F"/>
    <w:rsid w:val="009C6091"/>
    <w:rsid w:val="009C60E2"/>
    <w:rsid w:val="009C634F"/>
    <w:rsid w:val="009C637B"/>
    <w:rsid w:val="009C685F"/>
    <w:rsid w:val="009C7F94"/>
    <w:rsid w:val="009D0219"/>
    <w:rsid w:val="009D0D55"/>
    <w:rsid w:val="009D1AC8"/>
    <w:rsid w:val="009D2295"/>
    <w:rsid w:val="009D2511"/>
    <w:rsid w:val="009D25AE"/>
    <w:rsid w:val="009D3E57"/>
    <w:rsid w:val="009D3E69"/>
    <w:rsid w:val="009D3E7C"/>
    <w:rsid w:val="009D44FC"/>
    <w:rsid w:val="009D4DCD"/>
    <w:rsid w:val="009D51D1"/>
    <w:rsid w:val="009D5503"/>
    <w:rsid w:val="009D55CA"/>
    <w:rsid w:val="009D5661"/>
    <w:rsid w:val="009D5EF0"/>
    <w:rsid w:val="009D6401"/>
    <w:rsid w:val="009D6AE1"/>
    <w:rsid w:val="009D6E99"/>
    <w:rsid w:val="009D792D"/>
    <w:rsid w:val="009E0711"/>
    <w:rsid w:val="009E085F"/>
    <w:rsid w:val="009E1917"/>
    <w:rsid w:val="009E1AD0"/>
    <w:rsid w:val="009E1C55"/>
    <w:rsid w:val="009E22D3"/>
    <w:rsid w:val="009E2801"/>
    <w:rsid w:val="009E3594"/>
    <w:rsid w:val="009E3608"/>
    <w:rsid w:val="009E453C"/>
    <w:rsid w:val="009E49DB"/>
    <w:rsid w:val="009E5B9A"/>
    <w:rsid w:val="009E60A5"/>
    <w:rsid w:val="009E60F4"/>
    <w:rsid w:val="009E6516"/>
    <w:rsid w:val="009E697D"/>
    <w:rsid w:val="009E6B77"/>
    <w:rsid w:val="009E6BAF"/>
    <w:rsid w:val="009E7475"/>
    <w:rsid w:val="009E7724"/>
    <w:rsid w:val="009E77A4"/>
    <w:rsid w:val="009E7D1F"/>
    <w:rsid w:val="009F1D82"/>
    <w:rsid w:val="009F26C7"/>
    <w:rsid w:val="009F37AA"/>
    <w:rsid w:val="009F4674"/>
    <w:rsid w:val="009F473C"/>
    <w:rsid w:val="009F52C3"/>
    <w:rsid w:val="009F542D"/>
    <w:rsid w:val="009F544C"/>
    <w:rsid w:val="009F54FD"/>
    <w:rsid w:val="009F5731"/>
    <w:rsid w:val="009F58FA"/>
    <w:rsid w:val="009F5ABE"/>
    <w:rsid w:val="009F5D4C"/>
    <w:rsid w:val="009F61C3"/>
    <w:rsid w:val="009F6321"/>
    <w:rsid w:val="009F6378"/>
    <w:rsid w:val="009F7669"/>
    <w:rsid w:val="009F7F45"/>
    <w:rsid w:val="009F7FD5"/>
    <w:rsid w:val="00A005D4"/>
    <w:rsid w:val="00A0083C"/>
    <w:rsid w:val="00A01A90"/>
    <w:rsid w:val="00A01B03"/>
    <w:rsid w:val="00A0200F"/>
    <w:rsid w:val="00A02370"/>
    <w:rsid w:val="00A02C19"/>
    <w:rsid w:val="00A0357A"/>
    <w:rsid w:val="00A03AE1"/>
    <w:rsid w:val="00A045E1"/>
    <w:rsid w:val="00A04685"/>
    <w:rsid w:val="00A04C57"/>
    <w:rsid w:val="00A05079"/>
    <w:rsid w:val="00A05418"/>
    <w:rsid w:val="00A05964"/>
    <w:rsid w:val="00A05D3B"/>
    <w:rsid w:val="00A06340"/>
    <w:rsid w:val="00A0684F"/>
    <w:rsid w:val="00A06867"/>
    <w:rsid w:val="00A10148"/>
    <w:rsid w:val="00A10C70"/>
    <w:rsid w:val="00A113FD"/>
    <w:rsid w:val="00A11887"/>
    <w:rsid w:val="00A11DDE"/>
    <w:rsid w:val="00A11E65"/>
    <w:rsid w:val="00A126CF"/>
    <w:rsid w:val="00A127A7"/>
    <w:rsid w:val="00A129F4"/>
    <w:rsid w:val="00A136F4"/>
    <w:rsid w:val="00A13B7C"/>
    <w:rsid w:val="00A13C16"/>
    <w:rsid w:val="00A152E4"/>
    <w:rsid w:val="00A15846"/>
    <w:rsid w:val="00A159D4"/>
    <w:rsid w:val="00A15A4E"/>
    <w:rsid w:val="00A15A9A"/>
    <w:rsid w:val="00A160D3"/>
    <w:rsid w:val="00A16DC9"/>
    <w:rsid w:val="00A17115"/>
    <w:rsid w:val="00A17125"/>
    <w:rsid w:val="00A1719A"/>
    <w:rsid w:val="00A1719D"/>
    <w:rsid w:val="00A177E8"/>
    <w:rsid w:val="00A17AD7"/>
    <w:rsid w:val="00A17BAF"/>
    <w:rsid w:val="00A20225"/>
    <w:rsid w:val="00A20302"/>
    <w:rsid w:val="00A203EF"/>
    <w:rsid w:val="00A20868"/>
    <w:rsid w:val="00A21413"/>
    <w:rsid w:val="00A218C1"/>
    <w:rsid w:val="00A220E7"/>
    <w:rsid w:val="00A221B2"/>
    <w:rsid w:val="00A225A6"/>
    <w:rsid w:val="00A22928"/>
    <w:rsid w:val="00A22E63"/>
    <w:rsid w:val="00A24269"/>
    <w:rsid w:val="00A243E4"/>
    <w:rsid w:val="00A24BE9"/>
    <w:rsid w:val="00A24F9A"/>
    <w:rsid w:val="00A24FB6"/>
    <w:rsid w:val="00A25392"/>
    <w:rsid w:val="00A256CF"/>
    <w:rsid w:val="00A25ED4"/>
    <w:rsid w:val="00A263DF"/>
    <w:rsid w:val="00A266F9"/>
    <w:rsid w:val="00A26A79"/>
    <w:rsid w:val="00A26C5C"/>
    <w:rsid w:val="00A27CF5"/>
    <w:rsid w:val="00A300DE"/>
    <w:rsid w:val="00A3026E"/>
    <w:rsid w:val="00A30765"/>
    <w:rsid w:val="00A30885"/>
    <w:rsid w:val="00A30BDE"/>
    <w:rsid w:val="00A30FE9"/>
    <w:rsid w:val="00A31146"/>
    <w:rsid w:val="00A3131C"/>
    <w:rsid w:val="00A31CDF"/>
    <w:rsid w:val="00A31F14"/>
    <w:rsid w:val="00A31F5D"/>
    <w:rsid w:val="00A324DC"/>
    <w:rsid w:val="00A32B5A"/>
    <w:rsid w:val="00A32C82"/>
    <w:rsid w:val="00A338A1"/>
    <w:rsid w:val="00A33CCC"/>
    <w:rsid w:val="00A33D9F"/>
    <w:rsid w:val="00A33ECB"/>
    <w:rsid w:val="00A345B4"/>
    <w:rsid w:val="00A34DE0"/>
    <w:rsid w:val="00A34E63"/>
    <w:rsid w:val="00A35728"/>
    <w:rsid w:val="00A35B87"/>
    <w:rsid w:val="00A36B83"/>
    <w:rsid w:val="00A36EE3"/>
    <w:rsid w:val="00A37435"/>
    <w:rsid w:val="00A37C1B"/>
    <w:rsid w:val="00A37CB7"/>
    <w:rsid w:val="00A37E7D"/>
    <w:rsid w:val="00A40165"/>
    <w:rsid w:val="00A402A0"/>
    <w:rsid w:val="00A40AA6"/>
    <w:rsid w:val="00A40DAF"/>
    <w:rsid w:val="00A41710"/>
    <w:rsid w:val="00A4173D"/>
    <w:rsid w:val="00A4195A"/>
    <w:rsid w:val="00A41A95"/>
    <w:rsid w:val="00A42038"/>
    <w:rsid w:val="00A4248B"/>
    <w:rsid w:val="00A4338A"/>
    <w:rsid w:val="00A4376E"/>
    <w:rsid w:val="00A43826"/>
    <w:rsid w:val="00A45406"/>
    <w:rsid w:val="00A4572B"/>
    <w:rsid w:val="00A46246"/>
    <w:rsid w:val="00A46349"/>
    <w:rsid w:val="00A4634B"/>
    <w:rsid w:val="00A469F9"/>
    <w:rsid w:val="00A46D5E"/>
    <w:rsid w:val="00A50847"/>
    <w:rsid w:val="00A508DE"/>
    <w:rsid w:val="00A51011"/>
    <w:rsid w:val="00A512C7"/>
    <w:rsid w:val="00A51FDE"/>
    <w:rsid w:val="00A52EBB"/>
    <w:rsid w:val="00A53670"/>
    <w:rsid w:val="00A537A0"/>
    <w:rsid w:val="00A538B8"/>
    <w:rsid w:val="00A53C16"/>
    <w:rsid w:val="00A5419C"/>
    <w:rsid w:val="00A54BFF"/>
    <w:rsid w:val="00A54C63"/>
    <w:rsid w:val="00A54FBB"/>
    <w:rsid w:val="00A553E9"/>
    <w:rsid w:val="00A55A0C"/>
    <w:rsid w:val="00A55BB1"/>
    <w:rsid w:val="00A55D71"/>
    <w:rsid w:val="00A55FD6"/>
    <w:rsid w:val="00A5619C"/>
    <w:rsid w:val="00A564CD"/>
    <w:rsid w:val="00A564CE"/>
    <w:rsid w:val="00A56625"/>
    <w:rsid w:val="00A5675F"/>
    <w:rsid w:val="00A5680C"/>
    <w:rsid w:val="00A608DC"/>
    <w:rsid w:val="00A60BF5"/>
    <w:rsid w:val="00A60D6F"/>
    <w:rsid w:val="00A61009"/>
    <w:rsid w:val="00A610F3"/>
    <w:rsid w:val="00A613B8"/>
    <w:rsid w:val="00A6145E"/>
    <w:rsid w:val="00A61762"/>
    <w:rsid w:val="00A61792"/>
    <w:rsid w:val="00A617F7"/>
    <w:rsid w:val="00A61938"/>
    <w:rsid w:val="00A61CFD"/>
    <w:rsid w:val="00A61D56"/>
    <w:rsid w:val="00A6269E"/>
    <w:rsid w:val="00A62B86"/>
    <w:rsid w:val="00A637FB"/>
    <w:rsid w:val="00A63C96"/>
    <w:rsid w:val="00A650CF"/>
    <w:rsid w:val="00A6576F"/>
    <w:rsid w:val="00A65805"/>
    <w:rsid w:val="00A660A1"/>
    <w:rsid w:val="00A66BEE"/>
    <w:rsid w:val="00A66EA3"/>
    <w:rsid w:val="00A671C9"/>
    <w:rsid w:val="00A6782F"/>
    <w:rsid w:val="00A67DFD"/>
    <w:rsid w:val="00A72EF5"/>
    <w:rsid w:val="00A74F9F"/>
    <w:rsid w:val="00A750B3"/>
    <w:rsid w:val="00A75559"/>
    <w:rsid w:val="00A7623D"/>
    <w:rsid w:val="00A76E71"/>
    <w:rsid w:val="00A76ECD"/>
    <w:rsid w:val="00A77454"/>
    <w:rsid w:val="00A774F2"/>
    <w:rsid w:val="00A8011F"/>
    <w:rsid w:val="00A8124E"/>
    <w:rsid w:val="00A82135"/>
    <w:rsid w:val="00A8217C"/>
    <w:rsid w:val="00A824A7"/>
    <w:rsid w:val="00A82EDE"/>
    <w:rsid w:val="00A83120"/>
    <w:rsid w:val="00A83644"/>
    <w:rsid w:val="00A837FB"/>
    <w:rsid w:val="00A837FC"/>
    <w:rsid w:val="00A8399F"/>
    <w:rsid w:val="00A83C07"/>
    <w:rsid w:val="00A83F40"/>
    <w:rsid w:val="00A84945"/>
    <w:rsid w:val="00A850CA"/>
    <w:rsid w:val="00A85543"/>
    <w:rsid w:val="00A86EDD"/>
    <w:rsid w:val="00A8728B"/>
    <w:rsid w:val="00A87344"/>
    <w:rsid w:val="00A914BC"/>
    <w:rsid w:val="00A91682"/>
    <w:rsid w:val="00A91802"/>
    <w:rsid w:val="00A91E86"/>
    <w:rsid w:val="00A92125"/>
    <w:rsid w:val="00A9232F"/>
    <w:rsid w:val="00A92616"/>
    <w:rsid w:val="00A926EC"/>
    <w:rsid w:val="00A92E4A"/>
    <w:rsid w:val="00A938C6"/>
    <w:rsid w:val="00A953CA"/>
    <w:rsid w:val="00A958CA"/>
    <w:rsid w:val="00A966B6"/>
    <w:rsid w:val="00A96B46"/>
    <w:rsid w:val="00A96DC4"/>
    <w:rsid w:val="00A972DB"/>
    <w:rsid w:val="00AA003B"/>
    <w:rsid w:val="00AA016B"/>
    <w:rsid w:val="00AA04A3"/>
    <w:rsid w:val="00AA0760"/>
    <w:rsid w:val="00AA0876"/>
    <w:rsid w:val="00AA096D"/>
    <w:rsid w:val="00AA0DC8"/>
    <w:rsid w:val="00AA0E29"/>
    <w:rsid w:val="00AA15DD"/>
    <w:rsid w:val="00AA18B1"/>
    <w:rsid w:val="00AA1C09"/>
    <w:rsid w:val="00AA2565"/>
    <w:rsid w:val="00AA2E9C"/>
    <w:rsid w:val="00AA2F67"/>
    <w:rsid w:val="00AA341F"/>
    <w:rsid w:val="00AA3569"/>
    <w:rsid w:val="00AA3EE8"/>
    <w:rsid w:val="00AA48C5"/>
    <w:rsid w:val="00AA49AD"/>
    <w:rsid w:val="00AA4E14"/>
    <w:rsid w:val="00AA519D"/>
    <w:rsid w:val="00AA5508"/>
    <w:rsid w:val="00AA5A9D"/>
    <w:rsid w:val="00AA5F4C"/>
    <w:rsid w:val="00AA615C"/>
    <w:rsid w:val="00AA6276"/>
    <w:rsid w:val="00AA665C"/>
    <w:rsid w:val="00AA6711"/>
    <w:rsid w:val="00AA6D4D"/>
    <w:rsid w:val="00AA7F48"/>
    <w:rsid w:val="00AB00E8"/>
    <w:rsid w:val="00AB11EB"/>
    <w:rsid w:val="00AB1C05"/>
    <w:rsid w:val="00AB288C"/>
    <w:rsid w:val="00AB2A9A"/>
    <w:rsid w:val="00AB2AEC"/>
    <w:rsid w:val="00AB2DC1"/>
    <w:rsid w:val="00AB3102"/>
    <w:rsid w:val="00AB3D9A"/>
    <w:rsid w:val="00AB4469"/>
    <w:rsid w:val="00AB4824"/>
    <w:rsid w:val="00AB4B1D"/>
    <w:rsid w:val="00AB4C09"/>
    <w:rsid w:val="00AB544D"/>
    <w:rsid w:val="00AB58EF"/>
    <w:rsid w:val="00AB5D62"/>
    <w:rsid w:val="00AB64A8"/>
    <w:rsid w:val="00AB6833"/>
    <w:rsid w:val="00AB6A44"/>
    <w:rsid w:val="00AB6B5E"/>
    <w:rsid w:val="00AB6ED3"/>
    <w:rsid w:val="00AB795A"/>
    <w:rsid w:val="00AB7BC7"/>
    <w:rsid w:val="00AC014A"/>
    <w:rsid w:val="00AC047F"/>
    <w:rsid w:val="00AC065F"/>
    <w:rsid w:val="00AC081C"/>
    <w:rsid w:val="00AC0DB2"/>
    <w:rsid w:val="00AC0DE9"/>
    <w:rsid w:val="00AC1385"/>
    <w:rsid w:val="00AC16F0"/>
    <w:rsid w:val="00AC268E"/>
    <w:rsid w:val="00AC374B"/>
    <w:rsid w:val="00AC3934"/>
    <w:rsid w:val="00AC431E"/>
    <w:rsid w:val="00AC4CAF"/>
    <w:rsid w:val="00AC4F4B"/>
    <w:rsid w:val="00AC50C8"/>
    <w:rsid w:val="00AC5581"/>
    <w:rsid w:val="00AC56AD"/>
    <w:rsid w:val="00AC5EBA"/>
    <w:rsid w:val="00AC61BE"/>
    <w:rsid w:val="00AC6C52"/>
    <w:rsid w:val="00AC76C3"/>
    <w:rsid w:val="00AC7E8A"/>
    <w:rsid w:val="00AD0C8A"/>
    <w:rsid w:val="00AD0CB4"/>
    <w:rsid w:val="00AD0CC9"/>
    <w:rsid w:val="00AD1078"/>
    <w:rsid w:val="00AD13FA"/>
    <w:rsid w:val="00AD1629"/>
    <w:rsid w:val="00AD1FF2"/>
    <w:rsid w:val="00AD2A21"/>
    <w:rsid w:val="00AD2C93"/>
    <w:rsid w:val="00AD3477"/>
    <w:rsid w:val="00AD3B43"/>
    <w:rsid w:val="00AD4015"/>
    <w:rsid w:val="00AD461B"/>
    <w:rsid w:val="00AD48A0"/>
    <w:rsid w:val="00AD4B8F"/>
    <w:rsid w:val="00AD4BD5"/>
    <w:rsid w:val="00AD4D41"/>
    <w:rsid w:val="00AD4FF2"/>
    <w:rsid w:val="00AD506C"/>
    <w:rsid w:val="00AD6028"/>
    <w:rsid w:val="00AD6261"/>
    <w:rsid w:val="00AD6BE5"/>
    <w:rsid w:val="00AD732F"/>
    <w:rsid w:val="00AD783E"/>
    <w:rsid w:val="00AD7E12"/>
    <w:rsid w:val="00AE0113"/>
    <w:rsid w:val="00AE0D81"/>
    <w:rsid w:val="00AE119E"/>
    <w:rsid w:val="00AE1393"/>
    <w:rsid w:val="00AE25D8"/>
    <w:rsid w:val="00AE2A0A"/>
    <w:rsid w:val="00AE2F9C"/>
    <w:rsid w:val="00AE373D"/>
    <w:rsid w:val="00AE3BC6"/>
    <w:rsid w:val="00AE3C7D"/>
    <w:rsid w:val="00AE3E90"/>
    <w:rsid w:val="00AE4719"/>
    <w:rsid w:val="00AE4D4F"/>
    <w:rsid w:val="00AE4D6C"/>
    <w:rsid w:val="00AE5387"/>
    <w:rsid w:val="00AE627C"/>
    <w:rsid w:val="00AE62B0"/>
    <w:rsid w:val="00AE68A2"/>
    <w:rsid w:val="00AE6BF2"/>
    <w:rsid w:val="00AE7BA1"/>
    <w:rsid w:val="00AF0029"/>
    <w:rsid w:val="00AF007C"/>
    <w:rsid w:val="00AF0354"/>
    <w:rsid w:val="00AF1236"/>
    <w:rsid w:val="00AF3BE7"/>
    <w:rsid w:val="00AF3C29"/>
    <w:rsid w:val="00AF3DF3"/>
    <w:rsid w:val="00AF4401"/>
    <w:rsid w:val="00AF4463"/>
    <w:rsid w:val="00AF4CB9"/>
    <w:rsid w:val="00AF502B"/>
    <w:rsid w:val="00AF53CB"/>
    <w:rsid w:val="00AF63FF"/>
    <w:rsid w:val="00AF640D"/>
    <w:rsid w:val="00AF65C5"/>
    <w:rsid w:val="00AF6FA9"/>
    <w:rsid w:val="00AF731A"/>
    <w:rsid w:val="00AF7DFC"/>
    <w:rsid w:val="00AF7F19"/>
    <w:rsid w:val="00B009E5"/>
    <w:rsid w:val="00B024A6"/>
    <w:rsid w:val="00B0293F"/>
    <w:rsid w:val="00B039F8"/>
    <w:rsid w:val="00B03CE2"/>
    <w:rsid w:val="00B0410D"/>
    <w:rsid w:val="00B04449"/>
    <w:rsid w:val="00B0483A"/>
    <w:rsid w:val="00B04F18"/>
    <w:rsid w:val="00B05952"/>
    <w:rsid w:val="00B06544"/>
    <w:rsid w:val="00B06ECF"/>
    <w:rsid w:val="00B072C1"/>
    <w:rsid w:val="00B07588"/>
    <w:rsid w:val="00B075FE"/>
    <w:rsid w:val="00B101A8"/>
    <w:rsid w:val="00B10221"/>
    <w:rsid w:val="00B1036F"/>
    <w:rsid w:val="00B105F2"/>
    <w:rsid w:val="00B10991"/>
    <w:rsid w:val="00B12128"/>
    <w:rsid w:val="00B12945"/>
    <w:rsid w:val="00B12BDF"/>
    <w:rsid w:val="00B12C1E"/>
    <w:rsid w:val="00B13646"/>
    <w:rsid w:val="00B13F4D"/>
    <w:rsid w:val="00B1405A"/>
    <w:rsid w:val="00B1467D"/>
    <w:rsid w:val="00B14991"/>
    <w:rsid w:val="00B155DF"/>
    <w:rsid w:val="00B156CF"/>
    <w:rsid w:val="00B1570E"/>
    <w:rsid w:val="00B1585B"/>
    <w:rsid w:val="00B16279"/>
    <w:rsid w:val="00B16805"/>
    <w:rsid w:val="00B16EA5"/>
    <w:rsid w:val="00B16FE4"/>
    <w:rsid w:val="00B176B9"/>
    <w:rsid w:val="00B17AD5"/>
    <w:rsid w:val="00B17DC8"/>
    <w:rsid w:val="00B17E1E"/>
    <w:rsid w:val="00B202F3"/>
    <w:rsid w:val="00B20340"/>
    <w:rsid w:val="00B204B0"/>
    <w:rsid w:val="00B207F1"/>
    <w:rsid w:val="00B20A42"/>
    <w:rsid w:val="00B20BDE"/>
    <w:rsid w:val="00B20C41"/>
    <w:rsid w:val="00B20DF6"/>
    <w:rsid w:val="00B21093"/>
    <w:rsid w:val="00B21386"/>
    <w:rsid w:val="00B2138D"/>
    <w:rsid w:val="00B21768"/>
    <w:rsid w:val="00B21EF5"/>
    <w:rsid w:val="00B23D39"/>
    <w:rsid w:val="00B23F86"/>
    <w:rsid w:val="00B240E1"/>
    <w:rsid w:val="00B24187"/>
    <w:rsid w:val="00B244FB"/>
    <w:rsid w:val="00B248A0"/>
    <w:rsid w:val="00B24B42"/>
    <w:rsid w:val="00B24DC6"/>
    <w:rsid w:val="00B24E30"/>
    <w:rsid w:val="00B24FFC"/>
    <w:rsid w:val="00B25073"/>
    <w:rsid w:val="00B2527D"/>
    <w:rsid w:val="00B254F0"/>
    <w:rsid w:val="00B258F3"/>
    <w:rsid w:val="00B2597B"/>
    <w:rsid w:val="00B25E0D"/>
    <w:rsid w:val="00B25FAF"/>
    <w:rsid w:val="00B2659C"/>
    <w:rsid w:val="00B2684C"/>
    <w:rsid w:val="00B26B13"/>
    <w:rsid w:val="00B26BD2"/>
    <w:rsid w:val="00B26F85"/>
    <w:rsid w:val="00B26FD7"/>
    <w:rsid w:val="00B270AB"/>
    <w:rsid w:val="00B2725B"/>
    <w:rsid w:val="00B275DE"/>
    <w:rsid w:val="00B278C7"/>
    <w:rsid w:val="00B27F87"/>
    <w:rsid w:val="00B303A2"/>
    <w:rsid w:val="00B306FC"/>
    <w:rsid w:val="00B309D2"/>
    <w:rsid w:val="00B30E4F"/>
    <w:rsid w:val="00B3124F"/>
    <w:rsid w:val="00B3137C"/>
    <w:rsid w:val="00B33294"/>
    <w:rsid w:val="00B33407"/>
    <w:rsid w:val="00B33657"/>
    <w:rsid w:val="00B34825"/>
    <w:rsid w:val="00B34885"/>
    <w:rsid w:val="00B34D68"/>
    <w:rsid w:val="00B3581F"/>
    <w:rsid w:val="00B36117"/>
    <w:rsid w:val="00B362E3"/>
    <w:rsid w:val="00B36ABE"/>
    <w:rsid w:val="00B36B04"/>
    <w:rsid w:val="00B372FE"/>
    <w:rsid w:val="00B375DD"/>
    <w:rsid w:val="00B37C73"/>
    <w:rsid w:val="00B4009B"/>
    <w:rsid w:val="00B400A1"/>
    <w:rsid w:val="00B40A2B"/>
    <w:rsid w:val="00B4113E"/>
    <w:rsid w:val="00B420CB"/>
    <w:rsid w:val="00B42ADA"/>
    <w:rsid w:val="00B43D18"/>
    <w:rsid w:val="00B43D9A"/>
    <w:rsid w:val="00B43F31"/>
    <w:rsid w:val="00B43FC6"/>
    <w:rsid w:val="00B4401C"/>
    <w:rsid w:val="00B44802"/>
    <w:rsid w:val="00B44A96"/>
    <w:rsid w:val="00B455D1"/>
    <w:rsid w:val="00B456A6"/>
    <w:rsid w:val="00B46135"/>
    <w:rsid w:val="00B472AB"/>
    <w:rsid w:val="00B47CE4"/>
    <w:rsid w:val="00B503A8"/>
    <w:rsid w:val="00B505A7"/>
    <w:rsid w:val="00B50653"/>
    <w:rsid w:val="00B50C5C"/>
    <w:rsid w:val="00B5121D"/>
    <w:rsid w:val="00B512D7"/>
    <w:rsid w:val="00B5250A"/>
    <w:rsid w:val="00B525C0"/>
    <w:rsid w:val="00B529BD"/>
    <w:rsid w:val="00B52B61"/>
    <w:rsid w:val="00B52F9D"/>
    <w:rsid w:val="00B52FAB"/>
    <w:rsid w:val="00B5319A"/>
    <w:rsid w:val="00B539F9"/>
    <w:rsid w:val="00B53A12"/>
    <w:rsid w:val="00B53E56"/>
    <w:rsid w:val="00B54088"/>
    <w:rsid w:val="00B546C3"/>
    <w:rsid w:val="00B54BD9"/>
    <w:rsid w:val="00B54EEE"/>
    <w:rsid w:val="00B5503C"/>
    <w:rsid w:val="00B5562E"/>
    <w:rsid w:val="00B55640"/>
    <w:rsid w:val="00B55C57"/>
    <w:rsid w:val="00B56601"/>
    <w:rsid w:val="00B56AEA"/>
    <w:rsid w:val="00B57107"/>
    <w:rsid w:val="00B575FE"/>
    <w:rsid w:val="00B5787B"/>
    <w:rsid w:val="00B606BC"/>
    <w:rsid w:val="00B60D27"/>
    <w:rsid w:val="00B60EA7"/>
    <w:rsid w:val="00B6196A"/>
    <w:rsid w:val="00B619E4"/>
    <w:rsid w:val="00B61CD3"/>
    <w:rsid w:val="00B61D0B"/>
    <w:rsid w:val="00B62CB7"/>
    <w:rsid w:val="00B6351C"/>
    <w:rsid w:val="00B63A53"/>
    <w:rsid w:val="00B64324"/>
    <w:rsid w:val="00B6439A"/>
    <w:rsid w:val="00B6443B"/>
    <w:rsid w:val="00B6517B"/>
    <w:rsid w:val="00B65CE6"/>
    <w:rsid w:val="00B65E71"/>
    <w:rsid w:val="00B66392"/>
    <w:rsid w:val="00B66578"/>
    <w:rsid w:val="00B66C26"/>
    <w:rsid w:val="00B66F9A"/>
    <w:rsid w:val="00B671F1"/>
    <w:rsid w:val="00B67379"/>
    <w:rsid w:val="00B67829"/>
    <w:rsid w:val="00B67C1D"/>
    <w:rsid w:val="00B7097C"/>
    <w:rsid w:val="00B709A3"/>
    <w:rsid w:val="00B71016"/>
    <w:rsid w:val="00B71488"/>
    <w:rsid w:val="00B71D1B"/>
    <w:rsid w:val="00B71FB3"/>
    <w:rsid w:val="00B729B8"/>
    <w:rsid w:val="00B73492"/>
    <w:rsid w:val="00B73A7D"/>
    <w:rsid w:val="00B7512A"/>
    <w:rsid w:val="00B751F7"/>
    <w:rsid w:val="00B7609A"/>
    <w:rsid w:val="00B762B5"/>
    <w:rsid w:val="00B76548"/>
    <w:rsid w:val="00B76806"/>
    <w:rsid w:val="00B76BED"/>
    <w:rsid w:val="00B77C8A"/>
    <w:rsid w:val="00B80293"/>
    <w:rsid w:val="00B806E6"/>
    <w:rsid w:val="00B807A6"/>
    <w:rsid w:val="00B80AB7"/>
    <w:rsid w:val="00B80DC2"/>
    <w:rsid w:val="00B812F2"/>
    <w:rsid w:val="00B813A5"/>
    <w:rsid w:val="00B81B7F"/>
    <w:rsid w:val="00B8294D"/>
    <w:rsid w:val="00B82DC1"/>
    <w:rsid w:val="00B835D5"/>
    <w:rsid w:val="00B83646"/>
    <w:rsid w:val="00B84028"/>
    <w:rsid w:val="00B84307"/>
    <w:rsid w:val="00B8430D"/>
    <w:rsid w:val="00B855A8"/>
    <w:rsid w:val="00B85661"/>
    <w:rsid w:val="00B858E0"/>
    <w:rsid w:val="00B85B70"/>
    <w:rsid w:val="00B85C8A"/>
    <w:rsid w:val="00B85DAA"/>
    <w:rsid w:val="00B85E18"/>
    <w:rsid w:val="00B866AD"/>
    <w:rsid w:val="00B86939"/>
    <w:rsid w:val="00B86DB7"/>
    <w:rsid w:val="00B86FBD"/>
    <w:rsid w:val="00B8756B"/>
    <w:rsid w:val="00B904D0"/>
    <w:rsid w:val="00B905B6"/>
    <w:rsid w:val="00B90834"/>
    <w:rsid w:val="00B90C16"/>
    <w:rsid w:val="00B91559"/>
    <w:rsid w:val="00B91B86"/>
    <w:rsid w:val="00B927CA"/>
    <w:rsid w:val="00B928AE"/>
    <w:rsid w:val="00B92DC1"/>
    <w:rsid w:val="00B931A8"/>
    <w:rsid w:val="00B93CDA"/>
    <w:rsid w:val="00B942E9"/>
    <w:rsid w:val="00B9433A"/>
    <w:rsid w:val="00B94798"/>
    <w:rsid w:val="00B948A0"/>
    <w:rsid w:val="00B948EE"/>
    <w:rsid w:val="00B94BF3"/>
    <w:rsid w:val="00B94D0E"/>
    <w:rsid w:val="00B94F90"/>
    <w:rsid w:val="00B95073"/>
    <w:rsid w:val="00B95953"/>
    <w:rsid w:val="00B95CC6"/>
    <w:rsid w:val="00B95D71"/>
    <w:rsid w:val="00B95DC5"/>
    <w:rsid w:val="00B9649F"/>
    <w:rsid w:val="00B96A2F"/>
    <w:rsid w:val="00B96E28"/>
    <w:rsid w:val="00B97E34"/>
    <w:rsid w:val="00B97FEF"/>
    <w:rsid w:val="00BA02C1"/>
    <w:rsid w:val="00BA0372"/>
    <w:rsid w:val="00BA06A3"/>
    <w:rsid w:val="00BA0F01"/>
    <w:rsid w:val="00BA1354"/>
    <w:rsid w:val="00BA178E"/>
    <w:rsid w:val="00BA1CB7"/>
    <w:rsid w:val="00BA24F8"/>
    <w:rsid w:val="00BA2698"/>
    <w:rsid w:val="00BA31AA"/>
    <w:rsid w:val="00BA3D61"/>
    <w:rsid w:val="00BA42B7"/>
    <w:rsid w:val="00BA42D1"/>
    <w:rsid w:val="00BA45D8"/>
    <w:rsid w:val="00BA48A7"/>
    <w:rsid w:val="00BA4A12"/>
    <w:rsid w:val="00BA5828"/>
    <w:rsid w:val="00BA5B5E"/>
    <w:rsid w:val="00BA5CF4"/>
    <w:rsid w:val="00BA64B3"/>
    <w:rsid w:val="00BA6EFC"/>
    <w:rsid w:val="00BA7346"/>
    <w:rsid w:val="00BA754A"/>
    <w:rsid w:val="00BA7820"/>
    <w:rsid w:val="00BA7895"/>
    <w:rsid w:val="00BA794C"/>
    <w:rsid w:val="00BA79E6"/>
    <w:rsid w:val="00BB05CB"/>
    <w:rsid w:val="00BB09FB"/>
    <w:rsid w:val="00BB0AA3"/>
    <w:rsid w:val="00BB11F9"/>
    <w:rsid w:val="00BB1973"/>
    <w:rsid w:val="00BB21E8"/>
    <w:rsid w:val="00BB238D"/>
    <w:rsid w:val="00BB3659"/>
    <w:rsid w:val="00BB37CC"/>
    <w:rsid w:val="00BB3AB7"/>
    <w:rsid w:val="00BB3BE2"/>
    <w:rsid w:val="00BB3D72"/>
    <w:rsid w:val="00BB48C4"/>
    <w:rsid w:val="00BB4DEA"/>
    <w:rsid w:val="00BB5E1E"/>
    <w:rsid w:val="00BB613E"/>
    <w:rsid w:val="00BB62D6"/>
    <w:rsid w:val="00BB6907"/>
    <w:rsid w:val="00BB6EE9"/>
    <w:rsid w:val="00BB7A20"/>
    <w:rsid w:val="00BC15B1"/>
    <w:rsid w:val="00BC207E"/>
    <w:rsid w:val="00BC21E1"/>
    <w:rsid w:val="00BC26F0"/>
    <w:rsid w:val="00BC2885"/>
    <w:rsid w:val="00BC3854"/>
    <w:rsid w:val="00BC3C06"/>
    <w:rsid w:val="00BC3CF5"/>
    <w:rsid w:val="00BC3EDD"/>
    <w:rsid w:val="00BC4045"/>
    <w:rsid w:val="00BC434B"/>
    <w:rsid w:val="00BC4499"/>
    <w:rsid w:val="00BC4E8B"/>
    <w:rsid w:val="00BC51C5"/>
    <w:rsid w:val="00BC5473"/>
    <w:rsid w:val="00BC5622"/>
    <w:rsid w:val="00BC5D85"/>
    <w:rsid w:val="00BC6060"/>
    <w:rsid w:val="00BC6074"/>
    <w:rsid w:val="00BC6543"/>
    <w:rsid w:val="00BC657B"/>
    <w:rsid w:val="00BC6A9F"/>
    <w:rsid w:val="00BC712B"/>
    <w:rsid w:val="00BC7897"/>
    <w:rsid w:val="00BC7F0E"/>
    <w:rsid w:val="00BD0015"/>
    <w:rsid w:val="00BD06D7"/>
    <w:rsid w:val="00BD0F35"/>
    <w:rsid w:val="00BD17AC"/>
    <w:rsid w:val="00BD2F07"/>
    <w:rsid w:val="00BD302B"/>
    <w:rsid w:val="00BD3A3B"/>
    <w:rsid w:val="00BD3C81"/>
    <w:rsid w:val="00BD3C86"/>
    <w:rsid w:val="00BD3F50"/>
    <w:rsid w:val="00BD45A4"/>
    <w:rsid w:val="00BD4A5F"/>
    <w:rsid w:val="00BD59AA"/>
    <w:rsid w:val="00BD5BA6"/>
    <w:rsid w:val="00BD5D42"/>
    <w:rsid w:val="00BD5E06"/>
    <w:rsid w:val="00BD63B8"/>
    <w:rsid w:val="00BD65E6"/>
    <w:rsid w:val="00BD67D4"/>
    <w:rsid w:val="00BD6AF7"/>
    <w:rsid w:val="00BD73AA"/>
    <w:rsid w:val="00BE01B9"/>
    <w:rsid w:val="00BE07BD"/>
    <w:rsid w:val="00BE0B82"/>
    <w:rsid w:val="00BE0BB0"/>
    <w:rsid w:val="00BE144C"/>
    <w:rsid w:val="00BE19EF"/>
    <w:rsid w:val="00BE3A6F"/>
    <w:rsid w:val="00BE425B"/>
    <w:rsid w:val="00BE51BB"/>
    <w:rsid w:val="00BE5665"/>
    <w:rsid w:val="00BE6224"/>
    <w:rsid w:val="00BE69F2"/>
    <w:rsid w:val="00BE72DA"/>
    <w:rsid w:val="00BE7595"/>
    <w:rsid w:val="00BE7625"/>
    <w:rsid w:val="00BE77D3"/>
    <w:rsid w:val="00BF0138"/>
    <w:rsid w:val="00BF0697"/>
    <w:rsid w:val="00BF114B"/>
    <w:rsid w:val="00BF1620"/>
    <w:rsid w:val="00BF1AC3"/>
    <w:rsid w:val="00BF1D1C"/>
    <w:rsid w:val="00BF20E6"/>
    <w:rsid w:val="00BF373A"/>
    <w:rsid w:val="00BF3BD9"/>
    <w:rsid w:val="00BF3E8C"/>
    <w:rsid w:val="00BF409D"/>
    <w:rsid w:val="00BF4834"/>
    <w:rsid w:val="00BF62D2"/>
    <w:rsid w:val="00BF66D8"/>
    <w:rsid w:val="00BF6B7F"/>
    <w:rsid w:val="00BF6D9E"/>
    <w:rsid w:val="00BF7004"/>
    <w:rsid w:val="00BF71BB"/>
    <w:rsid w:val="00BF75BD"/>
    <w:rsid w:val="00BF76F7"/>
    <w:rsid w:val="00BF7836"/>
    <w:rsid w:val="00BF784E"/>
    <w:rsid w:val="00BF7C9F"/>
    <w:rsid w:val="00C00012"/>
    <w:rsid w:val="00C000A5"/>
    <w:rsid w:val="00C006B4"/>
    <w:rsid w:val="00C0080D"/>
    <w:rsid w:val="00C0082C"/>
    <w:rsid w:val="00C00938"/>
    <w:rsid w:val="00C00E2A"/>
    <w:rsid w:val="00C00F2D"/>
    <w:rsid w:val="00C01314"/>
    <w:rsid w:val="00C01808"/>
    <w:rsid w:val="00C019A4"/>
    <w:rsid w:val="00C02409"/>
    <w:rsid w:val="00C025B9"/>
    <w:rsid w:val="00C02E50"/>
    <w:rsid w:val="00C044B4"/>
    <w:rsid w:val="00C05105"/>
    <w:rsid w:val="00C05202"/>
    <w:rsid w:val="00C052DF"/>
    <w:rsid w:val="00C05A5D"/>
    <w:rsid w:val="00C06007"/>
    <w:rsid w:val="00C0654A"/>
    <w:rsid w:val="00C06BE2"/>
    <w:rsid w:val="00C06C71"/>
    <w:rsid w:val="00C06DE3"/>
    <w:rsid w:val="00C06F97"/>
    <w:rsid w:val="00C07921"/>
    <w:rsid w:val="00C10419"/>
    <w:rsid w:val="00C10BE6"/>
    <w:rsid w:val="00C10C8C"/>
    <w:rsid w:val="00C11296"/>
    <w:rsid w:val="00C11905"/>
    <w:rsid w:val="00C11947"/>
    <w:rsid w:val="00C11BBD"/>
    <w:rsid w:val="00C11C52"/>
    <w:rsid w:val="00C12126"/>
    <w:rsid w:val="00C1234A"/>
    <w:rsid w:val="00C12661"/>
    <w:rsid w:val="00C126E3"/>
    <w:rsid w:val="00C1330F"/>
    <w:rsid w:val="00C13ED7"/>
    <w:rsid w:val="00C14615"/>
    <w:rsid w:val="00C14875"/>
    <w:rsid w:val="00C14F48"/>
    <w:rsid w:val="00C15296"/>
    <w:rsid w:val="00C1536D"/>
    <w:rsid w:val="00C15E94"/>
    <w:rsid w:val="00C15F24"/>
    <w:rsid w:val="00C173DB"/>
    <w:rsid w:val="00C17750"/>
    <w:rsid w:val="00C17EB3"/>
    <w:rsid w:val="00C17F63"/>
    <w:rsid w:val="00C20338"/>
    <w:rsid w:val="00C2094B"/>
    <w:rsid w:val="00C20DC5"/>
    <w:rsid w:val="00C220F8"/>
    <w:rsid w:val="00C228C1"/>
    <w:rsid w:val="00C2294E"/>
    <w:rsid w:val="00C2295F"/>
    <w:rsid w:val="00C22A5B"/>
    <w:rsid w:val="00C22D8A"/>
    <w:rsid w:val="00C22DDE"/>
    <w:rsid w:val="00C2340C"/>
    <w:rsid w:val="00C23412"/>
    <w:rsid w:val="00C23AA1"/>
    <w:rsid w:val="00C24546"/>
    <w:rsid w:val="00C2492F"/>
    <w:rsid w:val="00C258E7"/>
    <w:rsid w:val="00C25DD8"/>
    <w:rsid w:val="00C26341"/>
    <w:rsid w:val="00C2647C"/>
    <w:rsid w:val="00C264C7"/>
    <w:rsid w:val="00C2682A"/>
    <w:rsid w:val="00C26901"/>
    <w:rsid w:val="00C26FEE"/>
    <w:rsid w:val="00C271C4"/>
    <w:rsid w:val="00C274F3"/>
    <w:rsid w:val="00C307F0"/>
    <w:rsid w:val="00C30A54"/>
    <w:rsid w:val="00C30CFD"/>
    <w:rsid w:val="00C316F7"/>
    <w:rsid w:val="00C31A77"/>
    <w:rsid w:val="00C31DF0"/>
    <w:rsid w:val="00C31E4E"/>
    <w:rsid w:val="00C3214C"/>
    <w:rsid w:val="00C3304E"/>
    <w:rsid w:val="00C33916"/>
    <w:rsid w:val="00C339BB"/>
    <w:rsid w:val="00C33BCF"/>
    <w:rsid w:val="00C34F97"/>
    <w:rsid w:val="00C353A0"/>
    <w:rsid w:val="00C361D0"/>
    <w:rsid w:val="00C368D7"/>
    <w:rsid w:val="00C36F04"/>
    <w:rsid w:val="00C36FD1"/>
    <w:rsid w:val="00C371A5"/>
    <w:rsid w:val="00C3757A"/>
    <w:rsid w:val="00C400B0"/>
    <w:rsid w:val="00C400D5"/>
    <w:rsid w:val="00C40C81"/>
    <w:rsid w:val="00C40DEE"/>
    <w:rsid w:val="00C413FC"/>
    <w:rsid w:val="00C41D1E"/>
    <w:rsid w:val="00C4217F"/>
    <w:rsid w:val="00C4228C"/>
    <w:rsid w:val="00C4234A"/>
    <w:rsid w:val="00C42424"/>
    <w:rsid w:val="00C42EB2"/>
    <w:rsid w:val="00C430F3"/>
    <w:rsid w:val="00C4338C"/>
    <w:rsid w:val="00C43568"/>
    <w:rsid w:val="00C43902"/>
    <w:rsid w:val="00C43D33"/>
    <w:rsid w:val="00C44407"/>
    <w:rsid w:val="00C44677"/>
    <w:rsid w:val="00C44783"/>
    <w:rsid w:val="00C44D52"/>
    <w:rsid w:val="00C44F66"/>
    <w:rsid w:val="00C45216"/>
    <w:rsid w:val="00C456E8"/>
    <w:rsid w:val="00C45987"/>
    <w:rsid w:val="00C46630"/>
    <w:rsid w:val="00C47449"/>
    <w:rsid w:val="00C47A2F"/>
    <w:rsid w:val="00C505A4"/>
    <w:rsid w:val="00C506BE"/>
    <w:rsid w:val="00C50C6C"/>
    <w:rsid w:val="00C50D18"/>
    <w:rsid w:val="00C50FA0"/>
    <w:rsid w:val="00C51161"/>
    <w:rsid w:val="00C51179"/>
    <w:rsid w:val="00C5282C"/>
    <w:rsid w:val="00C52FBE"/>
    <w:rsid w:val="00C5355E"/>
    <w:rsid w:val="00C535E2"/>
    <w:rsid w:val="00C53C8A"/>
    <w:rsid w:val="00C53FC1"/>
    <w:rsid w:val="00C54034"/>
    <w:rsid w:val="00C544B9"/>
    <w:rsid w:val="00C54507"/>
    <w:rsid w:val="00C54563"/>
    <w:rsid w:val="00C551D2"/>
    <w:rsid w:val="00C554A0"/>
    <w:rsid w:val="00C56438"/>
    <w:rsid w:val="00C56CB9"/>
    <w:rsid w:val="00C570B3"/>
    <w:rsid w:val="00C57114"/>
    <w:rsid w:val="00C571F7"/>
    <w:rsid w:val="00C6009F"/>
    <w:rsid w:val="00C60417"/>
    <w:rsid w:val="00C6046F"/>
    <w:rsid w:val="00C6068F"/>
    <w:rsid w:val="00C608AE"/>
    <w:rsid w:val="00C60987"/>
    <w:rsid w:val="00C609A9"/>
    <w:rsid w:val="00C60CF5"/>
    <w:rsid w:val="00C638C2"/>
    <w:rsid w:val="00C63EB4"/>
    <w:rsid w:val="00C64804"/>
    <w:rsid w:val="00C64E44"/>
    <w:rsid w:val="00C65071"/>
    <w:rsid w:val="00C651CC"/>
    <w:rsid w:val="00C651D4"/>
    <w:rsid w:val="00C652A1"/>
    <w:rsid w:val="00C6622F"/>
    <w:rsid w:val="00C6669E"/>
    <w:rsid w:val="00C66C6D"/>
    <w:rsid w:val="00C66E79"/>
    <w:rsid w:val="00C66F75"/>
    <w:rsid w:val="00C672B0"/>
    <w:rsid w:val="00C6771B"/>
    <w:rsid w:val="00C67C45"/>
    <w:rsid w:val="00C70A48"/>
    <w:rsid w:val="00C70D64"/>
    <w:rsid w:val="00C71CEE"/>
    <w:rsid w:val="00C729C7"/>
    <w:rsid w:val="00C73B52"/>
    <w:rsid w:val="00C7417B"/>
    <w:rsid w:val="00C744FC"/>
    <w:rsid w:val="00C75583"/>
    <w:rsid w:val="00C75C6B"/>
    <w:rsid w:val="00C760C4"/>
    <w:rsid w:val="00C777AD"/>
    <w:rsid w:val="00C80C53"/>
    <w:rsid w:val="00C81195"/>
    <w:rsid w:val="00C81275"/>
    <w:rsid w:val="00C81798"/>
    <w:rsid w:val="00C826AC"/>
    <w:rsid w:val="00C837DB"/>
    <w:rsid w:val="00C838FF"/>
    <w:rsid w:val="00C84354"/>
    <w:rsid w:val="00C84CF3"/>
    <w:rsid w:val="00C85387"/>
    <w:rsid w:val="00C859B2"/>
    <w:rsid w:val="00C85E52"/>
    <w:rsid w:val="00C86471"/>
    <w:rsid w:val="00C8677B"/>
    <w:rsid w:val="00C86F96"/>
    <w:rsid w:val="00C87562"/>
    <w:rsid w:val="00C87BC9"/>
    <w:rsid w:val="00C909C6"/>
    <w:rsid w:val="00C909F7"/>
    <w:rsid w:val="00C90AE9"/>
    <w:rsid w:val="00C9107D"/>
    <w:rsid w:val="00C91C70"/>
    <w:rsid w:val="00C923B7"/>
    <w:rsid w:val="00C93503"/>
    <w:rsid w:val="00C93D60"/>
    <w:rsid w:val="00C941C2"/>
    <w:rsid w:val="00C945B1"/>
    <w:rsid w:val="00C94D4C"/>
    <w:rsid w:val="00C96AF7"/>
    <w:rsid w:val="00C96C1E"/>
    <w:rsid w:val="00C96CA4"/>
    <w:rsid w:val="00C97B84"/>
    <w:rsid w:val="00CA012C"/>
    <w:rsid w:val="00CA0AA6"/>
    <w:rsid w:val="00CA130C"/>
    <w:rsid w:val="00CA13B4"/>
    <w:rsid w:val="00CA14F6"/>
    <w:rsid w:val="00CA1C70"/>
    <w:rsid w:val="00CA2897"/>
    <w:rsid w:val="00CA2FCB"/>
    <w:rsid w:val="00CA37A0"/>
    <w:rsid w:val="00CA3A1B"/>
    <w:rsid w:val="00CA44F3"/>
    <w:rsid w:val="00CA4B22"/>
    <w:rsid w:val="00CA50FB"/>
    <w:rsid w:val="00CA582C"/>
    <w:rsid w:val="00CA6077"/>
    <w:rsid w:val="00CA67F0"/>
    <w:rsid w:val="00CA6FCE"/>
    <w:rsid w:val="00CA715B"/>
    <w:rsid w:val="00CA77CC"/>
    <w:rsid w:val="00CA7988"/>
    <w:rsid w:val="00CA7BA2"/>
    <w:rsid w:val="00CB0B78"/>
    <w:rsid w:val="00CB12A5"/>
    <w:rsid w:val="00CB17FA"/>
    <w:rsid w:val="00CB2074"/>
    <w:rsid w:val="00CB2390"/>
    <w:rsid w:val="00CB23D8"/>
    <w:rsid w:val="00CB2ED9"/>
    <w:rsid w:val="00CB3020"/>
    <w:rsid w:val="00CB36A5"/>
    <w:rsid w:val="00CB3E2A"/>
    <w:rsid w:val="00CB44B7"/>
    <w:rsid w:val="00CB4C5F"/>
    <w:rsid w:val="00CB56B4"/>
    <w:rsid w:val="00CB57D3"/>
    <w:rsid w:val="00CB5B4C"/>
    <w:rsid w:val="00CB70E4"/>
    <w:rsid w:val="00CB7286"/>
    <w:rsid w:val="00CB7497"/>
    <w:rsid w:val="00CB7731"/>
    <w:rsid w:val="00CB7947"/>
    <w:rsid w:val="00CB7AEB"/>
    <w:rsid w:val="00CB7F22"/>
    <w:rsid w:val="00CC0226"/>
    <w:rsid w:val="00CC0C9A"/>
    <w:rsid w:val="00CC0F2E"/>
    <w:rsid w:val="00CC1783"/>
    <w:rsid w:val="00CC3362"/>
    <w:rsid w:val="00CC3721"/>
    <w:rsid w:val="00CC3A45"/>
    <w:rsid w:val="00CC3B46"/>
    <w:rsid w:val="00CC3D8B"/>
    <w:rsid w:val="00CC3DA9"/>
    <w:rsid w:val="00CC4E27"/>
    <w:rsid w:val="00CC51A3"/>
    <w:rsid w:val="00CC51F1"/>
    <w:rsid w:val="00CC570C"/>
    <w:rsid w:val="00CC59BB"/>
    <w:rsid w:val="00CC6179"/>
    <w:rsid w:val="00CC62B6"/>
    <w:rsid w:val="00CC6329"/>
    <w:rsid w:val="00CC63F5"/>
    <w:rsid w:val="00CC6660"/>
    <w:rsid w:val="00CC7005"/>
    <w:rsid w:val="00CC76AA"/>
    <w:rsid w:val="00CC7CD2"/>
    <w:rsid w:val="00CD05CF"/>
    <w:rsid w:val="00CD0DEC"/>
    <w:rsid w:val="00CD1FAE"/>
    <w:rsid w:val="00CD232F"/>
    <w:rsid w:val="00CD2439"/>
    <w:rsid w:val="00CD25AE"/>
    <w:rsid w:val="00CD279E"/>
    <w:rsid w:val="00CD2905"/>
    <w:rsid w:val="00CD2E5B"/>
    <w:rsid w:val="00CD2F92"/>
    <w:rsid w:val="00CD3283"/>
    <w:rsid w:val="00CD3A8E"/>
    <w:rsid w:val="00CD4553"/>
    <w:rsid w:val="00CD4EB0"/>
    <w:rsid w:val="00CD512D"/>
    <w:rsid w:val="00CD5196"/>
    <w:rsid w:val="00CD5806"/>
    <w:rsid w:val="00CD5831"/>
    <w:rsid w:val="00CD5987"/>
    <w:rsid w:val="00CD5DFB"/>
    <w:rsid w:val="00CD612B"/>
    <w:rsid w:val="00CD69F2"/>
    <w:rsid w:val="00CD6AC6"/>
    <w:rsid w:val="00CD6C35"/>
    <w:rsid w:val="00CD6F6E"/>
    <w:rsid w:val="00CD74C7"/>
    <w:rsid w:val="00CD751F"/>
    <w:rsid w:val="00CD7DC0"/>
    <w:rsid w:val="00CE04FF"/>
    <w:rsid w:val="00CE062A"/>
    <w:rsid w:val="00CE073F"/>
    <w:rsid w:val="00CE1369"/>
    <w:rsid w:val="00CE157F"/>
    <w:rsid w:val="00CE1966"/>
    <w:rsid w:val="00CE1BBA"/>
    <w:rsid w:val="00CE1ED4"/>
    <w:rsid w:val="00CE2216"/>
    <w:rsid w:val="00CE22D1"/>
    <w:rsid w:val="00CE3014"/>
    <w:rsid w:val="00CE30E5"/>
    <w:rsid w:val="00CE4893"/>
    <w:rsid w:val="00CE49AA"/>
    <w:rsid w:val="00CE53DB"/>
    <w:rsid w:val="00CE56C0"/>
    <w:rsid w:val="00CE57B2"/>
    <w:rsid w:val="00CE66DA"/>
    <w:rsid w:val="00CE6FC6"/>
    <w:rsid w:val="00CE745E"/>
    <w:rsid w:val="00CF2056"/>
    <w:rsid w:val="00CF24D6"/>
    <w:rsid w:val="00CF2785"/>
    <w:rsid w:val="00CF2927"/>
    <w:rsid w:val="00CF38AE"/>
    <w:rsid w:val="00CF3AF4"/>
    <w:rsid w:val="00CF4471"/>
    <w:rsid w:val="00CF4DFF"/>
    <w:rsid w:val="00CF5110"/>
    <w:rsid w:val="00CF51C0"/>
    <w:rsid w:val="00CF5742"/>
    <w:rsid w:val="00CF5B2A"/>
    <w:rsid w:val="00CF5F57"/>
    <w:rsid w:val="00CF64A7"/>
    <w:rsid w:val="00CF6730"/>
    <w:rsid w:val="00CF689E"/>
    <w:rsid w:val="00CF70E5"/>
    <w:rsid w:val="00CF7346"/>
    <w:rsid w:val="00CF7628"/>
    <w:rsid w:val="00CF7B8E"/>
    <w:rsid w:val="00CF7CEC"/>
    <w:rsid w:val="00D0012B"/>
    <w:rsid w:val="00D00B0F"/>
    <w:rsid w:val="00D00B9A"/>
    <w:rsid w:val="00D0194B"/>
    <w:rsid w:val="00D01A48"/>
    <w:rsid w:val="00D01BF4"/>
    <w:rsid w:val="00D0272C"/>
    <w:rsid w:val="00D0455F"/>
    <w:rsid w:val="00D045CE"/>
    <w:rsid w:val="00D047F1"/>
    <w:rsid w:val="00D04ED3"/>
    <w:rsid w:val="00D05082"/>
    <w:rsid w:val="00D05AF6"/>
    <w:rsid w:val="00D05BF1"/>
    <w:rsid w:val="00D05FAC"/>
    <w:rsid w:val="00D06163"/>
    <w:rsid w:val="00D06937"/>
    <w:rsid w:val="00D07A33"/>
    <w:rsid w:val="00D07AFD"/>
    <w:rsid w:val="00D07E94"/>
    <w:rsid w:val="00D104CE"/>
    <w:rsid w:val="00D109E3"/>
    <w:rsid w:val="00D10AE2"/>
    <w:rsid w:val="00D10CE4"/>
    <w:rsid w:val="00D10D99"/>
    <w:rsid w:val="00D11348"/>
    <w:rsid w:val="00D11749"/>
    <w:rsid w:val="00D117B4"/>
    <w:rsid w:val="00D11907"/>
    <w:rsid w:val="00D11AAF"/>
    <w:rsid w:val="00D11EAA"/>
    <w:rsid w:val="00D1287F"/>
    <w:rsid w:val="00D12A7D"/>
    <w:rsid w:val="00D12CB0"/>
    <w:rsid w:val="00D13507"/>
    <w:rsid w:val="00D13AB0"/>
    <w:rsid w:val="00D140C9"/>
    <w:rsid w:val="00D1519E"/>
    <w:rsid w:val="00D152B7"/>
    <w:rsid w:val="00D15E55"/>
    <w:rsid w:val="00D16055"/>
    <w:rsid w:val="00D16EDC"/>
    <w:rsid w:val="00D172B6"/>
    <w:rsid w:val="00D17788"/>
    <w:rsid w:val="00D17791"/>
    <w:rsid w:val="00D1783D"/>
    <w:rsid w:val="00D17CD2"/>
    <w:rsid w:val="00D17E27"/>
    <w:rsid w:val="00D17FDE"/>
    <w:rsid w:val="00D200BF"/>
    <w:rsid w:val="00D201CB"/>
    <w:rsid w:val="00D214D5"/>
    <w:rsid w:val="00D22285"/>
    <w:rsid w:val="00D222BF"/>
    <w:rsid w:val="00D2231B"/>
    <w:rsid w:val="00D22786"/>
    <w:rsid w:val="00D228B4"/>
    <w:rsid w:val="00D22DB1"/>
    <w:rsid w:val="00D23472"/>
    <w:rsid w:val="00D24187"/>
    <w:rsid w:val="00D24593"/>
    <w:rsid w:val="00D24733"/>
    <w:rsid w:val="00D2539C"/>
    <w:rsid w:val="00D25AC4"/>
    <w:rsid w:val="00D25D2C"/>
    <w:rsid w:val="00D30492"/>
    <w:rsid w:val="00D305F6"/>
    <w:rsid w:val="00D30673"/>
    <w:rsid w:val="00D30B25"/>
    <w:rsid w:val="00D3175A"/>
    <w:rsid w:val="00D31A00"/>
    <w:rsid w:val="00D31A7A"/>
    <w:rsid w:val="00D323E4"/>
    <w:rsid w:val="00D32556"/>
    <w:rsid w:val="00D3261C"/>
    <w:rsid w:val="00D326DB"/>
    <w:rsid w:val="00D32871"/>
    <w:rsid w:val="00D329F6"/>
    <w:rsid w:val="00D33881"/>
    <w:rsid w:val="00D34282"/>
    <w:rsid w:val="00D34EFD"/>
    <w:rsid w:val="00D366B1"/>
    <w:rsid w:val="00D370F5"/>
    <w:rsid w:val="00D37AE0"/>
    <w:rsid w:val="00D37B93"/>
    <w:rsid w:val="00D4036B"/>
    <w:rsid w:val="00D4150B"/>
    <w:rsid w:val="00D416A8"/>
    <w:rsid w:val="00D4217D"/>
    <w:rsid w:val="00D4257C"/>
    <w:rsid w:val="00D425AC"/>
    <w:rsid w:val="00D42823"/>
    <w:rsid w:val="00D4297C"/>
    <w:rsid w:val="00D42D5E"/>
    <w:rsid w:val="00D43F14"/>
    <w:rsid w:val="00D4440A"/>
    <w:rsid w:val="00D44C18"/>
    <w:rsid w:val="00D45525"/>
    <w:rsid w:val="00D4556D"/>
    <w:rsid w:val="00D45899"/>
    <w:rsid w:val="00D4617A"/>
    <w:rsid w:val="00D46322"/>
    <w:rsid w:val="00D46B84"/>
    <w:rsid w:val="00D46D65"/>
    <w:rsid w:val="00D46E64"/>
    <w:rsid w:val="00D47DE6"/>
    <w:rsid w:val="00D50516"/>
    <w:rsid w:val="00D50570"/>
    <w:rsid w:val="00D507F6"/>
    <w:rsid w:val="00D50D8B"/>
    <w:rsid w:val="00D51047"/>
    <w:rsid w:val="00D510E0"/>
    <w:rsid w:val="00D511C6"/>
    <w:rsid w:val="00D5121D"/>
    <w:rsid w:val="00D51434"/>
    <w:rsid w:val="00D516AC"/>
    <w:rsid w:val="00D521BB"/>
    <w:rsid w:val="00D52241"/>
    <w:rsid w:val="00D524CB"/>
    <w:rsid w:val="00D52875"/>
    <w:rsid w:val="00D53941"/>
    <w:rsid w:val="00D54050"/>
    <w:rsid w:val="00D55AB8"/>
    <w:rsid w:val="00D55F7A"/>
    <w:rsid w:val="00D56AC0"/>
    <w:rsid w:val="00D56C23"/>
    <w:rsid w:val="00D576CE"/>
    <w:rsid w:val="00D603B2"/>
    <w:rsid w:val="00D6081B"/>
    <w:rsid w:val="00D60960"/>
    <w:rsid w:val="00D60D7D"/>
    <w:rsid w:val="00D6133E"/>
    <w:rsid w:val="00D621A7"/>
    <w:rsid w:val="00D6220D"/>
    <w:rsid w:val="00D6240A"/>
    <w:rsid w:val="00D62553"/>
    <w:rsid w:val="00D62618"/>
    <w:rsid w:val="00D63093"/>
    <w:rsid w:val="00D63599"/>
    <w:rsid w:val="00D63EBD"/>
    <w:rsid w:val="00D63EC6"/>
    <w:rsid w:val="00D642B4"/>
    <w:rsid w:val="00D64BF5"/>
    <w:rsid w:val="00D64C58"/>
    <w:rsid w:val="00D66083"/>
    <w:rsid w:val="00D66419"/>
    <w:rsid w:val="00D667FF"/>
    <w:rsid w:val="00D66819"/>
    <w:rsid w:val="00D66F1B"/>
    <w:rsid w:val="00D67101"/>
    <w:rsid w:val="00D677B6"/>
    <w:rsid w:val="00D67B2D"/>
    <w:rsid w:val="00D70315"/>
    <w:rsid w:val="00D706C4"/>
    <w:rsid w:val="00D70C70"/>
    <w:rsid w:val="00D71593"/>
    <w:rsid w:val="00D71B45"/>
    <w:rsid w:val="00D71F7F"/>
    <w:rsid w:val="00D71F8A"/>
    <w:rsid w:val="00D72F97"/>
    <w:rsid w:val="00D72F9F"/>
    <w:rsid w:val="00D754D0"/>
    <w:rsid w:val="00D75603"/>
    <w:rsid w:val="00D756AE"/>
    <w:rsid w:val="00D75B01"/>
    <w:rsid w:val="00D75B59"/>
    <w:rsid w:val="00D75FEE"/>
    <w:rsid w:val="00D76933"/>
    <w:rsid w:val="00D76D88"/>
    <w:rsid w:val="00D77A35"/>
    <w:rsid w:val="00D77CC9"/>
    <w:rsid w:val="00D80C7D"/>
    <w:rsid w:val="00D8127F"/>
    <w:rsid w:val="00D813C5"/>
    <w:rsid w:val="00D8146F"/>
    <w:rsid w:val="00D817C6"/>
    <w:rsid w:val="00D83127"/>
    <w:rsid w:val="00D83D4B"/>
    <w:rsid w:val="00D83F7B"/>
    <w:rsid w:val="00D8451E"/>
    <w:rsid w:val="00D8592E"/>
    <w:rsid w:val="00D85D2C"/>
    <w:rsid w:val="00D86386"/>
    <w:rsid w:val="00D87104"/>
    <w:rsid w:val="00D871C6"/>
    <w:rsid w:val="00D87235"/>
    <w:rsid w:val="00D873EA"/>
    <w:rsid w:val="00D874C0"/>
    <w:rsid w:val="00D876A9"/>
    <w:rsid w:val="00D87D98"/>
    <w:rsid w:val="00D90A06"/>
    <w:rsid w:val="00D91010"/>
    <w:rsid w:val="00D911CC"/>
    <w:rsid w:val="00D9143D"/>
    <w:rsid w:val="00D91687"/>
    <w:rsid w:val="00D91B1C"/>
    <w:rsid w:val="00D91D85"/>
    <w:rsid w:val="00D920D1"/>
    <w:rsid w:val="00D92FFA"/>
    <w:rsid w:val="00D934A8"/>
    <w:rsid w:val="00D9439D"/>
    <w:rsid w:val="00D94492"/>
    <w:rsid w:val="00D94C57"/>
    <w:rsid w:val="00D95015"/>
    <w:rsid w:val="00D95BD3"/>
    <w:rsid w:val="00D970B9"/>
    <w:rsid w:val="00D97420"/>
    <w:rsid w:val="00D97920"/>
    <w:rsid w:val="00D979D4"/>
    <w:rsid w:val="00DA0AA3"/>
    <w:rsid w:val="00DA0FA7"/>
    <w:rsid w:val="00DA12B0"/>
    <w:rsid w:val="00DA2BA0"/>
    <w:rsid w:val="00DA3574"/>
    <w:rsid w:val="00DA39AD"/>
    <w:rsid w:val="00DA3E94"/>
    <w:rsid w:val="00DA3EDA"/>
    <w:rsid w:val="00DA3EF9"/>
    <w:rsid w:val="00DA4665"/>
    <w:rsid w:val="00DA48D0"/>
    <w:rsid w:val="00DA545A"/>
    <w:rsid w:val="00DA5B13"/>
    <w:rsid w:val="00DA5B88"/>
    <w:rsid w:val="00DA6917"/>
    <w:rsid w:val="00DA6926"/>
    <w:rsid w:val="00DA6B2E"/>
    <w:rsid w:val="00DA6DE9"/>
    <w:rsid w:val="00DA773A"/>
    <w:rsid w:val="00DB024F"/>
    <w:rsid w:val="00DB0965"/>
    <w:rsid w:val="00DB0A0E"/>
    <w:rsid w:val="00DB0E47"/>
    <w:rsid w:val="00DB130E"/>
    <w:rsid w:val="00DB1BB2"/>
    <w:rsid w:val="00DB1D17"/>
    <w:rsid w:val="00DB219E"/>
    <w:rsid w:val="00DB2651"/>
    <w:rsid w:val="00DB2B80"/>
    <w:rsid w:val="00DB2BDD"/>
    <w:rsid w:val="00DB2FB3"/>
    <w:rsid w:val="00DB349D"/>
    <w:rsid w:val="00DB3A0F"/>
    <w:rsid w:val="00DB3D25"/>
    <w:rsid w:val="00DB4121"/>
    <w:rsid w:val="00DB43B7"/>
    <w:rsid w:val="00DB46C3"/>
    <w:rsid w:val="00DB4A96"/>
    <w:rsid w:val="00DB4F50"/>
    <w:rsid w:val="00DB5480"/>
    <w:rsid w:val="00DB5742"/>
    <w:rsid w:val="00DB59E9"/>
    <w:rsid w:val="00DB5CB1"/>
    <w:rsid w:val="00DB5CDF"/>
    <w:rsid w:val="00DB5EDF"/>
    <w:rsid w:val="00DB6C46"/>
    <w:rsid w:val="00DB6CF1"/>
    <w:rsid w:val="00DB72B8"/>
    <w:rsid w:val="00DB7A8E"/>
    <w:rsid w:val="00DC0352"/>
    <w:rsid w:val="00DC16AF"/>
    <w:rsid w:val="00DC1D67"/>
    <w:rsid w:val="00DC2507"/>
    <w:rsid w:val="00DC2A9A"/>
    <w:rsid w:val="00DC2E2E"/>
    <w:rsid w:val="00DC3204"/>
    <w:rsid w:val="00DC3368"/>
    <w:rsid w:val="00DC3830"/>
    <w:rsid w:val="00DC38E6"/>
    <w:rsid w:val="00DC3A54"/>
    <w:rsid w:val="00DC3C66"/>
    <w:rsid w:val="00DC4073"/>
    <w:rsid w:val="00DC45FD"/>
    <w:rsid w:val="00DC4D68"/>
    <w:rsid w:val="00DC5326"/>
    <w:rsid w:val="00DC56FB"/>
    <w:rsid w:val="00DC6463"/>
    <w:rsid w:val="00DC7822"/>
    <w:rsid w:val="00DC7AF1"/>
    <w:rsid w:val="00DD2CDA"/>
    <w:rsid w:val="00DD2D92"/>
    <w:rsid w:val="00DD3026"/>
    <w:rsid w:val="00DD336F"/>
    <w:rsid w:val="00DD33DC"/>
    <w:rsid w:val="00DD3BB0"/>
    <w:rsid w:val="00DD3EB0"/>
    <w:rsid w:val="00DD46F0"/>
    <w:rsid w:val="00DD50A4"/>
    <w:rsid w:val="00DD5E72"/>
    <w:rsid w:val="00DD61F5"/>
    <w:rsid w:val="00DD6277"/>
    <w:rsid w:val="00DD724F"/>
    <w:rsid w:val="00DD7418"/>
    <w:rsid w:val="00DD7936"/>
    <w:rsid w:val="00DE0CA2"/>
    <w:rsid w:val="00DE21CF"/>
    <w:rsid w:val="00DE271C"/>
    <w:rsid w:val="00DE2CE2"/>
    <w:rsid w:val="00DE36C9"/>
    <w:rsid w:val="00DE4335"/>
    <w:rsid w:val="00DE4827"/>
    <w:rsid w:val="00DE49A2"/>
    <w:rsid w:val="00DE64A6"/>
    <w:rsid w:val="00DE6672"/>
    <w:rsid w:val="00DE66EB"/>
    <w:rsid w:val="00DE6BED"/>
    <w:rsid w:val="00DE7035"/>
    <w:rsid w:val="00DE7B9C"/>
    <w:rsid w:val="00DE7C2A"/>
    <w:rsid w:val="00DF12E3"/>
    <w:rsid w:val="00DF1542"/>
    <w:rsid w:val="00DF15B6"/>
    <w:rsid w:val="00DF17C2"/>
    <w:rsid w:val="00DF1FC1"/>
    <w:rsid w:val="00DF2541"/>
    <w:rsid w:val="00DF2A20"/>
    <w:rsid w:val="00DF2CC5"/>
    <w:rsid w:val="00DF3BC4"/>
    <w:rsid w:val="00DF3F1D"/>
    <w:rsid w:val="00DF411B"/>
    <w:rsid w:val="00DF5663"/>
    <w:rsid w:val="00DF58AE"/>
    <w:rsid w:val="00DF595C"/>
    <w:rsid w:val="00DF5D8C"/>
    <w:rsid w:val="00DF6E67"/>
    <w:rsid w:val="00DF74A1"/>
    <w:rsid w:val="00DF7EA7"/>
    <w:rsid w:val="00E0031D"/>
    <w:rsid w:val="00E00EC2"/>
    <w:rsid w:val="00E00FB4"/>
    <w:rsid w:val="00E01E13"/>
    <w:rsid w:val="00E029A6"/>
    <w:rsid w:val="00E02B3B"/>
    <w:rsid w:val="00E03056"/>
    <w:rsid w:val="00E0381D"/>
    <w:rsid w:val="00E03BCC"/>
    <w:rsid w:val="00E04548"/>
    <w:rsid w:val="00E0484B"/>
    <w:rsid w:val="00E0484E"/>
    <w:rsid w:val="00E048FD"/>
    <w:rsid w:val="00E05684"/>
    <w:rsid w:val="00E05D7E"/>
    <w:rsid w:val="00E06213"/>
    <w:rsid w:val="00E063F8"/>
    <w:rsid w:val="00E06608"/>
    <w:rsid w:val="00E067D7"/>
    <w:rsid w:val="00E0728F"/>
    <w:rsid w:val="00E073D9"/>
    <w:rsid w:val="00E076A2"/>
    <w:rsid w:val="00E114D6"/>
    <w:rsid w:val="00E11576"/>
    <w:rsid w:val="00E1166E"/>
    <w:rsid w:val="00E11D65"/>
    <w:rsid w:val="00E11DBD"/>
    <w:rsid w:val="00E13211"/>
    <w:rsid w:val="00E137B4"/>
    <w:rsid w:val="00E14527"/>
    <w:rsid w:val="00E14B92"/>
    <w:rsid w:val="00E16C51"/>
    <w:rsid w:val="00E16FB5"/>
    <w:rsid w:val="00E177CE"/>
    <w:rsid w:val="00E179D6"/>
    <w:rsid w:val="00E200F9"/>
    <w:rsid w:val="00E21149"/>
    <w:rsid w:val="00E21407"/>
    <w:rsid w:val="00E22668"/>
    <w:rsid w:val="00E227D3"/>
    <w:rsid w:val="00E2282B"/>
    <w:rsid w:val="00E229CC"/>
    <w:rsid w:val="00E22A2C"/>
    <w:rsid w:val="00E22BFF"/>
    <w:rsid w:val="00E22CB0"/>
    <w:rsid w:val="00E23798"/>
    <w:rsid w:val="00E242F1"/>
    <w:rsid w:val="00E24D83"/>
    <w:rsid w:val="00E24FAF"/>
    <w:rsid w:val="00E2585D"/>
    <w:rsid w:val="00E25DBD"/>
    <w:rsid w:val="00E25FA2"/>
    <w:rsid w:val="00E260E7"/>
    <w:rsid w:val="00E26279"/>
    <w:rsid w:val="00E264B5"/>
    <w:rsid w:val="00E271CA"/>
    <w:rsid w:val="00E271E5"/>
    <w:rsid w:val="00E2723D"/>
    <w:rsid w:val="00E27491"/>
    <w:rsid w:val="00E27C77"/>
    <w:rsid w:val="00E27FCF"/>
    <w:rsid w:val="00E300F2"/>
    <w:rsid w:val="00E307B1"/>
    <w:rsid w:val="00E30EE1"/>
    <w:rsid w:val="00E311F2"/>
    <w:rsid w:val="00E3158B"/>
    <w:rsid w:val="00E3179E"/>
    <w:rsid w:val="00E31D4B"/>
    <w:rsid w:val="00E32624"/>
    <w:rsid w:val="00E32AC9"/>
    <w:rsid w:val="00E33B14"/>
    <w:rsid w:val="00E33CF2"/>
    <w:rsid w:val="00E33F9E"/>
    <w:rsid w:val="00E34990"/>
    <w:rsid w:val="00E34A63"/>
    <w:rsid w:val="00E34C40"/>
    <w:rsid w:val="00E354DA"/>
    <w:rsid w:val="00E354F5"/>
    <w:rsid w:val="00E35EE6"/>
    <w:rsid w:val="00E366E6"/>
    <w:rsid w:val="00E3687E"/>
    <w:rsid w:val="00E4045D"/>
    <w:rsid w:val="00E40850"/>
    <w:rsid w:val="00E40974"/>
    <w:rsid w:val="00E40AAB"/>
    <w:rsid w:val="00E41205"/>
    <w:rsid w:val="00E41B42"/>
    <w:rsid w:val="00E41F32"/>
    <w:rsid w:val="00E42531"/>
    <w:rsid w:val="00E42608"/>
    <w:rsid w:val="00E43536"/>
    <w:rsid w:val="00E43DA3"/>
    <w:rsid w:val="00E44634"/>
    <w:rsid w:val="00E44B80"/>
    <w:rsid w:val="00E44CC7"/>
    <w:rsid w:val="00E457CC"/>
    <w:rsid w:val="00E45848"/>
    <w:rsid w:val="00E45938"/>
    <w:rsid w:val="00E462FD"/>
    <w:rsid w:val="00E4650D"/>
    <w:rsid w:val="00E46CB4"/>
    <w:rsid w:val="00E46E2B"/>
    <w:rsid w:val="00E46EEB"/>
    <w:rsid w:val="00E47171"/>
    <w:rsid w:val="00E47430"/>
    <w:rsid w:val="00E474BD"/>
    <w:rsid w:val="00E509B0"/>
    <w:rsid w:val="00E50CFF"/>
    <w:rsid w:val="00E50FB7"/>
    <w:rsid w:val="00E51877"/>
    <w:rsid w:val="00E5199F"/>
    <w:rsid w:val="00E51B32"/>
    <w:rsid w:val="00E5266A"/>
    <w:rsid w:val="00E526DF"/>
    <w:rsid w:val="00E53C15"/>
    <w:rsid w:val="00E53CC5"/>
    <w:rsid w:val="00E53DFF"/>
    <w:rsid w:val="00E544E1"/>
    <w:rsid w:val="00E54EE6"/>
    <w:rsid w:val="00E55BA1"/>
    <w:rsid w:val="00E56715"/>
    <w:rsid w:val="00E56C2C"/>
    <w:rsid w:val="00E56ED8"/>
    <w:rsid w:val="00E57B76"/>
    <w:rsid w:val="00E57F8E"/>
    <w:rsid w:val="00E609D6"/>
    <w:rsid w:val="00E611C8"/>
    <w:rsid w:val="00E61C01"/>
    <w:rsid w:val="00E62B09"/>
    <w:rsid w:val="00E6344A"/>
    <w:rsid w:val="00E64E11"/>
    <w:rsid w:val="00E64E69"/>
    <w:rsid w:val="00E64F40"/>
    <w:rsid w:val="00E64FB7"/>
    <w:rsid w:val="00E65DF1"/>
    <w:rsid w:val="00E669A1"/>
    <w:rsid w:val="00E67171"/>
    <w:rsid w:val="00E674E6"/>
    <w:rsid w:val="00E679BA"/>
    <w:rsid w:val="00E67EC3"/>
    <w:rsid w:val="00E70243"/>
    <w:rsid w:val="00E70A1A"/>
    <w:rsid w:val="00E70E2E"/>
    <w:rsid w:val="00E71456"/>
    <w:rsid w:val="00E71491"/>
    <w:rsid w:val="00E7157F"/>
    <w:rsid w:val="00E728B1"/>
    <w:rsid w:val="00E72CC6"/>
    <w:rsid w:val="00E72DE1"/>
    <w:rsid w:val="00E73170"/>
    <w:rsid w:val="00E73822"/>
    <w:rsid w:val="00E73D44"/>
    <w:rsid w:val="00E7494A"/>
    <w:rsid w:val="00E74BE2"/>
    <w:rsid w:val="00E74C66"/>
    <w:rsid w:val="00E74F29"/>
    <w:rsid w:val="00E75933"/>
    <w:rsid w:val="00E76138"/>
    <w:rsid w:val="00E777A2"/>
    <w:rsid w:val="00E77913"/>
    <w:rsid w:val="00E77A1B"/>
    <w:rsid w:val="00E77E92"/>
    <w:rsid w:val="00E80023"/>
    <w:rsid w:val="00E808BE"/>
    <w:rsid w:val="00E8127D"/>
    <w:rsid w:val="00E812FD"/>
    <w:rsid w:val="00E81321"/>
    <w:rsid w:val="00E81876"/>
    <w:rsid w:val="00E81E36"/>
    <w:rsid w:val="00E81E40"/>
    <w:rsid w:val="00E82618"/>
    <w:rsid w:val="00E82CD7"/>
    <w:rsid w:val="00E82ECE"/>
    <w:rsid w:val="00E83380"/>
    <w:rsid w:val="00E8348F"/>
    <w:rsid w:val="00E8461B"/>
    <w:rsid w:val="00E84C5A"/>
    <w:rsid w:val="00E85D26"/>
    <w:rsid w:val="00E86C32"/>
    <w:rsid w:val="00E86CE9"/>
    <w:rsid w:val="00E8713B"/>
    <w:rsid w:val="00E87B7B"/>
    <w:rsid w:val="00E90774"/>
    <w:rsid w:val="00E90A32"/>
    <w:rsid w:val="00E90C61"/>
    <w:rsid w:val="00E9142C"/>
    <w:rsid w:val="00E92604"/>
    <w:rsid w:val="00E92646"/>
    <w:rsid w:val="00E92A82"/>
    <w:rsid w:val="00E92AA8"/>
    <w:rsid w:val="00E9344E"/>
    <w:rsid w:val="00E93E39"/>
    <w:rsid w:val="00E93F6E"/>
    <w:rsid w:val="00E93F7F"/>
    <w:rsid w:val="00E940CE"/>
    <w:rsid w:val="00E94391"/>
    <w:rsid w:val="00E96D49"/>
    <w:rsid w:val="00E974D8"/>
    <w:rsid w:val="00E974EE"/>
    <w:rsid w:val="00E9761E"/>
    <w:rsid w:val="00E979AF"/>
    <w:rsid w:val="00E97C06"/>
    <w:rsid w:val="00E97E2B"/>
    <w:rsid w:val="00EA0782"/>
    <w:rsid w:val="00EA08CA"/>
    <w:rsid w:val="00EA0C0C"/>
    <w:rsid w:val="00EA114D"/>
    <w:rsid w:val="00EA1CA0"/>
    <w:rsid w:val="00EA2AEA"/>
    <w:rsid w:val="00EA332B"/>
    <w:rsid w:val="00EA3397"/>
    <w:rsid w:val="00EA377C"/>
    <w:rsid w:val="00EA38A5"/>
    <w:rsid w:val="00EA3D36"/>
    <w:rsid w:val="00EA40AA"/>
    <w:rsid w:val="00EA4F31"/>
    <w:rsid w:val="00EA5156"/>
    <w:rsid w:val="00EA5442"/>
    <w:rsid w:val="00EA57E2"/>
    <w:rsid w:val="00EA708E"/>
    <w:rsid w:val="00EA712F"/>
    <w:rsid w:val="00EA7186"/>
    <w:rsid w:val="00EA7C95"/>
    <w:rsid w:val="00EB018B"/>
    <w:rsid w:val="00EB0A1D"/>
    <w:rsid w:val="00EB0E48"/>
    <w:rsid w:val="00EB0F32"/>
    <w:rsid w:val="00EB1003"/>
    <w:rsid w:val="00EB1520"/>
    <w:rsid w:val="00EB167E"/>
    <w:rsid w:val="00EB1743"/>
    <w:rsid w:val="00EB2232"/>
    <w:rsid w:val="00EB227D"/>
    <w:rsid w:val="00EB24ED"/>
    <w:rsid w:val="00EB2A00"/>
    <w:rsid w:val="00EB2CCA"/>
    <w:rsid w:val="00EB309B"/>
    <w:rsid w:val="00EB3AA2"/>
    <w:rsid w:val="00EB3B48"/>
    <w:rsid w:val="00EB4763"/>
    <w:rsid w:val="00EB5FF0"/>
    <w:rsid w:val="00EB6CB7"/>
    <w:rsid w:val="00EB7DE9"/>
    <w:rsid w:val="00EC078B"/>
    <w:rsid w:val="00EC07A0"/>
    <w:rsid w:val="00EC08E4"/>
    <w:rsid w:val="00EC120C"/>
    <w:rsid w:val="00EC12A9"/>
    <w:rsid w:val="00EC14B4"/>
    <w:rsid w:val="00EC18F8"/>
    <w:rsid w:val="00EC24F7"/>
    <w:rsid w:val="00EC266F"/>
    <w:rsid w:val="00EC3086"/>
    <w:rsid w:val="00EC37BE"/>
    <w:rsid w:val="00EC3A1F"/>
    <w:rsid w:val="00EC3CB4"/>
    <w:rsid w:val="00EC3CE3"/>
    <w:rsid w:val="00EC3D59"/>
    <w:rsid w:val="00EC443E"/>
    <w:rsid w:val="00EC4D83"/>
    <w:rsid w:val="00EC4EEE"/>
    <w:rsid w:val="00EC4FE0"/>
    <w:rsid w:val="00EC634F"/>
    <w:rsid w:val="00EC64E9"/>
    <w:rsid w:val="00EC6848"/>
    <w:rsid w:val="00EC6C6E"/>
    <w:rsid w:val="00EC74E5"/>
    <w:rsid w:val="00EC7759"/>
    <w:rsid w:val="00EC7958"/>
    <w:rsid w:val="00EC7B97"/>
    <w:rsid w:val="00EC7E46"/>
    <w:rsid w:val="00ED00A9"/>
    <w:rsid w:val="00ED049C"/>
    <w:rsid w:val="00ED07B7"/>
    <w:rsid w:val="00ED12BE"/>
    <w:rsid w:val="00ED134D"/>
    <w:rsid w:val="00ED1776"/>
    <w:rsid w:val="00ED1913"/>
    <w:rsid w:val="00ED19D7"/>
    <w:rsid w:val="00ED1D73"/>
    <w:rsid w:val="00ED2167"/>
    <w:rsid w:val="00ED26AB"/>
    <w:rsid w:val="00ED2A8F"/>
    <w:rsid w:val="00ED351E"/>
    <w:rsid w:val="00ED3E6B"/>
    <w:rsid w:val="00ED40E5"/>
    <w:rsid w:val="00ED422C"/>
    <w:rsid w:val="00ED4284"/>
    <w:rsid w:val="00ED45DD"/>
    <w:rsid w:val="00ED493C"/>
    <w:rsid w:val="00ED4B27"/>
    <w:rsid w:val="00ED543C"/>
    <w:rsid w:val="00ED5603"/>
    <w:rsid w:val="00ED6829"/>
    <w:rsid w:val="00ED6BA4"/>
    <w:rsid w:val="00ED7A0C"/>
    <w:rsid w:val="00ED7DA7"/>
    <w:rsid w:val="00EE0401"/>
    <w:rsid w:val="00EE0598"/>
    <w:rsid w:val="00EE0C24"/>
    <w:rsid w:val="00EE0EAF"/>
    <w:rsid w:val="00EE1694"/>
    <w:rsid w:val="00EE1F97"/>
    <w:rsid w:val="00EE2103"/>
    <w:rsid w:val="00EE2546"/>
    <w:rsid w:val="00EE2C88"/>
    <w:rsid w:val="00EE311C"/>
    <w:rsid w:val="00EE3D87"/>
    <w:rsid w:val="00EE4035"/>
    <w:rsid w:val="00EE41DB"/>
    <w:rsid w:val="00EE4B3F"/>
    <w:rsid w:val="00EE4DB2"/>
    <w:rsid w:val="00EE56FF"/>
    <w:rsid w:val="00EE57EB"/>
    <w:rsid w:val="00EE5886"/>
    <w:rsid w:val="00EE5FBF"/>
    <w:rsid w:val="00EE6472"/>
    <w:rsid w:val="00EE6CCB"/>
    <w:rsid w:val="00EE70EA"/>
    <w:rsid w:val="00EE7321"/>
    <w:rsid w:val="00EE76C3"/>
    <w:rsid w:val="00EE76F2"/>
    <w:rsid w:val="00EF0769"/>
    <w:rsid w:val="00EF0D7C"/>
    <w:rsid w:val="00EF1E23"/>
    <w:rsid w:val="00EF1FEE"/>
    <w:rsid w:val="00EF208B"/>
    <w:rsid w:val="00EF314C"/>
    <w:rsid w:val="00EF383B"/>
    <w:rsid w:val="00EF39DA"/>
    <w:rsid w:val="00EF40E2"/>
    <w:rsid w:val="00EF5A3B"/>
    <w:rsid w:val="00EF61C1"/>
    <w:rsid w:val="00EF6E68"/>
    <w:rsid w:val="00EF6F59"/>
    <w:rsid w:val="00EF76DB"/>
    <w:rsid w:val="00EF7921"/>
    <w:rsid w:val="00F005FD"/>
    <w:rsid w:val="00F00E02"/>
    <w:rsid w:val="00F00E49"/>
    <w:rsid w:val="00F016BE"/>
    <w:rsid w:val="00F02C04"/>
    <w:rsid w:val="00F03AF1"/>
    <w:rsid w:val="00F03BCA"/>
    <w:rsid w:val="00F03E3A"/>
    <w:rsid w:val="00F03F3B"/>
    <w:rsid w:val="00F04BCD"/>
    <w:rsid w:val="00F05337"/>
    <w:rsid w:val="00F05A8C"/>
    <w:rsid w:val="00F05C89"/>
    <w:rsid w:val="00F06211"/>
    <w:rsid w:val="00F065E9"/>
    <w:rsid w:val="00F067D1"/>
    <w:rsid w:val="00F06805"/>
    <w:rsid w:val="00F07F40"/>
    <w:rsid w:val="00F107EF"/>
    <w:rsid w:val="00F10986"/>
    <w:rsid w:val="00F10A54"/>
    <w:rsid w:val="00F1196C"/>
    <w:rsid w:val="00F120F1"/>
    <w:rsid w:val="00F123D0"/>
    <w:rsid w:val="00F1280A"/>
    <w:rsid w:val="00F13038"/>
    <w:rsid w:val="00F1317F"/>
    <w:rsid w:val="00F131E7"/>
    <w:rsid w:val="00F13200"/>
    <w:rsid w:val="00F13411"/>
    <w:rsid w:val="00F139C3"/>
    <w:rsid w:val="00F143BA"/>
    <w:rsid w:val="00F14D98"/>
    <w:rsid w:val="00F15C73"/>
    <w:rsid w:val="00F163F2"/>
    <w:rsid w:val="00F179DC"/>
    <w:rsid w:val="00F2081B"/>
    <w:rsid w:val="00F20A43"/>
    <w:rsid w:val="00F20C51"/>
    <w:rsid w:val="00F21049"/>
    <w:rsid w:val="00F218AE"/>
    <w:rsid w:val="00F21CF0"/>
    <w:rsid w:val="00F22232"/>
    <w:rsid w:val="00F2228E"/>
    <w:rsid w:val="00F22D3C"/>
    <w:rsid w:val="00F23D66"/>
    <w:rsid w:val="00F24043"/>
    <w:rsid w:val="00F246E5"/>
    <w:rsid w:val="00F2492F"/>
    <w:rsid w:val="00F24E6F"/>
    <w:rsid w:val="00F26069"/>
    <w:rsid w:val="00F26243"/>
    <w:rsid w:val="00F26B7E"/>
    <w:rsid w:val="00F26E1B"/>
    <w:rsid w:val="00F27471"/>
    <w:rsid w:val="00F27C4E"/>
    <w:rsid w:val="00F27D7D"/>
    <w:rsid w:val="00F27D92"/>
    <w:rsid w:val="00F3002B"/>
    <w:rsid w:val="00F30580"/>
    <w:rsid w:val="00F30BC9"/>
    <w:rsid w:val="00F311CF"/>
    <w:rsid w:val="00F319A4"/>
    <w:rsid w:val="00F31E01"/>
    <w:rsid w:val="00F32462"/>
    <w:rsid w:val="00F32C83"/>
    <w:rsid w:val="00F32FF7"/>
    <w:rsid w:val="00F330E5"/>
    <w:rsid w:val="00F334E6"/>
    <w:rsid w:val="00F33EDE"/>
    <w:rsid w:val="00F34AFE"/>
    <w:rsid w:val="00F3541A"/>
    <w:rsid w:val="00F3568B"/>
    <w:rsid w:val="00F35EEB"/>
    <w:rsid w:val="00F35FC2"/>
    <w:rsid w:val="00F36819"/>
    <w:rsid w:val="00F377CD"/>
    <w:rsid w:val="00F4049D"/>
    <w:rsid w:val="00F40816"/>
    <w:rsid w:val="00F409A0"/>
    <w:rsid w:val="00F40C3B"/>
    <w:rsid w:val="00F40CE0"/>
    <w:rsid w:val="00F417DF"/>
    <w:rsid w:val="00F41898"/>
    <w:rsid w:val="00F41FC9"/>
    <w:rsid w:val="00F42091"/>
    <w:rsid w:val="00F42DBC"/>
    <w:rsid w:val="00F4308D"/>
    <w:rsid w:val="00F44012"/>
    <w:rsid w:val="00F44947"/>
    <w:rsid w:val="00F458EF"/>
    <w:rsid w:val="00F45FAE"/>
    <w:rsid w:val="00F46806"/>
    <w:rsid w:val="00F469F8"/>
    <w:rsid w:val="00F46CDA"/>
    <w:rsid w:val="00F46DE5"/>
    <w:rsid w:val="00F47121"/>
    <w:rsid w:val="00F4775D"/>
    <w:rsid w:val="00F504DD"/>
    <w:rsid w:val="00F50874"/>
    <w:rsid w:val="00F50CBD"/>
    <w:rsid w:val="00F51138"/>
    <w:rsid w:val="00F51437"/>
    <w:rsid w:val="00F516C6"/>
    <w:rsid w:val="00F51E1F"/>
    <w:rsid w:val="00F51EE2"/>
    <w:rsid w:val="00F52221"/>
    <w:rsid w:val="00F52A66"/>
    <w:rsid w:val="00F52B28"/>
    <w:rsid w:val="00F5302D"/>
    <w:rsid w:val="00F53452"/>
    <w:rsid w:val="00F536BB"/>
    <w:rsid w:val="00F53755"/>
    <w:rsid w:val="00F5376E"/>
    <w:rsid w:val="00F53E59"/>
    <w:rsid w:val="00F54245"/>
    <w:rsid w:val="00F5475B"/>
    <w:rsid w:val="00F54ACC"/>
    <w:rsid w:val="00F54DBD"/>
    <w:rsid w:val="00F55190"/>
    <w:rsid w:val="00F555F1"/>
    <w:rsid w:val="00F557B7"/>
    <w:rsid w:val="00F561E1"/>
    <w:rsid w:val="00F574D0"/>
    <w:rsid w:val="00F57FA9"/>
    <w:rsid w:val="00F6031F"/>
    <w:rsid w:val="00F60D26"/>
    <w:rsid w:val="00F60E2F"/>
    <w:rsid w:val="00F612E5"/>
    <w:rsid w:val="00F61664"/>
    <w:rsid w:val="00F618EC"/>
    <w:rsid w:val="00F61B99"/>
    <w:rsid w:val="00F622B6"/>
    <w:rsid w:val="00F63386"/>
    <w:rsid w:val="00F63B09"/>
    <w:rsid w:val="00F64BA0"/>
    <w:rsid w:val="00F64C45"/>
    <w:rsid w:val="00F6502B"/>
    <w:rsid w:val="00F6609E"/>
    <w:rsid w:val="00F6612A"/>
    <w:rsid w:val="00F66724"/>
    <w:rsid w:val="00F6691C"/>
    <w:rsid w:val="00F66B74"/>
    <w:rsid w:val="00F66ECB"/>
    <w:rsid w:val="00F67BFC"/>
    <w:rsid w:val="00F67F04"/>
    <w:rsid w:val="00F70207"/>
    <w:rsid w:val="00F702CB"/>
    <w:rsid w:val="00F70627"/>
    <w:rsid w:val="00F71083"/>
    <w:rsid w:val="00F711A1"/>
    <w:rsid w:val="00F716D4"/>
    <w:rsid w:val="00F71794"/>
    <w:rsid w:val="00F71AC2"/>
    <w:rsid w:val="00F71CBD"/>
    <w:rsid w:val="00F72DEB"/>
    <w:rsid w:val="00F732CB"/>
    <w:rsid w:val="00F739D4"/>
    <w:rsid w:val="00F7401B"/>
    <w:rsid w:val="00F74CBB"/>
    <w:rsid w:val="00F750C3"/>
    <w:rsid w:val="00F753E7"/>
    <w:rsid w:val="00F75AA0"/>
    <w:rsid w:val="00F76322"/>
    <w:rsid w:val="00F768F5"/>
    <w:rsid w:val="00F77BED"/>
    <w:rsid w:val="00F77CD0"/>
    <w:rsid w:val="00F77D43"/>
    <w:rsid w:val="00F802A8"/>
    <w:rsid w:val="00F80953"/>
    <w:rsid w:val="00F80B5C"/>
    <w:rsid w:val="00F811AF"/>
    <w:rsid w:val="00F81312"/>
    <w:rsid w:val="00F81B90"/>
    <w:rsid w:val="00F81C80"/>
    <w:rsid w:val="00F81E6F"/>
    <w:rsid w:val="00F8288B"/>
    <w:rsid w:val="00F82FF3"/>
    <w:rsid w:val="00F83000"/>
    <w:rsid w:val="00F83094"/>
    <w:rsid w:val="00F83468"/>
    <w:rsid w:val="00F835C2"/>
    <w:rsid w:val="00F83C53"/>
    <w:rsid w:val="00F8453A"/>
    <w:rsid w:val="00F8453C"/>
    <w:rsid w:val="00F8486F"/>
    <w:rsid w:val="00F84D4C"/>
    <w:rsid w:val="00F8549A"/>
    <w:rsid w:val="00F8593E"/>
    <w:rsid w:val="00F85D3D"/>
    <w:rsid w:val="00F86254"/>
    <w:rsid w:val="00F8657D"/>
    <w:rsid w:val="00F8730F"/>
    <w:rsid w:val="00F87468"/>
    <w:rsid w:val="00F87897"/>
    <w:rsid w:val="00F87DA3"/>
    <w:rsid w:val="00F90004"/>
    <w:rsid w:val="00F90EF4"/>
    <w:rsid w:val="00F91351"/>
    <w:rsid w:val="00F917BF"/>
    <w:rsid w:val="00F920B4"/>
    <w:rsid w:val="00F9260D"/>
    <w:rsid w:val="00F92727"/>
    <w:rsid w:val="00F92B14"/>
    <w:rsid w:val="00F93646"/>
    <w:rsid w:val="00F93BA5"/>
    <w:rsid w:val="00F93CCF"/>
    <w:rsid w:val="00F94307"/>
    <w:rsid w:val="00F94755"/>
    <w:rsid w:val="00F9526D"/>
    <w:rsid w:val="00F9580B"/>
    <w:rsid w:val="00F95AE4"/>
    <w:rsid w:val="00F95F15"/>
    <w:rsid w:val="00F963BB"/>
    <w:rsid w:val="00F975CA"/>
    <w:rsid w:val="00FA0A61"/>
    <w:rsid w:val="00FA0B60"/>
    <w:rsid w:val="00FA0F95"/>
    <w:rsid w:val="00FA11DF"/>
    <w:rsid w:val="00FA1210"/>
    <w:rsid w:val="00FA170B"/>
    <w:rsid w:val="00FA1A6F"/>
    <w:rsid w:val="00FA1B79"/>
    <w:rsid w:val="00FA1C0C"/>
    <w:rsid w:val="00FA20D9"/>
    <w:rsid w:val="00FA2528"/>
    <w:rsid w:val="00FA297B"/>
    <w:rsid w:val="00FA2D34"/>
    <w:rsid w:val="00FA3872"/>
    <w:rsid w:val="00FA4100"/>
    <w:rsid w:val="00FA5524"/>
    <w:rsid w:val="00FA5535"/>
    <w:rsid w:val="00FA596B"/>
    <w:rsid w:val="00FA60B1"/>
    <w:rsid w:val="00FA60C1"/>
    <w:rsid w:val="00FA7206"/>
    <w:rsid w:val="00FA7EFB"/>
    <w:rsid w:val="00FB0495"/>
    <w:rsid w:val="00FB0816"/>
    <w:rsid w:val="00FB08C2"/>
    <w:rsid w:val="00FB2635"/>
    <w:rsid w:val="00FB287E"/>
    <w:rsid w:val="00FB2940"/>
    <w:rsid w:val="00FB2FD4"/>
    <w:rsid w:val="00FB37E1"/>
    <w:rsid w:val="00FB3DD1"/>
    <w:rsid w:val="00FB3EDE"/>
    <w:rsid w:val="00FB43E1"/>
    <w:rsid w:val="00FB44B2"/>
    <w:rsid w:val="00FB51FD"/>
    <w:rsid w:val="00FB5667"/>
    <w:rsid w:val="00FB5AEB"/>
    <w:rsid w:val="00FB5F3D"/>
    <w:rsid w:val="00FB65FB"/>
    <w:rsid w:val="00FB7137"/>
    <w:rsid w:val="00FB7A97"/>
    <w:rsid w:val="00FC0361"/>
    <w:rsid w:val="00FC05A3"/>
    <w:rsid w:val="00FC13E3"/>
    <w:rsid w:val="00FC1601"/>
    <w:rsid w:val="00FC1B9B"/>
    <w:rsid w:val="00FC2B98"/>
    <w:rsid w:val="00FC318D"/>
    <w:rsid w:val="00FC36CF"/>
    <w:rsid w:val="00FC40BC"/>
    <w:rsid w:val="00FC41FC"/>
    <w:rsid w:val="00FC49CF"/>
    <w:rsid w:val="00FC4D11"/>
    <w:rsid w:val="00FC4F6E"/>
    <w:rsid w:val="00FC506C"/>
    <w:rsid w:val="00FC578C"/>
    <w:rsid w:val="00FC5A37"/>
    <w:rsid w:val="00FC5E69"/>
    <w:rsid w:val="00FC5F6B"/>
    <w:rsid w:val="00FC6BBA"/>
    <w:rsid w:val="00FC73B3"/>
    <w:rsid w:val="00FC747D"/>
    <w:rsid w:val="00FC7836"/>
    <w:rsid w:val="00FC7910"/>
    <w:rsid w:val="00FC7B12"/>
    <w:rsid w:val="00FD021C"/>
    <w:rsid w:val="00FD0248"/>
    <w:rsid w:val="00FD05C2"/>
    <w:rsid w:val="00FD13EA"/>
    <w:rsid w:val="00FD1C2F"/>
    <w:rsid w:val="00FD31B3"/>
    <w:rsid w:val="00FD38D7"/>
    <w:rsid w:val="00FD3B97"/>
    <w:rsid w:val="00FD44E0"/>
    <w:rsid w:val="00FD5E08"/>
    <w:rsid w:val="00FD5E77"/>
    <w:rsid w:val="00FD5EC4"/>
    <w:rsid w:val="00FD6DC2"/>
    <w:rsid w:val="00FD771C"/>
    <w:rsid w:val="00FD7858"/>
    <w:rsid w:val="00FD79AD"/>
    <w:rsid w:val="00FD7A8D"/>
    <w:rsid w:val="00FE016D"/>
    <w:rsid w:val="00FE018B"/>
    <w:rsid w:val="00FE0BBC"/>
    <w:rsid w:val="00FE11A0"/>
    <w:rsid w:val="00FE1330"/>
    <w:rsid w:val="00FE19F7"/>
    <w:rsid w:val="00FE1CE5"/>
    <w:rsid w:val="00FE247C"/>
    <w:rsid w:val="00FE2832"/>
    <w:rsid w:val="00FE2AD8"/>
    <w:rsid w:val="00FE2D38"/>
    <w:rsid w:val="00FE3293"/>
    <w:rsid w:val="00FE37C4"/>
    <w:rsid w:val="00FE3929"/>
    <w:rsid w:val="00FE3E32"/>
    <w:rsid w:val="00FE3E70"/>
    <w:rsid w:val="00FE5332"/>
    <w:rsid w:val="00FE5D01"/>
    <w:rsid w:val="00FE678F"/>
    <w:rsid w:val="00FE68E3"/>
    <w:rsid w:val="00FE6A05"/>
    <w:rsid w:val="00FE6FA0"/>
    <w:rsid w:val="00FE7AB5"/>
    <w:rsid w:val="00FF080D"/>
    <w:rsid w:val="00FF097B"/>
    <w:rsid w:val="00FF0B6E"/>
    <w:rsid w:val="00FF1370"/>
    <w:rsid w:val="00FF16AF"/>
    <w:rsid w:val="00FF1C1B"/>
    <w:rsid w:val="00FF2067"/>
    <w:rsid w:val="00FF20EB"/>
    <w:rsid w:val="00FF3317"/>
    <w:rsid w:val="00FF36C6"/>
    <w:rsid w:val="00FF3B8A"/>
    <w:rsid w:val="00FF3BC4"/>
    <w:rsid w:val="00FF4B66"/>
    <w:rsid w:val="00FF4E17"/>
    <w:rsid w:val="00FF4E6A"/>
    <w:rsid w:val="00FF50E4"/>
    <w:rsid w:val="00FF5147"/>
    <w:rsid w:val="00FF54B0"/>
    <w:rsid w:val="00FF5939"/>
    <w:rsid w:val="00FF598F"/>
    <w:rsid w:val="00FF688E"/>
    <w:rsid w:val="00FF6ADF"/>
    <w:rsid w:val="00FF79CC"/>
    <w:rsid w:val="00FF7AE3"/>
    <w:rsid w:val="00FF7B74"/>
    <w:rsid w:val="043F27F2"/>
    <w:rsid w:val="053E2DCF"/>
    <w:rsid w:val="070783BE"/>
    <w:rsid w:val="0777BFC0"/>
    <w:rsid w:val="07AC4878"/>
    <w:rsid w:val="08D00CE4"/>
    <w:rsid w:val="123A1AB1"/>
    <w:rsid w:val="126ED097"/>
    <w:rsid w:val="13528C47"/>
    <w:rsid w:val="18807819"/>
    <w:rsid w:val="20A29232"/>
    <w:rsid w:val="252A5F8C"/>
    <w:rsid w:val="2AA2DD84"/>
    <w:rsid w:val="2CEB03F0"/>
    <w:rsid w:val="3305087E"/>
    <w:rsid w:val="3312F37C"/>
    <w:rsid w:val="3F084C8D"/>
    <w:rsid w:val="40792FEE"/>
    <w:rsid w:val="46F9B67C"/>
    <w:rsid w:val="4B2352D5"/>
    <w:rsid w:val="5081092A"/>
    <w:rsid w:val="54874618"/>
    <w:rsid w:val="5643A7C3"/>
    <w:rsid w:val="5D30E510"/>
    <w:rsid w:val="5E569BE9"/>
    <w:rsid w:val="5E58B0DB"/>
    <w:rsid w:val="66F7E717"/>
    <w:rsid w:val="6785429E"/>
    <w:rsid w:val="69F42E6F"/>
    <w:rsid w:val="6C7E92C3"/>
    <w:rsid w:val="6E7335C3"/>
    <w:rsid w:val="6F350018"/>
    <w:rsid w:val="71346D47"/>
    <w:rsid w:val="71B0A02D"/>
    <w:rsid w:val="7CE12C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8FB9DDA-0A76-44A9-A0A5-78D3C986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styleId="Mention">
    <w:name w:val="Mention"/>
    <w:basedOn w:val="DefaultParagraphFont"/>
    <w:uiPriority w:val="99"/>
    <w:unhideWhenUsed/>
    <w:rsid w:val="00CA14F6"/>
    <w:rPr>
      <w:color w:val="2B579A"/>
      <w:shd w:val="clear" w:color="auto" w:fill="E1DFDD"/>
    </w:rPr>
  </w:style>
  <w:style w:type="paragraph" w:customStyle="1" w:styleId="xmsonormal">
    <w:name w:val="x_msonormal"/>
    <w:basedOn w:val="Normal"/>
    <w:rsid w:val="00776363"/>
    <w:pPr>
      <w:spacing w:after="0" w:line="240" w:lineRule="auto"/>
      <w:jc w:val="left"/>
    </w:pPr>
    <w:rPr>
      <w:rFonts w:eastAsiaTheme="minorHAnsi"/>
      <w:color w:val="00000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27148555">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28397505">
      <w:bodyDiv w:val="1"/>
      <w:marLeft w:val="0"/>
      <w:marRight w:val="0"/>
      <w:marTop w:val="0"/>
      <w:marBottom w:val="0"/>
      <w:divBdr>
        <w:top w:val="none" w:sz="0" w:space="0" w:color="auto"/>
        <w:left w:val="none" w:sz="0" w:space="0" w:color="auto"/>
        <w:bottom w:val="none" w:sz="0" w:space="0" w:color="auto"/>
        <w:right w:val="none" w:sz="0" w:space="0" w:color="auto"/>
      </w:divBdr>
    </w:div>
    <w:div w:id="15022312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58694136">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193691322">
      <w:bodyDiv w:val="1"/>
      <w:marLeft w:val="0"/>
      <w:marRight w:val="0"/>
      <w:marTop w:val="0"/>
      <w:marBottom w:val="0"/>
      <w:divBdr>
        <w:top w:val="none" w:sz="0" w:space="0" w:color="auto"/>
        <w:left w:val="none" w:sz="0" w:space="0" w:color="auto"/>
        <w:bottom w:val="none" w:sz="0" w:space="0" w:color="auto"/>
        <w:right w:val="none" w:sz="0" w:space="0" w:color="auto"/>
      </w:divBdr>
    </w:div>
    <w:div w:id="208617287">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49700356">
      <w:bodyDiv w:val="1"/>
      <w:marLeft w:val="0"/>
      <w:marRight w:val="0"/>
      <w:marTop w:val="0"/>
      <w:marBottom w:val="0"/>
      <w:divBdr>
        <w:top w:val="none" w:sz="0" w:space="0" w:color="auto"/>
        <w:left w:val="none" w:sz="0" w:space="0" w:color="auto"/>
        <w:bottom w:val="none" w:sz="0" w:space="0" w:color="auto"/>
        <w:right w:val="none" w:sz="0" w:space="0" w:color="auto"/>
      </w:divBdr>
    </w:div>
    <w:div w:id="275909650">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49140469">
      <w:bodyDiv w:val="1"/>
      <w:marLeft w:val="0"/>
      <w:marRight w:val="0"/>
      <w:marTop w:val="0"/>
      <w:marBottom w:val="0"/>
      <w:divBdr>
        <w:top w:val="none" w:sz="0" w:space="0" w:color="auto"/>
        <w:left w:val="none" w:sz="0" w:space="0" w:color="auto"/>
        <w:bottom w:val="none" w:sz="0" w:space="0" w:color="auto"/>
        <w:right w:val="none" w:sz="0" w:space="0" w:color="auto"/>
      </w:divBdr>
    </w:div>
    <w:div w:id="382681413">
      <w:bodyDiv w:val="1"/>
      <w:marLeft w:val="0"/>
      <w:marRight w:val="0"/>
      <w:marTop w:val="0"/>
      <w:marBottom w:val="0"/>
      <w:divBdr>
        <w:top w:val="none" w:sz="0" w:space="0" w:color="auto"/>
        <w:left w:val="none" w:sz="0" w:space="0" w:color="auto"/>
        <w:bottom w:val="none" w:sz="0" w:space="0" w:color="auto"/>
        <w:right w:val="none" w:sz="0" w:space="0" w:color="auto"/>
      </w:divBdr>
    </w:div>
    <w:div w:id="390619769">
      <w:bodyDiv w:val="1"/>
      <w:marLeft w:val="0"/>
      <w:marRight w:val="0"/>
      <w:marTop w:val="0"/>
      <w:marBottom w:val="0"/>
      <w:divBdr>
        <w:top w:val="none" w:sz="0" w:space="0" w:color="auto"/>
        <w:left w:val="none" w:sz="0" w:space="0" w:color="auto"/>
        <w:bottom w:val="none" w:sz="0" w:space="0" w:color="auto"/>
        <w:right w:val="none" w:sz="0" w:space="0" w:color="auto"/>
      </w:divBdr>
    </w:div>
    <w:div w:id="396250518">
      <w:bodyDiv w:val="1"/>
      <w:marLeft w:val="0"/>
      <w:marRight w:val="0"/>
      <w:marTop w:val="0"/>
      <w:marBottom w:val="0"/>
      <w:divBdr>
        <w:top w:val="none" w:sz="0" w:space="0" w:color="auto"/>
        <w:left w:val="none" w:sz="0" w:space="0" w:color="auto"/>
        <w:bottom w:val="none" w:sz="0" w:space="0" w:color="auto"/>
        <w:right w:val="none" w:sz="0" w:space="0" w:color="auto"/>
      </w:divBdr>
    </w:div>
    <w:div w:id="396906280">
      <w:bodyDiv w:val="1"/>
      <w:marLeft w:val="0"/>
      <w:marRight w:val="0"/>
      <w:marTop w:val="0"/>
      <w:marBottom w:val="0"/>
      <w:divBdr>
        <w:top w:val="none" w:sz="0" w:space="0" w:color="auto"/>
        <w:left w:val="none" w:sz="0" w:space="0" w:color="auto"/>
        <w:bottom w:val="none" w:sz="0" w:space="0" w:color="auto"/>
        <w:right w:val="none" w:sz="0" w:space="0" w:color="auto"/>
      </w:divBdr>
    </w:div>
    <w:div w:id="404686848">
      <w:bodyDiv w:val="1"/>
      <w:marLeft w:val="0"/>
      <w:marRight w:val="0"/>
      <w:marTop w:val="0"/>
      <w:marBottom w:val="0"/>
      <w:divBdr>
        <w:top w:val="none" w:sz="0" w:space="0" w:color="auto"/>
        <w:left w:val="none" w:sz="0" w:space="0" w:color="auto"/>
        <w:bottom w:val="none" w:sz="0" w:space="0" w:color="auto"/>
        <w:right w:val="none" w:sz="0" w:space="0" w:color="auto"/>
      </w:divBdr>
    </w:div>
    <w:div w:id="406154069">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57378989">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4881531">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21015797">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588730485">
      <w:bodyDiv w:val="1"/>
      <w:marLeft w:val="0"/>
      <w:marRight w:val="0"/>
      <w:marTop w:val="0"/>
      <w:marBottom w:val="0"/>
      <w:divBdr>
        <w:top w:val="none" w:sz="0" w:space="0" w:color="auto"/>
        <w:left w:val="none" w:sz="0" w:space="0" w:color="auto"/>
        <w:bottom w:val="none" w:sz="0" w:space="0" w:color="auto"/>
        <w:right w:val="none" w:sz="0" w:space="0" w:color="auto"/>
      </w:divBdr>
    </w:div>
    <w:div w:id="636298591">
      <w:bodyDiv w:val="1"/>
      <w:marLeft w:val="0"/>
      <w:marRight w:val="0"/>
      <w:marTop w:val="0"/>
      <w:marBottom w:val="0"/>
      <w:divBdr>
        <w:top w:val="none" w:sz="0" w:space="0" w:color="auto"/>
        <w:left w:val="none" w:sz="0" w:space="0" w:color="auto"/>
        <w:bottom w:val="none" w:sz="0" w:space="0" w:color="auto"/>
        <w:right w:val="none" w:sz="0" w:space="0" w:color="auto"/>
      </w:divBdr>
      <w:divsChild>
        <w:div w:id="1009525713">
          <w:marLeft w:val="0"/>
          <w:marRight w:val="0"/>
          <w:marTop w:val="0"/>
          <w:marBottom w:val="0"/>
          <w:divBdr>
            <w:top w:val="none" w:sz="0" w:space="0" w:color="auto"/>
            <w:left w:val="none" w:sz="0" w:space="0" w:color="auto"/>
            <w:bottom w:val="none" w:sz="0" w:space="0" w:color="auto"/>
            <w:right w:val="none" w:sz="0" w:space="0" w:color="auto"/>
          </w:divBdr>
        </w:div>
      </w:divsChild>
    </w:div>
    <w:div w:id="645010233">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06554359">
      <w:bodyDiv w:val="1"/>
      <w:marLeft w:val="0"/>
      <w:marRight w:val="0"/>
      <w:marTop w:val="0"/>
      <w:marBottom w:val="0"/>
      <w:divBdr>
        <w:top w:val="none" w:sz="0" w:space="0" w:color="auto"/>
        <w:left w:val="none" w:sz="0" w:space="0" w:color="auto"/>
        <w:bottom w:val="none" w:sz="0" w:space="0" w:color="auto"/>
        <w:right w:val="none" w:sz="0" w:space="0" w:color="auto"/>
      </w:divBdr>
    </w:div>
    <w:div w:id="81109509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4615317">
      <w:bodyDiv w:val="1"/>
      <w:marLeft w:val="0"/>
      <w:marRight w:val="0"/>
      <w:marTop w:val="0"/>
      <w:marBottom w:val="0"/>
      <w:divBdr>
        <w:top w:val="none" w:sz="0" w:space="0" w:color="auto"/>
        <w:left w:val="none" w:sz="0" w:space="0" w:color="auto"/>
        <w:bottom w:val="none" w:sz="0" w:space="0" w:color="auto"/>
        <w:right w:val="none" w:sz="0" w:space="0" w:color="auto"/>
      </w:divBdr>
      <w:divsChild>
        <w:div w:id="482431740">
          <w:marLeft w:val="0"/>
          <w:marRight w:val="0"/>
          <w:marTop w:val="0"/>
          <w:marBottom w:val="0"/>
          <w:divBdr>
            <w:top w:val="none" w:sz="0" w:space="0" w:color="auto"/>
            <w:left w:val="none" w:sz="0" w:space="0" w:color="auto"/>
            <w:bottom w:val="none" w:sz="0" w:space="0" w:color="auto"/>
            <w:right w:val="none" w:sz="0" w:space="0" w:color="auto"/>
          </w:divBdr>
          <w:divsChild>
            <w:div w:id="1226379633">
              <w:marLeft w:val="0"/>
              <w:marRight w:val="0"/>
              <w:marTop w:val="0"/>
              <w:marBottom w:val="0"/>
              <w:divBdr>
                <w:top w:val="none" w:sz="0" w:space="0" w:color="auto"/>
                <w:left w:val="none" w:sz="0" w:space="0" w:color="auto"/>
                <w:bottom w:val="none" w:sz="0" w:space="0" w:color="auto"/>
                <w:right w:val="none" w:sz="0" w:space="0" w:color="auto"/>
              </w:divBdr>
            </w:div>
            <w:div w:id="1962958746">
              <w:marLeft w:val="0"/>
              <w:marRight w:val="0"/>
              <w:marTop w:val="0"/>
              <w:marBottom w:val="0"/>
              <w:divBdr>
                <w:top w:val="none" w:sz="0" w:space="0" w:color="auto"/>
                <w:left w:val="none" w:sz="0" w:space="0" w:color="auto"/>
                <w:bottom w:val="none" w:sz="0" w:space="0" w:color="auto"/>
                <w:right w:val="none" w:sz="0" w:space="0" w:color="auto"/>
              </w:divBdr>
            </w:div>
          </w:divsChild>
        </w:div>
        <w:div w:id="1930887955">
          <w:marLeft w:val="0"/>
          <w:marRight w:val="0"/>
          <w:marTop w:val="0"/>
          <w:marBottom w:val="0"/>
          <w:divBdr>
            <w:top w:val="none" w:sz="0" w:space="0" w:color="auto"/>
            <w:left w:val="none" w:sz="0" w:space="0" w:color="auto"/>
            <w:bottom w:val="none" w:sz="0" w:space="0" w:color="auto"/>
            <w:right w:val="none" w:sz="0" w:space="0" w:color="auto"/>
          </w:divBdr>
        </w:div>
        <w:div w:id="2092190988">
          <w:marLeft w:val="0"/>
          <w:marRight w:val="0"/>
          <w:marTop w:val="0"/>
          <w:marBottom w:val="0"/>
          <w:divBdr>
            <w:top w:val="none" w:sz="0" w:space="0" w:color="auto"/>
            <w:left w:val="none" w:sz="0" w:space="0" w:color="auto"/>
            <w:bottom w:val="none" w:sz="0" w:space="0" w:color="auto"/>
            <w:right w:val="none" w:sz="0" w:space="0" w:color="auto"/>
          </w:divBdr>
        </w:div>
      </w:divsChild>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62671451">
      <w:bodyDiv w:val="1"/>
      <w:marLeft w:val="0"/>
      <w:marRight w:val="0"/>
      <w:marTop w:val="0"/>
      <w:marBottom w:val="0"/>
      <w:divBdr>
        <w:top w:val="none" w:sz="0" w:space="0" w:color="auto"/>
        <w:left w:val="none" w:sz="0" w:space="0" w:color="auto"/>
        <w:bottom w:val="none" w:sz="0" w:space="0" w:color="auto"/>
        <w:right w:val="none" w:sz="0" w:space="0" w:color="auto"/>
      </w:divBdr>
      <w:divsChild>
        <w:div w:id="975571229">
          <w:marLeft w:val="0"/>
          <w:marRight w:val="0"/>
          <w:marTop w:val="0"/>
          <w:marBottom w:val="0"/>
          <w:divBdr>
            <w:top w:val="none" w:sz="0" w:space="0" w:color="auto"/>
            <w:left w:val="none" w:sz="0" w:space="0" w:color="auto"/>
            <w:bottom w:val="none" w:sz="0" w:space="0" w:color="auto"/>
            <w:right w:val="none" w:sz="0" w:space="0" w:color="auto"/>
          </w:divBdr>
        </w:div>
      </w:divsChild>
    </w:div>
    <w:div w:id="879786437">
      <w:bodyDiv w:val="1"/>
      <w:marLeft w:val="0"/>
      <w:marRight w:val="0"/>
      <w:marTop w:val="0"/>
      <w:marBottom w:val="0"/>
      <w:divBdr>
        <w:top w:val="none" w:sz="0" w:space="0" w:color="auto"/>
        <w:left w:val="none" w:sz="0" w:space="0" w:color="auto"/>
        <w:bottom w:val="none" w:sz="0" w:space="0" w:color="auto"/>
        <w:right w:val="none" w:sz="0" w:space="0" w:color="auto"/>
      </w:divBdr>
    </w:div>
    <w:div w:id="892234295">
      <w:bodyDiv w:val="1"/>
      <w:marLeft w:val="0"/>
      <w:marRight w:val="0"/>
      <w:marTop w:val="0"/>
      <w:marBottom w:val="0"/>
      <w:divBdr>
        <w:top w:val="none" w:sz="0" w:space="0" w:color="auto"/>
        <w:left w:val="none" w:sz="0" w:space="0" w:color="auto"/>
        <w:bottom w:val="none" w:sz="0" w:space="0" w:color="auto"/>
        <w:right w:val="none" w:sz="0" w:space="0" w:color="auto"/>
      </w:divBdr>
    </w:div>
    <w:div w:id="916089562">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2444035">
      <w:bodyDiv w:val="1"/>
      <w:marLeft w:val="0"/>
      <w:marRight w:val="0"/>
      <w:marTop w:val="0"/>
      <w:marBottom w:val="0"/>
      <w:divBdr>
        <w:top w:val="none" w:sz="0" w:space="0" w:color="auto"/>
        <w:left w:val="none" w:sz="0" w:space="0" w:color="auto"/>
        <w:bottom w:val="none" w:sz="0" w:space="0" w:color="auto"/>
        <w:right w:val="none" w:sz="0" w:space="0" w:color="auto"/>
      </w:divBdr>
    </w:div>
    <w:div w:id="1008364602">
      <w:bodyDiv w:val="1"/>
      <w:marLeft w:val="0"/>
      <w:marRight w:val="0"/>
      <w:marTop w:val="0"/>
      <w:marBottom w:val="0"/>
      <w:divBdr>
        <w:top w:val="none" w:sz="0" w:space="0" w:color="auto"/>
        <w:left w:val="none" w:sz="0" w:space="0" w:color="auto"/>
        <w:bottom w:val="none" w:sz="0" w:space="0" w:color="auto"/>
        <w:right w:val="none" w:sz="0" w:space="0" w:color="auto"/>
      </w:divBdr>
    </w:div>
    <w:div w:id="1042512775">
      <w:bodyDiv w:val="1"/>
      <w:marLeft w:val="0"/>
      <w:marRight w:val="0"/>
      <w:marTop w:val="0"/>
      <w:marBottom w:val="0"/>
      <w:divBdr>
        <w:top w:val="none" w:sz="0" w:space="0" w:color="auto"/>
        <w:left w:val="none" w:sz="0" w:space="0" w:color="auto"/>
        <w:bottom w:val="none" w:sz="0" w:space="0" w:color="auto"/>
        <w:right w:val="none" w:sz="0" w:space="0" w:color="auto"/>
      </w:divBdr>
    </w:div>
    <w:div w:id="1063716599">
      <w:bodyDiv w:val="1"/>
      <w:marLeft w:val="0"/>
      <w:marRight w:val="0"/>
      <w:marTop w:val="0"/>
      <w:marBottom w:val="0"/>
      <w:divBdr>
        <w:top w:val="none" w:sz="0" w:space="0" w:color="auto"/>
        <w:left w:val="none" w:sz="0" w:space="0" w:color="auto"/>
        <w:bottom w:val="none" w:sz="0" w:space="0" w:color="auto"/>
        <w:right w:val="none" w:sz="0" w:space="0" w:color="auto"/>
      </w:divBdr>
    </w:div>
    <w:div w:id="107597226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3280433">
      <w:bodyDiv w:val="1"/>
      <w:marLeft w:val="0"/>
      <w:marRight w:val="0"/>
      <w:marTop w:val="0"/>
      <w:marBottom w:val="0"/>
      <w:divBdr>
        <w:top w:val="none" w:sz="0" w:space="0" w:color="auto"/>
        <w:left w:val="none" w:sz="0" w:space="0" w:color="auto"/>
        <w:bottom w:val="none" w:sz="0" w:space="0" w:color="auto"/>
        <w:right w:val="none" w:sz="0" w:space="0" w:color="auto"/>
      </w:divBdr>
    </w:div>
    <w:div w:id="118432401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64610922">
      <w:bodyDiv w:val="1"/>
      <w:marLeft w:val="0"/>
      <w:marRight w:val="0"/>
      <w:marTop w:val="0"/>
      <w:marBottom w:val="0"/>
      <w:divBdr>
        <w:top w:val="none" w:sz="0" w:space="0" w:color="auto"/>
        <w:left w:val="none" w:sz="0" w:space="0" w:color="auto"/>
        <w:bottom w:val="none" w:sz="0" w:space="0" w:color="auto"/>
        <w:right w:val="none" w:sz="0" w:space="0" w:color="auto"/>
      </w:divBdr>
    </w:div>
    <w:div w:id="1311060149">
      <w:bodyDiv w:val="1"/>
      <w:marLeft w:val="0"/>
      <w:marRight w:val="0"/>
      <w:marTop w:val="0"/>
      <w:marBottom w:val="0"/>
      <w:divBdr>
        <w:top w:val="none" w:sz="0" w:space="0" w:color="auto"/>
        <w:left w:val="none" w:sz="0" w:space="0" w:color="auto"/>
        <w:bottom w:val="none" w:sz="0" w:space="0" w:color="auto"/>
        <w:right w:val="none" w:sz="0" w:space="0" w:color="auto"/>
      </w:divBdr>
    </w:div>
    <w:div w:id="1328286816">
      <w:bodyDiv w:val="1"/>
      <w:marLeft w:val="0"/>
      <w:marRight w:val="0"/>
      <w:marTop w:val="0"/>
      <w:marBottom w:val="0"/>
      <w:divBdr>
        <w:top w:val="none" w:sz="0" w:space="0" w:color="auto"/>
        <w:left w:val="none" w:sz="0" w:space="0" w:color="auto"/>
        <w:bottom w:val="none" w:sz="0" w:space="0" w:color="auto"/>
        <w:right w:val="none" w:sz="0" w:space="0" w:color="auto"/>
      </w:divBdr>
    </w:div>
    <w:div w:id="1336112932">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390690267">
      <w:bodyDiv w:val="1"/>
      <w:marLeft w:val="0"/>
      <w:marRight w:val="0"/>
      <w:marTop w:val="0"/>
      <w:marBottom w:val="0"/>
      <w:divBdr>
        <w:top w:val="none" w:sz="0" w:space="0" w:color="auto"/>
        <w:left w:val="none" w:sz="0" w:space="0" w:color="auto"/>
        <w:bottom w:val="none" w:sz="0" w:space="0" w:color="auto"/>
        <w:right w:val="none" w:sz="0" w:space="0" w:color="auto"/>
      </w:divBdr>
    </w:div>
    <w:div w:id="1403218510">
      <w:bodyDiv w:val="1"/>
      <w:marLeft w:val="0"/>
      <w:marRight w:val="0"/>
      <w:marTop w:val="0"/>
      <w:marBottom w:val="0"/>
      <w:divBdr>
        <w:top w:val="none" w:sz="0" w:space="0" w:color="auto"/>
        <w:left w:val="none" w:sz="0" w:space="0" w:color="auto"/>
        <w:bottom w:val="none" w:sz="0" w:space="0" w:color="auto"/>
        <w:right w:val="none" w:sz="0" w:space="0" w:color="auto"/>
      </w:divBdr>
    </w:div>
    <w:div w:id="1428695440">
      <w:bodyDiv w:val="1"/>
      <w:marLeft w:val="0"/>
      <w:marRight w:val="0"/>
      <w:marTop w:val="0"/>
      <w:marBottom w:val="0"/>
      <w:divBdr>
        <w:top w:val="none" w:sz="0" w:space="0" w:color="auto"/>
        <w:left w:val="none" w:sz="0" w:space="0" w:color="auto"/>
        <w:bottom w:val="none" w:sz="0" w:space="0" w:color="auto"/>
        <w:right w:val="none" w:sz="0" w:space="0" w:color="auto"/>
      </w:divBdr>
      <w:divsChild>
        <w:div w:id="688414205">
          <w:marLeft w:val="0"/>
          <w:marRight w:val="0"/>
          <w:marTop w:val="0"/>
          <w:marBottom w:val="0"/>
          <w:divBdr>
            <w:top w:val="none" w:sz="0" w:space="0" w:color="auto"/>
            <w:left w:val="none" w:sz="0" w:space="0" w:color="auto"/>
            <w:bottom w:val="none" w:sz="0" w:space="0" w:color="auto"/>
            <w:right w:val="none" w:sz="0" w:space="0" w:color="auto"/>
          </w:divBdr>
        </w:div>
      </w:divsChild>
    </w:div>
    <w:div w:id="1478300832">
      <w:bodyDiv w:val="1"/>
      <w:marLeft w:val="0"/>
      <w:marRight w:val="0"/>
      <w:marTop w:val="0"/>
      <w:marBottom w:val="0"/>
      <w:divBdr>
        <w:top w:val="none" w:sz="0" w:space="0" w:color="auto"/>
        <w:left w:val="none" w:sz="0" w:space="0" w:color="auto"/>
        <w:bottom w:val="none" w:sz="0" w:space="0" w:color="auto"/>
        <w:right w:val="none" w:sz="0" w:space="0" w:color="auto"/>
      </w:divBdr>
    </w:div>
    <w:div w:id="1479608877">
      <w:bodyDiv w:val="1"/>
      <w:marLeft w:val="0"/>
      <w:marRight w:val="0"/>
      <w:marTop w:val="0"/>
      <w:marBottom w:val="0"/>
      <w:divBdr>
        <w:top w:val="none" w:sz="0" w:space="0" w:color="auto"/>
        <w:left w:val="none" w:sz="0" w:space="0" w:color="auto"/>
        <w:bottom w:val="none" w:sz="0" w:space="0" w:color="auto"/>
        <w:right w:val="none" w:sz="0" w:space="0" w:color="auto"/>
      </w:divBdr>
      <w:divsChild>
        <w:div w:id="895313015">
          <w:marLeft w:val="0"/>
          <w:marRight w:val="0"/>
          <w:marTop w:val="0"/>
          <w:marBottom w:val="0"/>
          <w:divBdr>
            <w:top w:val="none" w:sz="0" w:space="0" w:color="auto"/>
            <w:left w:val="none" w:sz="0" w:space="0" w:color="auto"/>
            <w:bottom w:val="none" w:sz="0" w:space="0" w:color="auto"/>
            <w:right w:val="none" w:sz="0" w:space="0" w:color="auto"/>
          </w:divBdr>
        </w:div>
      </w:divsChild>
    </w:div>
    <w:div w:id="1490556918">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2593993">
      <w:bodyDiv w:val="1"/>
      <w:marLeft w:val="0"/>
      <w:marRight w:val="0"/>
      <w:marTop w:val="0"/>
      <w:marBottom w:val="0"/>
      <w:divBdr>
        <w:top w:val="none" w:sz="0" w:space="0" w:color="auto"/>
        <w:left w:val="none" w:sz="0" w:space="0" w:color="auto"/>
        <w:bottom w:val="none" w:sz="0" w:space="0" w:color="auto"/>
        <w:right w:val="none" w:sz="0" w:space="0" w:color="auto"/>
      </w:divBdr>
    </w:div>
    <w:div w:id="1614940429">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20842999">
      <w:bodyDiv w:val="1"/>
      <w:marLeft w:val="0"/>
      <w:marRight w:val="0"/>
      <w:marTop w:val="0"/>
      <w:marBottom w:val="0"/>
      <w:divBdr>
        <w:top w:val="none" w:sz="0" w:space="0" w:color="auto"/>
        <w:left w:val="none" w:sz="0" w:space="0" w:color="auto"/>
        <w:bottom w:val="none" w:sz="0" w:space="0" w:color="auto"/>
        <w:right w:val="none" w:sz="0" w:space="0" w:color="auto"/>
      </w:divBdr>
    </w:div>
    <w:div w:id="1637877899">
      <w:bodyDiv w:val="1"/>
      <w:marLeft w:val="0"/>
      <w:marRight w:val="0"/>
      <w:marTop w:val="0"/>
      <w:marBottom w:val="0"/>
      <w:divBdr>
        <w:top w:val="none" w:sz="0" w:space="0" w:color="auto"/>
        <w:left w:val="none" w:sz="0" w:space="0" w:color="auto"/>
        <w:bottom w:val="none" w:sz="0" w:space="0" w:color="auto"/>
        <w:right w:val="none" w:sz="0" w:space="0" w:color="auto"/>
      </w:divBdr>
    </w:div>
    <w:div w:id="168724445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46489615">
      <w:bodyDiv w:val="1"/>
      <w:marLeft w:val="0"/>
      <w:marRight w:val="0"/>
      <w:marTop w:val="0"/>
      <w:marBottom w:val="0"/>
      <w:divBdr>
        <w:top w:val="none" w:sz="0" w:space="0" w:color="auto"/>
        <w:left w:val="none" w:sz="0" w:space="0" w:color="auto"/>
        <w:bottom w:val="none" w:sz="0" w:space="0" w:color="auto"/>
        <w:right w:val="none" w:sz="0" w:space="0" w:color="auto"/>
      </w:divBdr>
    </w:div>
    <w:div w:id="177420176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66944436">
      <w:bodyDiv w:val="1"/>
      <w:marLeft w:val="0"/>
      <w:marRight w:val="0"/>
      <w:marTop w:val="0"/>
      <w:marBottom w:val="0"/>
      <w:divBdr>
        <w:top w:val="none" w:sz="0" w:space="0" w:color="auto"/>
        <w:left w:val="none" w:sz="0" w:space="0" w:color="auto"/>
        <w:bottom w:val="none" w:sz="0" w:space="0" w:color="auto"/>
        <w:right w:val="none" w:sz="0" w:space="0" w:color="auto"/>
      </w:divBdr>
    </w:div>
    <w:div w:id="1870483051">
      <w:bodyDiv w:val="1"/>
      <w:marLeft w:val="0"/>
      <w:marRight w:val="0"/>
      <w:marTop w:val="0"/>
      <w:marBottom w:val="0"/>
      <w:divBdr>
        <w:top w:val="none" w:sz="0" w:space="0" w:color="auto"/>
        <w:left w:val="none" w:sz="0" w:space="0" w:color="auto"/>
        <w:bottom w:val="none" w:sz="0" w:space="0" w:color="auto"/>
        <w:right w:val="none" w:sz="0" w:space="0" w:color="auto"/>
      </w:divBdr>
      <w:divsChild>
        <w:div w:id="33969341">
          <w:marLeft w:val="0"/>
          <w:marRight w:val="0"/>
          <w:marTop w:val="0"/>
          <w:marBottom w:val="0"/>
          <w:divBdr>
            <w:top w:val="none" w:sz="0" w:space="0" w:color="auto"/>
            <w:left w:val="none" w:sz="0" w:space="0" w:color="auto"/>
            <w:bottom w:val="none" w:sz="0" w:space="0" w:color="auto"/>
            <w:right w:val="none" w:sz="0" w:space="0" w:color="auto"/>
          </w:divBdr>
        </w:div>
      </w:divsChild>
    </w:div>
    <w:div w:id="1895312586">
      <w:bodyDiv w:val="1"/>
      <w:marLeft w:val="0"/>
      <w:marRight w:val="0"/>
      <w:marTop w:val="0"/>
      <w:marBottom w:val="0"/>
      <w:divBdr>
        <w:top w:val="none" w:sz="0" w:space="0" w:color="auto"/>
        <w:left w:val="none" w:sz="0" w:space="0" w:color="auto"/>
        <w:bottom w:val="none" w:sz="0" w:space="0" w:color="auto"/>
        <w:right w:val="none" w:sz="0" w:space="0" w:color="auto"/>
      </w:divBdr>
    </w:div>
    <w:div w:id="1898589396">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45333579">
      <w:bodyDiv w:val="1"/>
      <w:marLeft w:val="0"/>
      <w:marRight w:val="0"/>
      <w:marTop w:val="0"/>
      <w:marBottom w:val="0"/>
      <w:divBdr>
        <w:top w:val="none" w:sz="0" w:space="0" w:color="auto"/>
        <w:left w:val="none" w:sz="0" w:space="0" w:color="auto"/>
        <w:bottom w:val="none" w:sz="0" w:space="0" w:color="auto"/>
        <w:right w:val="none" w:sz="0" w:space="0" w:color="auto"/>
      </w:divBdr>
    </w:div>
    <w:div w:id="1967539693">
      <w:bodyDiv w:val="1"/>
      <w:marLeft w:val="0"/>
      <w:marRight w:val="0"/>
      <w:marTop w:val="0"/>
      <w:marBottom w:val="0"/>
      <w:divBdr>
        <w:top w:val="none" w:sz="0" w:space="0" w:color="auto"/>
        <w:left w:val="none" w:sz="0" w:space="0" w:color="auto"/>
        <w:bottom w:val="none" w:sz="0" w:space="0" w:color="auto"/>
        <w:right w:val="none" w:sz="0" w:space="0" w:color="auto"/>
      </w:divBdr>
    </w:div>
    <w:div w:id="1979995028">
      <w:bodyDiv w:val="1"/>
      <w:marLeft w:val="0"/>
      <w:marRight w:val="0"/>
      <w:marTop w:val="0"/>
      <w:marBottom w:val="0"/>
      <w:divBdr>
        <w:top w:val="none" w:sz="0" w:space="0" w:color="auto"/>
        <w:left w:val="none" w:sz="0" w:space="0" w:color="auto"/>
        <w:bottom w:val="none" w:sz="0" w:space="0" w:color="auto"/>
        <w:right w:val="none" w:sz="0" w:space="0" w:color="auto"/>
      </w:divBdr>
    </w:div>
    <w:div w:id="2007245639">
      <w:bodyDiv w:val="1"/>
      <w:marLeft w:val="0"/>
      <w:marRight w:val="0"/>
      <w:marTop w:val="0"/>
      <w:marBottom w:val="0"/>
      <w:divBdr>
        <w:top w:val="none" w:sz="0" w:space="0" w:color="auto"/>
        <w:left w:val="none" w:sz="0" w:space="0" w:color="auto"/>
        <w:bottom w:val="none" w:sz="0" w:space="0" w:color="auto"/>
        <w:right w:val="none" w:sz="0" w:space="0" w:color="auto"/>
      </w:divBdr>
    </w:div>
    <w:div w:id="2056809834">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2985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6f12cd6b-8b2a-4dd7-980a-cc1ae6d63939"/>
    <ds:schemaRef ds:uri="http://purl.org/dc/terms/"/>
    <ds:schemaRef ds:uri="http://purl.org/dc/dcmitype/"/>
    <ds:schemaRef ds:uri="http://schemas.microsoft.com/office/infopath/2007/PartnerControls"/>
    <ds:schemaRef ds:uri="http://schemas.microsoft.com/sharepoint/v4"/>
    <ds:schemaRef ds:uri="d0fb0f98-34f9-4d57-9559-eb8efd17aa5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6749</Words>
  <Characters>38472</Characters>
  <Application>Microsoft Office Word</Application>
  <DocSecurity>0</DocSecurity>
  <Lines>320</Lines>
  <Paragraphs>90</Paragraphs>
  <ScaleCrop>false</ScaleCrop>
  <Company>ESMA</Company>
  <LinksUpToDate>false</LinksUpToDate>
  <CharactersWithSpaces>45131</CharactersWithSpaces>
  <SharedDoc>false</SharedDoc>
  <HLinks>
    <vt:vector size="30"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6</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Curran, Declan</cp:lastModifiedBy>
  <cp:revision>2</cp:revision>
  <cp:lastPrinted>2015-02-18T16:01:00Z</cp:lastPrinted>
  <dcterms:created xsi:type="dcterms:W3CDTF">2025-09-19T08:37:00Z</dcterms:created>
  <dcterms:modified xsi:type="dcterms:W3CDTF">2025-09-19T08:37:00Z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