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653B7F8D" w:rsidR="00FD7A8D" w:rsidRPr="00F716D4" w:rsidRDefault="00F87468" w:rsidP="00E70E2E">
      <w:pPr>
        <w:pStyle w:val="Subtitle"/>
      </w:pP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3C117"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F21CF0">
        <w:t>Discussion Paper on the integrated collection of funds’ data</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0C6207B1" w:rsidR="00E70E2E" w:rsidRPr="005B6B12" w:rsidRDefault="00E70E2E" w:rsidP="00E70E2E">
      <w:r w:rsidRPr="005B6B12">
        <w:t xml:space="preserve">ESMA invites comments on all matters in </w:t>
      </w:r>
      <w:r>
        <w:t xml:space="preserve">the </w:t>
      </w:r>
      <w:r w:rsidR="00F21CF0">
        <w:t>Discussion</w:t>
      </w:r>
      <w:r>
        <w:t xml:space="preserve">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39E24036" w:rsidR="00E70E2E" w:rsidRDefault="00E70E2E" w:rsidP="00E70E2E">
      <w:pPr>
        <w:rPr>
          <w:b/>
        </w:rPr>
      </w:pPr>
      <w:r w:rsidRPr="005B6B12">
        <w:t xml:space="preserve">ESMA will consider all comments </w:t>
      </w:r>
      <w:r w:rsidRPr="009E1C55">
        <w:t xml:space="preserve">received by </w:t>
      </w:r>
      <w:r w:rsidR="00BF7004" w:rsidRPr="00BF7004">
        <w:rPr>
          <w:b/>
          <w:color w:val="FF0000"/>
        </w:rPr>
        <w:t>21</w:t>
      </w:r>
      <w:r w:rsidR="009E1C55" w:rsidRPr="00BF7004">
        <w:rPr>
          <w:b/>
          <w:color w:val="FF0000"/>
        </w:rPr>
        <w:t xml:space="preserve"> September </w:t>
      </w:r>
      <w:r w:rsidR="005A775C" w:rsidRPr="00BF7004">
        <w:rPr>
          <w:b/>
          <w:color w:val="FF0000"/>
        </w:rPr>
        <w:t>202</w:t>
      </w:r>
      <w:r w:rsidR="00BF7004" w:rsidRPr="00BF7004">
        <w:rPr>
          <w:b/>
          <w:color w:val="FF0000"/>
        </w:rPr>
        <w:t>5</w:t>
      </w:r>
      <w:r w:rsidRPr="00BF7004">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2775B42D" w:rsidR="009D6E99" w:rsidRPr="00863BFD" w:rsidRDefault="009D6E99" w:rsidP="009D6E99">
      <w:r w:rsidRPr="00863BFD">
        <w:t xml:space="preserve">In order to facilitate analysis of responses to the </w:t>
      </w:r>
      <w:r w:rsidR="00F21CF0">
        <w:t>Discussion</w:t>
      </w:r>
      <w:r w:rsidRPr="00863BFD">
        <w:t xml:space="preserve"> Paper, respondents are requested to follow the below steps when preparing and submitting their response:</w:t>
      </w:r>
    </w:p>
    <w:p w14:paraId="0BA6B4DE" w14:textId="06FE8170" w:rsidR="009D6E99" w:rsidRPr="00863BFD" w:rsidRDefault="009D6E99" w:rsidP="00EE57EB">
      <w:pPr>
        <w:pStyle w:val="ListParagraph"/>
        <w:numPr>
          <w:ilvl w:val="0"/>
          <w:numId w:val="35"/>
        </w:numPr>
        <w:contextualSpacing w:val="0"/>
      </w:pPr>
      <w:r w:rsidRPr="00863BFD">
        <w:t xml:space="preserve">Insert your responses to the questions in the </w:t>
      </w:r>
      <w:r w:rsidR="00F21CF0">
        <w:t xml:space="preserve">Discussion </w:t>
      </w:r>
      <w:r w:rsidRPr="00863BFD">
        <w:t xml:space="preserve">Paper in </w:t>
      </w:r>
      <w:r>
        <w:t>this reply</w:t>
      </w:r>
      <w:r w:rsidRPr="00863BFD">
        <w:t xml:space="preserve"> form. </w:t>
      </w:r>
    </w:p>
    <w:p w14:paraId="15756259" w14:textId="6C0BC8C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F21CF0">
        <w:t>ICFD</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80C5E7A"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F21CF0">
        <w:t>ICFD</w:t>
      </w:r>
      <w:r w:rsidRPr="00863BFD">
        <w:t xml:space="preserve">_nameofrespondent. </w:t>
      </w:r>
    </w:p>
    <w:p w14:paraId="115A7ABF" w14:textId="0E1CCC5D"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F21CF0">
        <w:t>ICFD</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2C7778EB" w:rsidR="00C2682A" w:rsidRPr="00104E00" w:rsidRDefault="007973DF" w:rsidP="00104E00">
                <w:pPr>
                  <w:jc w:val="left"/>
                  <w:rPr>
                    <w:rStyle w:val="PlaceholderText"/>
                  </w:rPr>
                </w:pPr>
                <w:r>
                  <w:rPr>
                    <w:rStyle w:val="PlaceholderText"/>
                  </w:rPr>
                  <w:t>Bloomberg</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6640B256" w:rsidR="00C2682A" w:rsidRPr="00104E00" w:rsidRDefault="007973DF"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t>Other Financial service providers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vAlign w:val="center"/>
              </w:tcPr>
              <w:p w14:paraId="4BD68813" w14:textId="16770D29" w:rsidR="00C2682A" w:rsidRPr="00104E00" w:rsidRDefault="001878C6"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2503BF62" w:rsidR="00C2682A" w:rsidRPr="00104E00" w:rsidRDefault="007973DF" w:rsidP="00104E00">
                <w:pPr>
                  <w:jc w:val="left"/>
                </w:pPr>
                <w:r>
                  <w:t>Netherlands</w:t>
                </w:r>
              </w:p>
            </w:tc>
          </w:sdtContent>
        </w:sdt>
      </w:tr>
      <w:permEnd w:id="1727412903"/>
    </w:tbl>
    <w:p w14:paraId="398E9C9E" w14:textId="10C9CC3D" w:rsidR="00C2682A" w:rsidRDefault="00C2682A" w:rsidP="00F716D4"/>
    <w:p w14:paraId="366657CC" w14:textId="4BA98877" w:rsidR="00DB5CDF" w:rsidRDefault="00DB5CDF" w:rsidP="00DB5CDF">
      <w:pPr>
        <w:spacing w:after="0" w:line="240" w:lineRule="auto"/>
        <w:jc w:val="left"/>
      </w:pPr>
      <w:r>
        <w:br w:type="page"/>
      </w:r>
    </w:p>
    <w:p w14:paraId="7F986E69" w14:textId="77777777" w:rsidR="00FA4100" w:rsidRDefault="00BB1973" w:rsidP="00FA4100">
      <w:pPr>
        <w:pStyle w:val="Heading1"/>
      </w:pPr>
      <w:r>
        <w:lastRenderedPageBreak/>
        <w:t>Questions</w:t>
      </w:r>
      <w:bookmarkStart w:id="10" w:name="_Hlk124780170"/>
    </w:p>
    <w:bookmarkEnd w:id="9"/>
    <w:bookmarkEnd w:id="10"/>
    <w:p w14:paraId="508C19A6" w14:textId="77777777" w:rsidR="00F21CF0" w:rsidRDefault="00F21CF0" w:rsidP="00F21CF0">
      <w:pPr>
        <w:pStyle w:val="Questionstyle"/>
        <w:spacing w:before="120" w:after="120"/>
        <w:ind w:left="851" w:hanging="709"/>
      </w:pPr>
      <w:r w:rsidRPr="0002065D">
        <w:t>Do you confirm the findings presented in this stocktake section? If you have additional information, please provide all relevant details</w:t>
      </w:r>
      <w:r>
        <w:t>.</w:t>
      </w:r>
    </w:p>
    <w:p w14:paraId="29C0CF85" w14:textId="77777777" w:rsidR="00F21CF0" w:rsidRDefault="00F21CF0" w:rsidP="00F21CF0">
      <w:r>
        <w:t>&lt;ESMA_QUESTION_ICFD_1&gt;</w:t>
      </w:r>
    </w:p>
    <w:p w14:paraId="64E5EF77" w14:textId="77777777" w:rsidR="00F21CF0" w:rsidRDefault="00F21CF0" w:rsidP="00F21CF0">
      <w:permStart w:id="2146780344" w:edGrp="everyone"/>
      <w:r>
        <w:t>TYPE YOUR TEXT HERE</w:t>
      </w:r>
    </w:p>
    <w:permEnd w:id="2146780344"/>
    <w:p w14:paraId="64209360" w14:textId="77777777" w:rsidR="00F21CF0" w:rsidRDefault="00F21CF0" w:rsidP="00F21CF0">
      <w:r>
        <w:t>&lt;ESMA_QUESTION_ICFD_1&gt;</w:t>
      </w:r>
    </w:p>
    <w:p w14:paraId="50C2C056" w14:textId="77777777" w:rsidR="00F21CF0" w:rsidRDefault="00F21CF0" w:rsidP="00F21CF0"/>
    <w:p w14:paraId="5A5983C0" w14:textId="77777777" w:rsidR="00F21CF0" w:rsidRDefault="00F21CF0" w:rsidP="00F21CF0">
      <w:pPr>
        <w:pStyle w:val="Questionstyle"/>
        <w:spacing w:before="120" w:after="120"/>
        <w:ind w:left="851" w:hanging="709"/>
      </w:pPr>
      <w:r w:rsidRPr="0002065D">
        <w:t>What are the best practices for data collection for retail investment funds in EU and non-EU jurisdictions that ESMA could consider?</w:t>
      </w:r>
    </w:p>
    <w:p w14:paraId="372034CB" w14:textId="77777777" w:rsidR="00F21CF0" w:rsidRDefault="00F21CF0" w:rsidP="00F21CF0">
      <w:r>
        <w:t>&lt;ESMA_QUESTION_ICFD_2&gt;</w:t>
      </w:r>
    </w:p>
    <w:p w14:paraId="699613A1" w14:textId="77777777" w:rsidR="00F21CF0" w:rsidRDefault="00F21CF0" w:rsidP="00F21CF0">
      <w:permStart w:id="517421490" w:edGrp="everyone"/>
      <w:r>
        <w:t>TYPE YOUR TEXT HERE</w:t>
      </w:r>
    </w:p>
    <w:permEnd w:id="517421490"/>
    <w:p w14:paraId="3D7BF70F" w14:textId="77777777" w:rsidR="00F21CF0" w:rsidRDefault="00F21CF0" w:rsidP="00F21CF0">
      <w:r>
        <w:t>&lt;ESMA_QUESTION_ICFD_2&gt;</w:t>
      </w:r>
    </w:p>
    <w:p w14:paraId="57C1BFAF" w14:textId="77777777" w:rsidR="00F21CF0" w:rsidRDefault="00F21CF0" w:rsidP="00F21CF0"/>
    <w:p w14:paraId="3EE3701F" w14:textId="77777777" w:rsidR="00F21CF0" w:rsidRDefault="00F21CF0" w:rsidP="00F21CF0">
      <w:pPr>
        <w:pStyle w:val="Questionstyle"/>
        <w:spacing w:before="120" w:after="120"/>
        <w:ind w:left="851" w:hanging="709"/>
      </w:pPr>
      <w:r w:rsidRPr="0002065D">
        <w:t>What challenges arising from overlapping EU-level and national reporting obligations (e.g. under AIFMD, UCITS, MMFR) does your institution experience? Please describe specific reporting overlaps and their operational impact quantifying and providing examples of redundant submissions.</w:t>
      </w:r>
    </w:p>
    <w:p w14:paraId="36511D0B" w14:textId="77777777" w:rsidR="00F21CF0" w:rsidRDefault="00F21CF0" w:rsidP="00F21CF0">
      <w:r>
        <w:t>&lt;ESMA_QUESTION_ICFD_3&gt;</w:t>
      </w:r>
    </w:p>
    <w:p w14:paraId="60D40948" w14:textId="77777777" w:rsidR="00F21CF0" w:rsidRDefault="00F21CF0" w:rsidP="00F21CF0">
      <w:permStart w:id="1623937441" w:edGrp="everyone"/>
      <w:r>
        <w:t>TYPE YOUR TEXT HERE</w:t>
      </w:r>
    </w:p>
    <w:permEnd w:id="1623937441"/>
    <w:p w14:paraId="41750AA3" w14:textId="77777777" w:rsidR="00F21CF0" w:rsidRDefault="00F21CF0" w:rsidP="00F21CF0">
      <w:r>
        <w:t>&lt;ESMA_QUESTION_ICFD_3&gt;</w:t>
      </w:r>
    </w:p>
    <w:p w14:paraId="4225F63E" w14:textId="77777777" w:rsidR="00F21CF0" w:rsidRDefault="00F21CF0" w:rsidP="00F21CF0"/>
    <w:p w14:paraId="456478FF" w14:textId="77777777" w:rsidR="00F21CF0" w:rsidRDefault="00F21CF0" w:rsidP="00F21CF0">
      <w:pPr>
        <w:pStyle w:val="Questionstyle"/>
        <w:spacing w:before="120" w:after="120"/>
        <w:ind w:left="851" w:hanging="709"/>
      </w:pPr>
      <w:r w:rsidRPr="0002065D">
        <w:t>Do you support the objective of developing a more integrated reporting framework covering AIFMD, UCITS, MMFR, and ECB statistical reporting? What are the key obstacles or risks linked to integrating fund reporting frameworks?</w:t>
      </w:r>
    </w:p>
    <w:p w14:paraId="3A82ABA0" w14:textId="77777777" w:rsidR="00F21CF0" w:rsidRDefault="00F21CF0" w:rsidP="00F21CF0">
      <w:r>
        <w:t>&lt;ESMA_QUESTION_ICFD_4&gt;</w:t>
      </w:r>
    </w:p>
    <w:p w14:paraId="41FEDC90" w14:textId="77777777" w:rsidR="00F21CF0" w:rsidRDefault="00F21CF0" w:rsidP="00F21CF0">
      <w:permStart w:id="870786054" w:edGrp="everyone"/>
      <w:r>
        <w:t>TYPE YOUR TEXT HERE</w:t>
      </w:r>
    </w:p>
    <w:permEnd w:id="870786054"/>
    <w:p w14:paraId="69604612" w14:textId="77777777" w:rsidR="00F21CF0" w:rsidRDefault="00F21CF0" w:rsidP="00F21CF0">
      <w:r>
        <w:t>&lt;ESMA_QUESTION_ICFD_4&gt;</w:t>
      </w:r>
    </w:p>
    <w:p w14:paraId="2D6CFE80" w14:textId="77777777" w:rsidR="00F21CF0" w:rsidRDefault="00F21CF0" w:rsidP="00F21CF0"/>
    <w:p w14:paraId="496C45CC" w14:textId="77777777" w:rsidR="00F21CF0" w:rsidRDefault="00F21CF0" w:rsidP="00F21CF0">
      <w:pPr>
        <w:pStyle w:val="Questionstyle"/>
        <w:spacing w:before="120" w:after="120"/>
        <w:ind w:left="851" w:hanging="709"/>
      </w:pPr>
      <w:r w:rsidRPr="0002065D">
        <w:t>Please list your preferred option of those listed in this section and highlight any other option or combination of the ones listed here that you consider effective. In your response, please outline the main expected costs and benefits associated with the options proposed, and identify any preconditions or phased implementation steps that would be necessary to ensure feasibility and proportionality</w:t>
      </w:r>
      <w:r>
        <w:t>.</w:t>
      </w:r>
    </w:p>
    <w:p w14:paraId="59BE8005" w14:textId="77777777" w:rsidR="00F21CF0" w:rsidRDefault="00F21CF0" w:rsidP="00F21CF0">
      <w:r>
        <w:t>&lt;ESMA_QUESTION_ICFD_5&gt;</w:t>
      </w:r>
    </w:p>
    <w:p w14:paraId="7C4222A5" w14:textId="77777777" w:rsidR="00F21CF0" w:rsidRDefault="00F21CF0" w:rsidP="00F21CF0">
      <w:permStart w:id="1594840899" w:edGrp="everyone"/>
      <w:r>
        <w:t>TYPE YOUR TEXT HERE</w:t>
      </w:r>
    </w:p>
    <w:permEnd w:id="1594840899"/>
    <w:p w14:paraId="10380430" w14:textId="77777777" w:rsidR="00F21CF0" w:rsidRDefault="00F21CF0" w:rsidP="00F21CF0">
      <w:r>
        <w:t>&lt;ESMA_QUESTION_ICFD_5&gt;</w:t>
      </w:r>
    </w:p>
    <w:p w14:paraId="50055CCF" w14:textId="77777777" w:rsidR="00F21CF0" w:rsidRDefault="00F21CF0" w:rsidP="00F21CF0"/>
    <w:p w14:paraId="78C653F4" w14:textId="77777777" w:rsidR="00F21CF0" w:rsidRDefault="00F21CF0" w:rsidP="00F21CF0">
      <w:pPr>
        <w:pStyle w:val="Questionstyle"/>
        <w:spacing w:before="120" w:after="120"/>
        <w:ind w:left="851" w:hanging="709"/>
      </w:pPr>
      <w:r w:rsidRPr="0002065D">
        <w:t>To what extent should the integration or alignment of supervisory and statistical reporting extend beyond the asset management frameworks, such as EMIR, SFTR, or MiFID/MiFIR? What challenges do you foresee? Are there additional reporting regimes that should be considered for future alignment with asset management reporting?</w:t>
      </w:r>
    </w:p>
    <w:p w14:paraId="6B8FA0EA" w14:textId="77777777" w:rsidR="00F21CF0" w:rsidRDefault="00F21CF0" w:rsidP="00F21CF0">
      <w:r>
        <w:t>&lt;ESMA_QUESTION_ICFD_6&gt;</w:t>
      </w:r>
    </w:p>
    <w:p w14:paraId="001D12CB" w14:textId="77777777" w:rsidR="00F21CF0" w:rsidRDefault="00F21CF0" w:rsidP="00F21CF0">
      <w:permStart w:id="1818302197" w:edGrp="everyone"/>
      <w:r>
        <w:t>TYPE YOUR TEXT HERE</w:t>
      </w:r>
    </w:p>
    <w:permEnd w:id="1818302197"/>
    <w:p w14:paraId="7666AADE" w14:textId="77777777" w:rsidR="00F21CF0" w:rsidRDefault="00F21CF0" w:rsidP="00F21CF0">
      <w:r>
        <w:t>&lt;ESMA_QUESTION_ICFD_6&gt;</w:t>
      </w:r>
    </w:p>
    <w:p w14:paraId="5BB5FE89" w14:textId="77777777" w:rsidR="00F21CF0" w:rsidRDefault="00F21CF0" w:rsidP="00F21CF0"/>
    <w:p w14:paraId="6FF2A79B" w14:textId="77777777" w:rsidR="00F21CF0" w:rsidRDefault="00F21CF0" w:rsidP="00F21CF0">
      <w:pPr>
        <w:pStyle w:val="Questionstyle"/>
        <w:spacing w:before="120" w:after="120"/>
        <w:ind w:left="851" w:hanging="709"/>
      </w:pPr>
      <w:r w:rsidRPr="0002065D">
        <w:t>How should this approach be implemented to ensure proportionality, efficiency, and data quality?</w:t>
      </w:r>
    </w:p>
    <w:p w14:paraId="4B14DD58" w14:textId="77777777" w:rsidR="00F21CF0" w:rsidRDefault="00F21CF0" w:rsidP="00F21CF0">
      <w:r>
        <w:t>&lt;ESMA_QUESTION_ICFD_7&gt;</w:t>
      </w:r>
    </w:p>
    <w:p w14:paraId="7A7C5281" w14:textId="77777777" w:rsidR="00F21CF0" w:rsidRDefault="00F21CF0" w:rsidP="00F21CF0">
      <w:permStart w:id="2027955525" w:edGrp="everyone"/>
      <w:r>
        <w:t>TYPE YOUR TEXT HERE</w:t>
      </w:r>
    </w:p>
    <w:permEnd w:id="2027955525"/>
    <w:p w14:paraId="0E762164" w14:textId="77777777" w:rsidR="00F21CF0" w:rsidRDefault="00F21CF0" w:rsidP="00F21CF0">
      <w:r>
        <w:t>&lt;ESMA_QUESTION_ICFD_7&gt;</w:t>
      </w:r>
    </w:p>
    <w:p w14:paraId="64EBBCFD" w14:textId="77777777" w:rsidR="00F21CF0" w:rsidRDefault="00F21CF0" w:rsidP="00F21CF0"/>
    <w:p w14:paraId="42BE1093" w14:textId="77777777" w:rsidR="00F21CF0" w:rsidRDefault="00F21CF0" w:rsidP="00F21CF0">
      <w:pPr>
        <w:pStyle w:val="Questionstyle"/>
        <w:spacing w:before="120" w:after="120"/>
        <w:ind w:left="851" w:hanging="709"/>
      </w:pPr>
      <w:r w:rsidRPr="0002065D">
        <w:t>How can semantic data integration best be achieved across reporting frameworks? Please identify areas where alignment would be most beneficial?</w:t>
      </w:r>
    </w:p>
    <w:p w14:paraId="108EA901" w14:textId="77777777" w:rsidR="00F21CF0" w:rsidRDefault="00F21CF0" w:rsidP="00F21CF0">
      <w:r>
        <w:t>&lt;ESMA_QUESTION_ICFD_8&gt;</w:t>
      </w:r>
    </w:p>
    <w:p w14:paraId="4BF6376C" w14:textId="77777777" w:rsidR="00F21CF0" w:rsidRDefault="00F21CF0" w:rsidP="00F21CF0">
      <w:permStart w:id="798060755" w:edGrp="everyone"/>
      <w:r>
        <w:lastRenderedPageBreak/>
        <w:t>TYPE YOUR TEXT HERE</w:t>
      </w:r>
    </w:p>
    <w:permEnd w:id="798060755"/>
    <w:p w14:paraId="3FB8FC95" w14:textId="77777777" w:rsidR="00F21CF0" w:rsidRDefault="00F21CF0" w:rsidP="00F21CF0">
      <w:r>
        <w:t>&lt;ESMA_QUESTION_ICFD_8&gt;</w:t>
      </w:r>
    </w:p>
    <w:p w14:paraId="36BEAB82" w14:textId="77777777" w:rsidR="00F21CF0" w:rsidRDefault="00F21CF0" w:rsidP="00F21CF0"/>
    <w:p w14:paraId="4BC669BA" w14:textId="77777777" w:rsidR="00F21CF0" w:rsidRDefault="00F21CF0" w:rsidP="00F21CF0">
      <w:pPr>
        <w:pStyle w:val="Questionstyle"/>
        <w:spacing w:before="120" w:after="120"/>
        <w:ind w:left="851" w:hanging="709"/>
      </w:pPr>
      <w:r w:rsidRPr="0002065D">
        <w:t>Which of the proposed options do you consider most efficient? If possible, please quantify the expected cost and benefits for each option. Would you support an alternative option involving additional actors, such as centralised reporting infrastructures?</w:t>
      </w:r>
    </w:p>
    <w:p w14:paraId="15D2D3B3" w14:textId="77777777" w:rsidR="00F21CF0" w:rsidRDefault="00F21CF0" w:rsidP="00F21CF0">
      <w:r>
        <w:t>&lt;ESMA_QUESTION_ICFD_9&gt;</w:t>
      </w:r>
    </w:p>
    <w:p w14:paraId="5410264F" w14:textId="77777777" w:rsidR="00F21CF0" w:rsidRDefault="00F21CF0" w:rsidP="00F21CF0">
      <w:permStart w:id="825391439" w:edGrp="everyone"/>
      <w:r>
        <w:t>TYPE YOUR TEXT HERE</w:t>
      </w:r>
    </w:p>
    <w:permEnd w:id="825391439"/>
    <w:p w14:paraId="0A9A8BF4" w14:textId="77777777" w:rsidR="00F21CF0" w:rsidRDefault="00F21CF0" w:rsidP="00F21CF0">
      <w:r>
        <w:t>&lt;ESMA_QUESTION_ICFD_9&gt;</w:t>
      </w:r>
    </w:p>
    <w:p w14:paraId="65F7CEA7" w14:textId="77777777" w:rsidR="00F21CF0" w:rsidRDefault="00F21CF0" w:rsidP="00F21CF0"/>
    <w:p w14:paraId="6EBFD3A7" w14:textId="77777777" w:rsidR="00F21CF0" w:rsidRDefault="00F21CF0" w:rsidP="00F21CF0">
      <w:pPr>
        <w:pStyle w:val="Questionstyle"/>
        <w:spacing w:before="120" w:after="120"/>
        <w:ind w:left="851" w:hanging="709"/>
      </w:pPr>
      <w:r w:rsidRPr="0002065D">
        <w:t>How important is it to retain the supervising NCA as an intermediary between the reporting entity and the centralised system in the reporting process?</w:t>
      </w:r>
    </w:p>
    <w:p w14:paraId="50279897" w14:textId="77777777" w:rsidR="00F21CF0" w:rsidRDefault="00F21CF0" w:rsidP="00F21CF0">
      <w:r>
        <w:t>&lt;ESMA_QUESTION_ICFD_10&gt;</w:t>
      </w:r>
    </w:p>
    <w:p w14:paraId="1A15BA7D" w14:textId="77777777" w:rsidR="00F21CF0" w:rsidRDefault="00F21CF0" w:rsidP="00F21CF0">
      <w:permStart w:id="1057125905" w:edGrp="everyone"/>
      <w:r>
        <w:t>TYPE YOUR TEXT HERE</w:t>
      </w:r>
    </w:p>
    <w:permEnd w:id="1057125905"/>
    <w:p w14:paraId="4EA01AE3" w14:textId="77777777" w:rsidR="00F21CF0" w:rsidRDefault="00F21CF0" w:rsidP="00F21CF0">
      <w:r>
        <w:t>&lt;ESMA_QUESTION_ICFD_10&gt;</w:t>
      </w:r>
    </w:p>
    <w:p w14:paraId="6F344942" w14:textId="77777777" w:rsidR="00F21CF0" w:rsidRDefault="00F21CF0" w:rsidP="00F21CF0"/>
    <w:p w14:paraId="43EB5E2A" w14:textId="77777777" w:rsidR="00F21CF0" w:rsidRDefault="00F21CF0" w:rsidP="00F21CF0">
      <w:pPr>
        <w:pStyle w:val="Questionstyle"/>
        <w:spacing w:before="120" w:after="120"/>
        <w:ind w:left="851" w:hanging="709"/>
      </w:pPr>
      <w:r w:rsidRPr="0002065D">
        <w:t>Are there any other data sharing arrangements, either within or beyond asset management, that you believe would be beneficial for burden reduction?</w:t>
      </w:r>
    </w:p>
    <w:p w14:paraId="37884E65" w14:textId="77777777" w:rsidR="00F21CF0" w:rsidRDefault="00F21CF0" w:rsidP="00F21CF0">
      <w:r>
        <w:t>&lt;ESMA_QUESTION_ICFD_11&gt;</w:t>
      </w:r>
    </w:p>
    <w:p w14:paraId="03344A11" w14:textId="77777777" w:rsidR="00F21CF0" w:rsidRDefault="00F21CF0" w:rsidP="00F21CF0">
      <w:permStart w:id="462356840" w:edGrp="everyone"/>
      <w:r>
        <w:t>TYPE YOUR TEXT HERE</w:t>
      </w:r>
    </w:p>
    <w:permEnd w:id="462356840"/>
    <w:p w14:paraId="080A2BB2" w14:textId="77777777" w:rsidR="00F21CF0" w:rsidRDefault="00F21CF0" w:rsidP="00F21CF0">
      <w:r>
        <w:t>&lt;ESMA_QUESTION_ICFD_11&gt;</w:t>
      </w:r>
    </w:p>
    <w:p w14:paraId="093B0404" w14:textId="77777777" w:rsidR="00F21CF0" w:rsidRDefault="00F21CF0" w:rsidP="00F21CF0"/>
    <w:p w14:paraId="3815C857" w14:textId="77777777" w:rsidR="00F21CF0" w:rsidRDefault="00F21CF0" w:rsidP="00F21CF0">
      <w:pPr>
        <w:pStyle w:val="Questionstyle"/>
        <w:spacing w:before="120" w:after="120"/>
        <w:ind w:left="851" w:hanging="709"/>
      </w:pPr>
      <w:r w:rsidRPr="0002065D">
        <w:t>Would a phased implementation of the potential changes outlined in the sections on “Integrated reporting” and “Reporting flows and data sharing” help ensure proportionality and facilitate smoother transition?</w:t>
      </w:r>
    </w:p>
    <w:p w14:paraId="36B37359" w14:textId="77777777" w:rsidR="00F21CF0" w:rsidRDefault="00F21CF0" w:rsidP="00F21CF0">
      <w:r>
        <w:t>&lt;ESMA_QUESTION_ICFD_12&gt;</w:t>
      </w:r>
    </w:p>
    <w:p w14:paraId="1D5CE3B1" w14:textId="77777777" w:rsidR="00F21CF0" w:rsidRDefault="00F21CF0" w:rsidP="00F21CF0">
      <w:permStart w:id="870546551" w:edGrp="everyone"/>
      <w:r>
        <w:lastRenderedPageBreak/>
        <w:t>TYPE YOUR TEXT HERE</w:t>
      </w:r>
    </w:p>
    <w:permEnd w:id="870546551"/>
    <w:p w14:paraId="0F97C649" w14:textId="77777777" w:rsidR="00F21CF0" w:rsidRDefault="00F21CF0" w:rsidP="00F21CF0">
      <w:r>
        <w:t>&lt;ESMA_QUESTION_ICFD_12&gt;</w:t>
      </w:r>
    </w:p>
    <w:p w14:paraId="4C9E8ED9" w14:textId="77777777" w:rsidR="00F21CF0" w:rsidRDefault="00F21CF0" w:rsidP="00F21CF0"/>
    <w:p w14:paraId="79DAFABD" w14:textId="77777777" w:rsidR="00F21CF0" w:rsidRDefault="00F21CF0" w:rsidP="00F21CF0">
      <w:pPr>
        <w:pStyle w:val="Questionstyle"/>
        <w:spacing w:before="120" w:after="120"/>
        <w:ind w:left="851" w:hanging="709"/>
      </w:pPr>
      <w:r w:rsidRPr="0002065D">
        <w:t>Do you consider that it would be beneficial to introduce a common standard, such as ISO 20022, across all reporting obligations within the asset management domain? What would be the costs and benefits for reporting entities of transitioning all reported data to a single standard? If ISO 20022 is not the preferred solution, what alternatives could be considered?</w:t>
      </w:r>
    </w:p>
    <w:p w14:paraId="60D211AE" w14:textId="77777777" w:rsidR="00F21CF0" w:rsidRDefault="00F21CF0" w:rsidP="00F21CF0">
      <w:r>
        <w:t>&lt;ESMA_QUESTION_ICFD_13&gt;</w:t>
      </w:r>
    </w:p>
    <w:p w14:paraId="75FD2523" w14:textId="77777777" w:rsidR="00F21CF0" w:rsidRDefault="00F21CF0" w:rsidP="00F21CF0">
      <w:permStart w:id="1380926179" w:edGrp="everyone"/>
      <w:r>
        <w:t>TYPE YOUR TEXT HERE</w:t>
      </w:r>
    </w:p>
    <w:permEnd w:id="1380926179"/>
    <w:p w14:paraId="0B86A342" w14:textId="77777777" w:rsidR="00F21CF0" w:rsidRDefault="00F21CF0" w:rsidP="00F21CF0">
      <w:r>
        <w:t>&lt;ESMA_QUESTION_ICFD_13&gt;</w:t>
      </w:r>
    </w:p>
    <w:p w14:paraId="4731D20C" w14:textId="77777777" w:rsidR="00F21CF0" w:rsidRDefault="00F21CF0" w:rsidP="00F21CF0"/>
    <w:p w14:paraId="5D54039A" w14:textId="77777777" w:rsidR="00F21CF0" w:rsidRDefault="00F21CF0" w:rsidP="00F21CF0">
      <w:pPr>
        <w:pStyle w:val="Questionstyle"/>
        <w:spacing w:before="120" w:after="120"/>
        <w:ind w:left="851" w:hanging="709"/>
      </w:pPr>
      <w:r w:rsidRPr="0002065D">
        <w:t>What would be the main advantages and disadvantages of using respective syntaxes (XML, JSON, XBRL) for reporting frameworks in the asset management sector?</w:t>
      </w:r>
    </w:p>
    <w:p w14:paraId="7B1B24B3" w14:textId="77777777" w:rsidR="00F21CF0" w:rsidRDefault="00F21CF0" w:rsidP="00F21CF0">
      <w:r>
        <w:t>&lt;ESMA_QUESTION_ICFD_14&gt;</w:t>
      </w:r>
    </w:p>
    <w:p w14:paraId="5B5BED99" w14:textId="77777777" w:rsidR="00F21CF0" w:rsidRDefault="00F21CF0" w:rsidP="00F21CF0">
      <w:permStart w:id="158558208" w:edGrp="everyone"/>
      <w:r>
        <w:t>TYPE YOUR TEXT HERE</w:t>
      </w:r>
    </w:p>
    <w:permEnd w:id="158558208"/>
    <w:p w14:paraId="70B6E91C" w14:textId="77777777" w:rsidR="00F21CF0" w:rsidRDefault="00F21CF0" w:rsidP="00F21CF0">
      <w:r>
        <w:t>&lt;ESMA_QUESTION_ICFD_14&gt;</w:t>
      </w:r>
    </w:p>
    <w:p w14:paraId="3419D1E8" w14:textId="77777777" w:rsidR="00F21CF0" w:rsidRDefault="00F21CF0" w:rsidP="00F21CF0"/>
    <w:p w14:paraId="5D967923" w14:textId="77777777" w:rsidR="00F21CF0" w:rsidRDefault="00F21CF0" w:rsidP="00F21CF0">
      <w:pPr>
        <w:pStyle w:val="Questionstyle"/>
        <w:spacing w:before="120" w:after="120"/>
        <w:ind w:left="851" w:hanging="709"/>
      </w:pPr>
      <w:r w:rsidRPr="0002065D">
        <w:t>Would an increase of data granularity contribute to improved data quality, usability and reduced duplications? To what extent can the greater use of international standards (e.g. CFI codes, LEIs) and master data reduce the compliance costs and improve interoperability in regulatory reporting?</w:t>
      </w:r>
    </w:p>
    <w:p w14:paraId="70B214F8" w14:textId="77777777" w:rsidR="00F21CF0" w:rsidRDefault="00F21CF0" w:rsidP="00F21CF0">
      <w:r>
        <w:t>&lt;ESMA_QUESTION_ICFD_15&gt;</w:t>
      </w:r>
    </w:p>
    <w:p w14:paraId="7ADB6574" w14:textId="77777777" w:rsidR="00F21CF0" w:rsidRDefault="00F21CF0" w:rsidP="00F21CF0">
      <w:permStart w:id="1149514066" w:edGrp="everyone"/>
      <w:r>
        <w:t>TYPE YOUR TEXT HERE</w:t>
      </w:r>
    </w:p>
    <w:permEnd w:id="1149514066"/>
    <w:p w14:paraId="4DCFFA9E" w14:textId="77777777" w:rsidR="00F21CF0" w:rsidRDefault="00F21CF0" w:rsidP="00F21CF0">
      <w:r>
        <w:t>&lt;ESMA_QUESTION_ICFD_15&gt;</w:t>
      </w:r>
    </w:p>
    <w:p w14:paraId="3ECE5365" w14:textId="77777777" w:rsidR="00F21CF0" w:rsidRDefault="00F21CF0" w:rsidP="00F21CF0"/>
    <w:p w14:paraId="0C6214EC" w14:textId="77777777" w:rsidR="00F21CF0" w:rsidRDefault="00F21CF0" w:rsidP="00F21CF0">
      <w:pPr>
        <w:pStyle w:val="Questionstyle"/>
        <w:spacing w:before="120" w:after="120"/>
        <w:ind w:left="851" w:hanging="709"/>
      </w:pPr>
      <w:r w:rsidRPr="0002065D">
        <w:lastRenderedPageBreak/>
        <w:t>What are your views on implementing security-by-security as the baseline granularity? What are the main benefits and costs of the presented options? What solutions should be envisaged to ensure a proportionate approach?</w:t>
      </w:r>
    </w:p>
    <w:p w14:paraId="29C9634C" w14:textId="77777777" w:rsidR="00F21CF0" w:rsidRDefault="00F21CF0" w:rsidP="00F21CF0">
      <w:r>
        <w:t>&lt;ESMA_QUESTION_ICFD_16&gt;</w:t>
      </w:r>
    </w:p>
    <w:p w14:paraId="072A473B"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permStart w:id="484980599" w:edGrp="everyone"/>
      <w:r w:rsidRPr="003903C6">
        <w:t xml:space="preserve"> </w:t>
      </w:r>
      <w:r>
        <w:rPr>
          <w:rStyle w:val="normaltextrun"/>
          <w:rFonts w:ascii="Arial" w:hAnsi="Arial" w:cs="Arial"/>
          <w:color w:val="000000"/>
          <w:sz w:val="22"/>
          <w:szCs w:val="22"/>
        </w:rPr>
        <w:t>We agree that use of international open standards capable of supporting the required data granularity, and with the appropriate scope, would be the right way forward to reduce compliance costs and improve regulatory reporting data quality and interoperability.</w:t>
      </w:r>
      <w:r>
        <w:rPr>
          <w:rStyle w:val="eop"/>
          <w:rFonts w:ascii="Arial" w:hAnsi="Arial" w:cs="Arial"/>
          <w:color w:val="000000"/>
          <w:sz w:val="22"/>
          <w:szCs w:val="22"/>
        </w:rPr>
        <w:t> </w:t>
      </w:r>
    </w:p>
    <w:p w14:paraId="7BFB67D0"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76CA9E68"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It is important that ESMA does not unnecessarily restrict the list of standards which would be permitted for this purpose.  We have no problem with the list of standards presented in section 219, but we would suggest adding the freely available Financial Instrument Global Identifier (FIGI) to this list.  </w:t>
      </w:r>
      <w:r>
        <w:rPr>
          <w:rStyle w:val="eop"/>
          <w:rFonts w:ascii="Arial" w:hAnsi="Arial" w:cs="Arial"/>
          <w:color w:val="000000"/>
          <w:sz w:val="22"/>
          <w:szCs w:val="22"/>
        </w:rPr>
        <w:t> </w:t>
      </w:r>
    </w:p>
    <w:p w14:paraId="562BE1C2"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6C80B18E"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Adding FIGI would avoid unnecessarily wide reporting derogations for security-by-security reporting arising from gaps in the coverage of the standards in the existing list. FIGI already has a track record in providing a solution for security-by-security reporting in other jurisdictions.</w:t>
      </w:r>
      <w:r>
        <w:rPr>
          <w:rStyle w:val="eop"/>
          <w:rFonts w:ascii="Arial" w:hAnsi="Arial" w:cs="Arial"/>
          <w:color w:val="000000"/>
          <w:sz w:val="22"/>
          <w:szCs w:val="22"/>
        </w:rPr>
        <w:t> </w:t>
      </w:r>
    </w:p>
    <w:p w14:paraId="20288BE0"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4E8ACA72"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xml:space="preserve">FIGI is permitted alongside </w:t>
      </w:r>
      <w:proofErr w:type="spellStart"/>
      <w:r>
        <w:rPr>
          <w:rStyle w:val="normaltextrun"/>
          <w:rFonts w:ascii="Arial" w:hAnsi="Arial" w:cs="Arial"/>
          <w:color w:val="000000"/>
          <w:sz w:val="22"/>
          <w:szCs w:val="22"/>
        </w:rPr>
        <w:t>Cusip</w:t>
      </w:r>
      <w:proofErr w:type="spellEnd"/>
      <w:r>
        <w:rPr>
          <w:rStyle w:val="normaltextrun"/>
          <w:rFonts w:ascii="Arial" w:hAnsi="Arial" w:cs="Arial"/>
          <w:color w:val="000000"/>
          <w:sz w:val="22"/>
          <w:szCs w:val="22"/>
        </w:rPr>
        <w:t xml:space="preserve"> codes (which are also the key component of US ISINs) in the US SEC Form 13f reporting.  13f reporting is the requirement for institutional investment managers above a certain size to file a quarterly report disclosing their long holdings of specific securities. Amendments to Form 13f in 2022 had the effect to ‘allow managers to disclose, for any security reported on Form 13F, the security’s share class level Financial Instrument Global Identifier (FIGI) see: https://www.sec.gov/files/rules/final/2022/34-95148.pdf </w:t>
      </w:r>
      <w:r>
        <w:rPr>
          <w:rStyle w:val="eop"/>
          <w:rFonts w:ascii="Arial" w:hAnsi="Arial" w:cs="Arial"/>
          <w:color w:val="000000"/>
          <w:sz w:val="22"/>
          <w:szCs w:val="22"/>
        </w:rPr>
        <w:t> </w:t>
      </w:r>
    </w:p>
    <w:p w14:paraId="3D85487D"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D3AAB6B"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FIGI is also one of the proposed standards for use by US regulators generally under the Financial Data Transparency Act (FDTA), alongside other identifiers such as LEI.  </w:t>
      </w:r>
      <w:r>
        <w:rPr>
          <w:rStyle w:val="eop"/>
          <w:rFonts w:ascii="Arial" w:hAnsi="Arial" w:cs="Arial"/>
          <w:color w:val="000000"/>
          <w:sz w:val="22"/>
          <w:szCs w:val="22"/>
        </w:rPr>
        <w:t> </w:t>
      </w:r>
    </w:p>
    <w:p w14:paraId="0ECEF0B4"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3F4F226"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Some general information on FIGI is presented below:</w:t>
      </w:r>
      <w:r>
        <w:rPr>
          <w:rStyle w:val="eop"/>
          <w:rFonts w:ascii="Arial" w:hAnsi="Arial" w:cs="Arial"/>
          <w:color w:val="000000"/>
          <w:sz w:val="22"/>
          <w:szCs w:val="22"/>
        </w:rPr>
        <w:t> </w:t>
      </w:r>
    </w:p>
    <w:p w14:paraId="56FA5D97"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DE55620" w14:textId="77777777" w:rsidR="003903C6" w:rsidRDefault="003903C6" w:rsidP="003903C6">
      <w:pPr>
        <w:pStyle w:val="paragraph"/>
        <w:pBdr>
          <w:top w:val="single" w:sz="4" w:space="1" w:color="000000"/>
          <w:left w:val="single" w:sz="4" w:space="4" w:color="000000"/>
          <w:right w:val="single" w:sz="4" w:space="4" w:color="000000"/>
        </w:pBdr>
        <w:shd w:val="clear" w:color="auto" w:fill="FFFFCC"/>
        <w:spacing w:before="0" w:beforeAutospacing="0" w:after="0" w:afterAutospacing="0"/>
        <w:textAlignment w:val="baseline"/>
        <w:rPr>
          <w:rFonts w:ascii="Segoe UI" w:hAnsi="Segoe UI" w:cs="Segoe UI"/>
          <w:sz w:val="18"/>
          <w:szCs w:val="18"/>
        </w:rPr>
      </w:pPr>
      <w:r>
        <w:rPr>
          <w:rStyle w:val="normaltextrun"/>
          <w:rFonts w:ascii="Aptos" w:hAnsi="Aptos" w:cs="Segoe UI"/>
          <w:b/>
          <w:bCs/>
        </w:rPr>
        <w:t>Financial Instrument Global Identifier (FIGI)</w:t>
      </w:r>
      <w:r>
        <w:rPr>
          <w:rStyle w:val="eop"/>
          <w:rFonts w:ascii="Aptos" w:hAnsi="Aptos" w:cs="Segoe UI"/>
        </w:rPr>
        <w:t> </w:t>
      </w:r>
    </w:p>
    <w:p w14:paraId="4225F586" w14:textId="77777777" w:rsidR="003903C6" w:rsidRDefault="003903C6" w:rsidP="003903C6">
      <w:pPr>
        <w:pStyle w:val="paragraph"/>
        <w:pBdr>
          <w:left w:val="single" w:sz="4" w:space="4" w:color="000000"/>
          <w:right w:val="single" w:sz="4" w:space="4" w:color="000000"/>
        </w:pBdr>
        <w:shd w:val="clear" w:color="auto" w:fill="FFFFCC"/>
        <w:spacing w:before="0" w:beforeAutospacing="0" w:after="0" w:afterAutospacing="0"/>
        <w:textAlignment w:val="baseline"/>
        <w:rPr>
          <w:rFonts w:ascii="Segoe UI" w:hAnsi="Segoe UI" w:cs="Segoe UI"/>
          <w:sz w:val="18"/>
          <w:szCs w:val="18"/>
        </w:rPr>
      </w:pPr>
      <w:proofErr w:type="gramStart"/>
      <w:r>
        <w:rPr>
          <w:rStyle w:val="normaltextrun"/>
          <w:rFonts w:ascii="Aptos" w:hAnsi="Aptos" w:cs="Segoe UI"/>
          <w:i/>
          <w:iCs/>
        </w:rPr>
        <w:t>The Financial Instrument Global Identifier (FIGI),</w:t>
      </w:r>
      <w:proofErr w:type="gramEnd"/>
      <w:r>
        <w:rPr>
          <w:rStyle w:val="normaltextrun"/>
          <w:rFonts w:ascii="Aptos" w:hAnsi="Aptos" w:cs="Segoe UI"/>
          <w:i/>
          <w:iCs/>
        </w:rPr>
        <w:t xml:space="preserve"> is a 12-character alpha-numeric code which maps to ISIN where there is one and requires no licensing fees. The FIGI open standard provides a data model to enable the assignment and linking of identifiers at multiple hierarchical levels, and the OpenFIGI.com website provides access to all allocated FIGI codes with API driven search and mapping facilities. The FIGI standard has been adopted by the independent Object Management Group (OMG), now part of the Enterprise Data Management Association (EDMA).</w:t>
      </w:r>
      <w:r>
        <w:rPr>
          <w:rStyle w:val="eop"/>
          <w:rFonts w:ascii="Aptos" w:hAnsi="Aptos" w:cs="Segoe UI"/>
        </w:rPr>
        <w:t> </w:t>
      </w:r>
    </w:p>
    <w:p w14:paraId="4548DEBC" w14:textId="77777777" w:rsidR="003903C6" w:rsidRDefault="003903C6" w:rsidP="003903C6">
      <w:pPr>
        <w:pStyle w:val="paragraph"/>
        <w:pBdr>
          <w:left w:val="single" w:sz="4" w:space="4" w:color="000000"/>
          <w:right w:val="single" w:sz="4" w:space="4" w:color="000000"/>
        </w:pBdr>
        <w:shd w:val="clear" w:color="auto" w:fill="FFFFCC"/>
        <w:spacing w:before="0" w:beforeAutospacing="0" w:after="0" w:afterAutospacing="0"/>
        <w:textAlignment w:val="baseline"/>
        <w:rPr>
          <w:rFonts w:ascii="Segoe UI" w:hAnsi="Segoe UI" w:cs="Segoe UI"/>
          <w:sz w:val="18"/>
          <w:szCs w:val="18"/>
        </w:rPr>
      </w:pPr>
      <w:r>
        <w:rPr>
          <w:rStyle w:val="normaltextrun"/>
          <w:rFonts w:ascii="Aptos" w:hAnsi="Aptos" w:cs="Segoe UI"/>
          <w:i/>
          <w:iCs/>
        </w:rPr>
        <w:t>Bloomberg L.P. was chosen by the OMG to be the Registration Authority for FIGI codes. FIGI is recognised by the US National Standards body (ANSI) as an official US financial instrument identification standard. FIGI is also recognised as an official standard in Brazil. </w:t>
      </w:r>
      <w:r>
        <w:rPr>
          <w:rStyle w:val="eop"/>
          <w:rFonts w:ascii="Aptos" w:hAnsi="Aptos" w:cs="Segoe UI"/>
        </w:rPr>
        <w:t> </w:t>
      </w:r>
    </w:p>
    <w:p w14:paraId="1795AFF6" w14:textId="77777777" w:rsidR="003903C6" w:rsidRDefault="003903C6" w:rsidP="003903C6">
      <w:pPr>
        <w:pStyle w:val="paragraph"/>
        <w:pBdr>
          <w:left w:val="single" w:sz="4" w:space="4" w:color="000000"/>
          <w:right w:val="single" w:sz="4" w:space="4" w:color="000000"/>
        </w:pBdr>
        <w:shd w:val="clear" w:color="auto" w:fill="FFFFCC"/>
        <w:spacing w:before="0" w:beforeAutospacing="0" w:after="0" w:afterAutospacing="0"/>
        <w:textAlignment w:val="baseline"/>
        <w:rPr>
          <w:rFonts w:ascii="Segoe UI" w:hAnsi="Segoe UI" w:cs="Segoe UI"/>
          <w:sz w:val="18"/>
          <w:szCs w:val="18"/>
        </w:rPr>
      </w:pPr>
      <w:r>
        <w:rPr>
          <w:rStyle w:val="normaltextrun"/>
          <w:rFonts w:ascii="Aptos" w:hAnsi="Aptos" w:cs="Segoe UI"/>
          <w:i/>
          <w:iCs/>
        </w:rPr>
        <w:t>With over 1.5 billion FIGIs having been issued across asset classes, FIGI continues to expand its coverage, most recently into crypto assets. </w:t>
      </w:r>
      <w:r>
        <w:rPr>
          <w:rStyle w:val="eop"/>
          <w:rFonts w:ascii="Aptos" w:hAnsi="Aptos" w:cs="Segoe UI"/>
        </w:rPr>
        <w:t> </w:t>
      </w:r>
    </w:p>
    <w:p w14:paraId="648C25CA" w14:textId="77777777" w:rsidR="003903C6" w:rsidRDefault="003903C6" w:rsidP="003903C6">
      <w:pPr>
        <w:pStyle w:val="paragraph"/>
        <w:pBdr>
          <w:left w:val="single" w:sz="4" w:space="4" w:color="000000"/>
          <w:bottom w:val="single" w:sz="4" w:space="1" w:color="000000"/>
          <w:right w:val="single" w:sz="4" w:space="4" w:color="000000"/>
        </w:pBdr>
        <w:shd w:val="clear" w:color="auto" w:fill="FFFFCC"/>
        <w:spacing w:before="0" w:beforeAutospacing="0" w:after="0" w:afterAutospacing="0"/>
        <w:textAlignment w:val="baseline"/>
        <w:rPr>
          <w:rFonts w:ascii="Segoe UI" w:hAnsi="Segoe UI" w:cs="Segoe UI"/>
          <w:sz w:val="18"/>
          <w:szCs w:val="18"/>
        </w:rPr>
      </w:pPr>
      <w:r>
        <w:rPr>
          <w:rStyle w:val="normaltextrun"/>
          <w:rFonts w:ascii="Aptos" w:hAnsi="Aptos" w:cs="Segoe UI"/>
          <w:i/>
          <w:iCs/>
        </w:rPr>
        <w:lastRenderedPageBreak/>
        <w:t>For equities, unique FIGIs exist for every traded instance, by exchange and MTF. At the same time, FIGIs exist to aggregate all venue-level FIGIs in a particular country. Finally, a unique FIGI exists on par with, and maps to, an ISIN, allowing aggregating all trading in a single common stock at multiple levels. </w:t>
      </w:r>
      <w:r>
        <w:rPr>
          <w:rStyle w:val="eop"/>
          <w:rFonts w:ascii="Aptos" w:hAnsi="Aptos" w:cs="Segoe UI"/>
        </w:rPr>
        <w:t> </w:t>
      </w:r>
    </w:p>
    <w:p w14:paraId="6F92A3C7"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7A1EA9F"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We would therefore suggest extending the list of acceptable public identification codes referenced in section 223 to include FIGI. </w:t>
      </w:r>
      <w:r>
        <w:rPr>
          <w:rStyle w:val="eop"/>
          <w:rFonts w:ascii="Arial" w:hAnsi="Arial" w:cs="Arial"/>
          <w:color w:val="000000"/>
          <w:sz w:val="22"/>
          <w:szCs w:val="22"/>
        </w:rPr>
        <w:t> </w:t>
      </w:r>
    </w:p>
    <w:p w14:paraId="49B2D42A"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6C823981"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In Section 249 we would, therefore, also suggest adding OpenFIGI.com as an additional source of information for data relevant to fund reporting. </w:t>
      </w:r>
      <w:r>
        <w:rPr>
          <w:rStyle w:val="eop"/>
          <w:rFonts w:ascii="Arial" w:hAnsi="Arial" w:cs="Arial"/>
          <w:color w:val="000000"/>
          <w:sz w:val="22"/>
          <w:szCs w:val="22"/>
        </w:rPr>
        <w:t> </w:t>
      </w:r>
    </w:p>
    <w:p w14:paraId="5AE4F96E"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1D41DCA3"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Such an extension of identifier options is highly likely to cover most, if not all, of the gaps in coverage which this consultation alludes to.  </w:t>
      </w:r>
      <w:r>
        <w:rPr>
          <w:rStyle w:val="eop"/>
          <w:rFonts w:ascii="Arial" w:hAnsi="Arial" w:cs="Arial"/>
          <w:color w:val="000000"/>
          <w:sz w:val="22"/>
          <w:szCs w:val="22"/>
        </w:rPr>
        <w:t> </w:t>
      </w:r>
    </w:p>
    <w:p w14:paraId="02BA0D5E"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69F92CF"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Bloomberg as the issuer and maintainer of the FIGI standard on behalf of the Enterprise Data Management Association (EDMA) and the Object Management Group (OMG), would be pleased to work with ESMA to flesh out the additional uplift in financial instrument coverage which could be delivered by adding the FIGI to the menu of standards permitted in funds reporting.</w:t>
      </w:r>
      <w:r>
        <w:rPr>
          <w:rStyle w:val="eop"/>
          <w:rFonts w:ascii="Arial" w:hAnsi="Arial" w:cs="Arial"/>
          <w:color w:val="000000"/>
          <w:sz w:val="22"/>
          <w:szCs w:val="22"/>
        </w:rPr>
        <w:t> </w:t>
      </w:r>
    </w:p>
    <w:p w14:paraId="22CFE9DE"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1D4BABE3"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2"/>
          <w:szCs w:val="22"/>
        </w:rPr>
        <w:t>LEI Coverage</w:t>
      </w:r>
      <w:r>
        <w:rPr>
          <w:rStyle w:val="eop"/>
          <w:rFonts w:ascii="Arial" w:hAnsi="Arial" w:cs="Arial"/>
          <w:color w:val="000000"/>
          <w:sz w:val="22"/>
          <w:szCs w:val="22"/>
        </w:rPr>
        <w:t> </w:t>
      </w:r>
    </w:p>
    <w:p w14:paraId="7B0DECD1"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60430775"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ESMA proposes several options in respect of LEI coverage. In contrast to the position of financial instrument identifiers, where gaps could be plugged by use of a wider range of freely available and inter-operable standards, Bloomberg takes the view that the range of entities relevant to funds data reporting can and should be identified with an LEI.  </w:t>
      </w:r>
      <w:r>
        <w:rPr>
          <w:rStyle w:val="eop"/>
          <w:rFonts w:ascii="Arial" w:hAnsi="Arial" w:cs="Arial"/>
          <w:color w:val="000000"/>
          <w:sz w:val="22"/>
          <w:szCs w:val="22"/>
        </w:rPr>
        <w:t> </w:t>
      </w:r>
    </w:p>
    <w:p w14:paraId="06820553" w14:textId="77777777" w:rsid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2DF331FA" w14:textId="62CF205D" w:rsidR="00F21CF0" w:rsidRPr="003903C6" w:rsidRDefault="003903C6" w:rsidP="003903C6">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Bloomberg is part of the Global Legal Entity Identifier system (GLEIF)</w:t>
      </w:r>
      <w:r>
        <w:rPr>
          <w:rStyle w:val="normaltextrun"/>
          <w:rFonts w:ascii="Arial" w:hAnsi="Arial" w:cs="Arial"/>
          <w:color w:val="D13438"/>
          <w:sz w:val="22"/>
          <w:szCs w:val="22"/>
          <w:u w:val="single"/>
        </w:rPr>
        <w:t>,</w:t>
      </w:r>
      <w:r>
        <w:rPr>
          <w:rStyle w:val="normaltextrun"/>
          <w:rFonts w:ascii="Arial" w:hAnsi="Arial" w:cs="Arial"/>
          <w:color w:val="000000"/>
          <w:sz w:val="22"/>
          <w:szCs w:val="22"/>
        </w:rPr>
        <w:t xml:space="preserve"> which issues and maintains the approximately 3 million LEIs currently issued.  Along with our colleagues in the GLEIF system, we would be pleased to engage with ESMA on practical ways forward to close gaps in the LEI coverage, to ensure that option 1 is achievable.   We also do not think that costs related to LEIs is a significant barrier to adoption, as such costs for issuance and maintenance have consistently been coming down in recent years. </w:t>
      </w:r>
      <w:r>
        <w:rPr>
          <w:rStyle w:val="eop"/>
          <w:rFonts w:ascii="Arial" w:hAnsi="Arial" w:cs="Arial"/>
          <w:color w:val="000000"/>
          <w:sz w:val="22"/>
          <w:szCs w:val="22"/>
        </w:rPr>
        <w:t> </w:t>
      </w:r>
    </w:p>
    <w:permEnd w:id="484980599"/>
    <w:p w14:paraId="65D115B7" w14:textId="77777777" w:rsidR="00F21CF0" w:rsidRDefault="00F21CF0" w:rsidP="00F21CF0">
      <w:r>
        <w:t>&lt;ESMA_QUESTION_ICFD_16&gt;</w:t>
      </w:r>
    </w:p>
    <w:p w14:paraId="213AFBC7" w14:textId="77777777" w:rsidR="00F21CF0" w:rsidRDefault="00F21CF0" w:rsidP="00F21CF0"/>
    <w:p w14:paraId="6ED9C327" w14:textId="77777777" w:rsidR="00F21CF0" w:rsidRDefault="00F21CF0" w:rsidP="00F21CF0">
      <w:pPr>
        <w:pStyle w:val="Questionstyle"/>
        <w:spacing w:before="120" w:after="120"/>
        <w:ind w:left="851" w:hanging="709"/>
      </w:pPr>
      <w:r w:rsidRPr="00C81644">
        <w:t>With respect to share classes, what data should be considered for reporting at the share class level? What operational challenges do you face when reporting at the share class level?</w:t>
      </w:r>
    </w:p>
    <w:p w14:paraId="3320A269" w14:textId="77777777" w:rsidR="00F21CF0" w:rsidRDefault="00F21CF0" w:rsidP="00F21CF0">
      <w:r>
        <w:t>&lt;ESMA_QUESTION_ICFD_17&gt;</w:t>
      </w:r>
    </w:p>
    <w:p w14:paraId="060357B6" w14:textId="5AB0D659" w:rsidR="00F21CF0" w:rsidRDefault="00AE08D9" w:rsidP="00F21CF0">
      <w:permStart w:id="818029234" w:edGrp="everyone"/>
      <w:r>
        <w:t xml:space="preserve"> </w:t>
      </w:r>
      <w:r>
        <w:rPr>
          <w:rStyle w:val="normaltextrun"/>
          <w:color w:val="000000"/>
          <w:szCs w:val="22"/>
        </w:rPr>
        <w:t>With the appropriate available choice of financial instrument identification standards then as we have indicated in our reply to Q16, such a security-by-security approach becomes implementable.</w:t>
      </w:r>
      <w:r>
        <w:rPr>
          <w:rStyle w:val="eop"/>
          <w:color w:val="000000"/>
          <w:szCs w:val="22"/>
        </w:rPr>
        <w:t> </w:t>
      </w:r>
    </w:p>
    <w:permEnd w:id="818029234"/>
    <w:p w14:paraId="4948921F" w14:textId="77777777" w:rsidR="00F21CF0" w:rsidRDefault="00F21CF0" w:rsidP="00F21CF0">
      <w:r>
        <w:t>&lt;ESMA_QUESTION_ICFD_17&gt;</w:t>
      </w:r>
    </w:p>
    <w:p w14:paraId="001A812A" w14:textId="77777777" w:rsidR="00F21CF0" w:rsidRDefault="00F21CF0" w:rsidP="00F21CF0"/>
    <w:p w14:paraId="13D9C9D4" w14:textId="77777777" w:rsidR="00F21CF0" w:rsidRPr="001B1AE6" w:rsidRDefault="00F21CF0" w:rsidP="00F21CF0">
      <w:pPr>
        <w:pStyle w:val="Questionstyle"/>
        <w:spacing w:before="120" w:after="120"/>
        <w:ind w:left="851" w:hanging="709"/>
      </w:pPr>
      <w:r w:rsidRPr="0002065D">
        <w:t>In your opinion, is it feasible to substitute aggregated reporting data with more granular data within supervisory and statistical reporting frameworks? If yes, what kind of data?</w:t>
      </w:r>
    </w:p>
    <w:p w14:paraId="25208BE2" w14:textId="77777777" w:rsidR="00F21CF0" w:rsidRDefault="00F21CF0" w:rsidP="00F21CF0">
      <w:r>
        <w:t>&lt;ESMA_QUESTION_ICFD_18&gt;</w:t>
      </w:r>
    </w:p>
    <w:p w14:paraId="5C26E929" w14:textId="77777777" w:rsidR="00AE08D9" w:rsidRDefault="00AE08D9" w:rsidP="00AE08D9">
      <w:pPr>
        <w:pStyle w:val="paragraph"/>
        <w:shd w:val="clear" w:color="auto" w:fill="FFFFCC"/>
        <w:spacing w:before="0" w:beforeAutospacing="0" w:after="0" w:afterAutospacing="0"/>
        <w:textAlignment w:val="baseline"/>
        <w:rPr>
          <w:rFonts w:ascii="Segoe UI" w:hAnsi="Segoe UI" w:cs="Segoe UI"/>
          <w:color w:val="000000"/>
          <w:sz w:val="18"/>
          <w:szCs w:val="18"/>
        </w:rPr>
      </w:pPr>
      <w:permStart w:id="1812282010" w:edGrp="everyone"/>
      <w:r>
        <w:t xml:space="preserve"> </w:t>
      </w:r>
      <w:r>
        <w:rPr>
          <w:rStyle w:val="normaltextrun"/>
          <w:rFonts w:ascii="Arial" w:hAnsi="Arial" w:cs="Arial"/>
          <w:color w:val="000000"/>
          <w:sz w:val="22"/>
          <w:szCs w:val="22"/>
        </w:rPr>
        <w:t>For equity instruments the Financial Instrument Global Identifier (FIGI) provides granular identification from trading platform to country composite to global share class level identification as shown in the diagram below:</w:t>
      </w:r>
      <w:r>
        <w:rPr>
          <w:rStyle w:val="eop"/>
          <w:rFonts w:ascii="Arial" w:hAnsi="Arial" w:cs="Arial"/>
          <w:color w:val="000000"/>
          <w:sz w:val="22"/>
          <w:szCs w:val="22"/>
        </w:rPr>
        <w:t> </w:t>
      </w:r>
    </w:p>
    <w:p w14:paraId="5BCBA9A7" w14:textId="77777777" w:rsidR="00AE08D9" w:rsidRDefault="00AE08D9" w:rsidP="00AE08D9">
      <w:pPr>
        <w:pStyle w:val="paragraph"/>
        <w:shd w:val="clear" w:color="auto" w:fill="FFFFCC"/>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6CA311FB" w14:textId="62A170C5" w:rsidR="00F21CF0" w:rsidRPr="00AE08D9" w:rsidRDefault="00AE08D9" w:rsidP="00AE08D9">
      <w:pPr>
        <w:pStyle w:val="paragraph"/>
        <w:spacing w:before="0" w:beforeAutospacing="0" w:after="0" w:afterAutospacing="0"/>
        <w:textAlignment w:val="baseline"/>
        <w:rPr>
          <w:rFonts w:ascii="Segoe UI" w:hAnsi="Segoe UI" w:cs="Segoe UI"/>
          <w:color w:val="000000"/>
          <w:sz w:val="18"/>
          <w:szCs w:val="18"/>
        </w:rPr>
      </w:pPr>
      <w:r>
        <w:rPr>
          <w:rStyle w:val="wacimagecontainer"/>
          <w:rFonts w:ascii="Segoe UI" w:hAnsi="Segoe UI" w:cs="Segoe UI"/>
          <w:noProof/>
          <w:color w:val="000000"/>
          <w:sz w:val="18"/>
          <w:szCs w:val="18"/>
        </w:rPr>
        <w:drawing>
          <wp:inline distT="0" distB="0" distL="0" distR="0" wp14:anchorId="2D0962FA" wp14:editId="49948AE6">
            <wp:extent cx="5734050" cy="3524250"/>
            <wp:effectExtent l="0" t="0" r="0" b="0"/>
            <wp:docPr id="1720410717"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10717" name="Picture 2" descr="A diagram of a company&#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4050" cy="3524250"/>
                    </a:xfrm>
                    <a:prstGeom prst="rect">
                      <a:avLst/>
                    </a:prstGeom>
                    <a:noFill/>
                    <a:ln>
                      <a:noFill/>
                    </a:ln>
                  </pic:spPr>
                </pic:pic>
              </a:graphicData>
            </a:graphic>
          </wp:inline>
        </w:drawing>
      </w:r>
      <w:r>
        <w:rPr>
          <w:rStyle w:val="eop"/>
          <w:rFonts w:ascii="Arial" w:hAnsi="Arial" w:cs="Arial"/>
          <w:color w:val="000000"/>
          <w:sz w:val="22"/>
          <w:szCs w:val="22"/>
        </w:rPr>
        <w:t> </w:t>
      </w:r>
    </w:p>
    <w:permEnd w:id="1812282010"/>
    <w:p w14:paraId="46F5B508" w14:textId="77777777" w:rsidR="00F21CF0" w:rsidRDefault="00F21CF0" w:rsidP="00F21CF0">
      <w:r>
        <w:t>&lt;ESMA_QUESTION_ICFD_18&gt;</w:t>
      </w:r>
    </w:p>
    <w:p w14:paraId="5B2ECEA5" w14:textId="77777777" w:rsidR="00F21CF0" w:rsidRDefault="00F21CF0" w:rsidP="00F21CF0"/>
    <w:p w14:paraId="2DBA6882" w14:textId="77777777" w:rsidR="00F21CF0" w:rsidRDefault="00F21CF0" w:rsidP="00F21CF0">
      <w:pPr>
        <w:pStyle w:val="Questionstyle"/>
        <w:spacing w:before="120" w:after="120"/>
        <w:ind w:left="851" w:hanging="709"/>
      </w:pPr>
      <w:r w:rsidRPr="00C81644">
        <w:t>What additional areas should be investigated under the integrated reporting initiative in terms of data granularity and standardisation?</w:t>
      </w:r>
    </w:p>
    <w:p w14:paraId="63481186" w14:textId="77777777" w:rsidR="00F21CF0" w:rsidRDefault="00F21CF0" w:rsidP="00F21CF0">
      <w:r>
        <w:t>&lt;ESMA_QUESTION_ICFD_19&gt;</w:t>
      </w:r>
    </w:p>
    <w:p w14:paraId="5ED53AC3" w14:textId="77777777" w:rsidR="00F21CF0" w:rsidRDefault="00F21CF0" w:rsidP="00F21CF0">
      <w:permStart w:id="1815633304" w:edGrp="everyone"/>
      <w:r>
        <w:t>TYPE YOUR TEXT HERE</w:t>
      </w:r>
    </w:p>
    <w:permEnd w:id="1815633304"/>
    <w:p w14:paraId="353C390F" w14:textId="77777777" w:rsidR="00F21CF0" w:rsidRDefault="00F21CF0" w:rsidP="00F21CF0">
      <w:r>
        <w:t>&lt;ESMA_QUESTION_ICFD_19&gt;</w:t>
      </w:r>
    </w:p>
    <w:p w14:paraId="6265D5B4" w14:textId="77777777" w:rsidR="00F21CF0" w:rsidRDefault="00F21CF0" w:rsidP="00F21CF0"/>
    <w:p w14:paraId="77C451C0" w14:textId="77777777" w:rsidR="00F21CF0" w:rsidRPr="001B1AE6" w:rsidRDefault="00F21CF0" w:rsidP="00F21CF0">
      <w:pPr>
        <w:pStyle w:val="Questionstyle"/>
        <w:spacing w:before="120" w:after="120"/>
        <w:ind w:left="851" w:hanging="709"/>
      </w:pPr>
      <w:r w:rsidRPr="0002065D">
        <w:t>Do you consider that frequency should be aligned across reporting regimes and jurisdictions? If yes, what frequency (monthly or another) would provide the best balance of costs and benefits? What kind of challenges would you expect in implementing it?</w:t>
      </w:r>
    </w:p>
    <w:p w14:paraId="41811A27" w14:textId="77777777" w:rsidR="00F21CF0" w:rsidRDefault="00F21CF0" w:rsidP="00F21CF0">
      <w:r>
        <w:t>&lt;ESMA_QUESTION_ICFD_20&gt;</w:t>
      </w:r>
    </w:p>
    <w:p w14:paraId="32079165" w14:textId="29EC7988" w:rsidR="00AE08D9" w:rsidRPr="00AE08D9" w:rsidRDefault="00AE08D9" w:rsidP="00AE08D9">
      <w:pPr>
        <w:pStyle w:val="paragraph"/>
        <w:shd w:val="clear" w:color="auto" w:fill="FFFFCC"/>
        <w:spacing w:before="0" w:beforeAutospacing="0" w:after="0" w:afterAutospacing="0"/>
        <w:textAlignment w:val="baseline"/>
        <w:rPr>
          <w:rFonts w:ascii="Segoe UI" w:hAnsi="Segoe UI" w:cs="Segoe UI"/>
          <w:color w:val="000000"/>
          <w:sz w:val="18"/>
          <w:szCs w:val="18"/>
        </w:rPr>
      </w:pPr>
      <w:permStart w:id="1492545028" w:edGrp="everyone"/>
      <w:r>
        <w:rPr>
          <w:rStyle w:val="normaltextrun"/>
          <w:rFonts w:ascii="Arial" w:hAnsi="Arial" w:cs="Arial"/>
          <w:color w:val="000000"/>
          <w:sz w:val="22"/>
          <w:szCs w:val="22"/>
        </w:rPr>
        <w:t xml:space="preserve">As highlighted in our answer to Q16, ESMA should particularly assess again the range of standards for identifying financial instruments which are permitted in the reporting relevant to this Discussion Paper.  A reassessment of the standards permitted ought to produce a better understanding of the possibilities for security-by-security reporting.  As we have particularly sought to highlight in these comments, the addition of FIGI would not only complement the coverage of existing permitted identifiers such as ISIN, but </w:t>
      </w:r>
      <w:proofErr w:type="gramStart"/>
      <w:r>
        <w:rPr>
          <w:rStyle w:val="normaltextrun"/>
          <w:rFonts w:ascii="Arial" w:hAnsi="Arial" w:cs="Arial"/>
          <w:color w:val="000000"/>
          <w:sz w:val="22"/>
          <w:szCs w:val="22"/>
        </w:rPr>
        <w:t>actually further</w:t>
      </w:r>
      <w:proofErr w:type="gramEnd"/>
      <w:r>
        <w:rPr>
          <w:rStyle w:val="normaltextrun"/>
          <w:rFonts w:ascii="Arial" w:hAnsi="Arial" w:cs="Arial"/>
          <w:color w:val="000000"/>
          <w:sz w:val="22"/>
          <w:szCs w:val="22"/>
        </w:rPr>
        <w:t xml:space="preserve"> expand the coverage of financial instruments.</w:t>
      </w:r>
      <w:r>
        <w:rPr>
          <w:rStyle w:val="eop"/>
          <w:rFonts w:ascii="Arial" w:hAnsi="Arial" w:cs="Arial"/>
          <w:color w:val="000000"/>
          <w:sz w:val="22"/>
          <w:szCs w:val="22"/>
        </w:rPr>
        <w:t> </w:t>
      </w:r>
      <w:r>
        <w:rPr>
          <w:rStyle w:val="eop"/>
          <w:rFonts w:ascii="Aptos" w:hAnsi="Aptos" w:cs="Segoe UI"/>
        </w:rPr>
        <w:t> </w:t>
      </w:r>
    </w:p>
    <w:permEnd w:id="1492545028"/>
    <w:p w14:paraId="59E4C8A4" w14:textId="77777777" w:rsidR="00F21CF0" w:rsidRDefault="00F21CF0" w:rsidP="00F21CF0">
      <w:r>
        <w:t>&lt;ESMA_QUESTION_ICFD_20&gt;</w:t>
      </w:r>
    </w:p>
    <w:p w14:paraId="38F22740" w14:textId="77777777" w:rsidR="00F21CF0" w:rsidRDefault="00F21CF0" w:rsidP="00F21CF0"/>
    <w:p w14:paraId="3CD89CC4" w14:textId="77777777" w:rsidR="00F21CF0" w:rsidRDefault="00F21CF0" w:rsidP="00F21CF0">
      <w:pPr>
        <w:pStyle w:val="Questionstyle"/>
        <w:spacing w:before="120" w:after="120"/>
        <w:ind w:left="851" w:hanging="709"/>
      </w:pPr>
      <w:r w:rsidRPr="0002065D">
        <w:t>What solutions and criteria should be envisaged to ensure a proportionate approach with respect to the reporting frequency?</w:t>
      </w:r>
    </w:p>
    <w:p w14:paraId="5D02CEDD" w14:textId="77777777" w:rsidR="00F21CF0" w:rsidRDefault="00F21CF0" w:rsidP="00F21CF0">
      <w:r>
        <w:t>&lt;ESMA_QUESTION_ICFD_21&gt;</w:t>
      </w:r>
    </w:p>
    <w:p w14:paraId="4FC6CEF3" w14:textId="77777777" w:rsidR="00F21CF0" w:rsidRDefault="00F21CF0" w:rsidP="00F21CF0">
      <w:permStart w:id="342758864" w:edGrp="everyone"/>
      <w:r>
        <w:t>TYPE YOUR TEXT HERE</w:t>
      </w:r>
    </w:p>
    <w:permEnd w:id="342758864"/>
    <w:p w14:paraId="18FE11E1" w14:textId="77777777" w:rsidR="00F21CF0" w:rsidRDefault="00F21CF0" w:rsidP="00F21CF0">
      <w:r>
        <w:t>&lt;ESMA_QUESTION_ICFD_21&gt;</w:t>
      </w:r>
    </w:p>
    <w:p w14:paraId="660090CB" w14:textId="77777777" w:rsidR="00F21CF0" w:rsidRDefault="00F21CF0" w:rsidP="00F21CF0"/>
    <w:p w14:paraId="3EBFB475" w14:textId="77777777" w:rsidR="00F21CF0" w:rsidRPr="001B1AE6" w:rsidRDefault="00F21CF0" w:rsidP="00F21CF0">
      <w:pPr>
        <w:pStyle w:val="Questionstyle"/>
        <w:spacing w:before="120" w:after="120"/>
        <w:ind w:left="851" w:hanging="709"/>
      </w:pPr>
      <w:r w:rsidRPr="0002065D">
        <w:t>Given that daily reporting requirements are already implemented in certain Member States, how such a frequency could be set up to ensure an integrated approach while avoiding a disproportionate burden for reporting entities?</w:t>
      </w:r>
    </w:p>
    <w:p w14:paraId="5B7AB7E1" w14:textId="77777777" w:rsidR="00F21CF0" w:rsidRDefault="00F21CF0" w:rsidP="00F21CF0">
      <w:r>
        <w:t>&lt;ESMA_QUESTION_ICFD_22&gt;</w:t>
      </w:r>
    </w:p>
    <w:p w14:paraId="0DED289B" w14:textId="77777777" w:rsidR="00F21CF0" w:rsidRDefault="00F21CF0" w:rsidP="00F21CF0">
      <w:permStart w:id="1611232175" w:edGrp="everyone"/>
      <w:r>
        <w:t>TYPE YOUR TEXT HERE</w:t>
      </w:r>
    </w:p>
    <w:permEnd w:id="1611232175"/>
    <w:p w14:paraId="5E3B6B11" w14:textId="77777777" w:rsidR="00F21CF0" w:rsidRDefault="00F21CF0" w:rsidP="00F21CF0">
      <w:r>
        <w:t>&lt;ESMA_QUESTION_ICFD_22&gt;</w:t>
      </w:r>
    </w:p>
    <w:p w14:paraId="28876430" w14:textId="77777777" w:rsidR="00F21CF0" w:rsidRDefault="00F21CF0" w:rsidP="00F21CF0"/>
    <w:p w14:paraId="6D1B4653" w14:textId="77777777" w:rsidR="00F21CF0" w:rsidRDefault="00F21CF0" w:rsidP="00F21CF0">
      <w:pPr>
        <w:pStyle w:val="Questionstyle"/>
        <w:spacing w:before="120" w:after="120"/>
        <w:ind w:left="851" w:hanging="709"/>
      </w:pPr>
      <w:r w:rsidRPr="0002065D">
        <w:t>How the reporting template for use in exceptional circumstances be designed to minimise the complexity for reporting entities, while ensuring sufficient flexibility to adapt to the specific nature of a crisis situation?</w:t>
      </w:r>
    </w:p>
    <w:p w14:paraId="4A65C388" w14:textId="77777777" w:rsidR="00F21CF0" w:rsidRDefault="00F21CF0" w:rsidP="00F21CF0">
      <w:r>
        <w:lastRenderedPageBreak/>
        <w:t>&lt;ESMA_QUESTION_ICFD_23&gt;</w:t>
      </w:r>
    </w:p>
    <w:p w14:paraId="3D0B091B" w14:textId="77777777" w:rsidR="00F21CF0" w:rsidRDefault="00F21CF0" w:rsidP="00F21CF0">
      <w:permStart w:id="1099658953" w:edGrp="everyone"/>
      <w:r>
        <w:t>TYPE YOUR TEXT HERE</w:t>
      </w:r>
    </w:p>
    <w:permEnd w:id="1099658953"/>
    <w:p w14:paraId="6B691C56" w14:textId="77777777" w:rsidR="00F21CF0" w:rsidRDefault="00F21CF0" w:rsidP="00F21CF0">
      <w:r>
        <w:t>&lt;ESMA_QUESTION_ICFD_23&gt;</w:t>
      </w:r>
    </w:p>
    <w:p w14:paraId="3A70ECAE" w14:textId="77777777" w:rsidR="00F21CF0" w:rsidRDefault="00F21CF0" w:rsidP="00F21CF0"/>
    <w:p w14:paraId="1934962C" w14:textId="77777777" w:rsidR="00F21CF0" w:rsidRPr="001B1AE6" w:rsidRDefault="00F21CF0" w:rsidP="00F21CF0">
      <w:pPr>
        <w:pStyle w:val="Questionstyle"/>
        <w:spacing w:before="120" w:after="120"/>
        <w:ind w:left="851" w:hanging="709"/>
      </w:pPr>
      <w:r w:rsidRPr="0002065D">
        <w:t>Are there any other dimensions not considered in this discussion paper that are relevant for the establishment of a more integrated reporting system? If yes, please provide specific examples and your views on potential improvements that can be made and their priority.</w:t>
      </w:r>
    </w:p>
    <w:p w14:paraId="1171C9FD" w14:textId="77777777" w:rsidR="00F21CF0" w:rsidRDefault="00F21CF0" w:rsidP="00F21CF0">
      <w:r>
        <w:t>&lt;ESMA_QUESTION_ICFD_24&gt;</w:t>
      </w:r>
    </w:p>
    <w:p w14:paraId="555EA4A2" w14:textId="77777777" w:rsidR="00F21CF0" w:rsidRDefault="00F21CF0" w:rsidP="00F21CF0">
      <w:permStart w:id="1735994076" w:edGrp="everyone"/>
      <w:r>
        <w:t>TYPE YOUR TEXT HERE</w:t>
      </w:r>
    </w:p>
    <w:permEnd w:id="1735994076"/>
    <w:p w14:paraId="2ADEBDC2" w14:textId="77777777" w:rsidR="00F21CF0" w:rsidRDefault="00F21CF0" w:rsidP="00F21CF0">
      <w:r>
        <w:t>&lt;ESMA_QUESTION_ICFD_24&gt;</w:t>
      </w:r>
    </w:p>
    <w:p w14:paraId="3E228C53" w14:textId="77777777" w:rsidR="00F21CF0" w:rsidRDefault="00F21CF0" w:rsidP="00F21CF0"/>
    <w:p w14:paraId="4E6E259E" w14:textId="77777777" w:rsidR="00F21CF0" w:rsidRDefault="00F21CF0" w:rsidP="00F21CF0"/>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3E6F" w14:textId="77777777" w:rsidR="00370C90" w:rsidRDefault="00370C90" w:rsidP="00F716D4">
      <w:r>
        <w:separator/>
      </w:r>
    </w:p>
    <w:p w14:paraId="0749F0C9" w14:textId="77777777" w:rsidR="00370C90" w:rsidRDefault="00370C90" w:rsidP="00F716D4"/>
  </w:endnote>
  <w:endnote w:type="continuationSeparator" w:id="0">
    <w:p w14:paraId="320F4B38" w14:textId="77777777" w:rsidR="00370C90" w:rsidRDefault="00370C90" w:rsidP="00F716D4">
      <w:r>
        <w:continuationSeparator/>
      </w:r>
    </w:p>
    <w:p w14:paraId="0FC56762" w14:textId="77777777" w:rsidR="00370C90" w:rsidRDefault="00370C90" w:rsidP="00F716D4"/>
  </w:endnote>
  <w:endnote w:type="continuationNotice" w:id="1">
    <w:p w14:paraId="7C562B97" w14:textId="77777777" w:rsidR="00370C90" w:rsidRDefault="00370C90"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E4B5" w14:textId="77777777" w:rsidR="00370C90" w:rsidRDefault="00370C90" w:rsidP="00F716D4">
      <w:r>
        <w:separator/>
      </w:r>
    </w:p>
    <w:p w14:paraId="5A26BD55" w14:textId="77777777" w:rsidR="00370C90" w:rsidRDefault="00370C90" w:rsidP="00F716D4"/>
  </w:footnote>
  <w:footnote w:type="continuationSeparator" w:id="0">
    <w:p w14:paraId="26CD6EF2" w14:textId="77777777" w:rsidR="00370C90" w:rsidRDefault="00370C90" w:rsidP="00F716D4">
      <w:r>
        <w:continuationSeparator/>
      </w:r>
    </w:p>
    <w:p w14:paraId="32260392" w14:textId="77777777" w:rsidR="00370C90" w:rsidRDefault="00370C90" w:rsidP="00F716D4"/>
  </w:footnote>
  <w:footnote w:type="continuationNotice" w:id="1">
    <w:p w14:paraId="48E53407" w14:textId="77777777" w:rsidR="00370C90" w:rsidRDefault="00370C90"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Default="00C54034" w:rsidP="00F716D4">
    <w:pPr>
      <w:pStyle w:val="HeaderFoot"/>
      <w:rPr>
        <w:highlight w:val="yellow"/>
      </w:rPr>
    </w:pPr>
    <w:bookmarkStart w:id="4" w:name="_Hlk124775980"/>
    <w:bookmarkStart w:id="5" w:name="_Hlk124775948"/>
  </w:p>
  <w:p w14:paraId="011E436B" w14:textId="14AB072C" w:rsidR="00F87468" w:rsidRPr="005B787C" w:rsidRDefault="00BF7004" w:rsidP="00F716D4">
    <w:pPr>
      <w:pStyle w:val="HeaderFoot"/>
    </w:pPr>
    <w:r w:rsidRPr="005B787C">
      <w:t>23</w:t>
    </w:r>
    <w:r w:rsidR="00234FA7" w:rsidRPr="005B787C">
      <w:t xml:space="preserve"> </w:t>
    </w:r>
    <w:r w:rsidRPr="005B787C">
      <w:t>June</w:t>
    </w:r>
    <w:r w:rsidR="00234FA7" w:rsidRPr="005B787C">
      <w:t xml:space="preserve"> 202</w:t>
    </w:r>
    <w:bookmarkEnd w:id="4"/>
    <w:r w:rsidRPr="005B787C">
      <w:t>5</w:t>
    </w:r>
  </w:p>
  <w:bookmarkEnd w:id="5"/>
  <w:p w14:paraId="4661A9E6" w14:textId="28D84C88" w:rsidR="00F107EF" w:rsidRPr="00F716D4" w:rsidRDefault="005B787C" w:rsidP="00C54034">
    <w:pPr>
      <w:pStyle w:val="HeaderFoot"/>
    </w:pPr>
    <w:r w:rsidRPr="005B787C">
      <w:t>ESMA12-2121844265-4923</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539" w:hanging="360"/>
      </w:pPr>
      <w:rPr>
        <w:rFonts w:cs="Times New Roman" w:hint="default"/>
        <w:b w:val="0"/>
      </w:rPr>
    </w:lvl>
    <w:lvl w:ilvl="1" w:tplc="BF0CD940">
      <w:start w:val="1"/>
      <w:numFmt w:val="lowerLetter"/>
      <w:lvlText w:val="%2."/>
      <w:lvlJc w:val="left"/>
      <w:pPr>
        <w:ind w:left="1259" w:hanging="360"/>
      </w:pPr>
      <w:rPr>
        <w:rFonts w:cs="Times New Roman"/>
        <w:b w:val="0"/>
      </w:rPr>
    </w:lvl>
    <w:lvl w:ilvl="2" w:tplc="040C001B">
      <w:start w:val="1"/>
      <w:numFmt w:val="lowerRoman"/>
      <w:lvlText w:val="%3."/>
      <w:lvlJc w:val="right"/>
      <w:pPr>
        <w:ind w:left="1979" w:hanging="180"/>
      </w:pPr>
      <w:rPr>
        <w:rFonts w:cs="Times New Roman"/>
      </w:rPr>
    </w:lvl>
    <w:lvl w:ilvl="3" w:tplc="040C000F">
      <w:start w:val="1"/>
      <w:numFmt w:val="decimal"/>
      <w:lvlText w:val="%4."/>
      <w:lvlJc w:val="left"/>
      <w:pPr>
        <w:ind w:left="2699" w:hanging="360"/>
      </w:pPr>
      <w:rPr>
        <w:rFonts w:cs="Times New Roman"/>
      </w:rPr>
    </w:lvl>
    <w:lvl w:ilvl="4" w:tplc="040C0019" w:tentative="1">
      <w:start w:val="1"/>
      <w:numFmt w:val="lowerLetter"/>
      <w:lvlText w:val="%5."/>
      <w:lvlJc w:val="left"/>
      <w:pPr>
        <w:ind w:left="3419" w:hanging="360"/>
      </w:pPr>
      <w:rPr>
        <w:rFonts w:cs="Times New Roman"/>
      </w:rPr>
    </w:lvl>
    <w:lvl w:ilvl="5" w:tplc="040C001B" w:tentative="1">
      <w:start w:val="1"/>
      <w:numFmt w:val="lowerRoman"/>
      <w:lvlText w:val="%6."/>
      <w:lvlJc w:val="right"/>
      <w:pPr>
        <w:ind w:left="4139" w:hanging="180"/>
      </w:pPr>
      <w:rPr>
        <w:rFonts w:cs="Times New Roman"/>
      </w:rPr>
    </w:lvl>
    <w:lvl w:ilvl="6" w:tplc="040C000F" w:tentative="1">
      <w:start w:val="1"/>
      <w:numFmt w:val="decimal"/>
      <w:lvlText w:val="%7."/>
      <w:lvlJc w:val="left"/>
      <w:pPr>
        <w:ind w:left="4859" w:hanging="360"/>
      </w:pPr>
      <w:rPr>
        <w:rFonts w:cs="Times New Roman"/>
      </w:rPr>
    </w:lvl>
    <w:lvl w:ilvl="7" w:tplc="040C0019" w:tentative="1">
      <w:start w:val="1"/>
      <w:numFmt w:val="lowerLetter"/>
      <w:lvlText w:val="%8."/>
      <w:lvlJc w:val="left"/>
      <w:pPr>
        <w:ind w:left="5579" w:hanging="360"/>
      </w:pPr>
      <w:rPr>
        <w:rFonts w:cs="Times New Roman"/>
      </w:rPr>
    </w:lvl>
    <w:lvl w:ilvl="8" w:tplc="040C001B" w:tentative="1">
      <w:start w:val="1"/>
      <w:numFmt w:val="lowerRoman"/>
      <w:lvlText w:val="%9."/>
      <w:lvlJc w:val="right"/>
      <w:pPr>
        <w:ind w:left="6299"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880315838">
    <w:abstractNumId w:val="10"/>
    <w:lvlOverride w:ilvl="0">
      <w:startOverride w:val="55"/>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I1J2+Btwvc3hJE75LR5HZoE9bHFdGxhyEEGvxio2tL23NFqaJ/nLPmW4a/CVmDtyMX/3+rQ8ld4vQidysYjbQ==" w:salt="ha3pYXu2LXh8Mup6zUPnC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1AB4"/>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0F7C6B"/>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1F88"/>
    <w:rsid w:val="00214FB4"/>
    <w:rsid w:val="00215940"/>
    <w:rsid w:val="00217C23"/>
    <w:rsid w:val="00220561"/>
    <w:rsid w:val="00220C59"/>
    <w:rsid w:val="00220CE4"/>
    <w:rsid w:val="00222D9B"/>
    <w:rsid w:val="00223788"/>
    <w:rsid w:val="00223D11"/>
    <w:rsid w:val="002242D3"/>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294"/>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0C90"/>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03C6"/>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254"/>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2D8C"/>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813"/>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6AAD"/>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87C"/>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3C20"/>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1955"/>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1D65"/>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35"/>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3DF"/>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48A7"/>
    <w:rsid w:val="00865B01"/>
    <w:rsid w:val="00866D7A"/>
    <w:rsid w:val="00866EE3"/>
    <w:rsid w:val="00871F04"/>
    <w:rsid w:val="008746C1"/>
    <w:rsid w:val="00880224"/>
    <w:rsid w:val="0088244C"/>
    <w:rsid w:val="008828E1"/>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76"/>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694"/>
    <w:rsid w:val="00983A3C"/>
    <w:rsid w:val="00983EFA"/>
    <w:rsid w:val="00984C15"/>
    <w:rsid w:val="00987829"/>
    <w:rsid w:val="00987F7A"/>
    <w:rsid w:val="00991276"/>
    <w:rsid w:val="009923E7"/>
    <w:rsid w:val="00992697"/>
    <w:rsid w:val="00992D4E"/>
    <w:rsid w:val="009934BB"/>
    <w:rsid w:val="00994621"/>
    <w:rsid w:val="009947FF"/>
    <w:rsid w:val="009949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08D9"/>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5B6"/>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62D2"/>
    <w:rsid w:val="00BF6D9E"/>
    <w:rsid w:val="00BF7004"/>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0DEC"/>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819"/>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CDF"/>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C7E46"/>
    <w:rsid w:val="00ED00A9"/>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CF0"/>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paragraph" w:customStyle="1" w:styleId="paragraph">
    <w:name w:val="paragraph"/>
    <w:basedOn w:val="Normal"/>
    <w:rsid w:val="003903C6"/>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3903C6"/>
  </w:style>
  <w:style w:type="character" w:customStyle="1" w:styleId="eop">
    <w:name w:val="eop"/>
    <w:basedOn w:val="DefaultParagraphFont"/>
    <w:rsid w:val="003903C6"/>
  </w:style>
  <w:style w:type="character" w:customStyle="1" w:styleId="wacimagecontainer">
    <w:name w:val="wacimagecontainer"/>
    <w:basedOn w:val="DefaultParagraphFont"/>
    <w:rsid w:val="00AE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453</Value>
      <Value>329</Value>
    </TaxCatchAll>
    <_dlc_DocId xmlns="d0fb0f98-34f9-4d57-9559-eb8efd17aa5e">ESMA12-2121844265-4923</_dlc_DocId>
    <_dlc_DocIdUrl xmlns="d0fb0f98-34f9-4d57-9559-eb8efd17aa5e">
      <Url>https://securitiesandmarketsauth.sharepoint.com/sites/sherpa-daru/_layouts/15/DocIdRedir.aspx?ID=ESMA12-2121844265-4923</Url>
      <Description>ESMA12-2121844265-4923</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adfed02cb80f4453940112edc610ae0b xmlns="d0fb0f98-34f9-4d57-9559-eb8efd17aa5e">
      <Terms xmlns="http://schemas.microsoft.com/office/infopath/2007/PartnerControls"/>
    </adfed02cb80f4453940112edc610ae0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5d5a600b8005f30a8a8a29493d1b2031">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defec576b76831d24a326a577fbeb0a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 ds:uri="6f12cd6b-8b2a-4dd7-980a-cc1ae6d63939"/>
    <ds:schemaRef ds:uri="d0fb0f98-34f9-4d57-9559-eb8efd17aa5e"/>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D20654FA-91A9-4EDE-BC1D-2B96B399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2153</Words>
  <Characters>12957</Characters>
  <Application>Microsoft Office Word</Application>
  <DocSecurity>8</DocSecurity>
  <Lines>392</Lines>
  <Paragraphs>236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14874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Elguea Palacios, Jesus</cp:lastModifiedBy>
  <cp:revision>5</cp:revision>
  <cp:lastPrinted>2015-02-18T11:01:00Z</cp:lastPrinted>
  <dcterms:created xsi:type="dcterms:W3CDTF">2025-09-18T14:38:00Z</dcterms:created>
  <dcterms:modified xsi:type="dcterms:W3CDTF">2025-09-18T14:45:00Z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5317bb68-5205-45f3-bb3e-813703557fbc</vt:lpwstr>
  </property>
  <property fmtid="{D5CDD505-2E9C-101B-9397-08002B2CF9AE}" pid="4" name="TeamName">
    <vt:lpwstr>8</vt:lpwstr>
  </property>
  <property fmtid="{D5CDD505-2E9C-101B-9397-08002B2CF9AE}" pid="5" name="Topic">
    <vt:lpwstr>453;#TAs ITSs RTSs: new and amendments|cb937b6c-0f1a-40e7-ab35-3044279ac8a7</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SIP_Label_05ae7051-b702-462d-8e81-9ac0b6085f00_Removed">
    <vt:lpwstr>False</vt:lpwstr>
  </property>
  <property fmtid="{D5CDD505-2E9C-101B-9397-08002B2CF9AE}" pid="19" name="MSIP_Label_05ae7051-b702-462d-8e81-9ac0b6085f00_ActionId">
    <vt:lpwstr>01976eee-666a-4d1c-add0-88d1179436db</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2025-06-23T09:08:53Z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EsmaAudience">
    <vt:lpwstr/>
  </property>
  <property fmtid="{D5CDD505-2E9C-101B-9397-08002B2CF9AE}" pid="25" name="MultiTopic">
    <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