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bookmarkStart w:id="0" w:name="OLE_LINK1"/>
          <w:r w:rsidRPr="00A409C2">
            <w:rPr>
              <w:rFonts w:eastAsiaTheme="minorEastAsia" w:cstheme="minorBidi"/>
              <w:sz w:val="18"/>
              <w:szCs w:val="16"/>
              <w:lang w:eastAsia="en-US"/>
            </w:rPr>
            <w:t>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w:t>
          </w:r>
          <w:bookmarkEnd w:id="0"/>
          <w:r w:rsidRPr="00A409C2">
            <w:rPr>
              <w:rFonts w:eastAsiaTheme="minorEastAsia" w:cstheme="minorBidi"/>
              <w:sz w:val="18"/>
              <w:szCs w:val="16"/>
              <w:lang w:eastAsia="en-US"/>
            </w:rPr>
            <w:t>.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1"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30B7EE74" w:rsidR="00C85C8B" w:rsidRPr="00B16706" w:rsidRDefault="003B3265" w:rsidP="00C85C8B">
                <w:pPr>
                  <w:rPr>
                    <w:rFonts w:ascii="Arial" w:hAnsi="Arial" w:cs="Arial"/>
                    <w:color w:val="808080"/>
                    <w:sz w:val="16"/>
                    <w:szCs w:val="20"/>
                    <w:lang w:eastAsia="de-DE"/>
                  </w:rPr>
                </w:pPr>
                <w:r>
                  <w:rPr>
                    <w:rFonts w:ascii="Arial" w:eastAsia="SimHei" w:hAnsi="Arial" w:cs="Arial" w:hint="eastAsia"/>
                    <w:color w:val="808080"/>
                    <w:sz w:val="16"/>
                    <w:szCs w:val="20"/>
                    <w:lang w:eastAsia="zh-CN"/>
                  </w:rPr>
                  <w:t>International Capital Market Association (ICMA)</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6AF1D57A" w:rsidR="00C85C8B" w:rsidRPr="00B16706" w:rsidRDefault="00EF24C3"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56FDA">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3A3162B2" w:rsidR="00C85C8B" w:rsidRPr="00B16706" w:rsidRDefault="00056FD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4FF2B657" w:rsidR="00C85C8B" w:rsidRPr="00B16706" w:rsidRDefault="00056FDA"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1"/>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0DFAFBE3" w14:textId="0A0A073B" w:rsidR="00767BE5" w:rsidRDefault="007435CA" w:rsidP="00926BDA">
      <w:pPr>
        <w:rPr>
          <w:rFonts w:eastAsia="SimHei"/>
          <w:lang w:eastAsia="zh-CN"/>
        </w:rPr>
      </w:pPr>
      <w:permStart w:id="785210304" w:edGrp="everyone"/>
      <w:r>
        <w:rPr>
          <w:rFonts w:eastAsia="SimHei" w:hint="eastAsia"/>
          <w:lang w:eastAsia="zh-CN"/>
        </w:rPr>
        <w:t xml:space="preserve">Please </w:t>
      </w:r>
      <w:r w:rsidR="00B85ECC">
        <w:rPr>
          <w:rFonts w:eastAsia="SimHei" w:hint="eastAsia"/>
          <w:lang w:eastAsia="zh-CN"/>
        </w:rPr>
        <w:t>see</w:t>
      </w:r>
      <w:r w:rsidR="00FF6160">
        <w:rPr>
          <w:rFonts w:eastAsia="SimHei"/>
          <w:lang w:eastAsia="zh-CN"/>
        </w:rPr>
        <w:t xml:space="preserve"> the</w:t>
      </w:r>
      <w:r w:rsidR="00B85ECC">
        <w:rPr>
          <w:rFonts w:eastAsia="SimHei" w:hint="eastAsia"/>
          <w:lang w:eastAsia="zh-CN"/>
        </w:rPr>
        <w:t xml:space="preserve"> </w:t>
      </w:r>
      <w:r w:rsidR="00511A2C">
        <w:rPr>
          <w:rFonts w:eastAsia="SimHei"/>
          <w:lang w:eastAsia="zh-CN"/>
        </w:rPr>
        <w:t>‘</w:t>
      </w:r>
      <w:r w:rsidR="00511A2C">
        <w:rPr>
          <w:rFonts w:eastAsia="SimHei" w:hint="eastAsia"/>
          <w:lang w:eastAsia="zh-CN"/>
        </w:rPr>
        <w:t>General Comments</w:t>
      </w:r>
      <w:r w:rsidR="00511A2C">
        <w:rPr>
          <w:rFonts w:eastAsia="SimHei"/>
          <w:lang w:eastAsia="zh-CN"/>
        </w:rPr>
        <w:t>’</w:t>
      </w:r>
      <w:r w:rsidR="00FF6160">
        <w:rPr>
          <w:rFonts w:eastAsia="SimHei"/>
          <w:lang w:eastAsia="zh-CN"/>
        </w:rPr>
        <w:t xml:space="preserve"> document in Annex</w:t>
      </w:r>
      <w:r w:rsidR="00511A2C">
        <w:rPr>
          <w:rFonts w:eastAsia="SimHei" w:hint="eastAsia"/>
          <w:lang w:eastAsia="zh-CN"/>
        </w:rPr>
        <w:t xml:space="preserve"> </w:t>
      </w:r>
      <w:r w:rsidR="00767BE5">
        <w:rPr>
          <w:rFonts w:eastAsia="SimHei" w:hint="eastAsia"/>
          <w:lang w:eastAsia="zh-CN"/>
        </w:rPr>
        <w:t>for</w:t>
      </w:r>
      <w:r w:rsidR="00FF6160">
        <w:rPr>
          <w:rFonts w:eastAsia="SimHei"/>
          <w:lang w:eastAsia="zh-CN"/>
        </w:rPr>
        <w:t xml:space="preserve"> ICMA’s overarching comments on the consultation. These should be considered alongside the following responses to the individual consultation questions.</w:t>
      </w:r>
      <w:r w:rsidR="00767BE5">
        <w:rPr>
          <w:rFonts w:eastAsia="SimHei" w:hint="eastAsia"/>
          <w:lang w:eastAsia="zh-CN"/>
        </w:rPr>
        <w:t xml:space="preserve"> </w:t>
      </w:r>
    </w:p>
    <w:p w14:paraId="6F83BC88" w14:textId="77777777" w:rsidR="00136DF3" w:rsidRDefault="00136DF3" w:rsidP="00EE6E22">
      <w:pPr>
        <w:rPr>
          <w:rFonts w:eastAsia="SimHei"/>
          <w:lang w:eastAsia="zh-CN"/>
        </w:rPr>
      </w:pPr>
    </w:p>
    <w:p w14:paraId="260AE302" w14:textId="72A1F0CE" w:rsidR="00FF6160" w:rsidRDefault="00FF6160" w:rsidP="00EE6E22">
      <w:pPr>
        <w:rPr>
          <w:rFonts w:eastAsia="SimHei"/>
          <w:lang w:eastAsia="zh-CN"/>
        </w:rPr>
      </w:pPr>
      <w:r>
        <w:rPr>
          <w:rFonts w:eastAsia="SimHei"/>
          <w:lang w:eastAsia="zh-CN"/>
        </w:rPr>
        <w:t>ICMA response to Q1:</w:t>
      </w:r>
    </w:p>
    <w:p w14:paraId="2301BA2F" w14:textId="2FA1DC0D" w:rsidR="00EE6E22" w:rsidRDefault="00EE6E22" w:rsidP="00EE6E22">
      <w:r>
        <w:t>Of the key challenges outlined in the consultation paper, we would agree with most of the challenges set out in the paper. However, from the perspective of the SFTR reporting community, we would repeat that there is more scope for simplification and burden reduction within each regulation than between them.</w:t>
      </w:r>
    </w:p>
    <w:p w14:paraId="14506D07" w14:textId="77777777" w:rsidR="00EE6E22" w:rsidRDefault="00EE6E22" w:rsidP="00EE6E22"/>
    <w:p w14:paraId="6C7351C0" w14:textId="77777777" w:rsidR="00EE6E22" w:rsidRDefault="00EE6E22" w:rsidP="00EE6E22">
      <w:r>
        <w:t>In addition, we would add that most of our Taskforce members are global operations, and a major concern is the lack of alignment between the national reporting standards (one of the four key principles of this consultation), despite co-ordination in forums such as the FSB. Lack of consistency between national requirements undermines the ability of regulators to understand cross-border flows and fragments firms reporting operations, adding to the cost of reporting. Jurisdictions offering simpler, more targeted reporting requirements (such as the OFR’s SFT-2 regime in the US) help to make themselves a more attractive business location.</w:t>
      </w:r>
    </w:p>
    <w:p w14:paraId="602B037B" w14:textId="77777777" w:rsidR="00EE6E22" w:rsidRPr="00A82429" w:rsidRDefault="00EE6E22" w:rsidP="00EE6E22">
      <w:pPr>
        <w:rPr>
          <w:rFonts w:eastAsia="SimHei"/>
          <w:lang w:eastAsia="zh-CN"/>
        </w:rPr>
      </w:pPr>
    </w:p>
    <w:p w14:paraId="6D315CE6" w14:textId="77777777" w:rsidR="00EE6E22" w:rsidRDefault="00EE6E22" w:rsidP="00EE6E22">
      <w:r>
        <w:t>The most significant cost drivers in the view of the member firms of ICMA’s SFTR Taskforce are:</w:t>
      </w:r>
    </w:p>
    <w:p w14:paraId="19C5CDE1" w14:textId="77777777" w:rsidR="00EE6E22" w:rsidRDefault="00EE6E22" w:rsidP="00EE6E22">
      <w:r>
        <w:t>•</w:t>
      </w:r>
      <w:r>
        <w:tab/>
        <w:t>Dual-sided reporting and reconciliation.</w:t>
      </w:r>
    </w:p>
    <w:p w14:paraId="547800FC" w14:textId="77777777" w:rsidR="00EE6E22" w:rsidRDefault="00EE6E22" w:rsidP="00EE6E22">
      <w:r>
        <w:t>•</w:t>
      </w:r>
      <w:r>
        <w:tab/>
        <w:t>The degree of interpretation required to populate reports, due to the inadequate nature of the data field definitions and guidance (see the attached ICMA Review), which compels firms to seek expert advice – increased staffing and consultancy costs. Taskforce members noted the plethora of guidance in the form of RTS, ITS, Guidelines, Final Reports and Q&amp;A, and the need for the industry to nevertheless develop its own 345-page set of recommendations for repo and another sizeable set for securities lending.</w:t>
      </w:r>
    </w:p>
    <w:p w14:paraId="1ACAB1FE" w14:textId="77777777" w:rsidR="00EE6E22" w:rsidRDefault="00EE6E22" w:rsidP="00EE6E22">
      <w:r>
        <w:t>•</w:t>
      </w:r>
      <w:r>
        <w:tab/>
        <w:t>The need to maintain historic data models to answer queries made after changes to the reporting requirements. This will become acute after major structural changes of the sort being explored in this consultation.</w:t>
      </w:r>
    </w:p>
    <w:p w14:paraId="6D1B2D12" w14:textId="77777777" w:rsidR="00EE6E22" w:rsidRDefault="00EE6E22" w:rsidP="00EE6E22">
      <w:r>
        <w:t>•</w:t>
      </w:r>
      <w:r>
        <w:tab/>
        <w:t>The need to make full reports for modifications and corrections, rather than delta reports.</w:t>
      </w:r>
    </w:p>
    <w:p w14:paraId="469CF689" w14:textId="77777777" w:rsidR="00EE6E22" w:rsidRDefault="00EE6E22" w:rsidP="00EE6E22">
      <w:r>
        <w:lastRenderedPageBreak/>
        <w:t>•</w:t>
      </w:r>
      <w:r>
        <w:tab/>
        <w:t xml:space="preserve">The inability to make back-dated reports more than 24 hours after an event. This and the lack of official guidance has consumed a huge amount of operational resource in reporting firms and has undoubtedly degraded data quality. </w:t>
      </w:r>
    </w:p>
    <w:p w14:paraId="0EAACE4C" w14:textId="77777777" w:rsidR="00EE6E22" w:rsidRDefault="00EE6E22" w:rsidP="00EE6E22"/>
    <w:p w14:paraId="49B8FBFF" w14:textId="77777777" w:rsidR="00EE6E22" w:rsidRDefault="00EE6E22" w:rsidP="00EE6E22">
      <w:r>
        <w:t xml:space="preserve">More specifically, on the drivers listed by ESMA in the paper, we would note: </w:t>
      </w:r>
    </w:p>
    <w:p w14:paraId="58A83CED" w14:textId="77777777" w:rsidR="00EE6E22" w:rsidRDefault="00EE6E22" w:rsidP="00EE6E22"/>
    <w:p w14:paraId="49364164" w14:textId="77777777" w:rsidR="00EE6E22" w:rsidRPr="005B14D5" w:rsidRDefault="00EE6E22" w:rsidP="00EE6E22">
      <w:pPr>
        <w:rPr>
          <w:b/>
          <w:bCs/>
        </w:rPr>
      </w:pPr>
      <w:r>
        <w:t>1.1</w:t>
      </w:r>
      <w:r>
        <w:tab/>
      </w:r>
      <w:r w:rsidRPr="005B14D5">
        <w:rPr>
          <w:b/>
          <w:bCs/>
        </w:rPr>
        <w:t xml:space="preserve">Frequent regulatory changes and lack of flexibility to enable a phased implementation, synchronisation and coordination of the changes in the different reporting regimes. </w:t>
      </w:r>
    </w:p>
    <w:p w14:paraId="41776561" w14:textId="77777777" w:rsidR="00EE6E22" w:rsidRDefault="00EE6E22" w:rsidP="00EE6E22">
      <w:r>
        <w:t>•</w:t>
      </w:r>
      <w:r>
        <w:tab/>
      </w:r>
      <w:r w:rsidRPr="00AA4ECB">
        <w:rPr>
          <w:b/>
          <w:bCs/>
        </w:rPr>
        <w:t>Frequent changes should certainly be avoided</w:t>
      </w:r>
      <w:r>
        <w:t xml:space="preserve">. Major exercises such as Refits of the reporting regulations need to be sequenced to avoid overstretching reporting resources in firms. ESMA needs to share information on likely medium-term changes (in the spirit of this consultation) and their approximate scheduling, to improve firms’ ability to </w:t>
      </w:r>
      <w:proofErr w:type="gramStart"/>
      <w:r>
        <w:t>plan ahead</w:t>
      </w:r>
      <w:proofErr w:type="gramEnd"/>
      <w:r>
        <w:t xml:space="preserve">. This is not a request for precise information but for some indication of when extra resources will likely need to be mobilised. ESMA will have medium-term plans. The industry should be given some insight, however qualified by uncertainty. </w:t>
      </w:r>
      <w:r w:rsidRPr="00AA4ECB">
        <w:rPr>
          <w:b/>
          <w:bCs/>
        </w:rPr>
        <w:t>Short implementation lead-times</w:t>
      </w:r>
      <w:r>
        <w:t xml:space="preserve"> are a major problem not identified in the review. Firms need to be helped to plan for future changes by being given lead-times that fit their annual budgetary cycles. Rather than a fixed period after publication of the Level 1 or 2 regulations, the deadline should be fixed with reference to Level 3 documents, which are essential for implementation. </w:t>
      </w:r>
    </w:p>
    <w:p w14:paraId="1C792217" w14:textId="77777777" w:rsidR="00EE6E22" w:rsidRDefault="00EE6E22" w:rsidP="00EE6E22">
      <w:r>
        <w:t>•</w:t>
      </w:r>
      <w:r>
        <w:tab/>
        <w:t>In SFTR, rule changes should be accompanied by</w:t>
      </w:r>
      <w:r w:rsidRPr="00AA4ECB">
        <w:rPr>
          <w:b/>
          <w:bCs/>
        </w:rPr>
        <w:t xml:space="preserve"> XML schema changes</w:t>
      </w:r>
      <w:r>
        <w:t>. An example of the failure to do this was option to separate loan and collateral reporting in CORR reports.</w:t>
      </w:r>
    </w:p>
    <w:p w14:paraId="6E1D9CC0" w14:textId="77777777" w:rsidR="00EE6E22" w:rsidRDefault="00EE6E22" w:rsidP="00EE6E22">
      <w:r>
        <w:t>•</w:t>
      </w:r>
      <w:r>
        <w:tab/>
        <w:t xml:space="preserve">ESMA assumes that a structural review is likely to lead to less frequent change. However, this may not be the case especially under Option 2. Currently, changes to each reporting regime are handled separately. If all regimes are merged into a single unified template, a modification in one regime would trigger changes across the entire framework, potentially increasing the frequency and complexity of updates. </w:t>
      </w:r>
    </w:p>
    <w:p w14:paraId="01136E23" w14:textId="77777777" w:rsidR="00EE6E22" w:rsidRDefault="00EE6E22" w:rsidP="00EE6E22"/>
    <w:p w14:paraId="6174D5E8" w14:textId="77777777" w:rsidR="00EE6E22" w:rsidRPr="005B14D5" w:rsidRDefault="00EE6E22" w:rsidP="00EE6E22">
      <w:pPr>
        <w:rPr>
          <w:b/>
          <w:bCs/>
        </w:rPr>
      </w:pPr>
      <w:r>
        <w:t>1.2</w:t>
      </w:r>
      <w:r>
        <w:tab/>
      </w:r>
      <w:r w:rsidRPr="005B14D5">
        <w:rPr>
          <w:b/>
          <w:bCs/>
        </w:rPr>
        <w:t xml:space="preserve">Duplicative reporting of the same derivative instruments under </w:t>
      </w:r>
      <w:proofErr w:type="spellStart"/>
      <w:r w:rsidRPr="005B14D5">
        <w:rPr>
          <w:b/>
          <w:bCs/>
        </w:rPr>
        <w:t>MiFIR</w:t>
      </w:r>
      <w:proofErr w:type="spellEnd"/>
      <w:r w:rsidRPr="005B14D5">
        <w:rPr>
          <w:b/>
          <w:bCs/>
        </w:rPr>
        <w:t>, EMIR, and REMIT</w:t>
      </w:r>
    </w:p>
    <w:p w14:paraId="5A3F1107" w14:textId="77777777" w:rsidR="00EE6E22" w:rsidRDefault="00EE6E22" w:rsidP="00EE6E22">
      <w:r>
        <w:t>•</w:t>
      </w:r>
      <w:r>
        <w:tab/>
        <w:t xml:space="preserve">We reiterate our request to consistently remove all SFTs from the scope of </w:t>
      </w:r>
      <w:proofErr w:type="spellStart"/>
      <w:r>
        <w:t>MiFIR</w:t>
      </w:r>
      <w:proofErr w:type="spellEnd"/>
      <w:r>
        <w:t xml:space="preserve"> transaction reporting (see our response to Q3 for details). </w:t>
      </w:r>
    </w:p>
    <w:p w14:paraId="407D267D" w14:textId="77777777" w:rsidR="00EE6E22" w:rsidRDefault="00EE6E22" w:rsidP="00EE6E22"/>
    <w:p w14:paraId="1C3A674C" w14:textId="77777777" w:rsidR="00EE6E22" w:rsidRDefault="00EE6E22" w:rsidP="00EE6E22">
      <w:r>
        <w:t xml:space="preserve">1.3 </w:t>
      </w:r>
      <w:r w:rsidRPr="00AA4ECB">
        <w:rPr>
          <w:b/>
          <w:bCs/>
        </w:rPr>
        <w:t xml:space="preserve">Different terminology and definitions within different reporting regimes </w:t>
      </w:r>
    </w:p>
    <w:p w14:paraId="079998F1" w14:textId="77777777" w:rsidR="00EE6E22" w:rsidRDefault="00EE6E22" w:rsidP="00EE6E22">
      <w:r>
        <w:t>•</w:t>
      </w:r>
      <w:r>
        <w:tab/>
        <w:t xml:space="preserve">Different terminology and definitions are indeed an unnecessary problem and should be avoided. </w:t>
      </w:r>
    </w:p>
    <w:p w14:paraId="2A8D1039" w14:textId="77777777" w:rsidR="00EE6E22" w:rsidRDefault="00EE6E22" w:rsidP="00EE6E22">
      <w:r>
        <w:t>•</w:t>
      </w:r>
      <w:r>
        <w:tab/>
        <w:t xml:space="preserve">However, the bigger problem is fields which: do not reflect the reality of markets (making reporting impossible and/or meaningless); are redundant and dysfunctional data fields; are based on poor or inaccurate definitions; and are unclear or lack reporting guidance. These problems are listed and described in the attached ICMA review. </w:t>
      </w:r>
    </w:p>
    <w:p w14:paraId="00B416CE" w14:textId="77777777" w:rsidR="00EE6E22" w:rsidRDefault="00EE6E22" w:rsidP="00EE6E22"/>
    <w:p w14:paraId="17DB83E0" w14:textId="77777777" w:rsidR="00EE6E22" w:rsidRPr="00AA4ECB" w:rsidRDefault="00EE6E22" w:rsidP="00EE6E22">
      <w:pPr>
        <w:rPr>
          <w:b/>
          <w:bCs/>
        </w:rPr>
      </w:pPr>
      <w:r>
        <w:t>1.4</w:t>
      </w:r>
      <w:r>
        <w:tab/>
      </w:r>
      <w:r w:rsidRPr="00AA4ECB">
        <w:rPr>
          <w:b/>
          <w:bCs/>
        </w:rPr>
        <w:t xml:space="preserve">Requirements to report both transaction-level and position-level data under EMIR, SFTR, and </w:t>
      </w:r>
      <w:proofErr w:type="spellStart"/>
      <w:r w:rsidRPr="00AA4ECB">
        <w:rPr>
          <w:b/>
          <w:bCs/>
        </w:rPr>
        <w:t>MiFIR</w:t>
      </w:r>
      <w:proofErr w:type="spellEnd"/>
      <w:r w:rsidRPr="00AA4ECB">
        <w:rPr>
          <w:b/>
          <w:bCs/>
        </w:rPr>
        <w:t xml:space="preserve"> commodities position reporting. </w:t>
      </w:r>
    </w:p>
    <w:p w14:paraId="5B5EF434" w14:textId="77777777" w:rsidR="00EE6E22" w:rsidRDefault="00EE6E22" w:rsidP="00EE6E22">
      <w:r>
        <w:t>•</w:t>
      </w:r>
      <w:r>
        <w:tab/>
        <w:t xml:space="preserve">Following clarification by ESMA that “transaction-level” reporting means Trade Activity Reports and “position-level” reporting means Trade State Reports, we would </w:t>
      </w:r>
      <w:r>
        <w:lastRenderedPageBreak/>
        <w:t xml:space="preserve">strongly support a move to position-level </w:t>
      </w:r>
      <w:proofErr w:type="gramStart"/>
      <w:r>
        <w:t>reporting ,</w:t>
      </w:r>
      <w:proofErr w:type="gramEnd"/>
      <w:r>
        <w:t xml:space="preserve"> which would greatly simplify daily reporting requirements and reduce the reporting burden. It would not reduce the regulatory value of SFTR data for the monitoring of systemic risk and market behaviour, as this is based on Trade State Reports. However, it would require the removal of the obstacles to back-dated reporting to change Trade State Reports as described in the General Comments.</w:t>
      </w:r>
    </w:p>
    <w:p w14:paraId="64CB4D56" w14:textId="77777777" w:rsidR="00EE6E22" w:rsidRDefault="00EE6E22" w:rsidP="00EE6E22"/>
    <w:p w14:paraId="6662C7B0" w14:textId="77777777" w:rsidR="00EE6E22" w:rsidRDefault="00EE6E22" w:rsidP="00EE6E22">
      <w:r>
        <w:t>1.5</w:t>
      </w:r>
      <w:r>
        <w:tab/>
      </w:r>
      <w:r w:rsidRPr="00AA4ECB">
        <w:rPr>
          <w:b/>
          <w:bCs/>
        </w:rPr>
        <w:t xml:space="preserve">Dual-sided reporting obligation under EMIR and SFTR </w:t>
      </w:r>
    </w:p>
    <w:p w14:paraId="769396E8" w14:textId="77777777" w:rsidR="00EE6E22" w:rsidRDefault="00EE6E22" w:rsidP="00EE6E22">
      <w:r>
        <w:t>As noted in the General Comments, dual-sided reporting and reconciliation under SFTR have proven to be one of the most operationally burdensome aspects of the regime and there is no evidence that they have materially improved data quality. If dual-sided reporting requirements were removed, it would be essential to clearly define which counterparty is responsible for reporting (</w:t>
      </w:r>
      <w:proofErr w:type="spellStart"/>
      <w:r>
        <w:t>eg</w:t>
      </w:r>
      <w:proofErr w:type="spellEnd"/>
      <w:r>
        <w:t xml:space="preserve"> collateral-giver). Mandatory delegation to one of the parties to report for both would add to the overall burden of reporting, as both sides would still have to agree the contents of the report. The need for dual-sided reporting and reconciliation of most transactions would be automatically and instantly removed by moving to reporting by FMIs (see the answer to Q2).</w:t>
      </w:r>
    </w:p>
    <w:p w14:paraId="171138AC" w14:textId="77777777" w:rsidR="00EE6E22" w:rsidRDefault="00EE6E22" w:rsidP="00EE6E22"/>
    <w:p w14:paraId="0AB7D1AA" w14:textId="77777777" w:rsidR="00EE6E22" w:rsidRPr="00AA4ECB" w:rsidRDefault="00EE6E22" w:rsidP="00EE6E22">
      <w:pPr>
        <w:rPr>
          <w:b/>
          <w:bCs/>
        </w:rPr>
      </w:pPr>
      <w:r>
        <w:t>1.6</w:t>
      </w:r>
      <w:r>
        <w:tab/>
      </w:r>
      <w:r w:rsidRPr="00AA4ECB">
        <w:rPr>
          <w:b/>
          <w:bCs/>
        </w:rPr>
        <w:t>Intragroup derivative reporting</w:t>
      </w:r>
    </w:p>
    <w:p w14:paraId="48F31C8E" w14:textId="77777777" w:rsidR="00EE6E22" w:rsidRDefault="00EE6E22" w:rsidP="00EE6E22">
      <w:r>
        <w:t>•</w:t>
      </w:r>
      <w:r>
        <w:tab/>
        <w:t>Not relevant to SFTR.</w:t>
      </w:r>
    </w:p>
    <w:p w14:paraId="319B5D76" w14:textId="77777777" w:rsidR="00EE6E22" w:rsidRDefault="00EE6E22" w:rsidP="00EE6E22"/>
    <w:p w14:paraId="305D4498" w14:textId="77777777" w:rsidR="00EE6E22" w:rsidRDefault="00EE6E22" w:rsidP="00EE6E22">
      <w:r>
        <w:t>1.7</w:t>
      </w:r>
      <w:r>
        <w:tab/>
      </w:r>
      <w:r w:rsidRPr="00AA4ECB">
        <w:rPr>
          <w:b/>
          <w:bCs/>
        </w:rPr>
        <w:t>Reference data reporting duplications</w:t>
      </w:r>
      <w:r>
        <w:tab/>
      </w:r>
    </w:p>
    <w:p w14:paraId="051D5510" w14:textId="77777777" w:rsidR="00EE6E22" w:rsidRDefault="00EE6E22" w:rsidP="00EE6E22">
      <w:r>
        <w:t>•</w:t>
      </w:r>
      <w:r>
        <w:tab/>
        <w:t>Not relevant to SFTR.</w:t>
      </w:r>
    </w:p>
    <w:p w14:paraId="5154F21F" w14:textId="77777777" w:rsidR="00EE6E22" w:rsidRDefault="00EE6E22" w:rsidP="00EE6E22"/>
    <w:p w14:paraId="42D968A7" w14:textId="77777777" w:rsidR="00EE6E22" w:rsidRDefault="00EE6E22" w:rsidP="00EE6E22">
      <w:r>
        <w:t xml:space="preserve">1.8 </w:t>
      </w:r>
      <w:r>
        <w:tab/>
      </w:r>
      <w:r w:rsidRPr="00AA4ECB">
        <w:rPr>
          <w:b/>
          <w:bCs/>
        </w:rPr>
        <w:t xml:space="preserve">Different reporting channels across </w:t>
      </w:r>
      <w:proofErr w:type="spellStart"/>
      <w:r w:rsidRPr="00AA4ECB">
        <w:rPr>
          <w:b/>
          <w:bCs/>
        </w:rPr>
        <w:t>MiFIR</w:t>
      </w:r>
      <w:proofErr w:type="spellEnd"/>
      <w:r w:rsidRPr="00AA4ECB">
        <w:rPr>
          <w:b/>
          <w:bCs/>
        </w:rPr>
        <w:t xml:space="preserve">, EMIR, SFTR, and REMIT. </w:t>
      </w:r>
    </w:p>
    <w:p w14:paraId="29909CE5" w14:textId="77777777" w:rsidR="00EE6E22" w:rsidRDefault="00EE6E22" w:rsidP="00EE6E22">
      <w:r>
        <w:t>•</w:t>
      </w:r>
      <w:r>
        <w:tab/>
        <w:t>From an SFTR perspective, the current reporting channel setup works well and should not be changed. If there is a need for alignment across regulations, it would seem more sensible to bring other regulations into line with the SFTR setup.</w:t>
      </w:r>
    </w:p>
    <w:p w14:paraId="2BDFC8F2" w14:textId="77777777" w:rsidR="00EE6E22" w:rsidRDefault="00EE6E22" w:rsidP="00EE6E22">
      <w:r>
        <w:t xml:space="preserve"> </w:t>
      </w:r>
    </w:p>
    <w:p w14:paraId="432CB7E4" w14:textId="77777777" w:rsidR="00EE6E22" w:rsidRDefault="00EE6E22" w:rsidP="00EE6E22">
      <w:r>
        <w:t>1.9</w:t>
      </w:r>
      <w:r>
        <w:tab/>
      </w:r>
      <w:r w:rsidRPr="00AA4ECB">
        <w:rPr>
          <w:b/>
          <w:bCs/>
        </w:rPr>
        <w:t xml:space="preserve">Duplication of IT systems and processes </w:t>
      </w:r>
    </w:p>
    <w:p w14:paraId="259786B6" w14:textId="77777777" w:rsidR="00EE6E22" w:rsidRDefault="00EE6E22" w:rsidP="00EE6E22">
      <w:r>
        <w:t>•</w:t>
      </w:r>
      <w:r>
        <w:tab/>
        <w:t>Firms tend not to duplicate internal systems to feed different reporting regulations, given that reporting regulations are --- like internal systems --- currently largely delineated by type of instrument. Duplication of IT systems and processes was not identified as a major concern by the Taskforce on the basis that the fundamental differences between SFTs and derivatives means that separate systems are natural.</w:t>
      </w:r>
    </w:p>
    <w:p w14:paraId="118F100F" w14:textId="74728EB5" w:rsidR="00926BDA" w:rsidRPr="005F1614" w:rsidRDefault="00EE6E22" w:rsidP="00EE6E22">
      <w:pPr>
        <w:rPr>
          <w:rFonts w:eastAsia="SimHei"/>
          <w:lang w:eastAsia="zh-CN"/>
        </w:rPr>
      </w:pPr>
      <w:r>
        <w:t>•</w:t>
      </w:r>
      <w:r>
        <w:tab/>
        <w:t xml:space="preserve">If reporting regulations were combined, this would not change the internal organisation of data and systems in firms, but it would require changes to combine reporting streams. </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4446437A" w14:textId="77777777" w:rsidR="00A810AD" w:rsidRPr="00A810AD" w:rsidRDefault="00A810AD" w:rsidP="001E42C2">
      <w:pPr>
        <w:numPr>
          <w:ilvl w:val="0"/>
          <w:numId w:val="37"/>
        </w:numPr>
        <w:spacing w:after="120"/>
        <w:ind w:left="357" w:hanging="357"/>
      </w:pPr>
      <w:permStart w:id="545925079" w:edGrp="everyone"/>
      <w:r w:rsidRPr="00A810AD">
        <w:t xml:space="preserve">The </w:t>
      </w:r>
      <w:r w:rsidRPr="00A810AD">
        <w:rPr>
          <w:b/>
          <w:bCs/>
        </w:rPr>
        <w:t>principle of preserving information scope</w:t>
      </w:r>
      <w:r w:rsidRPr="00A810AD">
        <w:t xml:space="preserve"> should be subject to the proviso that “Gaps should be assessed and addressed, based on actual use of data (i.e. data that is costly to produce and not used should not be collected).” (footnote 29). There is relatively </w:t>
      </w:r>
      <w:r w:rsidRPr="00A810AD">
        <w:lastRenderedPageBreak/>
        <w:t>little (public) evidence of SFTR data usage by the authorities in general and there is strong evidence that some fields do not provide meaningful information (see the ICMA review). These should be removed.</w:t>
      </w:r>
    </w:p>
    <w:p w14:paraId="56976C0C" w14:textId="77777777" w:rsidR="00A810AD" w:rsidRPr="00A810AD" w:rsidRDefault="00A810AD" w:rsidP="001E42C2">
      <w:pPr>
        <w:numPr>
          <w:ilvl w:val="0"/>
          <w:numId w:val="37"/>
        </w:numPr>
        <w:spacing w:after="120"/>
        <w:ind w:left="357" w:hanging="357"/>
        <w:rPr>
          <w:lang w:val="en-US"/>
        </w:rPr>
      </w:pPr>
      <w:r w:rsidRPr="00A810AD">
        <w:rPr>
          <w:b/>
          <w:bCs/>
          <w:lang w:val="en-US"/>
        </w:rPr>
        <w:t>Decreasing overlaps to reduce the reporting burden</w:t>
      </w:r>
      <w:r w:rsidRPr="00A810AD">
        <w:rPr>
          <w:lang w:val="en-US"/>
        </w:rPr>
        <w:t xml:space="preserve">. This key principle is less important than </w:t>
      </w:r>
      <w:r w:rsidRPr="00A810AD">
        <w:t>simplification and burden reduction</w:t>
      </w:r>
      <w:r w:rsidRPr="00A810AD">
        <w:rPr>
          <w:u w:val="single"/>
        </w:rPr>
        <w:t xml:space="preserve"> within</w:t>
      </w:r>
      <w:r w:rsidRPr="00A810AD">
        <w:t xml:space="preserve"> SFTR. Addressing internal inefficiencies would achieve more immediate and cost-effective relief for market participants.</w:t>
      </w:r>
    </w:p>
    <w:p w14:paraId="0A18E234" w14:textId="77777777" w:rsidR="00A810AD" w:rsidRPr="00A810AD" w:rsidRDefault="00A810AD" w:rsidP="001E42C2">
      <w:pPr>
        <w:numPr>
          <w:ilvl w:val="0"/>
          <w:numId w:val="37"/>
        </w:numPr>
        <w:spacing w:after="120"/>
        <w:ind w:left="357" w:hanging="357"/>
        <w:rPr>
          <w:lang w:val="en-US"/>
        </w:rPr>
      </w:pPr>
      <w:r w:rsidRPr="00A810AD">
        <w:t xml:space="preserve">The principle of </w:t>
      </w:r>
      <w:r w:rsidRPr="00A810AD">
        <w:rPr>
          <w:b/>
          <w:bCs/>
        </w:rPr>
        <w:t>ensuring global alignment</w:t>
      </w:r>
      <w:r w:rsidRPr="00A810AD">
        <w:t xml:space="preserve"> suggests considerable scope for simplification and for ensuring that reporting requirements do not reduce the attractiveness of the EU as a place for business. There is a stark contrast between SFTR and the equivalent regulation in the few other jurisdictions to have a dedicated SFT reporting regime. In particular, the SFT-2 regulation of the Office of Financial Research in the US requires only 30 fields for bilaterally cleared and non-triparty repo, compared to the 84 loan and collateral fields required by SFTR (on top of which, there are the re-use fields). The estimated annual cost of reporting under SFT-2 is a mere USD 99,076, compared to an average of EUR 5.1 million per year for EU SFTR, as indicated by the Questionnaire. </w:t>
      </w:r>
      <w:r w:rsidRPr="00A810AD">
        <w:rPr>
          <w:lang w:val="en-US"/>
        </w:rPr>
        <w:t xml:space="preserve"> </w:t>
      </w:r>
      <w:r w:rsidRPr="00A810AD">
        <w:t xml:space="preserve"> </w:t>
      </w:r>
    </w:p>
    <w:p w14:paraId="1B5E1A7E" w14:textId="6F3CBF30" w:rsidR="00926BDA" w:rsidRPr="00A810AD" w:rsidRDefault="00A810AD" w:rsidP="001E42C2">
      <w:pPr>
        <w:numPr>
          <w:ilvl w:val="0"/>
          <w:numId w:val="37"/>
        </w:numPr>
        <w:spacing w:after="120"/>
        <w:ind w:left="357" w:hanging="357"/>
      </w:pPr>
      <w:r w:rsidRPr="00A810AD">
        <w:t xml:space="preserve">The </w:t>
      </w:r>
      <w:r w:rsidRPr="00A810AD">
        <w:rPr>
          <w:b/>
          <w:bCs/>
        </w:rPr>
        <w:t>balance of cost and benefit</w:t>
      </w:r>
      <w:r w:rsidRPr="00A810AD">
        <w:t xml:space="preserve"> principle is the most important. There is currently a severe asymmetry in which the cost to firms is far higher than the benefit to the regulator in terms of the utility of SFTR data. There is therefore a need to conduct a rigorous cost-benefit reassessment of SFTR in its current form and the Commission’s simplification and burden reduction initiative provides a unique opportunity for such an assessment. Similarly, this principle should also apply to any future changes, which should be limited to those offering demonstrable benefits</w:t>
      </w:r>
      <w:r>
        <w:rPr>
          <w:rFonts w:eastAsia="SimHei" w:hint="eastAsia"/>
          <w:lang w:eastAsia="zh-CN"/>
        </w:rPr>
        <w:t>.</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7952187D" w14:textId="77777777" w:rsidR="00086693" w:rsidRPr="00086693" w:rsidRDefault="00086693" w:rsidP="001E42C2">
      <w:pPr>
        <w:numPr>
          <w:ilvl w:val="0"/>
          <w:numId w:val="39"/>
        </w:numPr>
        <w:spacing w:after="120"/>
        <w:ind w:left="357" w:hanging="357"/>
        <w:rPr>
          <w:b/>
          <w:bCs/>
        </w:rPr>
      </w:pPr>
      <w:permStart w:id="666895774" w:edGrp="everyone"/>
      <w:r w:rsidRPr="00086693">
        <w:t xml:space="preserve">We noted that Option 1a does not cover SFTR. However, we would like to point out the overlap between SFTR and </w:t>
      </w:r>
      <w:proofErr w:type="spellStart"/>
      <w:proofErr w:type="gramStart"/>
      <w:r w:rsidRPr="00086693">
        <w:t>MiFIR</w:t>
      </w:r>
      <w:proofErr w:type="spellEnd"/>
      <w:r w:rsidRPr="00086693">
        <w:t xml:space="preserve">  in</w:t>
      </w:r>
      <w:proofErr w:type="gramEnd"/>
      <w:r w:rsidRPr="00086693">
        <w:t xml:space="preserve"> the case of SFTs with members of the ESCB. It is not appropriate to report any SFT under </w:t>
      </w:r>
      <w:proofErr w:type="spellStart"/>
      <w:r w:rsidRPr="00086693">
        <w:t>MiFIR</w:t>
      </w:r>
      <w:proofErr w:type="spellEnd"/>
      <w:r w:rsidRPr="00086693">
        <w:t xml:space="preserve"> for the simple fact that </w:t>
      </w:r>
      <w:proofErr w:type="spellStart"/>
      <w:r w:rsidRPr="00086693">
        <w:t>MiFIR</w:t>
      </w:r>
      <w:proofErr w:type="spellEnd"/>
      <w:r w:rsidRPr="00086693">
        <w:t xml:space="preserve"> was not designed for SFT reporting and SFTs do not fit sensibly into the </w:t>
      </w:r>
      <w:proofErr w:type="spellStart"/>
      <w:r w:rsidRPr="00086693">
        <w:t>MiFIR</w:t>
      </w:r>
      <w:proofErr w:type="spellEnd"/>
      <w:r w:rsidRPr="00086693">
        <w:t xml:space="preserve"> template. Furthermore, the inclusion of those SFTs in the scope of </w:t>
      </w:r>
      <w:proofErr w:type="spellStart"/>
      <w:r w:rsidRPr="00086693">
        <w:t>MiFIR</w:t>
      </w:r>
      <w:proofErr w:type="spellEnd"/>
      <w:r w:rsidRPr="00086693">
        <w:t xml:space="preserve"> reporting is inconsistent with SFTR and this has also been argued by the ECB. We have highlighted this issue repeatedly in the past and it continues to be highly relevant. For further detail on the issue, we would like to refer ESMA to </w:t>
      </w:r>
      <w:hyperlink r:id="rId20" w:history="1">
        <w:r w:rsidRPr="00086693">
          <w:rPr>
            <w:rStyle w:val="Hyperlink"/>
          </w:rPr>
          <w:t>ICMA’s response</w:t>
        </w:r>
      </w:hyperlink>
      <w:r w:rsidRPr="00086693">
        <w:t xml:space="preserve"> to ESMA’s consultation paper on the Review of RTS 22 on transaction data reporting under Art. 26 of </w:t>
      </w:r>
      <w:proofErr w:type="spellStart"/>
      <w:r w:rsidRPr="00086693">
        <w:t>MiFIR</w:t>
      </w:r>
      <w:proofErr w:type="spellEnd"/>
      <w:r w:rsidRPr="00086693">
        <w:t xml:space="preserve"> (ESMA12-2121844265-3745) submitted on 17 January 2025.</w:t>
      </w:r>
    </w:p>
    <w:p w14:paraId="5D8274E2" w14:textId="77777777" w:rsidR="00086693" w:rsidRPr="00086693" w:rsidRDefault="00086693" w:rsidP="001E42C2">
      <w:pPr>
        <w:numPr>
          <w:ilvl w:val="0"/>
          <w:numId w:val="39"/>
        </w:numPr>
        <w:spacing w:after="120"/>
        <w:ind w:left="357" w:hanging="357"/>
        <w:rPr>
          <w:b/>
        </w:rPr>
      </w:pPr>
      <w:r w:rsidRPr="00086693">
        <w:t xml:space="preserve">We also note that the overlap between SFTR and </w:t>
      </w:r>
      <w:proofErr w:type="spellStart"/>
      <w:r w:rsidRPr="00086693">
        <w:t>MiFIR</w:t>
      </w:r>
      <w:proofErr w:type="spellEnd"/>
      <w:r w:rsidRPr="00086693">
        <w:t xml:space="preserve"> clearly offends the key principle of balancing cost and benefit set out in the current consultation. What is the benefit of very imperfectly reporting SFTs with central banks, especially given that the data is already with the authorities and should be sourced from them, not the market. </w:t>
      </w:r>
    </w:p>
    <w:p w14:paraId="10B78F54" w14:textId="0BC7DDC2" w:rsidR="00926BDA" w:rsidRPr="00086693" w:rsidRDefault="00086693" w:rsidP="001E42C2">
      <w:pPr>
        <w:numPr>
          <w:ilvl w:val="0"/>
          <w:numId w:val="38"/>
        </w:numPr>
        <w:spacing w:after="120"/>
        <w:ind w:left="357" w:hanging="357"/>
      </w:pPr>
      <w:r w:rsidRPr="00086693">
        <w:lastRenderedPageBreak/>
        <w:t xml:space="preserve">As argued already, dual-sided reporting and reconciliation requirements should be dropped for SFTR, given the burden of these requirements, the lack of evidence that they have proportionately enhanced data quality and the availability of other potentially more effective solutions. </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6A657E3" w14:textId="77777777" w:rsidR="00577E98" w:rsidRPr="00577E98" w:rsidRDefault="00577E98" w:rsidP="001E42C2">
      <w:pPr>
        <w:numPr>
          <w:ilvl w:val="0"/>
          <w:numId w:val="39"/>
        </w:numPr>
        <w:spacing w:after="120"/>
        <w:ind w:left="357" w:hanging="357"/>
        <w:rPr>
          <w:rFonts w:eastAsia="SimHei"/>
          <w:lang w:eastAsia="zh-CN"/>
        </w:rPr>
      </w:pPr>
      <w:permStart w:id="1901729855" w:edGrp="everyone"/>
      <w:r w:rsidRPr="00577E98">
        <w:rPr>
          <w:rFonts w:eastAsia="SimHei"/>
          <w:lang w:eastAsia="zh-CN"/>
        </w:rPr>
        <w:t>The key limitation from an SFTR point of view is that Option 1a does not include SFTR.</w:t>
      </w:r>
    </w:p>
    <w:p w14:paraId="568671BC" w14:textId="77777777" w:rsidR="00577E98" w:rsidRPr="00577E98" w:rsidRDefault="00577E98" w:rsidP="001E42C2">
      <w:pPr>
        <w:numPr>
          <w:ilvl w:val="0"/>
          <w:numId w:val="39"/>
        </w:numPr>
        <w:spacing w:after="120"/>
        <w:ind w:left="357" w:hanging="357"/>
        <w:rPr>
          <w:rFonts w:eastAsia="SimHei"/>
          <w:lang w:eastAsia="zh-CN"/>
        </w:rPr>
      </w:pPr>
      <w:r w:rsidRPr="00577E98">
        <w:rPr>
          <w:rFonts w:eastAsia="SimHei"/>
          <w:u w:val="single"/>
          <w:lang w:eastAsia="zh-CN"/>
        </w:rPr>
        <w:t>Within</w:t>
      </w:r>
      <w:r w:rsidRPr="00577E98">
        <w:rPr>
          <w:rFonts w:eastAsia="SimHei"/>
          <w:lang w:eastAsia="zh-CN"/>
        </w:rPr>
        <w:t xml:space="preserve"> SFTR, consideration should be given to a clearer delineation between the different types of SFT, given that type-specific fields are </w:t>
      </w:r>
      <w:proofErr w:type="gramStart"/>
      <w:r w:rsidRPr="00577E98">
        <w:rPr>
          <w:rFonts w:eastAsia="SimHei"/>
          <w:lang w:eastAsia="zh-CN"/>
        </w:rPr>
        <w:t>mixed together</w:t>
      </w:r>
      <w:proofErr w:type="gramEnd"/>
      <w:r w:rsidRPr="00577E98">
        <w:rPr>
          <w:rFonts w:eastAsia="SimHei"/>
          <w:lang w:eastAsia="zh-CN"/>
        </w:rPr>
        <w:t xml:space="preserve"> in a single set of validation rules (</w:t>
      </w:r>
      <w:proofErr w:type="spellStart"/>
      <w:r w:rsidRPr="00577E98">
        <w:rPr>
          <w:rFonts w:eastAsia="SimHei"/>
          <w:lang w:eastAsia="zh-CN"/>
        </w:rPr>
        <w:t>eg</w:t>
      </w:r>
      <w:proofErr w:type="spellEnd"/>
      <w:r w:rsidRPr="00577E98">
        <w:rPr>
          <w:rFonts w:eastAsia="SimHei"/>
          <w:lang w:eastAsia="zh-CN"/>
        </w:rPr>
        <w:t xml:space="preserve"> Validation Rules 2.14, 2.23, 2.75 and 2.96). This would allow SFTR to evolve to reflect the basic differences between types of SFT and ease the problems created by the current “one-size-fits-all” approach. In addition, some common fields need to be made more SFT type-specific, </w:t>
      </w:r>
      <w:proofErr w:type="gramStart"/>
      <w:r w:rsidRPr="00577E98">
        <w:rPr>
          <w:rFonts w:eastAsia="SimHei"/>
          <w:lang w:eastAsia="zh-CN"/>
        </w:rPr>
        <w:t>in order to</w:t>
      </w:r>
      <w:proofErr w:type="gramEnd"/>
      <w:r w:rsidRPr="00577E98">
        <w:rPr>
          <w:rFonts w:eastAsia="SimHei"/>
          <w:lang w:eastAsia="zh-CN"/>
        </w:rPr>
        <w:t xml:space="preserve"> simplify the associated conditionality rules. This might result in an overall increase in data fields, but not for each type of SFT, and the structure would look simpler.</w:t>
      </w:r>
    </w:p>
    <w:p w14:paraId="7EC62411" w14:textId="77777777" w:rsidR="00577E98" w:rsidRPr="00577E98" w:rsidRDefault="00577E98" w:rsidP="001E42C2">
      <w:pPr>
        <w:numPr>
          <w:ilvl w:val="0"/>
          <w:numId w:val="39"/>
        </w:numPr>
        <w:spacing w:after="120"/>
        <w:ind w:left="357" w:hanging="357"/>
        <w:rPr>
          <w:rFonts w:eastAsia="SimHei"/>
          <w:lang w:eastAsia="zh-CN"/>
        </w:rPr>
      </w:pPr>
      <w:r w:rsidRPr="00577E98">
        <w:rPr>
          <w:rFonts w:eastAsia="SimHei"/>
          <w:lang w:eastAsia="zh-CN"/>
        </w:rPr>
        <w:t>Clearer delineation within SFTR also applies to the inclusion of data fields for which the data can be implied from other reported data (Cleared field, DBV Indicator, Method Used to Provide Collateral, Day Count Convention, Adjusted Rate, Principal Amount on Maturity Date, Classification of Security, Collateral Market Value, Haircut, Collateral Quality, Maturity of Security, Jurisdiction of the Issur, LEI of the Issuer, Collateral Type and Availability of Collateral for Reuse)  and data that can be sourced from official databases and other golden sources.</w:t>
      </w:r>
    </w:p>
    <w:p w14:paraId="12629A2A" w14:textId="77777777" w:rsidR="00577E98" w:rsidRPr="00577E98" w:rsidRDefault="00577E98" w:rsidP="001E42C2">
      <w:pPr>
        <w:numPr>
          <w:ilvl w:val="0"/>
          <w:numId w:val="39"/>
        </w:numPr>
        <w:spacing w:after="120"/>
        <w:ind w:left="357" w:hanging="357"/>
        <w:rPr>
          <w:rFonts w:eastAsia="SimHei"/>
          <w:lang w:eastAsia="zh-CN"/>
        </w:rPr>
      </w:pPr>
      <w:r w:rsidRPr="00577E98">
        <w:rPr>
          <w:rFonts w:eastAsia="SimHei"/>
          <w:lang w:eastAsia="zh-CN"/>
        </w:rPr>
        <w:t xml:space="preserve">On the other hand, as argued in the General Comments, there is a compelling case for </w:t>
      </w:r>
      <w:r w:rsidRPr="00577E98">
        <w:rPr>
          <w:rFonts w:eastAsia="SimHei"/>
          <w:u w:val="single"/>
          <w:lang w:eastAsia="zh-CN"/>
        </w:rPr>
        <w:t>not</w:t>
      </w:r>
      <w:r w:rsidRPr="00577E98">
        <w:rPr>
          <w:rFonts w:eastAsia="SimHei"/>
          <w:lang w:eastAsia="zh-CN"/>
        </w:rPr>
        <w:t xml:space="preserve"> delineating repurchase transactions (REPO) and buy/</w:t>
      </w:r>
      <w:proofErr w:type="gramStart"/>
      <w:r w:rsidRPr="00577E98">
        <w:rPr>
          <w:rFonts w:eastAsia="SimHei"/>
          <w:lang w:eastAsia="zh-CN"/>
        </w:rPr>
        <w:t>sell-backs</w:t>
      </w:r>
      <w:proofErr w:type="gramEnd"/>
      <w:r w:rsidRPr="00577E98">
        <w:rPr>
          <w:rFonts w:eastAsia="SimHei"/>
          <w:lang w:eastAsia="zh-CN"/>
        </w:rPr>
        <w:t xml:space="preserve"> (SBSC) within SFTR, where the definitions are flawed and the supposed differences are illusory.</w:t>
      </w:r>
    </w:p>
    <w:p w14:paraId="6BC0E5A4" w14:textId="77777777" w:rsidR="00577E98" w:rsidRPr="00577E98" w:rsidRDefault="00577E98" w:rsidP="001E42C2">
      <w:pPr>
        <w:numPr>
          <w:ilvl w:val="0"/>
          <w:numId w:val="39"/>
        </w:numPr>
        <w:spacing w:after="120"/>
        <w:ind w:left="357" w:hanging="357"/>
        <w:rPr>
          <w:rFonts w:eastAsia="SimHei"/>
          <w:lang w:eastAsia="zh-CN"/>
        </w:rPr>
      </w:pPr>
      <w:r w:rsidRPr="00577E98">
        <w:rPr>
          <w:rFonts w:eastAsia="SimHei"/>
          <w:lang w:eastAsia="zh-CN"/>
        </w:rPr>
        <w:t>We have no comments to make on EMIR.</w:t>
      </w:r>
    </w:p>
    <w:p w14:paraId="271C2CA6" w14:textId="23578396" w:rsidR="00926BDA" w:rsidRPr="00577E98" w:rsidRDefault="00926BDA" w:rsidP="00926BDA">
      <w:pPr>
        <w:rPr>
          <w:rFonts w:eastAsia="SimHei"/>
          <w:lang w:eastAsia="zh-CN"/>
        </w:rPr>
      </w:pP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0BA3A878" w:rsidR="00926BDA" w:rsidRPr="007000DC" w:rsidRDefault="007000DC" w:rsidP="00926BDA">
      <w:pPr>
        <w:numPr>
          <w:ilvl w:val="0"/>
          <w:numId w:val="39"/>
        </w:numPr>
        <w:rPr>
          <w:rFonts w:eastAsia="SimHei"/>
          <w:lang w:eastAsia="zh-CN"/>
        </w:rPr>
      </w:pPr>
      <w:permStart w:id="1034637762" w:edGrp="everyone"/>
      <w:r w:rsidRPr="007000DC">
        <w:rPr>
          <w:rFonts w:eastAsia="SimHei"/>
          <w:lang w:eastAsia="zh-CN"/>
        </w:rPr>
        <w:t xml:space="preserve">The missing component is SFTR. </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lastRenderedPageBreak/>
        <w:t>What are the key advantages of option 1b and how do these benefits address the issues in section 3?</w:t>
      </w:r>
    </w:p>
    <w:p w14:paraId="5103F3A5" w14:textId="77777777" w:rsidR="00926BDA" w:rsidRDefault="00926BDA" w:rsidP="00926BDA">
      <w:r>
        <w:t>&lt;ESMA_QUESTION_CASR_6&gt;</w:t>
      </w:r>
    </w:p>
    <w:p w14:paraId="1FA6E054" w14:textId="715C867C" w:rsidR="00926BDA" w:rsidRPr="00BC6CD5" w:rsidRDefault="00BC6CD5" w:rsidP="00926BDA">
      <w:pPr>
        <w:rPr>
          <w:rFonts w:eastAsia="SimHei"/>
          <w:lang w:eastAsia="zh-CN"/>
        </w:rPr>
      </w:pPr>
      <w:permStart w:id="276758894" w:edGrp="everyone"/>
      <w:r w:rsidRPr="00BC6CD5">
        <w:rPr>
          <w:rFonts w:eastAsia="SimHei"/>
          <w:lang w:eastAsia="zh-CN"/>
        </w:rPr>
        <w:t>•</w:t>
      </w:r>
      <w:r w:rsidRPr="00BC6CD5">
        <w:rPr>
          <w:rFonts w:eastAsia="SimHei"/>
          <w:lang w:eastAsia="zh-CN"/>
        </w:rPr>
        <w:tab/>
        <w:t>We cannot see any advantages in option 1b.  In the case of SFTs, if not also derivatives, it makes no sense to divorce the initial trade from the subsequent life-cycle events, which are largely amendments to the initial trade state.</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51F36A43" w14:textId="77777777" w:rsidR="00981200" w:rsidRPr="00981200" w:rsidRDefault="00981200" w:rsidP="001E42C2">
      <w:pPr>
        <w:numPr>
          <w:ilvl w:val="0"/>
          <w:numId w:val="40"/>
        </w:numPr>
        <w:spacing w:after="120"/>
        <w:ind w:left="357" w:hanging="357"/>
        <w:rPr>
          <w:rFonts w:eastAsia="SimHei"/>
          <w:lang w:eastAsia="zh-CN"/>
        </w:rPr>
      </w:pPr>
      <w:permStart w:id="1327239170" w:edGrp="everyone"/>
      <w:r w:rsidRPr="00981200">
        <w:rPr>
          <w:rFonts w:eastAsia="SimHei"/>
          <w:b/>
          <w:bCs/>
          <w:lang w:eastAsia="zh-CN"/>
        </w:rPr>
        <w:t>We cannot see any cost savings in option 1b</w:t>
      </w:r>
      <w:r w:rsidRPr="00981200">
        <w:rPr>
          <w:rFonts w:eastAsia="SimHei"/>
          <w:lang w:eastAsia="zh-CN"/>
        </w:rPr>
        <w:t xml:space="preserve">, given that there would have to be a deep and disruptive reorganisation of reporting within firms that would cross existing boundaries and would therefore be complex, radical and expensive for no clear gain. </w:t>
      </w:r>
    </w:p>
    <w:p w14:paraId="1CFEB751" w14:textId="5AE77591" w:rsidR="00926BDA" w:rsidRPr="00981200" w:rsidRDefault="00981200" w:rsidP="001E42C2">
      <w:pPr>
        <w:numPr>
          <w:ilvl w:val="0"/>
          <w:numId w:val="40"/>
        </w:numPr>
        <w:spacing w:after="120"/>
        <w:ind w:left="357" w:hanging="357"/>
        <w:rPr>
          <w:rFonts w:eastAsia="SimHei"/>
          <w:lang w:eastAsia="zh-CN"/>
        </w:rPr>
      </w:pPr>
      <w:r w:rsidRPr="00981200">
        <w:rPr>
          <w:rFonts w:eastAsia="SimHei"/>
          <w:lang w:eastAsia="zh-CN"/>
        </w:rPr>
        <w:t>This option looks as if it was thought up as a way of more easily allowing a merger of the reporting of exchange-traded and OTC derivatives, given the greater commonality of post-trade. Little thought, if any, thought appears to have been given to SFTs. The option ignores the fundamental differences between SFTs and derivatives.</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357A8FD8" w:rsidR="00926BDA" w:rsidRPr="003044E3" w:rsidRDefault="003044E3" w:rsidP="00926BDA">
      <w:pPr>
        <w:numPr>
          <w:ilvl w:val="0"/>
          <w:numId w:val="41"/>
        </w:numPr>
        <w:rPr>
          <w:rFonts w:eastAsia="SimHei"/>
          <w:lang w:eastAsia="zh-CN"/>
        </w:rPr>
      </w:pPr>
      <w:permStart w:id="275065348" w:edGrp="everyone"/>
      <w:r w:rsidRPr="003044E3">
        <w:rPr>
          <w:rFonts w:eastAsia="SimHei"/>
          <w:lang w:eastAsia="zh-CN"/>
        </w:rPr>
        <w:t>Option 1b ignores the fundamental differences between the types of instruments and transactions being reported and is therefore fundamentally flawed.</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1B793C7" w14:textId="77777777" w:rsidR="00C9669B" w:rsidRPr="00C9669B" w:rsidRDefault="00C9669B" w:rsidP="00EF24C3">
      <w:pPr>
        <w:numPr>
          <w:ilvl w:val="0"/>
          <w:numId w:val="41"/>
        </w:numPr>
        <w:spacing w:after="120"/>
        <w:ind w:left="357" w:hanging="357"/>
        <w:rPr>
          <w:rFonts w:eastAsia="SimHei"/>
          <w:lang w:eastAsia="zh-CN"/>
        </w:rPr>
      </w:pPr>
      <w:permStart w:id="1249454344" w:edGrp="everyone"/>
      <w:r w:rsidRPr="00C9669B">
        <w:rPr>
          <w:rFonts w:eastAsia="SimHei"/>
          <w:lang w:eastAsia="zh-CN"/>
        </w:rPr>
        <w:t xml:space="preserve">It is not clear what is intended to result from Option 2a. If the aim is a single reporting regime based on a common data model that can describe all financial instruments and transactions, it could result in significant simplification. Ideally, the data model would be the Common Domain Model (CDM) which is being developed by ICMA, ISLA and </w:t>
      </w:r>
      <w:proofErr w:type="gramStart"/>
      <w:r w:rsidRPr="00C9669B">
        <w:rPr>
          <w:rFonts w:eastAsia="SimHei"/>
          <w:lang w:eastAsia="zh-CN"/>
        </w:rPr>
        <w:t>ISDA,  reflecting</w:t>
      </w:r>
      <w:proofErr w:type="gramEnd"/>
      <w:r w:rsidRPr="00C9669B">
        <w:rPr>
          <w:rFonts w:eastAsia="SimHei"/>
          <w:lang w:eastAsia="zh-CN"/>
        </w:rPr>
        <w:t xml:space="preserve"> industry expertise, insight and experience. However, such a development would need a much longer horizon and would effectively require the creation of a completely new reporting regime, in other words, a “Big Bang” reform. The cost would be substantial, although the results are expected to eventually justify the initial implementation effort.</w:t>
      </w:r>
    </w:p>
    <w:p w14:paraId="5A8801BA" w14:textId="7B4B42CC" w:rsidR="00926BDA" w:rsidRPr="00C9669B" w:rsidRDefault="00C9669B" w:rsidP="00EF24C3">
      <w:pPr>
        <w:numPr>
          <w:ilvl w:val="0"/>
          <w:numId w:val="41"/>
        </w:numPr>
        <w:spacing w:after="120"/>
        <w:ind w:left="357" w:hanging="357"/>
        <w:rPr>
          <w:rFonts w:eastAsia="SimHei"/>
          <w:lang w:eastAsia="zh-CN"/>
        </w:rPr>
      </w:pPr>
      <w:r w:rsidRPr="00C9669B">
        <w:rPr>
          <w:rFonts w:eastAsia="SimHei"/>
          <w:lang w:eastAsia="zh-CN"/>
        </w:rPr>
        <w:t xml:space="preserve">If the aim of option 2a is not to produce a single reporting regime based on a common data model, the result would presumably be a single piece of Level 1 regulation and </w:t>
      </w:r>
      <w:r w:rsidRPr="00C9669B">
        <w:rPr>
          <w:rFonts w:eastAsia="SimHei"/>
          <w:lang w:eastAsia="zh-CN"/>
        </w:rPr>
        <w:lastRenderedPageBreak/>
        <w:t xml:space="preserve">relatively modest changes in the reporting requirements, in other words, a single legal wrapper. This could have some value, provided it respects the fundamental differences between derivatives and SFTs in terms of data fields. The gain would be simplification of the legislative process of changing generic reporting requirements. However, given the fundamental differences between derivatives and SFTs, such opportunities would be limited to derivatives, where there are core similarities between exchange-traded and OTC derivatives, which mean some changes would be common to both types of </w:t>
      </w:r>
      <w:proofErr w:type="gramStart"/>
      <w:r w:rsidRPr="00C9669B">
        <w:rPr>
          <w:rFonts w:eastAsia="SimHei"/>
          <w:lang w:eastAsia="zh-CN"/>
        </w:rPr>
        <w:t>derivative</w:t>
      </w:r>
      <w:proofErr w:type="gramEnd"/>
      <w:r w:rsidRPr="00C9669B">
        <w:rPr>
          <w:rFonts w:eastAsia="SimHei"/>
          <w:lang w:eastAsia="zh-CN"/>
        </w:rPr>
        <w:t>.</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7D6CB52D" w14:textId="77777777" w:rsidR="00CD09A9" w:rsidRPr="00CD09A9" w:rsidRDefault="00CD09A9" w:rsidP="00EF24C3">
      <w:pPr>
        <w:numPr>
          <w:ilvl w:val="0"/>
          <w:numId w:val="42"/>
        </w:numPr>
        <w:spacing w:after="120"/>
        <w:ind w:left="357" w:hanging="357"/>
        <w:rPr>
          <w:rFonts w:eastAsia="SimHei"/>
          <w:lang w:eastAsia="zh-CN"/>
        </w:rPr>
      </w:pPr>
      <w:permStart w:id="199837036" w:edGrp="everyone"/>
      <w:r w:rsidRPr="00CD09A9">
        <w:rPr>
          <w:rFonts w:eastAsia="SimHei"/>
          <w:lang w:eastAsia="zh-CN"/>
        </w:rPr>
        <w:t xml:space="preserve">In the case of SFTs, the overlaps across regimes are so limited (just </w:t>
      </w:r>
      <w:proofErr w:type="spellStart"/>
      <w:r w:rsidRPr="00CD09A9">
        <w:rPr>
          <w:rFonts w:eastAsia="SimHei"/>
          <w:lang w:eastAsia="zh-CN"/>
        </w:rPr>
        <w:t>MiFIR</w:t>
      </w:r>
      <w:proofErr w:type="spellEnd"/>
      <w:r w:rsidRPr="00CD09A9">
        <w:rPr>
          <w:rFonts w:eastAsia="SimHei"/>
          <w:lang w:eastAsia="zh-CN"/>
        </w:rPr>
        <w:t xml:space="preserve"> reporting of central bank SFTs) that firms largely already “report once”. Option 2a, like so much else in this consultation, appears to have been conceived for derivatives, targeting the overlaps between exchange-traded and OTC derivatives under </w:t>
      </w:r>
      <w:proofErr w:type="spellStart"/>
      <w:r w:rsidRPr="00CD09A9">
        <w:rPr>
          <w:rFonts w:eastAsia="SimHei"/>
          <w:lang w:eastAsia="zh-CN"/>
        </w:rPr>
        <w:t>MiFIR</w:t>
      </w:r>
      <w:proofErr w:type="spellEnd"/>
      <w:r w:rsidRPr="00CD09A9">
        <w:rPr>
          <w:rFonts w:eastAsia="SimHei"/>
          <w:lang w:eastAsia="zh-CN"/>
        </w:rPr>
        <w:t xml:space="preserve"> and EMIR. SFTs appear to have been added as an afterthought. This poses the risk that, </w:t>
      </w:r>
      <w:proofErr w:type="gramStart"/>
      <w:r w:rsidRPr="00CD09A9">
        <w:rPr>
          <w:rFonts w:eastAsia="SimHei"/>
          <w:lang w:eastAsia="zh-CN"/>
        </w:rPr>
        <w:t>in order to</w:t>
      </w:r>
      <w:proofErr w:type="gramEnd"/>
      <w:r w:rsidRPr="00CD09A9">
        <w:rPr>
          <w:rFonts w:eastAsia="SimHei"/>
          <w:lang w:eastAsia="zh-CN"/>
        </w:rPr>
        <w:t xml:space="preserve"> achieve a broader “simplification”, SFTR data fields might be distorted to fit (like “round pegs into square holes”). The cost would be the degradation of the meaningfulness of SFTR data.</w:t>
      </w:r>
    </w:p>
    <w:p w14:paraId="4E6F8C4A" w14:textId="77777777" w:rsidR="00CD09A9" w:rsidRPr="00CD09A9" w:rsidRDefault="00CD09A9" w:rsidP="00EF24C3">
      <w:pPr>
        <w:numPr>
          <w:ilvl w:val="0"/>
          <w:numId w:val="42"/>
        </w:numPr>
        <w:spacing w:after="120"/>
        <w:ind w:left="357" w:hanging="357"/>
        <w:rPr>
          <w:rFonts w:eastAsia="SimHei"/>
          <w:lang w:eastAsia="zh-CN"/>
        </w:rPr>
      </w:pPr>
      <w:r w:rsidRPr="00CD09A9">
        <w:rPr>
          <w:rFonts w:eastAsia="SimHei"/>
          <w:lang w:eastAsia="zh-CN"/>
        </w:rPr>
        <w:t>For SFTs, option 2a risks being highly disruptive but for little or no gain.</w:t>
      </w:r>
    </w:p>
    <w:p w14:paraId="56C38C26" w14:textId="1A368DCA" w:rsidR="00926BDA" w:rsidRPr="00CD09A9" w:rsidRDefault="00CD09A9" w:rsidP="00EF24C3">
      <w:pPr>
        <w:numPr>
          <w:ilvl w:val="0"/>
          <w:numId w:val="42"/>
        </w:numPr>
        <w:spacing w:after="120"/>
        <w:ind w:left="357" w:hanging="357"/>
        <w:rPr>
          <w:rFonts w:eastAsia="SimHei"/>
          <w:lang w:eastAsia="zh-CN"/>
        </w:rPr>
      </w:pPr>
      <w:r w:rsidRPr="00CD09A9">
        <w:rPr>
          <w:rFonts w:eastAsia="SimHei"/>
          <w:lang w:eastAsia="zh-CN"/>
        </w:rPr>
        <w:t xml:space="preserve">There </w:t>
      </w:r>
      <w:r w:rsidRPr="00CD09A9">
        <w:rPr>
          <w:rFonts w:eastAsia="SimHei"/>
          <w:lang w:val="en-US" w:eastAsia="zh-CN"/>
        </w:rPr>
        <w:t>does not appear to be any clear basis for</w:t>
      </w:r>
      <w:r w:rsidRPr="00CD09A9">
        <w:rPr>
          <w:rFonts w:eastAsia="SimHei"/>
          <w:lang w:eastAsia="zh-CN"/>
        </w:rPr>
        <w:t xml:space="preserve"> asserting that option 2a would result in a “considerable reduction of reporting burden for market participants”.</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77947A62" w14:textId="77777777" w:rsidR="00056E57" w:rsidRPr="00EF24C3" w:rsidRDefault="00056E57" w:rsidP="00EF24C3">
      <w:pPr>
        <w:numPr>
          <w:ilvl w:val="0"/>
          <w:numId w:val="43"/>
        </w:numPr>
        <w:spacing w:after="120"/>
        <w:ind w:left="357" w:hanging="357"/>
        <w:rPr>
          <w:rFonts w:eastAsia="SimHei"/>
          <w:lang w:eastAsia="zh-CN"/>
        </w:rPr>
      </w:pPr>
      <w:permStart w:id="2123508368" w:edGrp="everyone"/>
      <w:r w:rsidRPr="00EF24C3">
        <w:rPr>
          <w:rFonts w:eastAsia="SimHei"/>
          <w:lang w:eastAsia="zh-CN"/>
        </w:rPr>
        <w:t>Without a more concrete picture of what Option 2a is intended to produce (see the answer to Q9), it is difficult to identify missing elements.</w:t>
      </w:r>
    </w:p>
    <w:p w14:paraId="04BEB89B" w14:textId="4CCDC9C1" w:rsidR="00926BDA" w:rsidRPr="00EF24C3" w:rsidRDefault="00056E57" w:rsidP="00EF24C3">
      <w:pPr>
        <w:pStyle w:val="ListParagraph"/>
        <w:spacing w:after="120"/>
        <w:ind w:left="357" w:hanging="357"/>
        <w:rPr>
          <w:rFonts w:ascii="Times New Roman" w:hAnsi="Times New Roman" w:cs="Times New Roman"/>
          <w:sz w:val="24"/>
          <w:szCs w:val="24"/>
          <w:lang w:eastAsia="zh-CN"/>
        </w:rPr>
      </w:pPr>
      <w:r w:rsidRPr="00EF24C3">
        <w:rPr>
          <w:rFonts w:ascii="Times New Roman" w:eastAsia="SimHei" w:hAnsi="Times New Roman" w:cs="Times New Roman"/>
          <w:sz w:val="24"/>
          <w:szCs w:val="24"/>
          <w:lang w:eastAsia="zh-CN"/>
        </w:rPr>
        <w:t xml:space="preserve">    </w:t>
      </w:r>
      <w:r w:rsidRPr="00EF24C3">
        <w:rPr>
          <w:rFonts w:ascii="Times New Roman" w:hAnsi="Times New Roman" w:cs="Times New Roman"/>
          <w:sz w:val="24"/>
          <w:szCs w:val="24"/>
          <w:lang w:eastAsia="zh-CN"/>
        </w:rPr>
        <w:t>If Option 2a is indeed a single reporting regime based on a common data model, the option is EU-centric and neglects the need to ensure global alignment. Failure to co-ordinate and co-operate with other jurisdictions would represent a missed opportunity to ensure consistency across markets which are global in coverage and deliver cost savings for firms operating cross-border and provide visibility over cross-border flows and spillovers to regulators.</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lastRenderedPageBreak/>
        <w:t>&lt;ESMA_QUESTION_CASR_12&gt;</w:t>
      </w:r>
    </w:p>
    <w:p w14:paraId="766D4117" w14:textId="5BB0D1BA" w:rsidR="00926BDA" w:rsidRPr="00EE4AED" w:rsidRDefault="00EE4AED" w:rsidP="00926BDA">
      <w:pPr>
        <w:numPr>
          <w:ilvl w:val="0"/>
          <w:numId w:val="44"/>
        </w:numPr>
        <w:rPr>
          <w:rFonts w:eastAsia="SimHei"/>
          <w:lang w:eastAsia="zh-CN"/>
        </w:rPr>
      </w:pPr>
      <w:permStart w:id="16780711" w:edGrp="everyone"/>
      <w:r w:rsidRPr="00EE4AED">
        <w:rPr>
          <w:rFonts w:eastAsia="SimHei"/>
          <w:lang w:eastAsia="zh-CN"/>
        </w:rPr>
        <w:t>From the point of view of SFTR, it would be sensible to bring in MMSR and perhaps BRRD.</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1EA49995" w:rsidR="00926BDA" w:rsidRPr="007D0F50" w:rsidRDefault="007D0F50" w:rsidP="00926BDA">
      <w:pPr>
        <w:numPr>
          <w:ilvl w:val="0"/>
          <w:numId w:val="44"/>
        </w:numPr>
        <w:rPr>
          <w:rFonts w:eastAsia="SimHei"/>
          <w:lang w:eastAsia="zh-CN"/>
        </w:rPr>
      </w:pPr>
      <w:permStart w:id="1489376342" w:edGrp="everyone"/>
      <w:r w:rsidRPr="007D0F50">
        <w:rPr>
          <w:rFonts w:eastAsia="SimHei"/>
          <w:lang w:eastAsia="zh-CN"/>
        </w:rPr>
        <w:t>We believe that option 2 is unrealistic and undesirable, for the reasons given in response to Q10. Option 2b simply compounds the problems by trying to extend Option 2 into regulations, some of which (</w:t>
      </w:r>
      <w:proofErr w:type="spellStart"/>
      <w:r w:rsidRPr="007D0F50">
        <w:rPr>
          <w:rFonts w:eastAsia="SimHei"/>
          <w:lang w:eastAsia="zh-CN"/>
        </w:rPr>
        <w:t>eg</w:t>
      </w:r>
      <w:proofErr w:type="spellEnd"/>
      <w:r w:rsidRPr="007D0F50">
        <w:rPr>
          <w:rFonts w:eastAsia="SimHei"/>
          <w:lang w:eastAsia="zh-CN"/>
        </w:rPr>
        <w:t xml:space="preserve"> REMIT) are fundamentally different to SFTR, EMIR and </w:t>
      </w:r>
      <w:proofErr w:type="spellStart"/>
      <w:r w:rsidRPr="007D0F50">
        <w:rPr>
          <w:rFonts w:eastAsia="SimHei"/>
          <w:lang w:eastAsia="zh-CN"/>
        </w:rPr>
        <w:t>MiFIR</w:t>
      </w:r>
      <w:proofErr w:type="spellEnd"/>
      <w:r w:rsidRPr="007D0F50">
        <w:rPr>
          <w:rFonts w:eastAsia="SimHei"/>
          <w:lang w:eastAsia="zh-CN"/>
        </w:rPr>
        <w:t xml:space="preserve">. The latter are all transaction-reporting regimes. For example, while REMIT is also a transaction-reporting regime, the data fields for energy market trades are distinct and often unique. As more types of </w:t>
      </w:r>
      <w:proofErr w:type="gramStart"/>
      <w:r w:rsidRPr="007D0F50">
        <w:rPr>
          <w:rFonts w:eastAsia="SimHei"/>
          <w:lang w:eastAsia="zh-CN"/>
        </w:rPr>
        <w:t>asset</w:t>
      </w:r>
      <w:proofErr w:type="gramEnd"/>
      <w:r w:rsidRPr="007D0F50">
        <w:rPr>
          <w:rFonts w:eastAsia="SimHei"/>
          <w:lang w:eastAsia="zh-CN"/>
        </w:rPr>
        <w:t xml:space="preserve"> are added to the combined multi-asset reporting regime and more regulators have a stake, it would become increasingly more difficult to manage, operate and understand, without internally dividing the regime, which would fundamentally contradict the idea of a single regime.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3CA229B9" w:rsidR="00926BDA" w:rsidRPr="00921B6A" w:rsidRDefault="00921B6A" w:rsidP="00926BDA">
      <w:pPr>
        <w:numPr>
          <w:ilvl w:val="0"/>
          <w:numId w:val="44"/>
        </w:numPr>
        <w:rPr>
          <w:rFonts w:eastAsia="SimHei"/>
          <w:lang w:eastAsia="zh-CN"/>
        </w:rPr>
      </w:pPr>
      <w:permStart w:id="1849847968" w:edGrp="everyone"/>
      <w:r w:rsidRPr="00921B6A">
        <w:rPr>
          <w:rFonts w:eastAsia="SimHei"/>
          <w:lang w:eastAsia="zh-CN"/>
        </w:rPr>
        <w:t>We believe that option 2 is unrealistic and undesirable, for the reasons given in response to Q10. Option 2b simply compounds the problems.</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2A188DBE" w14:textId="77777777" w:rsidR="00F914D0" w:rsidRPr="00F914D0" w:rsidRDefault="00F914D0" w:rsidP="00EF24C3">
      <w:pPr>
        <w:numPr>
          <w:ilvl w:val="0"/>
          <w:numId w:val="44"/>
        </w:numPr>
        <w:spacing w:after="120"/>
        <w:ind w:left="357" w:hanging="357"/>
        <w:rPr>
          <w:rFonts w:eastAsia="SimHei"/>
          <w:lang w:val="en-US" w:eastAsia="zh-CN"/>
        </w:rPr>
      </w:pPr>
      <w:permStart w:id="695482675" w:edGrp="everyone"/>
      <w:r w:rsidRPr="00F914D0">
        <w:rPr>
          <w:rFonts w:eastAsia="SimHei"/>
          <w:lang w:val="en-US" w:eastAsia="zh-CN"/>
        </w:rPr>
        <w:t xml:space="preserve">It is difficult to answer this question in respect of SFTR, given that the goal of “report once” </w:t>
      </w:r>
      <w:proofErr w:type="gramStart"/>
      <w:r w:rsidRPr="00F914D0">
        <w:rPr>
          <w:rFonts w:eastAsia="SimHei"/>
          <w:lang w:val="en-US" w:eastAsia="zh-CN"/>
        </w:rPr>
        <w:t>really only</w:t>
      </w:r>
      <w:proofErr w:type="gramEnd"/>
      <w:r w:rsidRPr="00F914D0">
        <w:rPr>
          <w:rFonts w:eastAsia="SimHei"/>
          <w:lang w:val="en-US" w:eastAsia="zh-CN"/>
        </w:rPr>
        <w:t xml:space="preserve"> apply to the derivatives reporting regulations, EMIR and </w:t>
      </w:r>
      <w:proofErr w:type="spellStart"/>
      <w:r w:rsidRPr="00F914D0">
        <w:rPr>
          <w:rFonts w:eastAsia="SimHei"/>
          <w:lang w:val="en-US" w:eastAsia="zh-CN"/>
        </w:rPr>
        <w:t>MiFIR</w:t>
      </w:r>
      <w:proofErr w:type="spellEnd"/>
      <w:r w:rsidRPr="00F914D0">
        <w:rPr>
          <w:rFonts w:eastAsia="SimHei"/>
          <w:lang w:val="en-US" w:eastAsia="zh-CN"/>
        </w:rPr>
        <w:t xml:space="preserve">. </w:t>
      </w:r>
      <w:r w:rsidRPr="00F914D0">
        <w:rPr>
          <w:rFonts w:eastAsia="SimHei"/>
          <w:lang w:eastAsia="zh-CN"/>
        </w:rPr>
        <w:t>As</w:t>
      </w:r>
      <w:r w:rsidRPr="00F914D0">
        <w:rPr>
          <w:rFonts w:eastAsia="SimHei"/>
          <w:lang w:val="en-US" w:eastAsia="zh-CN"/>
        </w:rPr>
        <w:t xml:space="preserve"> noted in previous responses, there remains more significant scope for further simplification within SFTR itself.  </w:t>
      </w:r>
    </w:p>
    <w:p w14:paraId="53069A83" w14:textId="49BF7D8B" w:rsidR="00926BDA" w:rsidRPr="00F914D0" w:rsidRDefault="00F914D0" w:rsidP="00EF24C3">
      <w:pPr>
        <w:numPr>
          <w:ilvl w:val="0"/>
          <w:numId w:val="44"/>
        </w:numPr>
        <w:spacing w:after="120"/>
        <w:ind w:left="357" w:hanging="357"/>
        <w:rPr>
          <w:rFonts w:eastAsia="SimHei"/>
          <w:lang w:val="en-US" w:eastAsia="zh-CN"/>
        </w:rPr>
      </w:pPr>
      <w:r w:rsidRPr="00F914D0">
        <w:rPr>
          <w:rFonts w:eastAsia="SimHei"/>
          <w:lang w:val="en-US" w:eastAsia="zh-CN"/>
        </w:rPr>
        <w:t>However, it is not clear why removing duplication would not result in “report once”.</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 xml:space="preserve">Are there any additional options that should be considered on top of option 1 and 2? For example, do you identify other potential intermediate solutions, combinations of elements from the identified options, or phased approaches? </w:t>
      </w:r>
      <w:r>
        <w:lastRenderedPageBreak/>
        <w:t>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32369427" w:rsidR="00926BDA" w:rsidRPr="006A5517" w:rsidRDefault="006A5517" w:rsidP="00926BDA">
      <w:pPr>
        <w:numPr>
          <w:ilvl w:val="0"/>
          <w:numId w:val="44"/>
        </w:numPr>
        <w:rPr>
          <w:rFonts w:eastAsia="SimHei"/>
          <w:lang w:eastAsia="zh-CN"/>
        </w:rPr>
      </w:pPr>
      <w:permStart w:id="1784418006" w:edGrp="everyone"/>
      <w:r w:rsidRPr="006A5517">
        <w:rPr>
          <w:rFonts w:eastAsia="SimHei"/>
          <w:lang w:eastAsia="zh-CN"/>
        </w:rPr>
        <w:t xml:space="preserve">We have already noted the that greatest need is to eliminate duplication </w:t>
      </w:r>
      <w:r w:rsidRPr="006A5517">
        <w:rPr>
          <w:rFonts w:eastAsia="SimHei"/>
          <w:u w:val="single"/>
          <w:lang w:eastAsia="zh-CN"/>
        </w:rPr>
        <w:t>within</w:t>
      </w:r>
      <w:r w:rsidRPr="006A5517">
        <w:rPr>
          <w:rFonts w:eastAsia="SimHei"/>
          <w:lang w:eastAsia="zh-CN"/>
        </w:rPr>
        <w:t xml:space="preserve"> SFTR. There is also the proposal to delegate reporting, where possible, to financial market infrastructures such as CCPs.</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3A5718E" w14:textId="77777777" w:rsidR="00571914" w:rsidRPr="00571914" w:rsidRDefault="00571914" w:rsidP="00EF24C3">
      <w:pPr>
        <w:numPr>
          <w:ilvl w:val="0"/>
          <w:numId w:val="44"/>
        </w:numPr>
        <w:spacing w:after="120"/>
        <w:ind w:left="357" w:hanging="357"/>
        <w:rPr>
          <w:rFonts w:eastAsia="SimHei"/>
          <w:lang w:eastAsia="zh-CN"/>
        </w:rPr>
      </w:pPr>
      <w:permStart w:id="1438851636" w:edGrp="everyone"/>
      <w:r w:rsidRPr="00571914">
        <w:rPr>
          <w:rFonts w:eastAsia="SimHei"/>
          <w:lang w:eastAsia="zh-CN"/>
        </w:rPr>
        <w:t>It is not entirely clear what is envisaged and whether this applies to SFTR.</w:t>
      </w:r>
    </w:p>
    <w:p w14:paraId="5D023637" w14:textId="77777777" w:rsidR="00571914" w:rsidRPr="00571914" w:rsidRDefault="00571914" w:rsidP="00EF24C3">
      <w:pPr>
        <w:numPr>
          <w:ilvl w:val="0"/>
          <w:numId w:val="44"/>
        </w:numPr>
        <w:spacing w:after="120"/>
        <w:ind w:left="357" w:hanging="357"/>
        <w:rPr>
          <w:rFonts w:eastAsia="SimHei"/>
          <w:lang w:eastAsia="zh-CN"/>
        </w:rPr>
      </w:pPr>
      <w:r w:rsidRPr="00571914">
        <w:rPr>
          <w:rFonts w:eastAsia="SimHei"/>
          <w:lang w:eastAsia="zh-CN"/>
        </w:rPr>
        <w:t>As regards reporting channels, the use of trade repositories for SFTR is satisfactory for the foreseeable future.</w:t>
      </w:r>
    </w:p>
    <w:p w14:paraId="67546B02" w14:textId="0FBC3503" w:rsidR="00926BDA" w:rsidRPr="00571914" w:rsidRDefault="00571914" w:rsidP="00EF24C3">
      <w:pPr>
        <w:numPr>
          <w:ilvl w:val="0"/>
          <w:numId w:val="44"/>
        </w:numPr>
        <w:spacing w:after="120"/>
        <w:ind w:left="357" w:hanging="357"/>
        <w:rPr>
          <w:rFonts w:eastAsia="SimHei"/>
          <w:lang w:eastAsia="zh-CN"/>
        </w:rPr>
      </w:pPr>
      <w:r w:rsidRPr="00571914">
        <w:rPr>
          <w:rFonts w:eastAsia="SimHei"/>
          <w:lang w:eastAsia="zh-CN"/>
        </w:rPr>
        <w:t xml:space="preserve">A future “digital” reporting regime based on a common data model would open the door for more structural changes in terms of reporting channels, possibly removing the need for the involvement of intermediaries in the reporting chain or aggregation in a single reporting utility. </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52496B6A" w:rsidR="00926BDA" w:rsidRPr="0017635F" w:rsidRDefault="0017635F" w:rsidP="00926BDA">
      <w:pPr>
        <w:numPr>
          <w:ilvl w:val="0"/>
          <w:numId w:val="44"/>
        </w:numPr>
        <w:rPr>
          <w:rFonts w:eastAsia="SimHei"/>
          <w:lang w:eastAsia="zh-CN"/>
        </w:rPr>
      </w:pPr>
      <w:permStart w:id="1962436404" w:edGrp="everyone"/>
      <w:r w:rsidRPr="0017635F">
        <w:rPr>
          <w:rFonts w:eastAsia="SimHei"/>
          <w:lang w:eastAsia="zh-CN"/>
        </w:rPr>
        <w:t>Not relevant to SFTs.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71CFE3C" w14:textId="77777777" w:rsidR="00660F50" w:rsidRPr="00660F50" w:rsidRDefault="00660F50" w:rsidP="00FF6160">
      <w:pPr>
        <w:numPr>
          <w:ilvl w:val="0"/>
          <w:numId w:val="44"/>
        </w:numPr>
        <w:spacing w:after="120"/>
        <w:ind w:left="357" w:hanging="357"/>
        <w:rPr>
          <w:rFonts w:eastAsia="SimHei"/>
          <w:lang w:val="en-US" w:eastAsia="zh-CN"/>
        </w:rPr>
      </w:pPr>
      <w:permStart w:id="105197077" w:edGrp="everyone"/>
      <w:r w:rsidRPr="00660F50">
        <w:rPr>
          <w:rFonts w:eastAsia="SimHei"/>
          <w:lang w:val="en-US" w:eastAsia="zh-CN"/>
        </w:rPr>
        <w:t xml:space="preserve">While there are benefits to enhancing the consistency and efficiency of regulatory reporting through </w:t>
      </w:r>
      <w:proofErr w:type="spellStart"/>
      <w:r w:rsidRPr="00660F50">
        <w:rPr>
          <w:rFonts w:eastAsia="SimHei"/>
          <w:lang w:val="en-US" w:eastAsia="zh-CN"/>
        </w:rPr>
        <w:t>centralisation</w:t>
      </w:r>
      <w:proofErr w:type="spellEnd"/>
      <w:r w:rsidRPr="00660F50">
        <w:rPr>
          <w:rFonts w:eastAsia="SimHei"/>
          <w:lang w:val="en-US" w:eastAsia="zh-CN"/>
        </w:rPr>
        <w:t>, this function could potentially sit outside of ESMA, allowing ESMA to remain focused on its core regulatory and supervisory mandate – focusing on ‘</w:t>
      </w:r>
      <w:r w:rsidRPr="00660F50">
        <w:rPr>
          <w:rFonts w:eastAsia="SimHei"/>
          <w:u w:val="single"/>
          <w:lang w:val="en-US" w:eastAsia="zh-CN"/>
        </w:rPr>
        <w:t>what is delivered</w:t>
      </w:r>
      <w:r w:rsidRPr="00660F50">
        <w:rPr>
          <w:rFonts w:eastAsia="SimHei"/>
          <w:lang w:val="en-US" w:eastAsia="zh-CN"/>
        </w:rPr>
        <w:t>’, rather than ‘how it is delivered’.</w:t>
      </w:r>
    </w:p>
    <w:p w14:paraId="4E5200B7" w14:textId="77777777" w:rsidR="00660F50" w:rsidRPr="00660F50" w:rsidRDefault="00660F50" w:rsidP="00FF6160">
      <w:pPr>
        <w:numPr>
          <w:ilvl w:val="0"/>
          <w:numId w:val="44"/>
        </w:numPr>
        <w:spacing w:after="120"/>
        <w:ind w:left="357" w:hanging="357"/>
        <w:rPr>
          <w:rFonts w:eastAsia="SimHei"/>
          <w:lang w:val="en-US" w:eastAsia="zh-CN"/>
        </w:rPr>
      </w:pPr>
      <w:r w:rsidRPr="00660F50">
        <w:rPr>
          <w:rFonts w:eastAsia="SimHei"/>
          <w:lang w:val="en-US" w:eastAsia="zh-CN"/>
        </w:rPr>
        <w:lastRenderedPageBreak/>
        <w:t xml:space="preserve">On the other hand, the development and operation of a </w:t>
      </w:r>
      <w:proofErr w:type="spellStart"/>
      <w:r w:rsidRPr="00660F50">
        <w:rPr>
          <w:rFonts w:eastAsia="SimHei"/>
          <w:lang w:val="en-US" w:eastAsia="zh-CN"/>
        </w:rPr>
        <w:t>centralised</w:t>
      </w:r>
      <w:proofErr w:type="spellEnd"/>
      <w:r w:rsidRPr="00660F50">
        <w:rPr>
          <w:rFonts w:eastAsia="SimHei"/>
          <w:lang w:val="en-US" w:eastAsia="zh-CN"/>
        </w:rPr>
        <w:t xml:space="preserve"> data hub would require substantial investment in technology and infrastructure. </w:t>
      </w:r>
      <w:r w:rsidRPr="00660F50">
        <w:rPr>
          <w:rFonts w:eastAsia="SimHei"/>
          <w:lang w:eastAsia="zh-CN"/>
        </w:rPr>
        <w:t>If ESMA were to proceed with this approach, it is essential that reporting entities - particularly smaller firms - are not subject to additional costs or charges for using the service. In addition, the roles and supervisory powers of NCAs would need to be clearly defined. A shift toward more centralised reporting should not create any ambiguity regarding oversight responsibilities.</w:t>
      </w:r>
    </w:p>
    <w:p w14:paraId="1A3BE8DE" w14:textId="725FF0F5" w:rsidR="00926BDA" w:rsidRPr="00660F50" w:rsidRDefault="00660F50" w:rsidP="00FF6160">
      <w:pPr>
        <w:numPr>
          <w:ilvl w:val="0"/>
          <w:numId w:val="44"/>
        </w:numPr>
        <w:spacing w:after="120"/>
        <w:ind w:left="357" w:hanging="357"/>
        <w:rPr>
          <w:rFonts w:eastAsia="SimHei"/>
          <w:lang w:val="en-US" w:eastAsia="zh-CN"/>
        </w:rPr>
      </w:pPr>
      <w:r w:rsidRPr="00660F50">
        <w:rPr>
          <w:rFonts w:eastAsia="SimHei"/>
          <w:lang w:val="en-US" w:eastAsia="zh-CN"/>
        </w:rPr>
        <w:t xml:space="preserve">In this context, ESMA’s role could be focused on defining clear and </w:t>
      </w:r>
      <w:proofErr w:type="spellStart"/>
      <w:r w:rsidRPr="00660F50">
        <w:rPr>
          <w:rFonts w:eastAsia="SimHei"/>
          <w:lang w:val="en-US" w:eastAsia="zh-CN"/>
        </w:rPr>
        <w:t>harmonised</w:t>
      </w:r>
      <w:proofErr w:type="spellEnd"/>
      <w:r w:rsidRPr="00660F50">
        <w:rPr>
          <w:rFonts w:eastAsia="SimHei"/>
          <w:lang w:val="en-US" w:eastAsia="zh-CN"/>
        </w:rPr>
        <w:t xml:space="preserve"> reporting standards, while operational implementation could be supported by industry, leveraging a common data model such as the CDM developed by ICMA, ISDA and ISLA, also taking into account other related industry standards such as </w:t>
      </w:r>
      <w:hyperlink r:id="rId21" w:history="1">
        <w:r w:rsidRPr="00660F50">
          <w:rPr>
            <w:rStyle w:val="Hyperlink"/>
            <w:rFonts w:eastAsia="SimHei"/>
            <w:lang w:val="en-US" w:eastAsia="zh-CN"/>
          </w:rPr>
          <w:t>ICMA Bond Data Taxonomy</w:t>
        </w:r>
      </w:hyperlink>
      <w:r w:rsidRPr="00660F50">
        <w:rPr>
          <w:rFonts w:eastAsia="SimHei"/>
          <w:lang w:val="en-US" w:eastAsia="zh-CN"/>
        </w:rPr>
        <w:t xml:space="preserve"> in the primary market space.</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5F2A0DE4" w:rsidR="00926BDA" w:rsidRPr="0036585B" w:rsidRDefault="0036585B" w:rsidP="00926BDA">
      <w:pPr>
        <w:numPr>
          <w:ilvl w:val="0"/>
          <w:numId w:val="45"/>
        </w:numPr>
        <w:rPr>
          <w:rFonts w:eastAsia="SimHei"/>
          <w:lang w:eastAsia="zh-CN"/>
        </w:rPr>
      </w:pPr>
      <w:permStart w:id="817709938" w:edGrp="everyone"/>
      <w:r w:rsidRPr="0036585B">
        <w:rPr>
          <w:rFonts w:eastAsia="SimHei"/>
          <w:lang w:eastAsia="zh-CN"/>
        </w:rPr>
        <w:t>Centralisation could reduce development and maintenance costs and simplify the implementation of regulatory changes. However, it also brings challenges such as higher overheads, increased complexity in managing a larger system and greater systemic risk in the event of a failure.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7A52A202" w14:textId="77777777" w:rsidR="00F12CE1" w:rsidRPr="00F12CE1" w:rsidRDefault="00F12CE1" w:rsidP="00EF24C3">
      <w:pPr>
        <w:numPr>
          <w:ilvl w:val="0"/>
          <w:numId w:val="46"/>
        </w:numPr>
        <w:spacing w:after="120"/>
        <w:ind w:left="357" w:hanging="357"/>
        <w:rPr>
          <w:rFonts w:eastAsia="SimHei"/>
          <w:lang w:eastAsia="zh-CN"/>
        </w:rPr>
      </w:pPr>
      <w:permStart w:id="993723206" w:edGrp="everyone"/>
      <w:r w:rsidRPr="00F12CE1">
        <w:rPr>
          <w:rFonts w:eastAsia="SimHei"/>
          <w:lang w:eastAsia="zh-CN"/>
        </w:rPr>
        <w:t xml:space="preserve">ESMA needs to elaborate on how it sees DLT assisting reporting. The primary purpose and benefit of DLT is the ability to perform bi-lateral transactions based on a consensus mechanism and immediately transfer things of value between participants without the need for a centralised arbitrator or service. These features are not that critical when it comes to regulatory reporting. That said, if DLT is moved upstream to the point of execution, then confirming and reporting requirements could be encoded in the smart contracts, completely removing the needs for a separate reporting regime. DLT can be private-permissioned environments that protect participants data.   </w:t>
      </w:r>
    </w:p>
    <w:p w14:paraId="1E85F6A9" w14:textId="2B70C5E3" w:rsidR="00926BDA" w:rsidRPr="00F12CE1" w:rsidRDefault="00F12CE1" w:rsidP="00EF24C3">
      <w:pPr>
        <w:numPr>
          <w:ilvl w:val="0"/>
          <w:numId w:val="46"/>
        </w:numPr>
        <w:spacing w:after="120"/>
        <w:ind w:left="357" w:hanging="357"/>
        <w:rPr>
          <w:rFonts w:eastAsia="SimHei"/>
          <w:lang w:eastAsia="zh-CN"/>
        </w:rPr>
      </w:pPr>
      <w:r w:rsidRPr="00F12CE1">
        <w:rPr>
          <w:rFonts w:eastAsia="SimHei"/>
          <w:lang w:eastAsia="zh-CN"/>
        </w:rPr>
        <w:t xml:space="preserve">We repeat our view that the logical objective of a programme of simplification of reporting requirements for SFTs and derivatives must be a single reporting regime based on a common data model that can describe all financial instruments and transactions, ideally based on the Common Domain Model (CDM) being developed by ICMA, ISLA and ISDA. Such a concept would support the idea of direct digital reporting and data-pulling by regulators as opposed to data-pushing by firms. This objective is beyond the horizon of this consultation, but it should nevertheless frame the actions inspired by the </w:t>
      </w:r>
      <w:r w:rsidRPr="00F12CE1">
        <w:rPr>
          <w:rFonts w:eastAsia="SimHei"/>
          <w:lang w:eastAsia="zh-CN"/>
        </w:rPr>
        <w:lastRenderedPageBreak/>
        <w:t xml:space="preserve">consultation, </w:t>
      </w:r>
      <w:proofErr w:type="gramStart"/>
      <w:r w:rsidRPr="00F12CE1">
        <w:rPr>
          <w:rFonts w:eastAsia="SimHei"/>
          <w:lang w:eastAsia="zh-CN"/>
        </w:rPr>
        <w:t>so as to</w:t>
      </w:r>
      <w:proofErr w:type="gramEnd"/>
      <w:r w:rsidRPr="00F12CE1">
        <w:rPr>
          <w:rFonts w:eastAsia="SimHei"/>
          <w:lang w:eastAsia="zh-CN"/>
        </w:rPr>
        <w:t xml:space="preserve"> help guide the development of reporting technology and not incur future restructuring costs. As noted above, ICMA would be keen to work together with ESMA and other industry stakeholders to further define such a future reporting framework and develop a Roadmap to get there.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39AACB" w14:textId="77777777" w:rsidR="00926BDA" w:rsidRDefault="00926BDA" w:rsidP="00926BDA">
      <w:permStart w:id="1652326327" w:edGrp="everyone"/>
      <w:r>
        <w:t>TYPE YOUR TEXT HERE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77777777" w:rsidR="00926BDA" w:rsidRDefault="00926BDA" w:rsidP="00926BDA">
      <w:permStart w:id="806124853" w:edGrp="everyone"/>
      <w:r>
        <w:t>TYPE YOUR TEXT HERE</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448A2487" w:rsidR="00926BDA" w:rsidRPr="0017635F" w:rsidRDefault="0017635F" w:rsidP="00926BDA">
      <w:pPr>
        <w:numPr>
          <w:ilvl w:val="0"/>
          <w:numId w:val="44"/>
        </w:numPr>
        <w:rPr>
          <w:rFonts w:eastAsia="SimHei"/>
          <w:lang w:eastAsia="zh-CN"/>
        </w:rPr>
      </w:pPr>
      <w:permStart w:id="1181963014" w:edGrp="everyone"/>
      <w:r w:rsidRPr="0017635F">
        <w:rPr>
          <w:rFonts w:eastAsia="SimHei"/>
          <w:lang w:eastAsia="zh-CN"/>
        </w:rPr>
        <w:t>Not relevant to SFTs.</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lastRenderedPageBreak/>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2FBE13CE" w:rsidR="00926BDA" w:rsidRPr="0017635F" w:rsidRDefault="0017635F" w:rsidP="00926BDA">
      <w:pPr>
        <w:numPr>
          <w:ilvl w:val="0"/>
          <w:numId w:val="44"/>
        </w:numPr>
        <w:rPr>
          <w:rFonts w:eastAsia="SimHei"/>
          <w:lang w:eastAsia="zh-CN"/>
        </w:rPr>
      </w:pPr>
      <w:permStart w:id="1743740379" w:edGrp="everyone"/>
      <w:r w:rsidRPr="0017635F">
        <w:rPr>
          <w:rFonts w:eastAsia="SimHei"/>
          <w:lang w:eastAsia="zh-CN"/>
        </w:rPr>
        <w:t>Not relevant to SFTs.</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3CB7F45C" w:rsidR="00926BDA" w:rsidRPr="0017635F" w:rsidRDefault="0017635F" w:rsidP="00926BDA">
      <w:pPr>
        <w:numPr>
          <w:ilvl w:val="0"/>
          <w:numId w:val="44"/>
        </w:numPr>
        <w:rPr>
          <w:rFonts w:eastAsia="SimHei"/>
          <w:lang w:eastAsia="zh-CN"/>
        </w:rPr>
      </w:pPr>
      <w:permStart w:id="1620378332" w:edGrp="everyone"/>
      <w:r w:rsidRPr="0017635F">
        <w:rPr>
          <w:rFonts w:eastAsia="SimHei"/>
          <w:lang w:eastAsia="zh-CN"/>
        </w:rPr>
        <w:t>Not relevant to SFTs.</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1DE802" w:rsidR="00926BDA" w:rsidRPr="0017635F" w:rsidRDefault="0017635F" w:rsidP="00926BDA">
      <w:pPr>
        <w:numPr>
          <w:ilvl w:val="0"/>
          <w:numId w:val="44"/>
        </w:numPr>
        <w:rPr>
          <w:rFonts w:eastAsia="SimHei"/>
          <w:lang w:eastAsia="zh-CN"/>
        </w:rPr>
      </w:pPr>
      <w:permStart w:id="443381358" w:edGrp="everyone"/>
      <w:r w:rsidRPr="0017635F">
        <w:rPr>
          <w:rFonts w:eastAsia="SimHei"/>
          <w:lang w:eastAsia="zh-CN"/>
        </w:rPr>
        <w:t>Not relevant to SFTs.</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3BEE2311" w:rsidR="00926BDA" w:rsidRPr="0017635F" w:rsidRDefault="0017635F" w:rsidP="00926BDA">
      <w:pPr>
        <w:numPr>
          <w:ilvl w:val="0"/>
          <w:numId w:val="44"/>
        </w:numPr>
        <w:rPr>
          <w:rFonts w:eastAsia="SimHei"/>
          <w:lang w:eastAsia="zh-CN"/>
        </w:rPr>
      </w:pPr>
      <w:permStart w:id="1172965324" w:edGrp="everyone"/>
      <w:r w:rsidRPr="0017635F">
        <w:rPr>
          <w:rFonts w:eastAsia="SimHei"/>
          <w:lang w:eastAsia="zh-CN"/>
        </w:rPr>
        <w:t>Not relevant to SFTs.</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 xml:space="preserve">What are the anticipated investments and transition costs associated with implementing option 1a, 1b, 2a and 2b (e.g. Decommissioning of legacy systems, adapting systems to new changes and future evolving requirements, </w:t>
      </w:r>
      <w:r>
        <w:lastRenderedPageBreak/>
        <w:t>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773E4597" w14:textId="77777777" w:rsidR="00E36ABE" w:rsidRPr="00E36ABE" w:rsidRDefault="00E36ABE" w:rsidP="00E36ABE">
      <w:pPr>
        <w:rPr>
          <w:rFonts w:eastAsia="SimHei"/>
          <w:lang w:eastAsia="zh-CN"/>
        </w:rPr>
      </w:pPr>
      <w:permStart w:id="34827801" w:edGrp="everyone"/>
      <w:r w:rsidRPr="00E36ABE">
        <w:rPr>
          <w:rFonts w:eastAsia="SimHei"/>
          <w:lang w:eastAsia="zh-CN"/>
        </w:rPr>
        <w:t xml:space="preserve">These are detailed questions for which there has been inadequate time to compile a fully formed answer over the summer break to meet the September deadline for responses. However, we have attempted to collect some high-level cost estimates from members on a best effort basis to help quantify the proposals above. While the results are based on feedback from a limited number of member firms, and therefore not fully representative, we have aggregated these and included some high-level results in the General Comments section of this response (see attached). The feedback has also helped to guide our views set out in this response. </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08FE" w14:textId="77777777" w:rsidR="00E962C2" w:rsidRDefault="00E962C2" w:rsidP="007E7997">
      <w:r>
        <w:separator/>
      </w:r>
    </w:p>
  </w:endnote>
  <w:endnote w:type="continuationSeparator" w:id="0">
    <w:p w14:paraId="1D6F62AD" w14:textId="77777777" w:rsidR="00E962C2" w:rsidRDefault="00E962C2" w:rsidP="007E7997">
      <w:r>
        <w:continuationSeparator/>
      </w:r>
    </w:p>
  </w:endnote>
  <w:endnote w:type="continuationNotice" w:id="1">
    <w:p w14:paraId="2E8BFBD4" w14:textId="77777777" w:rsidR="00E962C2" w:rsidRDefault="00E9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C9F0" w14:textId="77777777" w:rsidR="00E962C2" w:rsidRDefault="00E962C2" w:rsidP="007E7997">
      <w:r>
        <w:separator/>
      </w:r>
    </w:p>
  </w:footnote>
  <w:footnote w:type="continuationSeparator" w:id="0">
    <w:p w14:paraId="48F9116D" w14:textId="77777777" w:rsidR="00E962C2" w:rsidRDefault="00E962C2" w:rsidP="007E7997">
      <w:r>
        <w:continuationSeparator/>
      </w:r>
    </w:p>
  </w:footnote>
  <w:footnote w:type="continuationNotice" w:id="1">
    <w:p w14:paraId="26A49CA9" w14:textId="77777777" w:rsidR="00E962C2" w:rsidRDefault="00E9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634CFA"/>
    <w:multiLevelType w:val="hybridMultilevel"/>
    <w:tmpl w:val="8776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2E7AF5"/>
    <w:multiLevelType w:val="hybridMultilevel"/>
    <w:tmpl w:val="B1D02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7A7784"/>
    <w:multiLevelType w:val="hybridMultilevel"/>
    <w:tmpl w:val="AA703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01C4F22"/>
    <w:multiLevelType w:val="hybridMultilevel"/>
    <w:tmpl w:val="FB5CA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E854C9"/>
    <w:multiLevelType w:val="hybridMultilevel"/>
    <w:tmpl w:val="3E2EB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4900C13"/>
    <w:multiLevelType w:val="hybridMultilevel"/>
    <w:tmpl w:val="BF442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27479"/>
    <w:multiLevelType w:val="hybridMultilevel"/>
    <w:tmpl w:val="15104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D54F35"/>
    <w:multiLevelType w:val="hybridMultilevel"/>
    <w:tmpl w:val="02F24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256156"/>
    <w:multiLevelType w:val="hybridMultilevel"/>
    <w:tmpl w:val="41409A46"/>
    <w:lvl w:ilvl="0" w:tplc="F45896C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0F235A9"/>
    <w:multiLevelType w:val="hybridMultilevel"/>
    <w:tmpl w:val="66646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4"/>
  </w:num>
  <w:num w:numId="2" w16cid:durableId="1495532731">
    <w:abstractNumId w:val="4"/>
  </w:num>
  <w:num w:numId="3" w16cid:durableId="994409496">
    <w:abstractNumId w:val="33"/>
  </w:num>
  <w:num w:numId="4" w16cid:durableId="1880320868">
    <w:abstractNumId w:val="5"/>
  </w:num>
  <w:num w:numId="5" w16cid:durableId="290864581">
    <w:abstractNumId w:val="18"/>
  </w:num>
  <w:num w:numId="6" w16cid:durableId="952590553">
    <w:abstractNumId w:val="36"/>
  </w:num>
  <w:num w:numId="7" w16cid:durableId="1159686949">
    <w:abstractNumId w:val="17"/>
  </w:num>
  <w:num w:numId="8" w16cid:durableId="765269892">
    <w:abstractNumId w:val="8"/>
  </w:num>
  <w:num w:numId="9" w16cid:durableId="1301960395">
    <w:abstractNumId w:val="13"/>
  </w:num>
  <w:num w:numId="10" w16cid:durableId="1228616548">
    <w:abstractNumId w:val="12"/>
  </w:num>
  <w:num w:numId="11" w16cid:durableId="2051027016">
    <w:abstractNumId w:val="11"/>
  </w:num>
  <w:num w:numId="12" w16cid:durableId="8338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7"/>
  </w:num>
  <w:num w:numId="15" w16cid:durableId="986476960">
    <w:abstractNumId w:val="29"/>
  </w:num>
  <w:num w:numId="16" w16cid:durableId="398749299">
    <w:abstractNumId w:val="35"/>
  </w:num>
  <w:num w:numId="17" w16cid:durableId="1407611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30"/>
  </w:num>
  <w:num w:numId="19" w16cid:durableId="558588771">
    <w:abstractNumId w:val="36"/>
  </w:num>
  <w:num w:numId="20" w16cid:durableId="1306933315">
    <w:abstractNumId w:val="15"/>
  </w:num>
  <w:num w:numId="21" w16cid:durableId="1623876054">
    <w:abstractNumId w:val="32"/>
  </w:num>
  <w:num w:numId="22" w16cid:durableId="783383837">
    <w:abstractNumId w:val="20"/>
  </w:num>
  <w:num w:numId="23" w16cid:durableId="2112964618">
    <w:abstractNumId w:val="28"/>
  </w:num>
  <w:num w:numId="24" w16cid:durableId="1958565453">
    <w:abstractNumId w:val="0"/>
  </w:num>
  <w:num w:numId="25" w16cid:durableId="1372725395">
    <w:abstractNumId w:val="26"/>
  </w:num>
  <w:num w:numId="26" w16cid:durableId="1686445133">
    <w:abstractNumId w:val="22"/>
  </w:num>
  <w:num w:numId="27" w16cid:durableId="1247768697">
    <w:abstractNumId w:val="14"/>
  </w:num>
  <w:num w:numId="28" w16cid:durableId="954170948">
    <w:abstractNumId w:val="3"/>
  </w:num>
  <w:num w:numId="29" w16cid:durableId="837424337">
    <w:abstractNumId w:val="25"/>
  </w:num>
  <w:num w:numId="30" w16cid:durableId="299657983">
    <w:abstractNumId w:val="6"/>
  </w:num>
  <w:num w:numId="31" w16cid:durableId="699822250">
    <w:abstractNumId w:val="21"/>
  </w:num>
  <w:num w:numId="32" w16cid:durableId="730466929">
    <w:abstractNumId w:val="16"/>
    <w:lvlOverride w:ilvl="0">
      <w:startOverride w:val="1"/>
    </w:lvlOverride>
  </w:num>
  <w:num w:numId="33" w16cid:durableId="552498262">
    <w:abstractNumId w:val="27"/>
  </w:num>
  <w:num w:numId="34" w16cid:durableId="1829132647">
    <w:abstractNumId w:val="16"/>
    <w:lvlOverride w:ilvl="0">
      <w:startOverride w:val="1"/>
    </w:lvlOverride>
  </w:num>
  <w:num w:numId="35" w16cid:durableId="1915964461">
    <w:abstractNumId w:val="16"/>
    <w:lvlOverride w:ilvl="0">
      <w:startOverride w:val="1"/>
    </w:lvlOverride>
  </w:num>
  <w:num w:numId="36" w16cid:durableId="1385182617">
    <w:abstractNumId w:val="16"/>
    <w:lvlOverride w:ilvl="0">
      <w:startOverride w:val="1"/>
    </w:lvlOverride>
  </w:num>
  <w:num w:numId="37" w16cid:durableId="112984495">
    <w:abstractNumId w:val="24"/>
  </w:num>
  <w:num w:numId="38" w16cid:durableId="1967198093">
    <w:abstractNumId w:val="23"/>
  </w:num>
  <w:num w:numId="39" w16cid:durableId="980188209">
    <w:abstractNumId w:val="9"/>
  </w:num>
  <w:num w:numId="40" w16cid:durableId="1468864123">
    <w:abstractNumId w:val="7"/>
  </w:num>
  <w:num w:numId="41" w16cid:durableId="1904490071">
    <w:abstractNumId w:val="34"/>
  </w:num>
  <w:num w:numId="42" w16cid:durableId="114057819">
    <w:abstractNumId w:val="1"/>
  </w:num>
  <w:num w:numId="43" w16cid:durableId="2051342785">
    <w:abstractNumId w:val="31"/>
  </w:num>
  <w:num w:numId="44" w16cid:durableId="1042750556">
    <w:abstractNumId w:val="10"/>
  </w:num>
  <w:num w:numId="45" w16cid:durableId="2101750187">
    <w:abstractNumId w:val="19"/>
  </w:num>
  <w:num w:numId="46" w16cid:durableId="14279649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56E57"/>
    <w:rsid w:val="00056FDA"/>
    <w:rsid w:val="00061B2B"/>
    <w:rsid w:val="000627C5"/>
    <w:rsid w:val="0006448C"/>
    <w:rsid w:val="0006449B"/>
    <w:rsid w:val="000655AD"/>
    <w:rsid w:val="00066FD1"/>
    <w:rsid w:val="00072BF9"/>
    <w:rsid w:val="00073DF9"/>
    <w:rsid w:val="0007767E"/>
    <w:rsid w:val="0007796D"/>
    <w:rsid w:val="000830DA"/>
    <w:rsid w:val="00083FBB"/>
    <w:rsid w:val="00086693"/>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2FE8"/>
    <w:rsid w:val="0010429A"/>
    <w:rsid w:val="00105424"/>
    <w:rsid w:val="001075EC"/>
    <w:rsid w:val="00113D82"/>
    <w:rsid w:val="00120F0D"/>
    <w:rsid w:val="001214DA"/>
    <w:rsid w:val="0012722A"/>
    <w:rsid w:val="0013090E"/>
    <w:rsid w:val="00130EF9"/>
    <w:rsid w:val="001319C7"/>
    <w:rsid w:val="001354A8"/>
    <w:rsid w:val="001355E6"/>
    <w:rsid w:val="0013644A"/>
    <w:rsid w:val="00136DF3"/>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635F"/>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2C2"/>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44E3"/>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585B"/>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3265"/>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1B5"/>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2C"/>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1914"/>
    <w:rsid w:val="005725BD"/>
    <w:rsid w:val="005730B0"/>
    <w:rsid w:val="00575DCC"/>
    <w:rsid w:val="00576AAD"/>
    <w:rsid w:val="00577E98"/>
    <w:rsid w:val="005821B0"/>
    <w:rsid w:val="0059175F"/>
    <w:rsid w:val="00591AAC"/>
    <w:rsid w:val="00595F08"/>
    <w:rsid w:val="00595FBE"/>
    <w:rsid w:val="005A1C55"/>
    <w:rsid w:val="005A4636"/>
    <w:rsid w:val="005A5EF1"/>
    <w:rsid w:val="005B14D5"/>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1614"/>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0F50"/>
    <w:rsid w:val="00661766"/>
    <w:rsid w:val="00662882"/>
    <w:rsid w:val="0066298C"/>
    <w:rsid w:val="00663008"/>
    <w:rsid w:val="00663093"/>
    <w:rsid w:val="00665A7C"/>
    <w:rsid w:val="00665B0B"/>
    <w:rsid w:val="006705CD"/>
    <w:rsid w:val="00671363"/>
    <w:rsid w:val="00672780"/>
    <w:rsid w:val="00672842"/>
    <w:rsid w:val="00676CFC"/>
    <w:rsid w:val="00677133"/>
    <w:rsid w:val="00680A1C"/>
    <w:rsid w:val="00681482"/>
    <w:rsid w:val="00687BF0"/>
    <w:rsid w:val="006904CF"/>
    <w:rsid w:val="006912FB"/>
    <w:rsid w:val="00695AF2"/>
    <w:rsid w:val="00696A2B"/>
    <w:rsid w:val="00696BD5"/>
    <w:rsid w:val="006A04AE"/>
    <w:rsid w:val="006A0AE4"/>
    <w:rsid w:val="006A172D"/>
    <w:rsid w:val="006A23F3"/>
    <w:rsid w:val="006A2CF3"/>
    <w:rsid w:val="006A5047"/>
    <w:rsid w:val="006A551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0DC"/>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35CA"/>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67BE5"/>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4FC7"/>
    <w:rsid w:val="007B73F3"/>
    <w:rsid w:val="007B7EE5"/>
    <w:rsid w:val="007C1C28"/>
    <w:rsid w:val="007C2A2C"/>
    <w:rsid w:val="007C3577"/>
    <w:rsid w:val="007C5E08"/>
    <w:rsid w:val="007C5F2A"/>
    <w:rsid w:val="007C660A"/>
    <w:rsid w:val="007D0002"/>
    <w:rsid w:val="007D0F50"/>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1B6A"/>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200"/>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10AD"/>
    <w:rsid w:val="00A82429"/>
    <w:rsid w:val="00A8284E"/>
    <w:rsid w:val="00A870EE"/>
    <w:rsid w:val="00A91D91"/>
    <w:rsid w:val="00A95D52"/>
    <w:rsid w:val="00A960E3"/>
    <w:rsid w:val="00A96F81"/>
    <w:rsid w:val="00A9709D"/>
    <w:rsid w:val="00A973A8"/>
    <w:rsid w:val="00AA054E"/>
    <w:rsid w:val="00AA0A10"/>
    <w:rsid w:val="00AA2094"/>
    <w:rsid w:val="00AA2947"/>
    <w:rsid w:val="00AA4ECB"/>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20B"/>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66B02"/>
    <w:rsid w:val="00B7002C"/>
    <w:rsid w:val="00B728C7"/>
    <w:rsid w:val="00B73FF2"/>
    <w:rsid w:val="00B74CBA"/>
    <w:rsid w:val="00B74ED3"/>
    <w:rsid w:val="00B768CF"/>
    <w:rsid w:val="00B81A44"/>
    <w:rsid w:val="00B85ECC"/>
    <w:rsid w:val="00B86BB5"/>
    <w:rsid w:val="00B91072"/>
    <w:rsid w:val="00B91B6E"/>
    <w:rsid w:val="00B94B2C"/>
    <w:rsid w:val="00B96F7D"/>
    <w:rsid w:val="00B970D0"/>
    <w:rsid w:val="00BA49F4"/>
    <w:rsid w:val="00BA5C41"/>
    <w:rsid w:val="00BA6ACA"/>
    <w:rsid w:val="00BA7232"/>
    <w:rsid w:val="00BA7809"/>
    <w:rsid w:val="00BB10FB"/>
    <w:rsid w:val="00BB29AA"/>
    <w:rsid w:val="00BB449C"/>
    <w:rsid w:val="00BB44D7"/>
    <w:rsid w:val="00BC2561"/>
    <w:rsid w:val="00BC3E3E"/>
    <w:rsid w:val="00BC422A"/>
    <w:rsid w:val="00BC5128"/>
    <w:rsid w:val="00BC5608"/>
    <w:rsid w:val="00BC6CD5"/>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2E98"/>
    <w:rsid w:val="00C9545D"/>
    <w:rsid w:val="00C9625C"/>
    <w:rsid w:val="00C9669B"/>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09A9"/>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2B4B"/>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36ABE"/>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962C2"/>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4AED"/>
    <w:rsid w:val="00EE6DD6"/>
    <w:rsid w:val="00EE6E22"/>
    <w:rsid w:val="00EF0867"/>
    <w:rsid w:val="00EF1A10"/>
    <w:rsid w:val="00EF1A9F"/>
    <w:rsid w:val="00EF1B27"/>
    <w:rsid w:val="00EF24C3"/>
    <w:rsid w:val="00EF4370"/>
    <w:rsid w:val="00EF5AD7"/>
    <w:rsid w:val="00F03FA7"/>
    <w:rsid w:val="00F048EF"/>
    <w:rsid w:val="00F06AAD"/>
    <w:rsid w:val="00F12CE1"/>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14D0"/>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160"/>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35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056E57"/>
    <w:pPr>
      <w:numPr>
        <w:numId w:val="43"/>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056E57"/>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character" w:styleId="UnresolvedMention">
    <w:name w:val="Unresolved Mention"/>
    <w:basedOn w:val="DefaultParagraphFont"/>
    <w:uiPriority w:val="99"/>
    <w:semiHidden/>
    <w:unhideWhenUsed/>
    <w:rsid w:val="00086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s://www.icmagroup.org/assets/documents/Regulatory/FinTech/Bond-data-taxonomy/ICMA-Bond-Data-Taxonomy-BDT-Factsheet-March-2023-140323.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www.icmagroup.org/assets/ESMA_RTS2224_ICMA_ERCC_Annex_introduction-Jan-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20b51a-7dda-4d1d-8e76-1270bfcccbcb" xsi:nil="true"/>
    <lcf76f155ced4ddcb4097134ff3c332f xmlns="4c88ae56-2fce-457e-a6ec-b1e5e09e2e5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70EAEE62EFFB43B0FB99848E2D79D1" ma:contentTypeVersion="18" ma:contentTypeDescription="Create a new document." ma:contentTypeScope="" ma:versionID="ea98114f8e8f59f27ecd3875cdc659fd">
  <xsd:schema xmlns:xsd="http://www.w3.org/2001/XMLSchema" xmlns:xs="http://www.w3.org/2001/XMLSchema" xmlns:p="http://schemas.microsoft.com/office/2006/metadata/properties" xmlns:ns2="4c88ae56-2fce-457e-a6ec-b1e5e09e2e50" xmlns:ns3="5f20b51a-7dda-4d1d-8e76-1270bfcccbcb" targetNamespace="http://schemas.microsoft.com/office/2006/metadata/properties" ma:root="true" ma:fieldsID="66d589ee1efeea2b0c307394e6f71ec4" ns2:_="" ns3:_="">
    <xsd:import namespace="4c88ae56-2fce-457e-a6ec-b1e5e09e2e50"/>
    <xsd:import namespace="5f20b51a-7dda-4d1d-8e76-1270bfccc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8ae56-2fce-457e-a6ec-b1e5e09e2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ec069-1e13-4f41-8711-e78c8fa09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0b51a-7dda-4d1d-8e76-1270bfccc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8c862-d778-43ef-84f4-028793df73b6}" ma:internalName="TaxCatchAll" ma:showField="CatchAllData" ma:web="5f20b51a-7dda-4d1d-8e76-1270bfccc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5f20b51a-7dda-4d1d-8e76-1270bfcccbcb"/>
    <ds:schemaRef ds:uri="4c88ae56-2fce-457e-a6ec-b1e5e09e2e50"/>
  </ds:schemaRefs>
</ds:datastoreItem>
</file>

<file path=customXml/itemProps4.xml><?xml version="1.0" encoding="utf-8"?>
<ds:datastoreItem xmlns:ds="http://schemas.openxmlformats.org/officeDocument/2006/customXml" ds:itemID="{55788C2E-0E68-4F6F-9659-FF5E14BD2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8ae56-2fce-457e-a6ec-b1e5e09e2e50"/>
    <ds:schemaRef ds:uri="5f20b51a-7dda-4d1d-8e76-1270bfcc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TotalTime>
  <Pages>17</Pages>
  <Words>5198</Words>
  <Characters>29634</Characters>
  <Application>Microsoft Office Word</Application>
  <DocSecurity>12</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Zhan Chen</cp:lastModifiedBy>
  <cp:revision>2</cp:revision>
  <cp:lastPrinted>2017-07-24T14:47:00Z</cp:lastPrinted>
  <dcterms:created xsi:type="dcterms:W3CDTF">2025-09-19T15:31:00Z</dcterms:created>
  <dcterms:modified xsi:type="dcterms:W3CDTF">2025-09-19T15:31:00Z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_dlc_DocIdItemGuid">
    <vt:lpwstr>569bcf0d-12b0-4e1e-b129-58e1e8da7205</vt:lpwstr>
  </property>
  <property fmtid="{D5CDD505-2E9C-101B-9397-08002B2CF9AE}" pid="5" name="DocumentType">
    <vt:lpwstr>20;#Report|78753201-1e9e-4a21-a088-6ff602b5c999</vt:lpwstr>
  </property>
  <property fmtid="{D5CDD505-2E9C-101B-9397-08002B2CF9AE}" pid="6" name="Topic">
    <vt:lpwstr>508;#European Green Bonds|f68cfe7f-8b0c-4445-b5d7-ad808afd8270</vt:lpwstr>
  </property>
  <property fmtid="{D5CDD505-2E9C-101B-9397-08002B2CF9AE}" pid="7" name="_docset_NoMedatataSyncRequired">
    <vt:lpwstr>False</vt:lpwstr>
  </property>
  <property fmtid="{D5CDD505-2E9C-101B-9397-08002B2CF9AE}" pid="8" name="Document_x0020_Language">
    <vt:lpwstr/>
  </property>
  <property fmtid="{D5CDD505-2E9C-101B-9397-08002B2CF9AE}" pid="9" name="Document Language">
    <vt:lpwstr/>
  </property>
  <property fmtid="{D5CDD505-2E9C-101B-9397-08002B2CF9AE}" pid="10" name="TeamName">
    <vt:lpwstr>9;#Credit Ratings Agency Unit|ac587c9e-f6a3-4205-8197-96cf16201777</vt:lpwstr>
  </property>
  <property fmtid="{D5CDD505-2E9C-101B-9397-08002B2CF9AE}" pid="11" name="LegalInstrument">
    <vt:lpwstr>27;#Guidelines|5e144655-8ff3-49e5-b82a-b036da8a9173</vt:lpwstr>
  </property>
  <property fmtid="{D5CDD505-2E9C-101B-9397-08002B2CF9AE}" pid="12" name="MemberState">
    <vt:lpwstr/>
  </property>
  <property fmtid="{D5CDD505-2E9C-101B-9397-08002B2CF9AE}" pid="13" name="Stakeholder">
    <vt:lpwstr/>
  </property>
  <property fmtid="{D5CDD505-2E9C-101B-9397-08002B2CF9AE}" pid="14" name="LegalAct">
    <vt:lpwstr>30;#ESMA Regulation|1f6010a2-1a2c-44cf-adf8-f8fd9b166bb1</vt:lpwstr>
  </property>
  <property fmtid="{D5CDD505-2E9C-101B-9397-08002B2CF9AE}" pid="15" name="Related Legal Acts">
    <vt:lpwstr/>
  </property>
  <property fmtid="{D5CDD505-2E9C-101B-9397-08002B2CF9AE}" pid="16" name="SubTopic">
    <vt:lpwstr>509;#Qualification of crypto-assets - ESMA Guidelines on classification|4332d316-c095-4f91-9af2-56426177b6b7</vt:lpwstr>
  </property>
  <property fmtid="{D5CDD505-2E9C-101B-9397-08002B2CF9AE}" pid="17" name="TeamTopic">
    <vt:lpwstr>87;#Other Work|f1a52b52-917d-42ef-9667-945839604bb2</vt:lpwstr>
  </property>
  <property fmtid="{D5CDD505-2E9C-101B-9397-08002B2CF9AE}" pid="18" name="URL">
    <vt:lpwstr/>
  </property>
  <property fmtid="{D5CDD505-2E9C-101B-9397-08002B2CF9AE}" pid="19" name="DocumentSetDescription">
    <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4dcb8942-b9fd-4687-9c67-fe5cb333f037</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2025-06-17T15:19:03Z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ContentTypeId">
    <vt:lpwstr>0x0101009070EAEE62EFFB43B0FB99848E2D79D1</vt:lpwstr>
  </property>
  <property fmtid="{D5CDD505-2E9C-101B-9397-08002B2CF9AE}" pid="29" name="MediaServiceImageTags">
    <vt:lpwstr/>
  </property>
</Properties>
</file>