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ytu"/>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ytu"/>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Nagwek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Nagwek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942CF"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6C6BE9">
          <w:pPr>
            <w:numPr>
              <w:ilvl w:val="0"/>
              <w:numId w:val="8"/>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6C6BE9">
          <w:pPr>
            <w:numPr>
              <w:ilvl w:val="0"/>
              <w:numId w:val="8"/>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6C6BE9">
          <w:pPr>
            <w:numPr>
              <w:ilvl w:val="0"/>
              <w:numId w:val="8"/>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6C6BE9">
          <w:pPr>
            <w:numPr>
              <w:ilvl w:val="0"/>
              <w:numId w:val="8"/>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6C6BE9">
          <w:pPr>
            <w:pStyle w:val="Akapitzlist"/>
            <w:numPr>
              <w:ilvl w:val="0"/>
              <w:numId w:val="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6C6BE9">
          <w:pPr>
            <w:pStyle w:val="Akapitzlist"/>
            <w:numPr>
              <w:ilvl w:val="0"/>
              <w:numId w:val="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6C6BE9">
          <w:pPr>
            <w:pStyle w:val="Akapitzlist"/>
            <w:numPr>
              <w:ilvl w:val="0"/>
              <w:numId w:val="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6C6BE9">
          <w:pPr>
            <w:pStyle w:val="Akapitzlist"/>
            <w:numPr>
              <w:ilvl w:val="0"/>
              <w:numId w:val="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6C6BE9">
          <w:pPr>
            <w:pStyle w:val="Akapitzlist"/>
            <w:numPr>
              <w:ilvl w:val="0"/>
              <w:numId w:val="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6C6BE9">
          <w:pPr>
            <w:pStyle w:val="Akapitzlist"/>
            <w:numPr>
              <w:ilvl w:val="0"/>
              <w:numId w:val="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Nagwek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Nagwek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Nagwek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07276BD3" w:rsidR="00C85C8B" w:rsidRPr="00B16706" w:rsidRDefault="00F20CDD" w:rsidP="00C85C8B">
                <w:pPr>
                  <w:rPr>
                    <w:rFonts w:ascii="Arial" w:hAnsi="Arial" w:cs="Arial"/>
                    <w:color w:val="808080"/>
                    <w:sz w:val="16"/>
                    <w:szCs w:val="20"/>
                    <w:lang w:eastAsia="de-DE"/>
                  </w:rPr>
                </w:pPr>
                <w:r>
                  <w:rPr>
                    <w:rFonts w:ascii="Arial" w:hAnsi="Arial" w:cs="Arial"/>
                    <w:color w:val="808080"/>
                    <w:sz w:val="16"/>
                    <w:szCs w:val="20"/>
                    <w:lang w:eastAsia="de-DE"/>
                  </w:rPr>
                  <w:t>KDPW Trade Repository</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2BDEA8D"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20CDD">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tcPr>
              <w:p w14:paraId="6C4423E1" w14:textId="6E65A6E9" w:rsidR="00C85C8B" w:rsidRPr="00B16706" w:rsidRDefault="00B600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241861E0" w:rsidR="00C85C8B" w:rsidRPr="00B16706" w:rsidRDefault="00F20CDD" w:rsidP="00C85C8B">
                <w:pPr>
                  <w:rPr>
                    <w:rFonts w:ascii="Arial" w:hAnsi="Arial" w:cs="Arial"/>
                    <w:sz w:val="16"/>
                    <w:szCs w:val="20"/>
                    <w:lang w:eastAsia="de-DE"/>
                  </w:rPr>
                </w:pPr>
                <w:r>
                  <w:rPr>
                    <w:rFonts w:ascii="Arial" w:hAnsi="Arial" w:cs="Arial"/>
                    <w:sz w:val="16"/>
                    <w:szCs w:val="20"/>
                    <w:lang w:eastAsia="de-DE"/>
                  </w:rPr>
                  <w:t>Poland</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9C658C7" w14:textId="77777777" w:rsidR="00DD1CA1" w:rsidRDefault="000B011B" w:rsidP="00595234">
      <w:pPr>
        <w:jc w:val="both"/>
        <w:rPr>
          <w:rFonts w:asciiTheme="majorHAnsi" w:hAnsiTheme="majorHAnsi" w:cstheme="majorHAnsi"/>
          <w:sz w:val="22"/>
          <w:szCs w:val="22"/>
        </w:rPr>
      </w:pPr>
      <w:permStart w:id="785210304" w:edGrp="everyone"/>
      <w:r>
        <w:rPr>
          <w:rFonts w:asciiTheme="majorHAnsi" w:hAnsiTheme="majorHAnsi" w:cstheme="majorHAnsi"/>
          <w:sz w:val="22"/>
          <w:szCs w:val="22"/>
        </w:rPr>
        <w:t>INTRODUCTION</w:t>
      </w:r>
      <w:r>
        <w:rPr>
          <w:rFonts w:asciiTheme="majorHAnsi" w:hAnsiTheme="majorHAnsi" w:cstheme="majorHAnsi"/>
          <w:sz w:val="22"/>
          <w:szCs w:val="22"/>
        </w:rPr>
        <w:br/>
      </w:r>
      <w:r>
        <w:rPr>
          <w:rFonts w:asciiTheme="majorHAnsi" w:hAnsiTheme="majorHAnsi" w:cstheme="majorHAnsi"/>
          <w:sz w:val="22"/>
          <w:szCs w:val="22"/>
        </w:rPr>
        <w:br/>
      </w:r>
      <w:r w:rsidRPr="000B011B">
        <w:rPr>
          <w:rFonts w:asciiTheme="majorHAnsi" w:hAnsiTheme="majorHAnsi" w:cstheme="majorHAnsi"/>
          <w:sz w:val="22"/>
          <w:szCs w:val="22"/>
        </w:rPr>
        <w:t>KDPW</w:t>
      </w:r>
      <w:r>
        <w:rPr>
          <w:rFonts w:asciiTheme="majorHAnsi" w:hAnsiTheme="majorHAnsi" w:cstheme="majorHAnsi"/>
          <w:sz w:val="22"/>
          <w:szCs w:val="22"/>
        </w:rPr>
        <w:t xml:space="preserve"> S.A. </w:t>
      </w:r>
      <w:r w:rsidRPr="000B011B">
        <w:rPr>
          <w:rFonts w:asciiTheme="majorHAnsi" w:hAnsiTheme="majorHAnsi" w:cstheme="majorHAnsi"/>
          <w:sz w:val="22"/>
          <w:szCs w:val="22"/>
        </w:rPr>
        <w:t>fully supports the initiative aimed at integrating, streamlining, and simplifying</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financial regulatory reporting requirements to reduce the burden they generate for market</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participants. We are pleased that ESMA has invited market participants, reporting entities</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and market infrastructures, trade associations, and other stakeholders to participate in</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consultations on possible changes in this area.</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KDPW is a central securities depository</w:t>
      </w:r>
      <w:r w:rsidR="004C5635">
        <w:rPr>
          <w:rFonts w:asciiTheme="majorHAnsi" w:hAnsiTheme="majorHAnsi" w:cstheme="majorHAnsi"/>
          <w:sz w:val="22"/>
          <w:szCs w:val="22"/>
        </w:rPr>
        <w:t xml:space="preserve"> </w:t>
      </w:r>
      <w:r>
        <w:rPr>
          <w:rFonts w:asciiTheme="majorHAnsi" w:hAnsiTheme="majorHAnsi" w:cstheme="majorHAnsi"/>
          <w:sz w:val="22"/>
          <w:szCs w:val="22"/>
        </w:rPr>
        <w:t>(CSD)</w:t>
      </w:r>
      <w:r w:rsidRPr="000B011B">
        <w:rPr>
          <w:rFonts w:asciiTheme="majorHAnsi" w:hAnsiTheme="majorHAnsi" w:cstheme="majorHAnsi"/>
          <w:sz w:val="22"/>
          <w:szCs w:val="22"/>
        </w:rPr>
        <w:t> providing a full range of post-trade services (including TR and ARM) and offering</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clearing services through its subsidiary KDPW_CCP S.A. We offer support to both reporting</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entities and supervisory authorities using the data within their mandates.</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With extensive</w:t>
      </w:r>
      <w:r w:rsidR="004C5635">
        <w:rPr>
          <w:rFonts w:asciiTheme="majorHAnsi" w:hAnsiTheme="majorHAnsi" w:cstheme="majorHAnsi"/>
          <w:sz w:val="22"/>
          <w:szCs w:val="22"/>
        </w:rPr>
        <w:t xml:space="preserve"> </w:t>
      </w:r>
      <w:r w:rsidRPr="000B011B">
        <w:rPr>
          <w:rFonts w:asciiTheme="majorHAnsi" w:hAnsiTheme="majorHAnsi" w:cstheme="majorHAnsi"/>
          <w:sz w:val="22"/>
          <w:szCs w:val="22"/>
        </w:rPr>
        <w:t>experience in the financial and capital markets and understanding the needs of participants</w:t>
      </w:r>
      <w:r w:rsidR="00DD1CA1">
        <w:rPr>
          <w:rFonts w:asciiTheme="majorHAnsi" w:hAnsiTheme="majorHAnsi" w:cstheme="majorHAnsi"/>
          <w:sz w:val="22"/>
          <w:szCs w:val="22"/>
        </w:rPr>
        <w:t xml:space="preserve"> </w:t>
      </w:r>
      <w:r w:rsidRPr="000B011B">
        <w:rPr>
          <w:rFonts w:asciiTheme="majorHAnsi" w:hAnsiTheme="majorHAnsi" w:cstheme="majorHAnsi"/>
          <w:sz w:val="22"/>
          <w:szCs w:val="22"/>
        </w:rPr>
        <w:t>and supervisors, we feel empowered to participate in developing new solutions that, we believe, will bring added value to the market.</w:t>
      </w:r>
    </w:p>
    <w:p w14:paraId="0CF0B0C9" w14:textId="70CAC812" w:rsidR="000B011B" w:rsidRPr="000B011B" w:rsidRDefault="000B011B" w:rsidP="00595234">
      <w:pPr>
        <w:jc w:val="both"/>
        <w:rPr>
          <w:rFonts w:asciiTheme="majorHAnsi" w:hAnsiTheme="majorHAnsi" w:cstheme="majorHAnsi"/>
          <w:sz w:val="22"/>
          <w:szCs w:val="22"/>
        </w:rPr>
      </w:pPr>
      <w:r w:rsidRPr="000B011B">
        <w:rPr>
          <w:rFonts w:asciiTheme="majorHAnsi" w:hAnsiTheme="majorHAnsi" w:cstheme="majorHAnsi"/>
          <w:sz w:val="22"/>
          <w:szCs w:val="22"/>
        </w:rPr>
        <w:t>Below, we present our opinion on the proposed options 1 and 2 as well as</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questions presented in the Call for e</w:t>
      </w:r>
      <w:r w:rsidR="003F2D78">
        <w:rPr>
          <w:rFonts w:asciiTheme="majorHAnsi" w:hAnsiTheme="majorHAnsi" w:cstheme="majorHAnsi"/>
          <w:sz w:val="22"/>
          <w:szCs w:val="22"/>
        </w:rPr>
        <w:t>v</w:t>
      </w:r>
      <w:r w:rsidRPr="000B011B">
        <w:rPr>
          <w:rFonts w:asciiTheme="majorHAnsi" w:hAnsiTheme="majorHAnsi" w:cstheme="majorHAnsi"/>
          <w:sz w:val="22"/>
          <w:szCs w:val="22"/>
        </w:rPr>
        <w:t>idence, supplemented by our own proposals (options</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1aa and 2aa), which, we believe, constitute beneficial modifications to the basic</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options and which we hope will optimize reporting obligations, ensuring data quality, integrity</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and availability. </w:t>
      </w:r>
    </w:p>
    <w:p w14:paraId="08BACF3D" w14:textId="19826574" w:rsidR="000B011B" w:rsidRPr="000B011B" w:rsidRDefault="000B011B" w:rsidP="00595234">
      <w:pPr>
        <w:jc w:val="both"/>
        <w:rPr>
          <w:rFonts w:asciiTheme="majorHAnsi" w:hAnsiTheme="majorHAnsi" w:cstheme="majorHAnsi"/>
          <w:sz w:val="22"/>
          <w:szCs w:val="22"/>
        </w:rPr>
      </w:pPr>
      <w:r w:rsidRPr="000B011B">
        <w:rPr>
          <w:rFonts w:asciiTheme="majorHAnsi" w:hAnsiTheme="majorHAnsi" w:cstheme="majorHAnsi"/>
          <w:sz w:val="22"/>
          <w:szCs w:val="22"/>
        </w:rPr>
        <w:t>KDPW declares its willingness to participate in further work, hoping that</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decisions regarding the final solutions will be made taking into</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account the common experiences, needs and expectations of various groups of market</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participants, including those related to reducing costs of reporting transactions on a daily</w:t>
      </w:r>
      <w:r w:rsidR="00595234">
        <w:rPr>
          <w:rFonts w:asciiTheme="majorHAnsi" w:hAnsiTheme="majorHAnsi" w:cstheme="majorHAnsi"/>
          <w:sz w:val="22"/>
          <w:szCs w:val="22"/>
        </w:rPr>
        <w:t xml:space="preserve"> </w:t>
      </w:r>
      <w:r w:rsidRPr="000B011B">
        <w:rPr>
          <w:rFonts w:asciiTheme="majorHAnsi" w:hAnsiTheme="majorHAnsi" w:cstheme="majorHAnsi"/>
          <w:sz w:val="22"/>
          <w:szCs w:val="22"/>
        </w:rPr>
        <w:t>basis.</w:t>
      </w:r>
    </w:p>
    <w:p w14:paraId="01E64DF5" w14:textId="01ACFDD4" w:rsidR="000B011B" w:rsidRDefault="000B011B" w:rsidP="003F6AAF">
      <w:pPr>
        <w:rPr>
          <w:rFonts w:asciiTheme="majorHAnsi" w:hAnsiTheme="majorHAnsi" w:cstheme="majorHAnsi"/>
          <w:sz w:val="22"/>
          <w:szCs w:val="22"/>
        </w:rPr>
      </w:pPr>
    </w:p>
    <w:p w14:paraId="344E1B28" w14:textId="2326EB93" w:rsidR="000B011B" w:rsidRDefault="000B011B" w:rsidP="003F6AAF">
      <w:pPr>
        <w:rPr>
          <w:rFonts w:asciiTheme="majorHAnsi" w:hAnsiTheme="majorHAnsi" w:cstheme="majorHAnsi"/>
          <w:sz w:val="22"/>
          <w:szCs w:val="22"/>
        </w:rPr>
      </w:pPr>
      <w:r>
        <w:rPr>
          <w:rFonts w:asciiTheme="majorHAnsi" w:hAnsiTheme="majorHAnsi" w:cstheme="majorHAnsi"/>
          <w:sz w:val="22"/>
          <w:szCs w:val="22"/>
        </w:rPr>
        <w:t>RESPONSE TO QUESTION 1:</w:t>
      </w:r>
    </w:p>
    <w:p w14:paraId="1D3FF972" w14:textId="77777777" w:rsidR="000B011B" w:rsidRDefault="000B011B" w:rsidP="003F6AAF">
      <w:pPr>
        <w:rPr>
          <w:rFonts w:asciiTheme="majorHAnsi" w:hAnsiTheme="majorHAnsi" w:cstheme="majorHAnsi"/>
          <w:sz w:val="22"/>
          <w:szCs w:val="22"/>
        </w:rPr>
      </w:pPr>
    </w:p>
    <w:p w14:paraId="5AEB180C" w14:textId="77777777" w:rsidR="000B011B" w:rsidRDefault="000B011B" w:rsidP="003F6AAF">
      <w:pPr>
        <w:rPr>
          <w:rFonts w:asciiTheme="majorHAnsi" w:hAnsiTheme="majorHAnsi" w:cstheme="majorHAnsi"/>
          <w:sz w:val="22"/>
          <w:szCs w:val="22"/>
        </w:rPr>
      </w:pPr>
    </w:p>
    <w:p w14:paraId="174AD9CC" w14:textId="3A5145AF" w:rsidR="003F6AAF" w:rsidRPr="003F6AAF" w:rsidRDefault="003F6AAF" w:rsidP="00106F87">
      <w:pPr>
        <w:jc w:val="both"/>
        <w:rPr>
          <w:rFonts w:asciiTheme="majorHAnsi" w:hAnsiTheme="majorHAnsi" w:cstheme="majorHAnsi"/>
          <w:sz w:val="22"/>
          <w:szCs w:val="22"/>
        </w:rPr>
      </w:pPr>
      <w:r>
        <w:rPr>
          <w:rFonts w:asciiTheme="majorHAnsi" w:hAnsiTheme="majorHAnsi" w:cstheme="majorHAnsi"/>
          <w:sz w:val="22"/>
          <w:szCs w:val="22"/>
        </w:rPr>
        <w:t>1</w:t>
      </w:r>
      <w:r w:rsidRPr="003F6AAF">
        <w:rPr>
          <w:rFonts w:asciiTheme="majorHAnsi" w:hAnsiTheme="majorHAnsi" w:cstheme="majorHAnsi"/>
          <w:sz w:val="22"/>
          <w:szCs w:val="22"/>
        </w:rPr>
        <w:t>. KDPW believes that the key challenges listed in the Call for evidence are accurately addressed.  </w:t>
      </w:r>
    </w:p>
    <w:p w14:paraId="3B719DA8" w14:textId="55001B7F" w:rsidR="003F6AAF" w:rsidRPr="003F6AAF" w:rsidRDefault="003F6AAF" w:rsidP="00106F87">
      <w:pPr>
        <w:jc w:val="both"/>
        <w:rPr>
          <w:rFonts w:asciiTheme="majorHAnsi" w:hAnsiTheme="majorHAnsi" w:cstheme="majorHAnsi"/>
          <w:sz w:val="22"/>
          <w:szCs w:val="22"/>
        </w:rPr>
      </w:pPr>
      <w:r w:rsidRPr="003F6AAF">
        <w:rPr>
          <w:rFonts w:asciiTheme="majorHAnsi" w:hAnsiTheme="majorHAnsi" w:cstheme="majorHAnsi"/>
          <w:sz w:val="22"/>
          <w:szCs w:val="22"/>
        </w:rPr>
        <w:t xml:space="preserve">2. It is worth emphasizing, however, that given the high costs incurred by all market participants, we should first ensure that operating costs are reduced in daily operations. For this reason it would be </w:t>
      </w:r>
      <w:r w:rsidR="00106F87">
        <w:rPr>
          <w:rFonts w:asciiTheme="majorHAnsi" w:hAnsiTheme="majorHAnsi" w:cstheme="majorHAnsi"/>
          <w:sz w:val="22"/>
          <w:szCs w:val="22"/>
        </w:rPr>
        <w:t>justified</w:t>
      </w:r>
      <w:r w:rsidRPr="003F6AAF">
        <w:rPr>
          <w:rFonts w:asciiTheme="majorHAnsi" w:hAnsiTheme="majorHAnsi" w:cstheme="majorHAnsi"/>
          <w:sz w:val="22"/>
          <w:szCs w:val="22"/>
        </w:rPr>
        <w:t xml:space="preserve"> to also consider regulatory requirements regarding operational separation as a cost driver, both for reporting entities and for entities receiving and processing data. In the case of trade repositories, regulations require a necessary degree of operational separation - in terms of resources, systems, and procedures - between individual services and business lines. Maintaining such separation requires duplication of functions and generates additional costs. It is also important to emphasize that only widely accepted international standards, such as ISIN, CFI, FISN, UPI, and LEI, should be used. </w:t>
      </w:r>
      <w:r w:rsidRPr="003F6AAF">
        <w:rPr>
          <w:rFonts w:asciiTheme="majorHAnsi" w:hAnsiTheme="majorHAnsi" w:cstheme="majorHAnsi"/>
          <w:sz w:val="22"/>
          <w:szCs w:val="22"/>
        </w:rPr>
        <w:lastRenderedPageBreak/>
        <w:t>Creating additional, parallel identifiers or standards, which has occasionally happened in the past, creates unnecessary complications and costs for reporting entities. </w:t>
      </w:r>
    </w:p>
    <w:p w14:paraId="597FF940" w14:textId="3575BAEE" w:rsidR="003F6AAF" w:rsidRPr="003F6AAF" w:rsidRDefault="003F6AAF" w:rsidP="00106F87">
      <w:pPr>
        <w:jc w:val="both"/>
        <w:rPr>
          <w:rFonts w:asciiTheme="majorHAnsi" w:hAnsiTheme="majorHAnsi" w:cstheme="majorHAnsi"/>
          <w:sz w:val="22"/>
          <w:szCs w:val="22"/>
        </w:rPr>
      </w:pPr>
      <w:r w:rsidRPr="003F6AAF">
        <w:rPr>
          <w:rFonts w:asciiTheme="majorHAnsi" w:hAnsiTheme="majorHAnsi" w:cstheme="majorHAnsi"/>
          <w:sz w:val="22"/>
          <w:szCs w:val="22"/>
        </w:rPr>
        <w:t>3. The three main cost drivers in view of KDPW, listed in the Call for evidence, are the following: </w:t>
      </w:r>
    </w:p>
    <w:p w14:paraId="5A67AD13" w14:textId="084F7DB9" w:rsidR="003F6AAF" w:rsidRPr="003F6AAF" w:rsidRDefault="003F6AAF" w:rsidP="00106F87">
      <w:pPr>
        <w:pStyle w:val="Akapitzlist"/>
        <w:numPr>
          <w:ilvl w:val="1"/>
          <w:numId w:val="11"/>
        </w:numPr>
        <w:tabs>
          <w:tab w:val="clear" w:pos="0"/>
          <w:tab w:val="clear" w:pos="142"/>
          <w:tab w:val="clear" w:pos="284"/>
          <w:tab w:val="clear" w:pos="567"/>
          <w:tab w:val="left" w:pos="426"/>
        </w:tabs>
        <w:ind w:left="142" w:firstLine="284"/>
        <w:rPr>
          <w:rFonts w:asciiTheme="majorHAnsi" w:hAnsiTheme="majorHAnsi" w:cstheme="majorHAnsi"/>
        </w:rPr>
      </w:pPr>
      <w:r w:rsidRPr="003F6AAF">
        <w:rPr>
          <w:rFonts w:asciiTheme="majorHAnsi" w:hAnsiTheme="majorHAnsi" w:cstheme="majorHAnsi"/>
        </w:rPr>
        <w:t>frequent regulatory changes and lack of flexibility to enable a phased implementation, synchronisation and coordination of the changes in the different reporting regimes; </w:t>
      </w:r>
    </w:p>
    <w:p w14:paraId="4A3C63B0" w14:textId="2957FE26" w:rsidR="003F6AAF" w:rsidRPr="003F6AAF" w:rsidRDefault="003F6AAF" w:rsidP="00106F87">
      <w:pPr>
        <w:pStyle w:val="Akapitzlist"/>
        <w:numPr>
          <w:ilvl w:val="1"/>
          <w:numId w:val="11"/>
        </w:numPr>
        <w:tabs>
          <w:tab w:val="clear" w:pos="0"/>
          <w:tab w:val="clear" w:pos="142"/>
          <w:tab w:val="clear" w:pos="284"/>
          <w:tab w:val="clear" w:pos="567"/>
          <w:tab w:val="left" w:pos="426"/>
        </w:tabs>
        <w:ind w:left="142" w:firstLine="284"/>
        <w:rPr>
          <w:rFonts w:asciiTheme="majorHAnsi" w:hAnsiTheme="majorHAnsi" w:cstheme="majorHAnsi"/>
        </w:rPr>
      </w:pPr>
      <w:r w:rsidRPr="003F6AAF">
        <w:rPr>
          <w:rFonts w:asciiTheme="majorHAnsi" w:hAnsiTheme="majorHAnsi" w:cstheme="majorHAnsi"/>
        </w:rPr>
        <w:t>different terminology and definitions within different reporting regimes connected with duplicative reporting of the same derivative instruments under </w:t>
      </w:r>
      <w:proofErr w:type="spellStart"/>
      <w:r w:rsidRPr="003F6AAF">
        <w:rPr>
          <w:rFonts w:asciiTheme="majorHAnsi" w:hAnsiTheme="majorHAnsi" w:cstheme="majorHAnsi"/>
        </w:rPr>
        <w:t>MiFIR</w:t>
      </w:r>
      <w:proofErr w:type="spellEnd"/>
      <w:r w:rsidRPr="003F6AAF">
        <w:rPr>
          <w:rFonts w:asciiTheme="majorHAnsi" w:hAnsiTheme="majorHAnsi" w:cstheme="majorHAnsi"/>
        </w:rPr>
        <w:t>, EM</w:t>
      </w:r>
      <w:r w:rsidR="005C2ACB">
        <w:rPr>
          <w:rFonts w:asciiTheme="majorHAnsi" w:hAnsiTheme="majorHAnsi" w:cstheme="majorHAnsi"/>
        </w:rPr>
        <w:t>I</w:t>
      </w:r>
      <w:r w:rsidRPr="003F6AAF">
        <w:rPr>
          <w:rFonts w:asciiTheme="majorHAnsi" w:hAnsiTheme="majorHAnsi" w:cstheme="majorHAnsi"/>
        </w:rPr>
        <w:t>R, and REMIT; </w:t>
      </w:r>
    </w:p>
    <w:p w14:paraId="1381BFEB" w14:textId="77777777" w:rsidR="003F6AAF" w:rsidRPr="003F6AAF" w:rsidRDefault="003F6AAF" w:rsidP="00106F87">
      <w:pPr>
        <w:pStyle w:val="Akapitzlist"/>
        <w:numPr>
          <w:ilvl w:val="1"/>
          <w:numId w:val="11"/>
        </w:numPr>
        <w:tabs>
          <w:tab w:val="clear" w:pos="0"/>
          <w:tab w:val="clear" w:pos="142"/>
          <w:tab w:val="clear" w:pos="284"/>
          <w:tab w:val="clear" w:pos="567"/>
          <w:tab w:val="left" w:pos="426"/>
        </w:tabs>
        <w:ind w:left="142" w:firstLine="284"/>
        <w:rPr>
          <w:rFonts w:asciiTheme="majorHAnsi" w:hAnsiTheme="majorHAnsi" w:cstheme="majorHAnsi"/>
        </w:rPr>
      </w:pPr>
      <w:r w:rsidRPr="003F6AAF">
        <w:rPr>
          <w:rFonts w:asciiTheme="majorHAnsi" w:hAnsiTheme="majorHAnsi" w:cstheme="majorHAnsi"/>
        </w:rPr>
        <w:t>duplication of IT systems and processes</w:t>
      </w:r>
      <w:r w:rsidRPr="003F6AAF">
        <w:t>.</w:t>
      </w:r>
    </w:p>
    <w:permEnd w:id="785210304"/>
    <w:p w14:paraId="3867BD88" w14:textId="45E59494"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F71338D" w14:textId="44F904A1" w:rsidR="003F6AAF" w:rsidRPr="008C07EE" w:rsidRDefault="008C07EE" w:rsidP="0011752D">
      <w:pPr>
        <w:pStyle w:val="paragraph0"/>
        <w:spacing w:before="0" w:beforeAutospacing="0" w:after="0" w:afterAutospacing="0"/>
        <w:jc w:val="both"/>
        <w:textAlignment w:val="baseline"/>
        <w:rPr>
          <w:rFonts w:asciiTheme="minorHAnsi" w:hAnsiTheme="minorHAnsi" w:cstheme="minorHAnsi"/>
          <w:sz w:val="22"/>
          <w:szCs w:val="22"/>
          <w:lang w:val="en-GB"/>
        </w:rPr>
      </w:pPr>
      <w:permStart w:id="545925079" w:edGrp="everyone"/>
      <w:r w:rsidRPr="008C07EE">
        <w:rPr>
          <w:rStyle w:val="normaltextrun"/>
          <w:rFonts w:asciiTheme="minorHAnsi" w:eastAsiaTheme="majorEastAsia" w:hAnsiTheme="minorHAnsi" w:cstheme="minorHAnsi"/>
          <w:sz w:val="22"/>
          <w:szCs w:val="22"/>
          <w:lang w:val="en-GB"/>
        </w:rPr>
        <w:t xml:space="preserve">1. </w:t>
      </w:r>
      <w:r w:rsidR="003F6AAF" w:rsidRPr="008C07EE">
        <w:rPr>
          <w:rStyle w:val="normaltextrun"/>
          <w:rFonts w:asciiTheme="minorHAnsi" w:eastAsiaTheme="majorEastAsia" w:hAnsiTheme="minorHAnsi" w:cstheme="minorHAnsi"/>
          <w:sz w:val="22"/>
          <w:szCs w:val="22"/>
          <w:lang w:val="en-GB"/>
        </w:rPr>
        <w:t>KDPW only agrees with the following 3 principles listed in the Call for evidence:</w:t>
      </w:r>
      <w:r w:rsidR="003F6AAF" w:rsidRPr="008C07EE">
        <w:rPr>
          <w:rStyle w:val="eop"/>
          <w:rFonts w:asciiTheme="minorHAnsi" w:hAnsiTheme="minorHAnsi" w:cstheme="minorHAnsi"/>
          <w:sz w:val="22"/>
          <w:szCs w:val="22"/>
          <w:lang w:val="en-GB"/>
        </w:rPr>
        <w:t> </w:t>
      </w:r>
    </w:p>
    <w:p w14:paraId="54D37699" w14:textId="77777777" w:rsidR="003F6AAF" w:rsidRPr="008C07EE" w:rsidRDefault="003F6AAF" w:rsidP="0011752D">
      <w:pPr>
        <w:pStyle w:val="paragraph0"/>
        <w:spacing w:before="0" w:beforeAutospacing="0" w:after="0" w:afterAutospacing="0"/>
        <w:ind w:left="840"/>
        <w:jc w:val="both"/>
        <w:textAlignment w:val="baseline"/>
        <w:rPr>
          <w:rFonts w:asciiTheme="minorHAnsi" w:hAnsiTheme="minorHAnsi" w:cstheme="minorHAnsi"/>
          <w:sz w:val="18"/>
          <w:szCs w:val="18"/>
          <w:lang w:val="en-GB"/>
        </w:rPr>
      </w:pPr>
      <w:r w:rsidRPr="008C07EE">
        <w:rPr>
          <w:rStyle w:val="normaltextrun"/>
          <w:rFonts w:asciiTheme="minorHAnsi" w:eastAsiaTheme="majorEastAsia" w:hAnsiTheme="minorHAnsi" w:cstheme="minorHAnsi"/>
          <w:sz w:val="22"/>
          <w:szCs w:val="22"/>
          <w:lang w:val="en-GB"/>
        </w:rPr>
        <w:t>“2. Decrease overlaps to reduce reporting burden”; </w:t>
      </w:r>
      <w:r w:rsidRPr="008C07EE">
        <w:rPr>
          <w:rStyle w:val="eop"/>
          <w:rFonts w:asciiTheme="minorHAnsi" w:hAnsiTheme="minorHAnsi" w:cstheme="minorHAnsi"/>
          <w:sz w:val="22"/>
          <w:szCs w:val="22"/>
          <w:lang w:val="en-GB"/>
        </w:rPr>
        <w:t> </w:t>
      </w:r>
    </w:p>
    <w:p w14:paraId="4F79A545" w14:textId="77777777" w:rsidR="003F6AAF" w:rsidRPr="008C07EE" w:rsidRDefault="003F6AAF" w:rsidP="0011752D">
      <w:pPr>
        <w:pStyle w:val="paragraph0"/>
        <w:spacing w:before="0" w:beforeAutospacing="0" w:after="0" w:afterAutospacing="0"/>
        <w:ind w:left="840"/>
        <w:jc w:val="both"/>
        <w:textAlignment w:val="baseline"/>
        <w:rPr>
          <w:rFonts w:asciiTheme="minorHAnsi" w:hAnsiTheme="minorHAnsi" w:cstheme="minorHAnsi"/>
          <w:sz w:val="18"/>
          <w:szCs w:val="18"/>
          <w:lang w:val="en-GB"/>
        </w:rPr>
      </w:pPr>
      <w:r w:rsidRPr="008C07EE">
        <w:rPr>
          <w:rStyle w:val="normaltextrun"/>
          <w:rFonts w:asciiTheme="minorHAnsi" w:eastAsiaTheme="majorEastAsia" w:hAnsiTheme="minorHAnsi" w:cstheme="minorHAnsi"/>
          <w:sz w:val="22"/>
          <w:szCs w:val="22"/>
          <w:lang w:val="en-GB"/>
        </w:rPr>
        <w:t>“3. Ensure global alignment”; </w:t>
      </w:r>
      <w:r w:rsidRPr="008C07EE">
        <w:rPr>
          <w:rStyle w:val="eop"/>
          <w:rFonts w:asciiTheme="minorHAnsi" w:hAnsiTheme="minorHAnsi" w:cstheme="minorHAnsi"/>
          <w:sz w:val="22"/>
          <w:szCs w:val="22"/>
          <w:lang w:val="en-GB"/>
        </w:rPr>
        <w:t> </w:t>
      </w:r>
    </w:p>
    <w:p w14:paraId="08C6322B" w14:textId="77777777" w:rsidR="003F6AAF" w:rsidRPr="008C07EE" w:rsidRDefault="003F6AAF" w:rsidP="0011752D">
      <w:pPr>
        <w:pStyle w:val="paragraph0"/>
        <w:spacing w:before="0" w:beforeAutospacing="0" w:after="0" w:afterAutospacing="0"/>
        <w:ind w:left="840"/>
        <w:jc w:val="both"/>
        <w:textAlignment w:val="baseline"/>
        <w:rPr>
          <w:rFonts w:asciiTheme="minorHAnsi" w:hAnsiTheme="minorHAnsi" w:cstheme="minorHAnsi"/>
          <w:sz w:val="18"/>
          <w:szCs w:val="18"/>
          <w:lang w:val="en-GB"/>
        </w:rPr>
      </w:pPr>
      <w:r w:rsidRPr="008C07EE">
        <w:rPr>
          <w:rStyle w:val="normaltextrun"/>
          <w:rFonts w:asciiTheme="minorHAnsi" w:eastAsiaTheme="majorEastAsia" w:hAnsiTheme="minorHAnsi" w:cstheme="minorHAnsi"/>
          <w:sz w:val="22"/>
          <w:szCs w:val="22"/>
          <w:lang w:val="en-GB"/>
        </w:rPr>
        <w:t>“4. Balance Cost and Benefit”. </w:t>
      </w:r>
      <w:r w:rsidRPr="008C07EE">
        <w:rPr>
          <w:rStyle w:val="eop"/>
          <w:rFonts w:asciiTheme="minorHAnsi" w:hAnsiTheme="minorHAnsi" w:cstheme="minorHAnsi"/>
          <w:sz w:val="22"/>
          <w:szCs w:val="22"/>
          <w:lang w:val="en-GB"/>
        </w:rPr>
        <w:t> </w:t>
      </w:r>
    </w:p>
    <w:p w14:paraId="4E35364E" w14:textId="79F16505" w:rsidR="003F6AAF" w:rsidRPr="008C07EE" w:rsidRDefault="008C07EE" w:rsidP="0011752D">
      <w:pPr>
        <w:pStyle w:val="paragraph0"/>
        <w:spacing w:before="0" w:beforeAutospacing="0" w:after="0" w:afterAutospacing="0"/>
        <w:jc w:val="both"/>
        <w:textAlignment w:val="baseline"/>
        <w:rPr>
          <w:rFonts w:asciiTheme="minorHAnsi" w:hAnsiTheme="minorHAnsi" w:cstheme="minorHAnsi"/>
          <w:sz w:val="22"/>
          <w:szCs w:val="22"/>
          <w:lang w:val="en-GB"/>
        </w:rPr>
      </w:pPr>
      <w:r w:rsidRPr="008C07EE">
        <w:rPr>
          <w:rStyle w:val="normaltextrun"/>
          <w:rFonts w:asciiTheme="minorHAnsi" w:eastAsiaTheme="majorEastAsia" w:hAnsiTheme="minorHAnsi" w:cstheme="minorHAnsi"/>
          <w:sz w:val="22"/>
          <w:szCs w:val="22"/>
          <w:lang w:val="en-GB"/>
        </w:rPr>
        <w:t xml:space="preserve">2. </w:t>
      </w:r>
      <w:r w:rsidR="003F6AAF" w:rsidRPr="008C07EE">
        <w:rPr>
          <w:rStyle w:val="normaltextrun"/>
          <w:rFonts w:asciiTheme="minorHAnsi" w:eastAsiaTheme="majorEastAsia" w:hAnsiTheme="minorHAnsi" w:cstheme="minorHAnsi"/>
          <w:sz w:val="22"/>
          <w:szCs w:val="22"/>
          <w:lang w:val="en-GB"/>
        </w:rPr>
        <w:t>Regarding the principle "1. Preserve information scope," we believe that the number of data points used to report EMIR (203 ) and SFTR (1</w:t>
      </w:r>
      <w:r w:rsidR="00A17481">
        <w:rPr>
          <w:rStyle w:val="normaltextrun"/>
          <w:rFonts w:asciiTheme="minorHAnsi" w:eastAsiaTheme="majorEastAsia" w:hAnsiTheme="minorHAnsi" w:cstheme="minorHAnsi"/>
          <w:sz w:val="22"/>
          <w:szCs w:val="22"/>
          <w:lang w:val="en-GB"/>
        </w:rPr>
        <w:t>55</w:t>
      </w:r>
      <w:r w:rsidR="003F6AAF" w:rsidRPr="008C07EE">
        <w:rPr>
          <w:rStyle w:val="normaltextrun"/>
          <w:rFonts w:asciiTheme="minorHAnsi" w:eastAsiaTheme="majorEastAsia" w:hAnsiTheme="minorHAnsi" w:cstheme="minorHAnsi"/>
          <w:sz w:val="22"/>
          <w:szCs w:val="22"/>
          <w:lang w:val="en-GB"/>
        </w:rPr>
        <w:t>) transactions is significantly excessive. </w:t>
      </w:r>
      <w:r w:rsidR="003F6AAF" w:rsidRPr="008C07EE">
        <w:rPr>
          <w:rStyle w:val="eop"/>
          <w:rFonts w:asciiTheme="minorHAnsi" w:hAnsiTheme="minorHAnsi" w:cstheme="minorHAnsi"/>
          <w:sz w:val="22"/>
          <w:szCs w:val="22"/>
          <w:lang w:val="en-GB"/>
        </w:rPr>
        <w:t> </w:t>
      </w:r>
    </w:p>
    <w:p w14:paraId="6A712121" w14:textId="77777777" w:rsidR="003F6AAF" w:rsidRPr="008C07EE" w:rsidRDefault="003F6AAF" w:rsidP="0011752D">
      <w:pPr>
        <w:pStyle w:val="paragraph0"/>
        <w:numPr>
          <w:ilvl w:val="0"/>
          <w:numId w:val="12"/>
        </w:numPr>
        <w:spacing w:before="0" w:beforeAutospacing="0" w:after="0" w:afterAutospacing="0"/>
        <w:ind w:left="1080" w:firstLine="0"/>
        <w:jc w:val="both"/>
        <w:textAlignment w:val="baseline"/>
        <w:rPr>
          <w:rFonts w:asciiTheme="minorHAnsi" w:hAnsiTheme="minorHAnsi" w:cstheme="minorHAnsi"/>
          <w:sz w:val="22"/>
          <w:szCs w:val="22"/>
          <w:lang w:val="en-GB"/>
        </w:rPr>
      </w:pPr>
      <w:r w:rsidRPr="008C07EE">
        <w:rPr>
          <w:rStyle w:val="normaltextrun"/>
          <w:rFonts w:asciiTheme="minorHAnsi" w:eastAsiaTheme="majorEastAsia" w:hAnsiTheme="minorHAnsi" w:cstheme="minorHAnsi"/>
          <w:sz w:val="22"/>
          <w:szCs w:val="22"/>
          <w:lang w:val="en-GB"/>
        </w:rPr>
        <w:t>In our opinion, much of this data does not play a significant role in the analyses conducted by supervisors; </w:t>
      </w:r>
      <w:r w:rsidRPr="008C07EE">
        <w:rPr>
          <w:rStyle w:val="eop"/>
          <w:rFonts w:asciiTheme="minorHAnsi" w:hAnsiTheme="minorHAnsi" w:cstheme="minorHAnsi"/>
          <w:sz w:val="22"/>
          <w:szCs w:val="22"/>
          <w:lang w:val="en-GB"/>
        </w:rPr>
        <w:t> </w:t>
      </w:r>
    </w:p>
    <w:p w14:paraId="1110E42E" w14:textId="0D040B85" w:rsidR="003F6AAF" w:rsidRPr="008C07EE" w:rsidRDefault="003F6AAF" w:rsidP="0011752D">
      <w:pPr>
        <w:pStyle w:val="paragraph0"/>
        <w:numPr>
          <w:ilvl w:val="0"/>
          <w:numId w:val="13"/>
        </w:numPr>
        <w:spacing w:before="0" w:beforeAutospacing="0" w:after="0" w:afterAutospacing="0"/>
        <w:ind w:left="1080" w:firstLine="0"/>
        <w:jc w:val="both"/>
        <w:textAlignment w:val="baseline"/>
        <w:rPr>
          <w:rFonts w:asciiTheme="minorHAnsi" w:hAnsiTheme="minorHAnsi" w:cstheme="minorHAnsi"/>
          <w:sz w:val="22"/>
          <w:szCs w:val="22"/>
          <w:lang w:val="en-GB"/>
        </w:rPr>
      </w:pPr>
      <w:r w:rsidRPr="008C07EE">
        <w:rPr>
          <w:rStyle w:val="normaltextrun"/>
          <w:rFonts w:asciiTheme="minorHAnsi" w:eastAsiaTheme="majorEastAsia" w:hAnsiTheme="minorHAnsi" w:cstheme="minorHAnsi"/>
          <w:sz w:val="22"/>
          <w:szCs w:val="22"/>
          <w:lang w:val="en-GB"/>
        </w:rPr>
        <w:t>Such an exceedingly large number of data points and the number of fields required for validation are also among the main factors increasing reporting costs for entities required to do so. This stems from the fact that highly complex reporting requirements have forced mandated entities to develop very high competencies to properly process the data points, validation mechanisms, error correction, and to develop complex IT systems. This means that these entities are often forced to use delegated reporting because these competencies are not core proficiencies for</w:t>
      </w:r>
      <w:r w:rsidR="008C07EE">
        <w:rPr>
          <w:rStyle w:val="normaltextrun"/>
          <w:rFonts w:asciiTheme="minorHAnsi" w:eastAsiaTheme="majorEastAsia" w:hAnsiTheme="minorHAnsi" w:cstheme="minorHAnsi"/>
          <w:sz w:val="22"/>
          <w:szCs w:val="22"/>
          <w:lang w:val="en-GB"/>
        </w:rPr>
        <w:t xml:space="preserve"> </w:t>
      </w:r>
      <w:r w:rsidRPr="008C07EE">
        <w:rPr>
          <w:rStyle w:val="normaltextrun"/>
          <w:rFonts w:asciiTheme="minorHAnsi" w:eastAsiaTheme="majorEastAsia" w:hAnsiTheme="minorHAnsi" w:cstheme="minorHAnsi"/>
          <w:sz w:val="22"/>
          <w:szCs w:val="22"/>
          <w:lang w:val="en-GB"/>
        </w:rPr>
        <w:t>building business value. As a result, the operating costs of reporting increase. </w:t>
      </w:r>
      <w:r w:rsidRPr="008C07EE">
        <w:rPr>
          <w:rStyle w:val="eop"/>
          <w:rFonts w:asciiTheme="minorHAnsi" w:hAnsiTheme="minorHAnsi" w:cstheme="minorHAnsi"/>
          <w:sz w:val="22"/>
          <w:szCs w:val="22"/>
          <w:lang w:val="en-GB"/>
        </w:rPr>
        <w:t> </w:t>
      </w:r>
    </w:p>
    <w:p w14:paraId="500E6F7C" w14:textId="77777777" w:rsidR="003F6AAF" w:rsidRPr="008C07EE" w:rsidRDefault="003F6AAF" w:rsidP="0011752D">
      <w:pPr>
        <w:pStyle w:val="paragraph0"/>
        <w:numPr>
          <w:ilvl w:val="0"/>
          <w:numId w:val="14"/>
        </w:numPr>
        <w:spacing w:before="0" w:beforeAutospacing="0" w:after="0" w:afterAutospacing="0"/>
        <w:ind w:left="1080" w:firstLine="0"/>
        <w:jc w:val="both"/>
        <w:textAlignment w:val="baseline"/>
        <w:rPr>
          <w:rFonts w:asciiTheme="minorHAnsi" w:hAnsiTheme="minorHAnsi" w:cstheme="minorHAnsi"/>
          <w:sz w:val="22"/>
          <w:szCs w:val="22"/>
          <w:lang w:val="en-GB"/>
        </w:rPr>
      </w:pPr>
      <w:r w:rsidRPr="008C07EE">
        <w:rPr>
          <w:rStyle w:val="normaltextrun"/>
          <w:rFonts w:asciiTheme="minorHAnsi" w:eastAsiaTheme="majorEastAsia" w:hAnsiTheme="minorHAnsi" w:cstheme="minorHAnsi"/>
          <w:sz w:val="22"/>
          <w:szCs w:val="22"/>
          <w:lang w:val="en-GB"/>
        </w:rPr>
        <w:t>Collecting and processing redundant data also generates unnecessary costs for supervisors.</w:t>
      </w:r>
      <w:r w:rsidRPr="008C07EE">
        <w:rPr>
          <w:rStyle w:val="eop"/>
          <w:rFonts w:asciiTheme="minorHAnsi" w:hAnsiTheme="minorHAnsi" w:cstheme="minorHAnsi"/>
          <w:sz w:val="22"/>
          <w:szCs w:val="22"/>
          <w:lang w:val="en-GB"/>
        </w:rPr>
        <w:t> </w:t>
      </w:r>
    </w:p>
    <w:p w14:paraId="54D7B96B" w14:textId="77777777" w:rsidR="00CE24D3" w:rsidRDefault="003F6AAF" w:rsidP="0011752D">
      <w:pPr>
        <w:pStyle w:val="paragraph0"/>
        <w:numPr>
          <w:ilvl w:val="0"/>
          <w:numId w:val="15"/>
        </w:numPr>
        <w:spacing w:before="0" w:beforeAutospacing="0" w:after="0" w:afterAutospacing="0"/>
        <w:ind w:left="1080" w:firstLine="0"/>
        <w:jc w:val="both"/>
        <w:textAlignment w:val="baseline"/>
        <w:rPr>
          <w:rStyle w:val="eop"/>
          <w:rFonts w:asciiTheme="minorHAnsi" w:hAnsiTheme="minorHAnsi" w:cstheme="minorHAnsi"/>
          <w:sz w:val="22"/>
          <w:szCs w:val="22"/>
          <w:lang w:val="en-GB"/>
        </w:rPr>
      </w:pPr>
      <w:r w:rsidRPr="008C07EE">
        <w:rPr>
          <w:rStyle w:val="normaltextrun"/>
          <w:rFonts w:asciiTheme="minorHAnsi" w:eastAsiaTheme="majorEastAsia" w:hAnsiTheme="minorHAnsi" w:cstheme="minorHAnsi"/>
          <w:sz w:val="22"/>
          <w:szCs w:val="22"/>
          <w:lang w:val="en-GB"/>
        </w:rPr>
        <w:t>Moreover, such a large scope of collected information generates increasingly higher costs associated with the reconciliation process. In our opinion, we should seriously consider whether we have not gone too far in growing the reconciliation process. It may even be worth considering at this stage freezing subsequent reconciliation phases in EMIR REFIT.</w:t>
      </w:r>
      <w:r w:rsidRPr="008C07EE">
        <w:rPr>
          <w:rStyle w:val="eop"/>
          <w:rFonts w:asciiTheme="minorHAnsi" w:hAnsiTheme="minorHAnsi" w:cstheme="minorHAnsi"/>
          <w:sz w:val="22"/>
          <w:szCs w:val="22"/>
          <w:lang w:val="en-GB"/>
        </w:rPr>
        <w:t> </w:t>
      </w:r>
    </w:p>
    <w:p w14:paraId="0018AB13" w14:textId="77777777" w:rsidR="008C07EE" w:rsidRPr="00CE24D3" w:rsidRDefault="003F6AAF" w:rsidP="0011752D">
      <w:pPr>
        <w:pStyle w:val="paragraph0"/>
        <w:numPr>
          <w:ilvl w:val="0"/>
          <w:numId w:val="15"/>
        </w:numPr>
        <w:spacing w:before="0" w:beforeAutospacing="0" w:after="0" w:afterAutospacing="0"/>
        <w:ind w:left="1080" w:firstLine="0"/>
        <w:jc w:val="both"/>
        <w:textAlignment w:val="baseline"/>
        <w:rPr>
          <w:rStyle w:val="eop"/>
          <w:rFonts w:asciiTheme="minorHAnsi" w:hAnsiTheme="minorHAnsi" w:cstheme="minorHAnsi"/>
          <w:sz w:val="22"/>
          <w:szCs w:val="22"/>
          <w:lang w:val="en-GB"/>
        </w:rPr>
      </w:pPr>
      <w:r w:rsidRPr="00CE24D3">
        <w:rPr>
          <w:rStyle w:val="normaltextrun"/>
          <w:rFonts w:asciiTheme="minorHAnsi" w:eastAsiaTheme="majorEastAsia" w:hAnsiTheme="minorHAnsi" w:cstheme="minorHAnsi"/>
          <w:sz w:val="22"/>
          <w:szCs w:val="22"/>
          <w:lang w:val="en-GB"/>
        </w:rPr>
        <w:t>Considering the above, the first principle, instead of "Preserve Information Scope", could be rephrased as " Keep only the necessary scope of information."</w:t>
      </w:r>
      <w:r w:rsidRPr="00CE24D3">
        <w:rPr>
          <w:rStyle w:val="eop"/>
          <w:rFonts w:asciiTheme="minorHAnsi" w:hAnsiTheme="minorHAnsi" w:cstheme="minorHAnsi"/>
          <w:sz w:val="22"/>
          <w:szCs w:val="22"/>
          <w:lang w:val="en-GB"/>
        </w:rPr>
        <w:t> </w:t>
      </w:r>
    </w:p>
    <w:permEnd w:id="545925079"/>
    <w:p w14:paraId="042B0F0C" w14:textId="36BCB280"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9B63A0A" w14:textId="77777777" w:rsidR="00A17481" w:rsidRDefault="0092516D" w:rsidP="00A17481">
      <w:pPr>
        <w:pStyle w:val="paragraph0"/>
        <w:spacing w:before="0" w:beforeAutospacing="0" w:after="0" w:afterAutospacing="0"/>
        <w:jc w:val="both"/>
        <w:textAlignment w:val="baseline"/>
        <w:rPr>
          <w:rStyle w:val="normaltextrun"/>
          <w:rFonts w:asciiTheme="minorHAnsi" w:eastAsiaTheme="majorEastAsia" w:hAnsiTheme="minorHAnsi" w:cstheme="minorHAnsi"/>
          <w:sz w:val="22"/>
          <w:szCs w:val="22"/>
          <w:lang w:val="en-GB"/>
        </w:rPr>
      </w:pPr>
      <w:permStart w:id="666895774" w:edGrp="everyone"/>
      <w:r w:rsidRPr="00C56B3E">
        <w:rPr>
          <w:rStyle w:val="normaltextrun"/>
          <w:rFonts w:ascii="Calibri" w:eastAsiaTheme="majorEastAsia" w:hAnsi="Calibri" w:cs="Calibri"/>
          <w:sz w:val="22"/>
          <w:szCs w:val="22"/>
          <w:lang w:val="en-GB"/>
        </w:rPr>
        <w:lastRenderedPageBreak/>
        <w:t xml:space="preserve">1. </w:t>
      </w:r>
      <w:r w:rsidRPr="00A17481">
        <w:rPr>
          <w:rStyle w:val="normaltextrun"/>
          <w:rFonts w:asciiTheme="minorHAnsi" w:eastAsiaTheme="majorEastAsia" w:hAnsiTheme="minorHAnsi" w:cstheme="minorHAnsi"/>
          <w:sz w:val="22"/>
          <w:szCs w:val="22"/>
          <w:lang w:val="en-GB"/>
        </w:rPr>
        <w:t>KDPW agrees with PROS 1, 2, and 3 listed in the Call for Evidence for the option 1a. It appears that this option could be considered as a basis for exploring solutions that streamline transaction reporting.</w:t>
      </w:r>
    </w:p>
    <w:p w14:paraId="7DD701F0" w14:textId="08C57215" w:rsidR="0092516D" w:rsidRPr="00C56B3E" w:rsidRDefault="0092516D" w:rsidP="00A17481">
      <w:pPr>
        <w:pStyle w:val="paragraph0"/>
        <w:spacing w:before="0" w:beforeAutospacing="0" w:after="0" w:afterAutospacing="0"/>
        <w:jc w:val="both"/>
        <w:textAlignment w:val="baseline"/>
        <w:rPr>
          <w:rFonts w:ascii="Calibri" w:hAnsi="Calibri" w:cs="Calibri"/>
          <w:sz w:val="22"/>
          <w:szCs w:val="22"/>
          <w:lang w:val="en-GB"/>
        </w:rPr>
      </w:pPr>
      <w:r w:rsidRPr="00A17481">
        <w:rPr>
          <w:rStyle w:val="eop"/>
          <w:rFonts w:asciiTheme="minorHAnsi" w:hAnsiTheme="minorHAnsi" w:cstheme="minorHAnsi"/>
          <w:sz w:val="22"/>
          <w:szCs w:val="22"/>
          <w:lang w:val="en-GB"/>
        </w:rPr>
        <w:t> </w:t>
      </w:r>
      <w:r w:rsidR="00C56B3E" w:rsidRPr="00A17481">
        <w:rPr>
          <w:rStyle w:val="eop"/>
          <w:rFonts w:asciiTheme="minorHAnsi" w:hAnsiTheme="minorHAnsi" w:cstheme="minorHAnsi"/>
          <w:sz w:val="22"/>
          <w:szCs w:val="22"/>
          <w:lang w:val="en-GB"/>
        </w:rPr>
        <w:br/>
      </w:r>
      <w:r w:rsidRPr="00A17481">
        <w:rPr>
          <w:rStyle w:val="eop"/>
          <w:rFonts w:asciiTheme="minorHAnsi" w:hAnsiTheme="minorHAnsi" w:cstheme="minorHAnsi"/>
          <w:sz w:val="22"/>
          <w:szCs w:val="22"/>
          <w:lang w:val="en-GB"/>
        </w:rPr>
        <w:t xml:space="preserve">2. </w:t>
      </w:r>
      <w:r w:rsidRPr="00A17481">
        <w:rPr>
          <w:rStyle w:val="normaltextrun"/>
          <w:rFonts w:asciiTheme="minorHAnsi" w:eastAsiaTheme="majorEastAsia" w:hAnsiTheme="minorHAnsi" w:cstheme="minorHAnsi"/>
          <w:sz w:val="22"/>
          <w:szCs w:val="22"/>
          <w:lang w:val="en-GB"/>
        </w:rPr>
        <w:t>We suggest considering KDPW’s proposal as </w:t>
      </w:r>
      <w:r w:rsidRPr="00A17481">
        <w:rPr>
          <w:rStyle w:val="normaltextrun"/>
          <w:rFonts w:asciiTheme="minorHAnsi" w:eastAsiaTheme="majorEastAsia" w:hAnsiTheme="minorHAnsi" w:cstheme="minorHAnsi"/>
          <w:b/>
          <w:bCs/>
          <w:sz w:val="22"/>
          <w:szCs w:val="22"/>
          <w:lang w:val="en-GB"/>
        </w:rPr>
        <w:t>option 1aa</w:t>
      </w:r>
      <w:r w:rsidRPr="00A17481">
        <w:rPr>
          <w:rStyle w:val="normaltextrun"/>
          <w:rFonts w:asciiTheme="minorHAnsi" w:eastAsiaTheme="majorEastAsia" w:hAnsiTheme="minorHAnsi" w:cstheme="minorHAnsi"/>
          <w:sz w:val="22"/>
          <w:szCs w:val="22"/>
          <w:lang w:val="en-GB"/>
        </w:rPr>
        <w:t> described in Q5, which we believe eliminates some of the CONS listed for option 1a</w:t>
      </w:r>
      <w:r w:rsidRPr="00C56B3E">
        <w:rPr>
          <w:rStyle w:val="normaltextrun"/>
          <w:rFonts w:ascii="Calibri" w:eastAsiaTheme="majorEastAsia" w:hAnsi="Calibri" w:cs="Calibri"/>
          <w:sz w:val="22"/>
          <w:szCs w:val="22"/>
          <w:lang w:val="en-GB"/>
        </w:rPr>
        <w:t>.</w:t>
      </w:r>
      <w:r w:rsidRPr="00C56B3E">
        <w:rPr>
          <w:rStyle w:val="eop"/>
          <w:rFonts w:ascii="Calibri" w:hAnsi="Calibri" w:cs="Calibri"/>
          <w:sz w:val="22"/>
          <w:szCs w:val="22"/>
          <w:lang w:val="en-GB"/>
        </w:rPr>
        <w:t> </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D4D828" w14:textId="77777777" w:rsidR="00A17481" w:rsidRPr="00A17481" w:rsidRDefault="00A17481" w:rsidP="00A17481">
      <w:pPr>
        <w:rPr>
          <w:rFonts w:asciiTheme="minorHAnsi" w:hAnsiTheme="minorHAnsi" w:cstheme="minorHAnsi"/>
          <w:sz w:val="22"/>
          <w:szCs w:val="22"/>
        </w:rPr>
      </w:pPr>
      <w:permStart w:id="1901729855" w:edGrp="everyone"/>
      <w:r w:rsidRPr="00A17481">
        <w:rPr>
          <w:rFonts w:asciiTheme="minorHAnsi" w:hAnsiTheme="minorHAnsi" w:cstheme="minorHAnsi"/>
          <w:b/>
          <w:bCs/>
          <w:sz w:val="22"/>
          <w:szCs w:val="22"/>
        </w:rPr>
        <w:t>Additional CONS for option 1a:</w:t>
      </w:r>
      <w:r w:rsidRPr="00A17481">
        <w:rPr>
          <w:rFonts w:asciiTheme="minorHAnsi" w:hAnsiTheme="minorHAnsi" w:cstheme="minorHAnsi"/>
          <w:sz w:val="22"/>
          <w:szCs w:val="22"/>
        </w:rPr>
        <w:t> </w:t>
      </w:r>
    </w:p>
    <w:p w14:paraId="2B754E33" w14:textId="77777777" w:rsidR="00A17481" w:rsidRPr="00A17481" w:rsidRDefault="00A17481" w:rsidP="0099278F">
      <w:pPr>
        <w:numPr>
          <w:ilvl w:val="0"/>
          <w:numId w:val="36"/>
        </w:numPr>
        <w:jc w:val="both"/>
        <w:rPr>
          <w:rFonts w:asciiTheme="minorHAnsi" w:hAnsiTheme="minorHAnsi" w:cstheme="minorHAnsi"/>
          <w:sz w:val="22"/>
          <w:szCs w:val="22"/>
        </w:rPr>
      </w:pPr>
      <w:r w:rsidRPr="00A17481">
        <w:rPr>
          <w:rFonts w:asciiTheme="minorHAnsi" w:hAnsiTheme="minorHAnsi" w:cstheme="minorHAnsi"/>
          <w:sz w:val="22"/>
          <w:szCs w:val="22"/>
        </w:rPr>
        <w:t>There would be significant fragmentation of data held across different institutions, i.e. ETD transactions in accordance with </w:t>
      </w:r>
      <w:proofErr w:type="spellStart"/>
      <w:r w:rsidRPr="00A17481">
        <w:rPr>
          <w:rFonts w:asciiTheme="minorHAnsi" w:hAnsiTheme="minorHAnsi" w:cstheme="minorHAnsi"/>
          <w:sz w:val="22"/>
          <w:szCs w:val="22"/>
        </w:rPr>
        <w:t>MiFIR</w:t>
      </w:r>
      <w:proofErr w:type="spellEnd"/>
      <w:r w:rsidRPr="00A17481">
        <w:rPr>
          <w:rFonts w:asciiTheme="minorHAnsi" w:hAnsiTheme="minorHAnsi" w:cstheme="minorHAnsi"/>
          <w:sz w:val="22"/>
          <w:szCs w:val="22"/>
        </w:rPr>
        <w:t> reported directly to 27 NCAs and indirectly to more than 11 operating ARMs and post-trade events for ETD reported in accordance with EMIR to 4 TRs. Such data fragmentation will impact the complexity of analyses conducted by EMIR supervisors; </w:t>
      </w:r>
    </w:p>
    <w:p w14:paraId="4D4FE0C8" w14:textId="485E0B6A" w:rsidR="00A17481" w:rsidRPr="00A17481" w:rsidRDefault="00797030" w:rsidP="0099278F">
      <w:pPr>
        <w:pStyle w:val="Akapitzlist"/>
        <w:numPr>
          <w:ilvl w:val="0"/>
          <w:numId w:val="36"/>
        </w:numPr>
      </w:pPr>
      <w:r>
        <w:t xml:space="preserve">  </w:t>
      </w:r>
      <w:r w:rsidR="00A17481" w:rsidRPr="00A17481">
        <w:t>The need for EMIR supervisors to use the TREM communication system to obtain information on ETD transactions reported exclusively under </w:t>
      </w:r>
      <w:proofErr w:type="spellStart"/>
      <w:r w:rsidR="00A17481" w:rsidRPr="00A17481">
        <w:t>MiFIR</w:t>
      </w:r>
      <w:proofErr w:type="spellEnd"/>
      <w:r w:rsidR="00A17481" w:rsidRPr="00A17481">
        <w:t>, in order to conduct comprehensive EMIR analyses, while TREM is a different communication channel than TRACE used so far by EMIR supervisors.</w:t>
      </w:r>
    </w:p>
    <w:permEnd w:id="1901729855"/>
    <w:p w14:paraId="7EE99C37" w14:textId="461FCEDD"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7E552D95" w14:textId="67E6F16C" w:rsidR="00C56B3E" w:rsidRPr="00A17481" w:rsidRDefault="00C56B3E" w:rsidP="0099278F">
      <w:pPr>
        <w:pStyle w:val="paragraph0"/>
        <w:spacing w:before="0" w:beforeAutospacing="0" w:after="0" w:afterAutospacing="0"/>
        <w:jc w:val="both"/>
        <w:textAlignment w:val="baseline"/>
        <w:rPr>
          <w:rFonts w:asciiTheme="minorHAnsi" w:hAnsiTheme="minorHAnsi" w:cstheme="minorHAnsi"/>
          <w:sz w:val="22"/>
          <w:szCs w:val="22"/>
          <w:lang w:val="en-GB"/>
        </w:rPr>
      </w:pPr>
      <w:permStart w:id="1034637762" w:edGrp="everyone"/>
      <w:r>
        <w:rPr>
          <w:rStyle w:val="normaltextrun"/>
          <w:rFonts w:ascii="Calibri" w:eastAsiaTheme="majorEastAsia" w:hAnsi="Calibri" w:cs="Calibri"/>
          <w:sz w:val="22"/>
          <w:szCs w:val="22"/>
          <w:lang w:val="en-GB"/>
        </w:rPr>
        <w:t xml:space="preserve">1. </w:t>
      </w:r>
      <w:r w:rsidRPr="00A17481">
        <w:rPr>
          <w:rStyle w:val="normaltextrun"/>
          <w:rFonts w:asciiTheme="minorHAnsi" w:eastAsiaTheme="majorEastAsia" w:hAnsiTheme="minorHAnsi" w:cstheme="minorHAnsi"/>
          <w:sz w:val="22"/>
          <w:szCs w:val="22"/>
          <w:lang w:val="en-GB"/>
        </w:rPr>
        <w:t>Given the significant costs incurred by all market participants in adapting to the EMIR Refit changes, the short-term solutions should focus on minimizing the cost of running day-to-day business for different groups of market participants with minimal switching costs.</w:t>
      </w:r>
      <w:r w:rsidRPr="00A17481">
        <w:rPr>
          <w:rStyle w:val="eop"/>
          <w:rFonts w:asciiTheme="minorHAnsi" w:hAnsiTheme="minorHAnsi" w:cstheme="minorHAnsi"/>
          <w:sz w:val="22"/>
          <w:szCs w:val="22"/>
          <w:lang w:val="en-GB"/>
        </w:rPr>
        <w:t> </w:t>
      </w:r>
    </w:p>
    <w:p w14:paraId="24C29A14" w14:textId="77777777" w:rsidR="00C56B3E" w:rsidRPr="00A17481" w:rsidRDefault="00C56B3E" w:rsidP="0099278F">
      <w:pPr>
        <w:pStyle w:val="paragraph0"/>
        <w:spacing w:before="0" w:beforeAutospacing="0" w:after="0" w:afterAutospacing="0"/>
        <w:ind w:left="360"/>
        <w:jc w:val="both"/>
        <w:textAlignment w:val="baseline"/>
        <w:rPr>
          <w:rFonts w:asciiTheme="minorHAnsi" w:hAnsiTheme="minorHAnsi" w:cstheme="minorHAnsi"/>
          <w:sz w:val="18"/>
          <w:szCs w:val="18"/>
          <w:lang w:val="en-GB"/>
        </w:rPr>
      </w:pPr>
      <w:r w:rsidRPr="00A17481">
        <w:rPr>
          <w:rStyle w:val="eop"/>
          <w:rFonts w:asciiTheme="minorHAnsi" w:hAnsiTheme="minorHAnsi" w:cstheme="minorHAnsi"/>
          <w:sz w:val="22"/>
          <w:szCs w:val="22"/>
          <w:lang w:val="en-GB"/>
        </w:rPr>
        <w:t> </w:t>
      </w:r>
    </w:p>
    <w:p w14:paraId="589DA8F0" w14:textId="77777777" w:rsidR="00C56B3E" w:rsidRPr="00A17481" w:rsidRDefault="00C56B3E" w:rsidP="0099278F">
      <w:pPr>
        <w:pStyle w:val="paragraph0"/>
        <w:numPr>
          <w:ilvl w:val="0"/>
          <w:numId w:val="16"/>
        </w:numPr>
        <w:spacing w:before="0" w:beforeAutospacing="0" w:after="0" w:afterAutospacing="0"/>
        <w:ind w:firstLine="0"/>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b/>
          <w:bCs/>
          <w:sz w:val="22"/>
          <w:szCs w:val="22"/>
          <w:lang w:val="en-GB"/>
        </w:rPr>
        <w:t>Option 1aa: </w:t>
      </w:r>
      <w:r w:rsidRPr="00A17481">
        <w:rPr>
          <w:rStyle w:val="normaltextrun"/>
          <w:rFonts w:asciiTheme="minorHAnsi" w:eastAsiaTheme="majorEastAsia" w:hAnsiTheme="minorHAnsi" w:cstheme="minorHAnsi"/>
          <w:sz w:val="22"/>
          <w:szCs w:val="22"/>
          <w:lang w:val="en-GB"/>
        </w:rPr>
        <w:t>KDPW’s proposal for modification of option 1a.</w:t>
      </w:r>
      <w:r w:rsidRPr="00A17481">
        <w:rPr>
          <w:rStyle w:val="eop"/>
          <w:rFonts w:asciiTheme="minorHAnsi" w:hAnsiTheme="minorHAnsi" w:cstheme="minorHAnsi"/>
          <w:sz w:val="22"/>
          <w:szCs w:val="22"/>
          <w:lang w:val="en-GB"/>
        </w:rPr>
        <w:t> </w:t>
      </w:r>
    </w:p>
    <w:p w14:paraId="3366D774" w14:textId="77777777" w:rsidR="00C56B3E" w:rsidRPr="00A17481" w:rsidRDefault="00C56B3E" w:rsidP="0099278F">
      <w:pPr>
        <w:pStyle w:val="paragraph0"/>
        <w:numPr>
          <w:ilvl w:val="0"/>
          <w:numId w:val="17"/>
        </w:numPr>
        <w:spacing w:before="0" w:beforeAutospacing="0" w:after="0" w:afterAutospacing="0"/>
        <w:ind w:left="1701" w:hanging="283"/>
        <w:jc w:val="both"/>
        <w:textAlignment w:val="baseline"/>
        <w:rPr>
          <w:rFonts w:asciiTheme="minorHAnsi" w:hAnsiTheme="minorHAnsi" w:cstheme="minorHAnsi"/>
          <w:sz w:val="20"/>
          <w:szCs w:val="20"/>
        </w:rPr>
      </w:pPr>
      <w:proofErr w:type="spellStart"/>
      <w:r w:rsidRPr="00A17481">
        <w:rPr>
          <w:rStyle w:val="normaltextrun"/>
          <w:rFonts w:asciiTheme="minorHAnsi" w:eastAsiaTheme="majorEastAsia" w:hAnsiTheme="minorHAnsi" w:cstheme="minorHAnsi"/>
          <w:sz w:val="22"/>
          <w:szCs w:val="22"/>
        </w:rPr>
        <w:t>MiFIR</w:t>
      </w:r>
      <w:proofErr w:type="spellEnd"/>
      <w:r w:rsidRPr="00A17481">
        <w:rPr>
          <w:rStyle w:val="normaltextrun"/>
          <w:rFonts w:asciiTheme="minorHAnsi" w:eastAsiaTheme="majorEastAsia" w:hAnsiTheme="minorHAnsi" w:cstheme="minorHAnsi"/>
          <w:sz w:val="22"/>
          <w:szCs w:val="22"/>
        </w:rPr>
        <w:t> </w:t>
      </w:r>
      <w:r w:rsidRPr="00A17481">
        <w:rPr>
          <w:rStyle w:val="eop"/>
          <w:rFonts w:asciiTheme="minorHAnsi" w:hAnsiTheme="minorHAnsi" w:cstheme="minorHAnsi"/>
          <w:sz w:val="22"/>
          <w:szCs w:val="22"/>
        </w:rPr>
        <w:t> </w:t>
      </w:r>
    </w:p>
    <w:p w14:paraId="0B6455EF" w14:textId="77777777" w:rsidR="00C56B3E" w:rsidRPr="00A17481" w:rsidRDefault="00C56B3E" w:rsidP="0099278F">
      <w:pPr>
        <w:pStyle w:val="paragraph0"/>
        <w:numPr>
          <w:ilvl w:val="0"/>
          <w:numId w:val="18"/>
        </w:numPr>
        <w:spacing w:before="0" w:beforeAutospacing="0" w:after="0" w:afterAutospacing="0"/>
        <w:ind w:left="2127" w:hanging="284"/>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Discontinue reporting of Exchange Traded and OTC Derivatives under the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regime;</w:t>
      </w:r>
      <w:r w:rsidRPr="00A17481">
        <w:rPr>
          <w:rStyle w:val="eop"/>
          <w:rFonts w:asciiTheme="minorHAnsi" w:hAnsiTheme="minorHAnsi" w:cstheme="minorHAnsi"/>
          <w:sz w:val="22"/>
          <w:szCs w:val="22"/>
          <w:lang w:val="en-GB"/>
        </w:rPr>
        <w:t> </w:t>
      </w:r>
    </w:p>
    <w:p w14:paraId="23416EAB" w14:textId="77777777" w:rsidR="00C56B3E" w:rsidRPr="00A17481" w:rsidRDefault="00C56B3E" w:rsidP="0099278F">
      <w:pPr>
        <w:pStyle w:val="paragraph0"/>
        <w:numPr>
          <w:ilvl w:val="0"/>
          <w:numId w:val="19"/>
        </w:numPr>
        <w:spacing w:before="0" w:beforeAutospacing="0" w:after="0" w:afterAutospacing="0"/>
        <w:ind w:left="2127" w:hanging="284"/>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Consider mandatory reporting under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exclusively to the ARMs, and not to 27 NCAs. Connecting ARMs to the TRACE communication system, used so far by TRs  to provide necessary information to all NCAs, including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regime.</w:t>
      </w:r>
      <w:r w:rsidRPr="00A17481">
        <w:rPr>
          <w:rStyle w:val="eop"/>
          <w:rFonts w:asciiTheme="minorHAnsi" w:hAnsiTheme="minorHAnsi" w:cstheme="minorHAnsi"/>
          <w:sz w:val="22"/>
          <w:szCs w:val="22"/>
          <w:lang w:val="en-GB"/>
        </w:rPr>
        <w:t> </w:t>
      </w:r>
    </w:p>
    <w:p w14:paraId="203F5C7B" w14:textId="77777777" w:rsidR="00C56B3E" w:rsidRPr="00A17481" w:rsidRDefault="00C56B3E" w:rsidP="0099278F">
      <w:pPr>
        <w:pStyle w:val="paragraph0"/>
        <w:numPr>
          <w:ilvl w:val="0"/>
          <w:numId w:val="20"/>
        </w:numPr>
        <w:tabs>
          <w:tab w:val="left" w:pos="1701"/>
        </w:tabs>
        <w:spacing w:before="0" w:beforeAutospacing="0" w:after="0" w:afterAutospacing="0"/>
        <w:ind w:left="2127" w:hanging="709"/>
        <w:jc w:val="both"/>
        <w:textAlignment w:val="baseline"/>
        <w:rPr>
          <w:rFonts w:asciiTheme="minorHAnsi" w:hAnsiTheme="minorHAnsi" w:cstheme="minorHAnsi"/>
          <w:sz w:val="22"/>
          <w:szCs w:val="22"/>
        </w:rPr>
      </w:pPr>
      <w:r w:rsidRPr="00A17481">
        <w:rPr>
          <w:rStyle w:val="normaltextrun"/>
          <w:rFonts w:asciiTheme="minorHAnsi" w:eastAsiaTheme="majorEastAsia" w:hAnsiTheme="minorHAnsi" w:cstheme="minorHAnsi"/>
          <w:sz w:val="22"/>
          <w:szCs w:val="22"/>
        </w:rPr>
        <w:t>EMIR</w:t>
      </w:r>
      <w:r w:rsidRPr="00A17481">
        <w:rPr>
          <w:rStyle w:val="eop"/>
          <w:rFonts w:asciiTheme="minorHAnsi" w:hAnsiTheme="minorHAnsi" w:cstheme="minorHAnsi"/>
          <w:sz w:val="22"/>
          <w:szCs w:val="22"/>
        </w:rPr>
        <w:t> </w:t>
      </w:r>
    </w:p>
    <w:p w14:paraId="39CBA3AA" w14:textId="77777777" w:rsidR="00C56B3E" w:rsidRPr="00A17481" w:rsidRDefault="00C56B3E" w:rsidP="0099278F">
      <w:pPr>
        <w:pStyle w:val="paragraph0"/>
        <w:numPr>
          <w:ilvl w:val="0"/>
          <w:numId w:val="21"/>
        </w:numPr>
        <w:spacing w:before="0" w:beforeAutospacing="0" w:after="0" w:afterAutospacing="0"/>
        <w:ind w:left="2127" w:hanging="284"/>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All ETD and OTC derivatives transactions (currently reported under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and EMIR) reported only once under EMIR to TRs;</w:t>
      </w:r>
      <w:r w:rsidRPr="00A17481">
        <w:rPr>
          <w:rStyle w:val="eop"/>
          <w:rFonts w:asciiTheme="minorHAnsi" w:hAnsiTheme="minorHAnsi" w:cstheme="minorHAnsi"/>
          <w:sz w:val="22"/>
          <w:szCs w:val="22"/>
          <w:lang w:val="en-GB"/>
        </w:rPr>
        <w:t> </w:t>
      </w:r>
    </w:p>
    <w:p w14:paraId="54528773" w14:textId="77777777" w:rsidR="00C56B3E" w:rsidRPr="00A17481" w:rsidRDefault="00C56B3E" w:rsidP="0099278F">
      <w:pPr>
        <w:pStyle w:val="paragraph0"/>
        <w:numPr>
          <w:ilvl w:val="0"/>
          <w:numId w:val="22"/>
        </w:numPr>
        <w:spacing w:before="0" w:beforeAutospacing="0" w:after="0" w:afterAutospacing="0"/>
        <w:ind w:left="1701" w:hanging="283"/>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color w:val="000000"/>
          <w:sz w:val="22"/>
          <w:szCs w:val="22"/>
          <w:lang w:val="en-GB"/>
        </w:rPr>
        <w:lastRenderedPageBreak/>
        <w:t>Revision of dual sided reporting in accordance with global alignment principle with option to agree new standards globally (see the answer to the point Q22);</w:t>
      </w:r>
      <w:r w:rsidRPr="00A17481">
        <w:rPr>
          <w:rStyle w:val="normaltextrun"/>
          <w:rFonts w:asciiTheme="minorHAnsi" w:eastAsiaTheme="majorEastAsia" w:hAnsiTheme="minorHAnsi" w:cstheme="minorHAnsi"/>
          <w:sz w:val="22"/>
          <w:szCs w:val="22"/>
          <w:lang w:val="en-GB"/>
        </w:rPr>
        <w:t> </w:t>
      </w:r>
      <w:r w:rsidRPr="00A17481">
        <w:rPr>
          <w:rStyle w:val="eop"/>
          <w:rFonts w:asciiTheme="minorHAnsi" w:hAnsiTheme="minorHAnsi" w:cstheme="minorHAnsi"/>
          <w:sz w:val="22"/>
          <w:szCs w:val="22"/>
          <w:lang w:val="en-GB"/>
        </w:rPr>
        <w:t> </w:t>
      </w:r>
    </w:p>
    <w:p w14:paraId="7D2326AF" w14:textId="77777777" w:rsidR="00C56B3E" w:rsidRPr="00A17481" w:rsidRDefault="00C56B3E" w:rsidP="0099278F">
      <w:pPr>
        <w:pStyle w:val="paragraph0"/>
        <w:numPr>
          <w:ilvl w:val="0"/>
          <w:numId w:val="23"/>
        </w:numPr>
        <w:spacing w:before="0" w:beforeAutospacing="0" w:after="0" w:afterAutospacing="0"/>
        <w:ind w:left="1701" w:hanging="283"/>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Elimination of organisational separation between EMIR and SFTR reporting;</w:t>
      </w:r>
      <w:r w:rsidRPr="00A17481">
        <w:rPr>
          <w:rStyle w:val="eop"/>
          <w:rFonts w:asciiTheme="minorHAnsi" w:hAnsiTheme="minorHAnsi" w:cstheme="minorHAnsi"/>
          <w:sz w:val="22"/>
          <w:szCs w:val="22"/>
          <w:lang w:val="en-GB"/>
        </w:rPr>
        <w:t> </w:t>
      </w:r>
    </w:p>
    <w:p w14:paraId="488FF498" w14:textId="1AB2E4FE" w:rsidR="00C56B3E" w:rsidRPr="00A17481" w:rsidRDefault="00C56B3E" w:rsidP="0099278F">
      <w:pPr>
        <w:pStyle w:val="paragraph0"/>
        <w:numPr>
          <w:ilvl w:val="0"/>
          <w:numId w:val="24"/>
        </w:numPr>
        <w:spacing w:before="0" w:beforeAutospacing="0" w:after="0" w:afterAutospacing="0"/>
        <w:ind w:left="1701" w:hanging="283"/>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Development of documentation, databases, information and validation tools in a machine-readable format for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xml:space="preserve">, </w:t>
      </w:r>
      <w:r w:rsidR="0063370E" w:rsidRPr="00A17481">
        <w:rPr>
          <w:rStyle w:val="normaltextrun"/>
          <w:rFonts w:asciiTheme="minorHAnsi" w:eastAsiaTheme="majorEastAsia" w:hAnsiTheme="minorHAnsi" w:cstheme="minorHAnsi"/>
          <w:sz w:val="22"/>
          <w:szCs w:val="22"/>
          <w:lang w:val="en-GB"/>
        </w:rPr>
        <w:t xml:space="preserve">EMIR </w:t>
      </w:r>
      <w:r w:rsidRPr="00A17481">
        <w:rPr>
          <w:rStyle w:val="normaltextrun"/>
          <w:rFonts w:asciiTheme="minorHAnsi" w:eastAsiaTheme="majorEastAsia" w:hAnsiTheme="minorHAnsi" w:cstheme="minorHAnsi"/>
          <w:sz w:val="22"/>
          <w:szCs w:val="22"/>
          <w:lang w:val="en-GB"/>
        </w:rPr>
        <w:t>and SFTR reporting.</w:t>
      </w:r>
      <w:r w:rsidRPr="00A17481">
        <w:rPr>
          <w:rStyle w:val="eop"/>
          <w:rFonts w:asciiTheme="minorHAnsi" w:hAnsiTheme="minorHAnsi" w:cstheme="minorHAnsi"/>
          <w:sz w:val="22"/>
          <w:szCs w:val="22"/>
          <w:lang w:val="en-GB"/>
        </w:rPr>
        <w:t> </w:t>
      </w:r>
    </w:p>
    <w:p w14:paraId="55A75025" w14:textId="77777777" w:rsidR="00C56B3E" w:rsidRPr="00A17481" w:rsidRDefault="00C56B3E" w:rsidP="0099278F">
      <w:pPr>
        <w:pStyle w:val="paragraph0"/>
        <w:spacing w:before="0" w:beforeAutospacing="0" w:after="0" w:afterAutospacing="0"/>
        <w:ind w:left="720"/>
        <w:jc w:val="both"/>
        <w:textAlignment w:val="baseline"/>
        <w:rPr>
          <w:rFonts w:asciiTheme="minorHAnsi" w:hAnsiTheme="minorHAnsi" w:cstheme="minorHAnsi"/>
          <w:sz w:val="18"/>
          <w:szCs w:val="18"/>
          <w:lang w:val="en-GB"/>
        </w:rPr>
      </w:pPr>
      <w:r w:rsidRPr="00A17481">
        <w:rPr>
          <w:rStyle w:val="eop"/>
          <w:rFonts w:asciiTheme="minorHAnsi" w:hAnsiTheme="minorHAnsi" w:cstheme="minorHAnsi"/>
          <w:sz w:val="22"/>
          <w:szCs w:val="22"/>
          <w:lang w:val="en-GB"/>
        </w:rPr>
        <w:t> </w:t>
      </w:r>
    </w:p>
    <w:p w14:paraId="0EBA8EFC" w14:textId="77777777" w:rsidR="00C56B3E" w:rsidRPr="00A17481" w:rsidRDefault="00C56B3E" w:rsidP="0099278F">
      <w:pPr>
        <w:pStyle w:val="paragraph0"/>
        <w:numPr>
          <w:ilvl w:val="0"/>
          <w:numId w:val="25"/>
        </w:numPr>
        <w:spacing w:before="0" w:beforeAutospacing="0" w:after="0" w:afterAutospacing="0"/>
        <w:ind w:firstLine="0"/>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b/>
          <w:bCs/>
          <w:sz w:val="22"/>
          <w:szCs w:val="22"/>
          <w:lang w:val="en-GB"/>
        </w:rPr>
        <w:t>PROS for option 1aa vs. option 1a</w:t>
      </w:r>
      <w:r w:rsidRPr="00A17481">
        <w:rPr>
          <w:rStyle w:val="eop"/>
          <w:rFonts w:asciiTheme="minorHAnsi" w:hAnsiTheme="minorHAnsi" w:cstheme="minorHAnsi"/>
          <w:sz w:val="22"/>
          <w:szCs w:val="22"/>
          <w:lang w:val="en-GB"/>
        </w:rPr>
        <w:t> </w:t>
      </w:r>
    </w:p>
    <w:p w14:paraId="260C1079" w14:textId="77777777" w:rsidR="00C56B3E" w:rsidRPr="00A17481" w:rsidRDefault="00C56B3E" w:rsidP="0099278F">
      <w:pPr>
        <w:pStyle w:val="paragraph0"/>
        <w:numPr>
          <w:ilvl w:val="0"/>
          <w:numId w:val="26"/>
        </w:numPr>
        <w:spacing w:before="0" w:beforeAutospacing="0" w:after="0" w:afterAutospacing="0"/>
        <w:ind w:left="1843" w:hanging="371"/>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Consistency of data regarding ETD transactions and OTC derivatives as well as post-trade events in TRs under EMIR (no significant change compared to current solutions, except for the extension of the EMIR template with additional mandatory fields required by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w:t>
      </w:r>
      <w:r w:rsidRPr="00A17481">
        <w:rPr>
          <w:rStyle w:val="eop"/>
          <w:rFonts w:asciiTheme="minorHAnsi" w:hAnsiTheme="minorHAnsi" w:cstheme="minorHAnsi"/>
          <w:sz w:val="22"/>
          <w:szCs w:val="22"/>
          <w:lang w:val="en-GB"/>
        </w:rPr>
        <w:t> </w:t>
      </w:r>
    </w:p>
    <w:p w14:paraId="37E0AAE7" w14:textId="2A341FA7" w:rsidR="00C56B3E" w:rsidRPr="00A17481" w:rsidRDefault="00C56B3E" w:rsidP="0099278F">
      <w:pPr>
        <w:pStyle w:val="paragraph0"/>
        <w:numPr>
          <w:ilvl w:val="0"/>
          <w:numId w:val="27"/>
        </w:numPr>
        <w:spacing w:before="0" w:beforeAutospacing="0" w:after="0" w:afterAutospacing="0"/>
        <w:ind w:left="2410" w:hanging="283"/>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Easy data exchange between TR and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supervisors regarding ETD and OTC derivatives transactions via the existing TRACE communication system, which will become the central information exchange system for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xml:space="preserve">, </w:t>
      </w:r>
      <w:r w:rsidR="0063370E" w:rsidRPr="00A17481">
        <w:rPr>
          <w:rStyle w:val="normaltextrun"/>
          <w:rFonts w:asciiTheme="minorHAnsi" w:eastAsiaTheme="majorEastAsia" w:hAnsiTheme="minorHAnsi" w:cstheme="minorHAnsi"/>
          <w:sz w:val="22"/>
          <w:szCs w:val="22"/>
          <w:lang w:val="en-GB"/>
        </w:rPr>
        <w:t xml:space="preserve">EMIR </w:t>
      </w:r>
      <w:r w:rsidRPr="00A17481">
        <w:rPr>
          <w:rStyle w:val="normaltextrun"/>
          <w:rFonts w:asciiTheme="minorHAnsi" w:eastAsiaTheme="majorEastAsia" w:hAnsiTheme="minorHAnsi" w:cstheme="minorHAnsi"/>
          <w:sz w:val="22"/>
          <w:szCs w:val="22"/>
          <w:lang w:val="en-GB"/>
        </w:rPr>
        <w:t>and SFTR reporting;</w:t>
      </w:r>
      <w:r w:rsidRPr="00A17481">
        <w:rPr>
          <w:rStyle w:val="eop"/>
          <w:rFonts w:asciiTheme="minorHAnsi" w:hAnsiTheme="minorHAnsi" w:cstheme="minorHAnsi"/>
          <w:sz w:val="22"/>
          <w:szCs w:val="22"/>
          <w:lang w:val="en-GB"/>
        </w:rPr>
        <w:t> </w:t>
      </w:r>
    </w:p>
    <w:p w14:paraId="41093B8E" w14:textId="77777777" w:rsidR="00C56B3E" w:rsidRPr="00A17481" w:rsidRDefault="00C56B3E" w:rsidP="0099278F">
      <w:pPr>
        <w:pStyle w:val="paragraph0"/>
        <w:numPr>
          <w:ilvl w:val="0"/>
          <w:numId w:val="28"/>
        </w:numPr>
        <w:spacing w:before="0" w:beforeAutospacing="0" w:after="0" w:afterAutospacing="0"/>
        <w:ind w:left="2410" w:hanging="283"/>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Analyses conducted for EMIR transactions are crucial for assessing the stability of the financial system and are more complex than those conducted on the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database. Therefore, maintaining data consistency in the TR provides significant added value compared to the value resulting from data consistency under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w:t>
      </w:r>
      <w:r w:rsidRPr="00A17481">
        <w:rPr>
          <w:rStyle w:val="eop"/>
          <w:rFonts w:asciiTheme="minorHAnsi" w:hAnsiTheme="minorHAnsi" w:cstheme="minorHAnsi"/>
          <w:sz w:val="22"/>
          <w:szCs w:val="22"/>
          <w:lang w:val="en-GB"/>
        </w:rPr>
        <w:t> </w:t>
      </w:r>
    </w:p>
    <w:p w14:paraId="1A3E960C" w14:textId="77777777" w:rsidR="00C56B3E" w:rsidRPr="00A17481" w:rsidRDefault="00C56B3E" w:rsidP="0099278F">
      <w:pPr>
        <w:pStyle w:val="paragraph0"/>
        <w:numPr>
          <w:ilvl w:val="0"/>
          <w:numId w:val="29"/>
        </w:numPr>
        <w:spacing w:before="0" w:beforeAutospacing="0" w:after="0" w:afterAutospacing="0"/>
        <w:ind w:left="1843" w:hanging="371"/>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If option 1aa is implemented, there would be no need to duplicate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transactions data to 27 NCAs and no need to keep complex IT systems by NCAs (significant cost savings in the whole reporting system). NCAs analyses for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transactions would be conducted based on agreed reports generated by TRs and ARMs via the TRACE communication system to NCAs;</w:t>
      </w:r>
      <w:r w:rsidRPr="00A17481">
        <w:rPr>
          <w:rStyle w:val="eop"/>
          <w:rFonts w:asciiTheme="minorHAnsi" w:hAnsiTheme="minorHAnsi" w:cstheme="minorHAnsi"/>
          <w:sz w:val="22"/>
          <w:szCs w:val="22"/>
          <w:lang w:val="en-GB"/>
        </w:rPr>
        <w:t> </w:t>
      </w:r>
    </w:p>
    <w:p w14:paraId="6E0F0D91" w14:textId="4619CF3F" w:rsidR="00C56B3E" w:rsidRPr="00A17481" w:rsidRDefault="00C56B3E" w:rsidP="0099278F">
      <w:pPr>
        <w:pStyle w:val="paragraph0"/>
        <w:numPr>
          <w:ilvl w:val="0"/>
          <w:numId w:val="30"/>
        </w:numPr>
        <w:spacing w:before="0" w:beforeAutospacing="0" w:after="0" w:afterAutospacing="0"/>
        <w:ind w:left="1843" w:hanging="371"/>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 xml:space="preserve">Reduction of operating costs of TRs due to the elimination of organizational separation for </w:t>
      </w:r>
      <w:r w:rsidR="0063370E" w:rsidRPr="00A17481">
        <w:rPr>
          <w:rStyle w:val="normaltextrun"/>
          <w:rFonts w:asciiTheme="minorHAnsi" w:eastAsiaTheme="majorEastAsia" w:hAnsiTheme="minorHAnsi" w:cstheme="minorHAnsi"/>
          <w:sz w:val="22"/>
          <w:szCs w:val="22"/>
          <w:lang w:val="en-GB"/>
        </w:rPr>
        <w:t>EMIR</w:t>
      </w:r>
      <w:r w:rsidRPr="00A17481">
        <w:rPr>
          <w:rStyle w:val="normaltextrun"/>
          <w:rFonts w:asciiTheme="minorHAnsi" w:eastAsiaTheme="majorEastAsia" w:hAnsiTheme="minorHAnsi" w:cstheme="minorHAnsi"/>
          <w:sz w:val="22"/>
          <w:szCs w:val="22"/>
          <w:lang w:val="en-GB"/>
        </w:rPr>
        <w:t>/SFTR reporting;</w:t>
      </w:r>
      <w:r w:rsidRPr="00A17481">
        <w:rPr>
          <w:rStyle w:val="eop"/>
          <w:rFonts w:asciiTheme="minorHAnsi" w:hAnsiTheme="minorHAnsi" w:cstheme="minorHAnsi"/>
          <w:sz w:val="22"/>
          <w:szCs w:val="22"/>
          <w:lang w:val="en-GB"/>
        </w:rPr>
        <w:t> </w:t>
      </w:r>
    </w:p>
    <w:p w14:paraId="52887141" w14:textId="77777777" w:rsidR="00C56B3E" w:rsidRPr="00A17481" w:rsidRDefault="00C56B3E" w:rsidP="0099278F">
      <w:pPr>
        <w:pStyle w:val="paragraph0"/>
        <w:numPr>
          <w:ilvl w:val="0"/>
          <w:numId w:val="31"/>
        </w:numPr>
        <w:spacing w:before="0" w:beforeAutospacing="0" w:after="0" w:afterAutospacing="0"/>
        <w:ind w:left="1843" w:hanging="371"/>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An important element in reducing reporting costs is also a development of documentation, databases, information and validation tools in a machine-readable format, which facilitates automation and consistency across reporting entities and all stakeholders. </w:t>
      </w:r>
      <w:r w:rsidRPr="00A17481">
        <w:rPr>
          <w:rStyle w:val="eop"/>
          <w:rFonts w:asciiTheme="minorHAnsi" w:hAnsiTheme="minorHAnsi" w:cstheme="minorHAnsi"/>
          <w:sz w:val="22"/>
          <w:szCs w:val="22"/>
          <w:lang w:val="en-GB"/>
        </w:rPr>
        <w:t> </w:t>
      </w:r>
    </w:p>
    <w:p w14:paraId="576DB4EF" w14:textId="77777777" w:rsidR="00C56B3E" w:rsidRPr="00A17481" w:rsidRDefault="00C56B3E" w:rsidP="0099278F">
      <w:pPr>
        <w:pStyle w:val="paragraph0"/>
        <w:numPr>
          <w:ilvl w:val="0"/>
          <w:numId w:val="32"/>
        </w:numPr>
        <w:spacing w:before="0" w:beforeAutospacing="0" w:after="0" w:afterAutospacing="0"/>
        <w:ind w:left="1843" w:hanging="371"/>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Option 1aa might be the first step towards introducing further long-term changes that will increase reporting efficiency, with a significantly higher cost of change to be implemented in the future (see new option 2aa in Q11).</w:t>
      </w:r>
      <w:r w:rsidRPr="00A17481">
        <w:rPr>
          <w:rStyle w:val="eop"/>
          <w:rFonts w:asciiTheme="minorHAnsi" w:hAnsiTheme="minorHAnsi" w:cstheme="minorHAnsi"/>
          <w:sz w:val="22"/>
          <w:szCs w:val="22"/>
          <w:lang w:val="en-GB"/>
        </w:rPr>
        <w:t> </w:t>
      </w:r>
    </w:p>
    <w:p w14:paraId="26C32B5D" w14:textId="77777777" w:rsidR="00C56B3E" w:rsidRPr="00A17481" w:rsidRDefault="00C56B3E" w:rsidP="0099278F">
      <w:pPr>
        <w:pStyle w:val="paragraph0"/>
        <w:numPr>
          <w:ilvl w:val="0"/>
          <w:numId w:val="33"/>
        </w:numPr>
        <w:spacing w:before="0" w:beforeAutospacing="0" w:after="0" w:afterAutospacing="0"/>
        <w:ind w:firstLine="0"/>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b/>
          <w:bCs/>
          <w:sz w:val="22"/>
          <w:szCs w:val="22"/>
          <w:lang w:val="en-GB"/>
        </w:rPr>
        <w:t>CONS for option 1aa vs. option 1a</w:t>
      </w:r>
      <w:r w:rsidRPr="00A17481">
        <w:rPr>
          <w:rStyle w:val="eop"/>
          <w:rFonts w:asciiTheme="minorHAnsi" w:hAnsiTheme="minorHAnsi" w:cstheme="minorHAnsi"/>
          <w:sz w:val="22"/>
          <w:szCs w:val="22"/>
          <w:lang w:val="en-GB"/>
        </w:rPr>
        <w:t> </w:t>
      </w:r>
    </w:p>
    <w:p w14:paraId="28634FE6" w14:textId="78179127" w:rsidR="00C56B3E" w:rsidRDefault="00C56B3E" w:rsidP="0099278F">
      <w:pPr>
        <w:pStyle w:val="paragraph0"/>
        <w:numPr>
          <w:ilvl w:val="0"/>
          <w:numId w:val="34"/>
        </w:numPr>
        <w:spacing w:before="0" w:beforeAutospacing="0" w:after="0" w:afterAutospacing="0"/>
        <w:ind w:left="1843" w:hanging="425"/>
        <w:jc w:val="both"/>
        <w:textAlignment w:val="baseline"/>
        <w:rPr>
          <w:rStyle w:val="eop"/>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NCAs under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would have to obtain aggregated reports from two sources: TRs on ETD and OTC derivatives transactions and also aggregated reports from ARMs for remaining transactions, but through the same TRACE system;</w:t>
      </w:r>
    </w:p>
    <w:p w14:paraId="1A0A9C6F" w14:textId="77777777" w:rsidR="00A17481" w:rsidRPr="00A17481" w:rsidRDefault="00A17481" w:rsidP="0099278F">
      <w:pPr>
        <w:pStyle w:val="paragraph0"/>
        <w:spacing w:before="0" w:beforeAutospacing="0" w:after="0" w:afterAutospacing="0"/>
        <w:ind w:left="1843" w:hanging="425"/>
        <w:jc w:val="both"/>
        <w:textAlignment w:val="baseline"/>
        <w:rPr>
          <w:rFonts w:asciiTheme="minorHAnsi" w:hAnsiTheme="minorHAnsi" w:cstheme="minorHAnsi"/>
          <w:sz w:val="22"/>
          <w:szCs w:val="22"/>
          <w:lang w:val="en-GB"/>
        </w:rPr>
      </w:pPr>
    </w:p>
    <w:p w14:paraId="04FCFE7A" w14:textId="77777777" w:rsidR="00C56B3E" w:rsidRPr="00A17481" w:rsidRDefault="00C56B3E" w:rsidP="0099278F">
      <w:pPr>
        <w:pStyle w:val="paragraph0"/>
        <w:numPr>
          <w:ilvl w:val="0"/>
          <w:numId w:val="35"/>
        </w:numPr>
        <w:spacing w:before="0" w:beforeAutospacing="0" w:after="0" w:afterAutospacing="0"/>
        <w:ind w:left="1843" w:hanging="425"/>
        <w:jc w:val="both"/>
        <w:textAlignment w:val="baseline"/>
        <w:rPr>
          <w:rFonts w:asciiTheme="minorHAnsi" w:hAnsiTheme="minorHAnsi" w:cstheme="minorHAnsi"/>
          <w:sz w:val="22"/>
          <w:szCs w:val="22"/>
          <w:lang w:val="en-GB"/>
        </w:rPr>
      </w:pPr>
      <w:r w:rsidRPr="00A17481">
        <w:rPr>
          <w:rStyle w:val="normaltextrun"/>
          <w:rFonts w:asciiTheme="minorHAnsi" w:eastAsiaTheme="majorEastAsia" w:hAnsiTheme="minorHAnsi" w:cstheme="minorHAnsi"/>
          <w:sz w:val="22"/>
          <w:szCs w:val="22"/>
          <w:lang w:val="en-GB"/>
        </w:rPr>
        <w:t>The need to extend the EMIR template to cover data points relevant for market abuse surveillance (</w:t>
      </w:r>
      <w:proofErr w:type="spellStart"/>
      <w:r w:rsidRPr="00A17481">
        <w:rPr>
          <w:rStyle w:val="normaltextrun"/>
          <w:rFonts w:asciiTheme="minorHAnsi" w:eastAsiaTheme="majorEastAsia" w:hAnsiTheme="minorHAnsi" w:cstheme="minorHAnsi"/>
          <w:sz w:val="22"/>
          <w:szCs w:val="22"/>
          <w:lang w:val="en-GB"/>
        </w:rPr>
        <w:t>MiFIR</w:t>
      </w:r>
      <w:proofErr w:type="spellEnd"/>
      <w:r w:rsidRPr="00A17481">
        <w:rPr>
          <w:rStyle w:val="normaltextrun"/>
          <w:rFonts w:asciiTheme="minorHAnsi" w:eastAsiaTheme="majorEastAsia" w:hAnsiTheme="minorHAnsi" w:cstheme="minorHAnsi"/>
          <w:sz w:val="22"/>
          <w:szCs w:val="22"/>
          <w:lang w:val="en-GB"/>
        </w:rPr>
        <w:t xml:space="preserve">), based on data use e.g. as a minimum the identifiers for the person making the investment/execution decision, </w:t>
      </w:r>
      <w:r w:rsidRPr="00A17481">
        <w:rPr>
          <w:rStyle w:val="normaltextrun"/>
          <w:rFonts w:asciiTheme="minorHAnsi" w:eastAsiaTheme="majorEastAsia" w:hAnsiTheme="minorHAnsi" w:cstheme="minorHAnsi"/>
          <w:sz w:val="22"/>
          <w:szCs w:val="22"/>
          <w:lang w:val="en-GB"/>
        </w:rPr>
        <w:lastRenderedPageBreak/>
        <w:t>buyer/sellers that are natural persons and, possibly, the ultimate client/beneficiary (similar to CONS in option 1a).</w:t>
      </w:r>
      <w:r w:rsidRPr="00A17481">
        <w:rPr>
          <w:rStyle w:val="eop"/>
          <w:rFonts w:asciiTheme="minorHAnsi" w:hAnsiTheme="minorHAnsi" w:cstheme="minorHAnsi"/>
          <w:sz w:val="22"/>
          <w:szCs w:val="22"/>
          <w:lang w:val="en-GB"/>
        </w:rPr>
        <w:t> </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2F09F851" w14:textId="77777777" w:rsidR="00A17481" w:rsidRDefault="00A17481" w:rsidP="00926BDA">
      <w:permStart w:id="276758894" w:edGrp="everyone"/>
      <w:r w:rsidRPr="00A17481">
        <w:rPr>
          <w:rFonts w:asciiTheme="minorHAnsi" w:hAnsiTheme="minorHAnsi" w:cstheme="minorHAnsi"/>
          <w:sz w:val="22"/>
          <w:szCs w:val="22"/>
        </w:rPr>
        <w:t>No benefit for option 1b over option 1aa proposed in Q5</w:t>
      </w:r>
      <w:r w:rsidRPr="00A17481">
        <w:t>.</w:t>
      </w:r>
    </w:p>
    <w:permEnd w:id="276758894"/>
    <w:p w14:paraId="5FF8B2C2" w14:textId="25E721D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477A58B" w14:textId="2944F8E8" w:rsidR="00A17481" w:rsidRPr="00A17481" w:rsidRDefault="00A17481" w:rsidP="00A17481">
      <w:pPr>
        <w:rPr>
          <w:lang w:val="pl-PL"/>
        </w:rPr>
      </w:pPr>
      <w:permStart w:id="1327239170" w:edGrp="everyone"/>
    </w:p>
    <w:p w14:paraId="3D168DE1" w14:textId="77777777" w:rsidR="00A17481" w:rsidRPr="00A17481" w:rsidRDefault="00A17481" w:rsidP="006513EE">
      <w:pPr>
        <w:numPr>
          <w:ilvl w:val="0"/>
          <w:numId w:val="37"/>
        </w:numPr>
        <w:jc w:val="both"/>
        <w:rPr>
          <w:rFonts w:asciiTheme="minorHAnsi" w:hAnsiTheme="minorHAnsi" w:cstheme="minorHAnsi"/>
          <w:sz w:val="22"/>
          <w:szCs w:val="22"/>
        </w:rPr>
      </w:pPr>
      <w:r w:rsidRPr="00A17481">
        <w:rPr>
          <w:rFonts w:asciiTheme="minorHAnsi" w:hAnsiTheme="minorHAnsi" w:cstheme="minorHAnsi"/>
          <w:sz w:val="22"/>
          <w:szCs w:val="22"/>
        </w:rPr>
        <w:t>Option 1b increases the operating costs of the entire transaction reporting system, including supervisory systems, and additionally increases the one-time costs of implementing the change compared to Option 1a and Option 1aa.  </w:t>
      </w:r>
    </w:p>
    <w:p w14:paraId="254DB60D" w14:textId="77777777" w:rsidR="00A17481" w:rsidRPr="00A17481" w:rsidRDefault="00A17481" w:rsidP="006513EE">
      <w:pPr>
        <w:numPr>
          <w:ilvl w:val="0"/>
          <w:numId w:val="38"/>
        </w:numPr>
        <w:jc w:val="both"/>
        <w:rPr>
          <w:rFonts w:asciiTheme="minorHAnsi" w:hAnsiTheme="minorHAnsi" w:cstheme="minorHAnsi"/>
          <w:sz w:val="22"/>
          <w:szCs w:val="22"/>
        </w:rPr>
      </w:pPr>
      <w:r w:rsidRPr="00A17481">
        <w:rPr>
          <w:rFonts w:asciiTheme="minorHAnsi" w:hAnsiTheme="minorHAnsi" w:cstheme="minorHAnsi"/>
          <w:sz w:val="22"/>
          <w:szCs w:val="22"/>
        </w:rPr>
        <w:t>Limitation and potential risks of option 1b: </w:t>
      </w:r>
    </w:p>
    <w:p w14:paraId="314DC4E0" w14:textId="77777777" w:rsidR="00A17481" w:rsidRPr="00A17481" w:rsidRDefault="00A17481" w:rsidP="006513EE">
      <w:pPr>
        <w:numPr>
          <w:ilvl w:val="0"/>
          <w:numId w:val="39"/>
        </w:numPr>
        <w:jc w:val="both"/>
        <w:rPr>
          <w:rFonts w:asciiTheme="minorHAnsi" w:hAnsiTheme="minorHAnsi" w:cstheme="minorHAnsi"/>
          <w:sz w:val="22"/>
          <w:szCs w:val="22"/>
        </w:rPr>
      </w:pPr>
      <w:r w:rsidRPr="00A17481">
        <w:rPr>
          <w:rFonts w:asciiTheme="minorHAnsi" w:hAnsiTheme="minorHAnsi" w:cstheme="minorHAnsi"/>
          <w:sz w:val="22"/>
          <w:szCs w:val="22"/>
        </w:rPr>
        <w:t>The need to expand 27 NCAs IT systems and the current at least 11 ARM systems to include the collection of reports for ETD and OTC derivatives transactions, along with the need to introduce extensive algorithms for validating of these transactions; </w:t>
      </w:r>
    </w:p>
    <w:p w14:paraId="0F86890A" w14:textId="77777777" w:rsidR="00A17481" w:rsidRPr="00A17481" w:rsidRDefault="00A17481" w:rsidP="006513EE">
      <w:pPr>
        <w:numPr>
          <w:ilvl w:val="0"/>
          <w:numId w:val="40"/>
        </w:numPr>
        <w:jc w:val="both"/>
        <w:rPr>
          <w:rFonts w:asciiTheme="minorHAnsi" w:hAnsiTheme="minorHAnsi" w:cstheme="minorHAnsi"/>
          <w:sz w:val="22"/>
          <w:szCs w:val="22"/>
        </w:rPr>
      </w:pPr>
      <w:r w:rsidRPr="00A17481">
        <w:rPr>
          <w:rFonts w:asciiTheme="minorHAnsi" w:hAnsiTheme="minorHAnsi" w:cstheme="minorHAnsi"/>
          <w:sz w:val="22"/>
          <w:szCs w:val="22"/>
        </w:rPr>
        <w:t>Writing off the significant investment already incurred by 4 TRs for the validation of ETD and OTC derivatives transactions.  Moreover, the loss of significant experience gained during the development and operation of the IT systems by 4TR in the validation of ETD and OTC derivatives transactions and data submission to supervisory authorities. This will also lead to a shift in the volume of reported transactions to 27 NCAs, what creates further operational risk due to the fact that many institutions are not prepared to maintain such large databases; </w:t>
      </w:r>
    </w:p>
    <w:p w14:paraId="3743F8EF" w14:textId="77777777" w:rsidR="00A17481" w:rsidRPr="00A17481" w:rsidRDefault="00A17481" w:rsidP="006513EE">
      <w:pPr>
        <w:numPr>
          <w:ilvl w:val="0"/>
          <w:numId w:val="41"/>
        </w:numPr>
        <w:jc w:val="both"/>
        <w:rPr>
          <w:rFonts w:asciiTheme="minorHAnsi" w:hAnsiTheme="minorHAnsi" w:cstheme="minorHAnsi"/>
          <w:sz w:val="22"/>
          <w:szCs w:val="22"/>
        </w:rPr>
      </w:pPr>
      <w:r w:rsidRPr="00A17481">
        <w:rPr>
          <w:rFonts w:asciiTheme="minorHAnsi" w:hAnsiTheme="minorHAnsi" w:cstheme="minorHAnsi"/>
          <w:sz w:val="22"/>
          <w:szCs w:val="22"/>
        </w:rPr>
        <w:t>The currently existing and recently revised transaction reporting system (EMIR Refit) for market participants and TRs is being substantially modified again, requiring significant new capital expenditures by 27 NCAs and at least 11 ARMs, while not introducing any added value for reporting entities compared to option 1a; </w:t>
      </w:r>
    </w:p>
    <w:p w14:paraId="45B1BA6C" w14:textId="77777777" w:rsidR="00A17481" w:rsidRPr="00A17481" w:rsidRDefault="00A17481" w:rsidP="006513EE">
      <w:pPr>
        <w:numPr>
          <w:ilvl w:val="0"/>
          <w:numId w:val="42"/>
        </w:numPr>
        <w:jc w:val="both"/>
        <w:rPr>
          <w:rFonts w:asciiTheme="minorHAnsi" w:hAnsiTheme="minorHAnsi" w:cstheme="minorHAnsi"/>
          <w:sz w:val="22"/>
          <w:szCs w:val="22"/>
        </w:rPr>
      </w:pPr>
      <w:r w:rsidRPr="00A17481">
        <w:rPr>
          <w:rFonts w:asciiTheme="minorHAnsi" w:hAnsiTheme="minorHAnsi" w:cstheme="minorHAnsi"/>
          <w:sz w:val="22"/>
          <w:szCs w:val="22"/>
        </w:rPr>
        <w:t>Significant increase in the operating costs of the entire transaction reporting system by transferring the IT system modules already implemented and operated by only 4 TRs to 27 NCAs and 11 ARMs. </w:t>
      </w:r>
    </w:p>
    <w:p w14:paraId="1CFEB751" w14:textId="7D6BEA09" w:rsidR="00926BDA" w:rsidRDefault="00A17481" w:rsidP="006513EE">
      <w:pPr>
        <w:numPr>
          <w:ilvl w:val="0"/>
          <w:numId w:val="43"/>
        </w:numPr>
        <w:jc w:val="both"/>
      </w:pPr>
      <w:r w:rsidRPr="00A17481">
        <w:rPr>
          <w:rFonts w:asciiTheme="minorHAnsi" w:hAnsiTheme="minorHAnsi" w:cstheme="minorHAnsi"/>
          <w:sz w:val="22"/>
          <w:szCs w:val="22"/>
        </w:rPr>
        <w:t>Therefore, in our opinion, option 1b should not be considered further.</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3C809DE8" w14:textId="579038F1" w:rsidR="00A17481" w:rsidRPr="00A17481" w:rsidRDefault="00A17481" w:rsidP="004B1258">
      <w:pPr>
        <w:jc w:val="both"/>
        <w:rPr>
          <w:rFonts w:asciiTheme="minorHAnsi" w:hAnsiTheme="minorHAnsi" w:cstheme="minorHAnsi"/>
          <w:sz w:val="22"/>
          <w:szCs w:val="22"/>
        </w:rPr>
      </w:pPr>
      <w:permStart w:id="275065348" w:edGrp="everyone"/>
      <w:r w:rsidRPr="00A17481">
        <w:rPr>
          <w:rFonts w:asciiTheme="minorHAnsi" w:hAnsiTheme="minorHAnsi" w:cstheme="minorHAnsi"/>
          <w:sz w:val="22"/>
          <w:szCs w:val="22"/>
        </w:rPr>
        <w:t>Option 1b should not be considered further due to significant increase of operating cost for the whole reporting system, including NCAs, as demonstrated in point Q7, without introducing added value in relation to option 1aa. </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0C95B3AC" w14:textId="4B5AFBB4" w:rsidR="00A17481" w:rsidRPr="00A17481" w:rsidRDefault="00A17481" w:rsidP="00A17481">
      <w:pPr>
        <w:rPr>
          <w:lang w:val="pl-PL"/>
        </w:rPr>
      </w:pPr>
      <w:permStart w:id="1249454344" w:edGrp="everyone"/>
    </w:p>
    <w:p w14:paraId="661A8647" w14:textId="5C69DBEB" w:rsidR="00A17481" w:rsidRPr="00A17481" w:rsidRDefault="00A17481" w:rsidP="004B1258">
      <w:pPr>
        <w:numPr>
          <w:ilvl w:val="0"/>
          <w:numId w:val="44"/>
        </w:numPr>
        <w:jc w:val="both"/>
        <w:rPr>
          <w:rFonts w:asciiTheme="minorHAnsi" w:hAnsiTheme="minorHAnsi" w:cstheme="minorHAnsi"/>
          <w:sz w:val="22"/>
          <w:szCs w:val="22"/>
        </w:rPr>
      </w:pPr>
      <w:r w:rsidRPr="00A17481">
        <w:rPr>
          <w:rFonts w:asciiTheme="minorHAnsi" w:hAnsiTheme="minorHAnsi" w:cstheme="minorHAnsi"/>
          <w:sz w:val="22"/>
          <w:szCs w:val="22"/>
        </w:rPr>
        <w:t xml:space="preserve">Given the significant costs incurred by all market participants due to the changes resulting from the </w:t>
      </w:r>
      <w:r w:rsidR="0063370E" w:rsidRPr="00A17481">
        <w:rPr>
          <w:rStyle w:val="normaltextrun"/>
          <w:rFonts w:asciiTheme="minorHAnsi" w:eastAsiaTheme="majorEastAsia" w:hAnsiTheme="minorHAnsi" w:cstheme="minorHAnsi"/>
          <w:sz w:val="22"/>
          <w:szCs w:val="22"/>
        </w:rPr>
        <w:t xml:space="preserve">EMIR </w:t>
      </w:r>
      <w:r w:rsidRPr="00A17481">
        <w:rPr>
          <w:rFonts w:asciiTheme="minorHAnsi" w:hAnsiTheme="minorHAnsi" w:cstheme="minorHAnsi"/>
          <w:sz w:val="22"/>
          <w:szCs w:val="22"/>
        </w:rPr>
        <w:t xml:space="preserve">revision, long-term solutions should not be considered at this time. Currently, we should wait a few years to see the effects of the changes already introduced by </w:t>
      </w:r>
      <w:r w:rsidR="0063370E" w:rsidRPr="00A17481">
        <w:rPr>
          <w:rStyle w:val="normaltextrun"/>
          <w:rFonts w:asciiTheme="minorHAnsi" w:eastAsiaTheme="majorEastAsia" w:hAnsiTheme="minorHAnsi" w:cstheme="minorHAnsi"/>
          <w:sz w:val="22"/>
          <w:szCs w:val="22"/>
        </w:rPr>
        <w:t xml:space="preserve">EMIR </w:t>
      </w:r>
      <w:r w:rsidRPr="00A17481">
        <w:rPr>
          <w:rFonts w:asciiTheme="minorHAnsi" w:hAnsiTheme="minorHAnsi" w:cstheme="minorHAnsi"/>
          <w:sz w:val="22"/>
          <w:szCs w:val="22"/>
        </w:rPr>
        <w:t>Refit and their impact on effectiveness of transaction reporting. </w:t>
      </w:r>
    </w:p>
    <w:p w14:paraId="229E45DC" w14:textId="77777777" w:rsidR="00A17481" w:rsidRPr="00A17481" w:rsidRDefault="00A17481" w:rsidP="004B1258">
      <w:pPr>
        <w:numPr>
          <w:ilvl w:val="0"/>
          <w:numId w:val="45"/>
        </w:numPr>
        <w:jc w:val="both"/>
        <w:rPr>
          <w:rFonts w:asciiTheme="minorHAnsi" w:hAnsiTheme="minorHAnsi" w:cstheme="minorHAnsi"/>
          <w:sz w:val="22"/>
          <w:szCs w:val="22"/>
        </w:rPr>
      </w:pPr>
      <w:r w:rsidRPr="00A17481">
        <w:rPr>
          <w:rFonts w:asciiTheme="minorHAnsi" w:hAnsiTheme="minorHAnsi" w:cstheme="minorHAnsi"/>
          <w:sz w:val="22"/>
          <w:szCs w:val="22"/>
        </w:rPr>
        <w:t>Moreover, we disagree with the PROS listed below for Option 2a: </w:t>
      </w:r>
    </w:p>
    <w:p w14:paraId="2CEACA43" w14:textId="7798F448" w:rsidR="00A17481" w:rsidRPr="00A17481" w:rsidRDefault="00A17481" w:rsidP="004B1258">
      <w:pPr>
        <w:numPr>
          <w:ilvl w:val="0"/>
          <w:numId w:val="46"/>
        </w:numPr>
        <w:tabs>
          <w:tab w:val="clear" w:pos="720"/>
          <w:tab w:val="left" w:pos="1418"/>
        </w:tabs>
        <w:ind w:left="1134" w:firstLine="0"/>
        <w:jc w:val="both"/>
        <w:rPr>
          <w:rFonts w:asciiTheme="minorHAnsi" w:hAnsiTheme="minorHAnsi" w:cstheme="minorHAnsi"/>
          <w:sz w:val="22"/>
          <w:szCs w:val="22"/>
        </w:rPr>
      </w:pPr>
      <w:r>
        <w:rPr>
          <w:rFonts w:asciiTheme="minorHAnsi" w:hAnsiTheme="minorHAnsi" w:cstheme="minorHAnsi"/>
          <w:sz w:val="22"/>
          <w:szCs w:val="22"/>
        </w:rPr>
        <w:t>c</w:t>
      </w:r>
      <w:r w:rsidRPr="00A17481">
        <w:rPr>
          <w:rFonts w:asciiTheme="minorHAnsi" w:hAnsiTheme="minorHAnsi" w:cstheme="minorHAnsi"/>
          <w:sz w:val="22"/>
          <w:szCs w:val="22"/>
        </w:rPr>
        <w:t>onsiderable reduction of reporting burden for market participants;  </w:t>
      </w:r>
    </w:p>
    <w:p w14:paraId="465E2ECD" w14:textId="16670013" w:rsidR="00A17481" w:rsidRDefault="00A17481" w:rsidP="004B1258">
      <w:pPr>
        <w:numPr>
          <w:ilvl w:val="0"/>
          <w:numId w:val="47"/>
        </w:numPr>
        <w:tabs>
          <w:tab w:val="clear" w:pos="720"/>
          <w:tab w:val="left" w:pos="1418"/>
        </w:tabs>
        <w:ind w:left="1134" w:firstLine="0"/>
        <w:jc w:val="both"/>
        <w:rPr>
          <w:rFonts w:asciiTheme="minorHAnsi" w:hAnsiTheme="minorHAnsi" w:cstheme="minorHAnsi"/>
          <w:sz w:val="22"/>
          <w:szCs w:val="22"/>
        </w:rPr>
      </w:pPr>
      <w:r>
        <w:rPr>
          <w:rFonts w:asciiTheme="minorHAnsi" w:hAnsiTheme="minorHAnsi" w:cstheme="minorHAnsi"/>
          <w:sz w:val="22"/>
          <w:szCs w:val="22"/>
        </w:rPr>
        <w:t>s</w:t>
      </w:r>
      <w:r w:rsidRPr="00A17481">
        <w:rPr>
          <w:rFonts w:asciiTheme="minorHAnsi" w:hAnsiTheme="minorHAnsi" w:cstheme="minorHAnsi"/>
          <w:sz w:val="22"/>
          <w:szCs w:val="22"/>
        </w:rPr>
        <w:t>implification of derivatives reporting rules for entities</w:t>
      </w:r>
      <w:r>
        <w:rPr>
          <w:rFonts w:asciiTheme="minorHAnsi" w:hAnsiTheme="minorHAnsi" w:cstheme="minorHAnsi"/>
          <w:sz w:val="22"/>
          <w:szCs w:val="22"/>
        </w:rPr>
        <w:t>;</w:t>
      </w:r>
      <w:r w:rsidRPr="00A17481">
        <w:rPr>
          <w:rFonts w:asciiTheme="minorHAnsi" w:hAnsiTheme="minorHAnsi" w:cstheme="minorHAnsi"/>
          <w:sz w:val="22"/>
          <w:szCs w:val="22"/>
        </w:rPr>
        <w:t> </w:t>
      </w:r>
    </w:p>
    <w:p w14:paraId="1AEEA745" w14:textId="77777777" w:rsidR="004B1258" w:rsidRPr="00A17481" w:rsidRDefault="004B1258" w:rsidP="004B1258">
      <w:pPr>
        <w:tabs>
          <w:tab w:val="left" w:pos="1418"/>
        </w:tabs>
        <w:ind w:left="1134"/>
        <w:jc w:val="both"/>
        <w:rPr>
          <w:rFonts w:asciiTheme="minorHAnsi" w:hAnsiTheme="minorHAnsi" w:cstheme="minorHAnsi"/>
          <w:sz w:val="22"/>
          <w:szCs w:val="22"/>
        </w:rPr>
      </w:pPr>
    </w:p>
    <w:p w14:paraId="26364CBC" w14:textId="6CB56CB8" w:rsidR="00A17481" w:rsidRPr="00A17481" w:rsidRDefault="004B1258" w:rsidP="004B1258">
      <w:pPr>
        <w:ind w:left="851"/>
        <w:jc w:val="both"/>
        <w:rPr>
          <w:rFonts w:asciiTheme="minorHAnsi" w:hAnsiTheme="minorHAnsi" w:cstheme="minorHAnsi"/>
          <w:sz w:val="22"/>
          <w:szCs w:val="22"/>
        </w:rPr>
      </w:pPr>
      <w:r>
        <w:rPr>
          <w:rFonts w:asciiTheme="minorHAnsi" w:hAnsiTheme="minorHAnsi" w:cstheme="minorHAnsi"/>
          <w:sz w:val="22"/>
          <w:szCs w:val="22"/>
        </w:rPr>
        <w:t>due to the fact that</w:t>
      </w:r>
      <w:r w:rsidR="00A17481" w:rsidRPr="00A17481">
        <w:rPr>
          <w:rFonts w:asciiTheme="minorHAnsi" w:hAnsiTheme="minorHAnsi" w:cstheme="minorHAnsi"/>
          <w:sz w:val="22"/>
          <w:szCs w:val="22"/>
        </w:rPr>
        <w:t xml:space="preserve"> participants would incur very high switching costs without any guarantees that, once implemented, further significant adjustments will not be made in the future</w:t>
      </w:r>
      <w:r w:rsidR="00910115">
        <w:rPr>
          <w:rFonts w:asciiTheme="minorHAnsi" w:hAnsiTheme="minorHAnsi" w:cstheme="minorHAnsi"/>
          <w:sz w:val="22"/>
          <w:szCs w:val="22"/>
        </w:rPr>
        <w:t>.</w:t>
      </w:r>
      <w:r w:rsidR="00A17481" w:rsidRPr="00A17481">
        <w:rPr>
          <w:rFonts w:asciiTheme="minorHAnsi" w:hAnsiTheme="minorHAnsi" w:cstheme="minorHAnsi"/>
          <w:sz w:val="22"/>
          <w:szCs w:val="22"/>
        </w:rPr>
        <w:t> </w:t>
      </w:r>
    </w:p>
    <w:p w14:paraId="37D8E52C" w14:textId="77777777" w:rsidR="00910115" w:rsidRDefault="00A17481" w:rsidP="004B1258">
      <w:pPr>
        <w:jc w:val="both"/>
        <w:rPr>
          <w:rFonts w:asciiTheme="minorHAnsi" w:hAnsiTheme="minorHAnsi" w:cstheme="minorHAnsi"/>
          <w:sz w:val="22"/>
          <w:szCs w:val="22"/>
        </w:rPr>
      </w:pPr>
      <w:r w:rsidRPr="00A17481">
        <w:rPr>
          <w:rFonts w:asciiTheme="minorHAnsi" w:hAnsiTheme="minorHAnsi" w:cstheme="minorHAnsi"/>
          <w:sz w:val="22"/>
          <w:szCs w:val="22"/>
        </w:rPr>
        <w:t>It seems, however, that there is a more rational option 2aa, easier to implement than option 2a, described in point Q11. </w:t>
      </w:r>
    </w:p>
    <w:permEnd w:id="1249454344"/>
    <w:p w14:paraId="2EB71523" w14:textId="3CA8EEAB"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385EE0CB" w14:textId="0F814388" w:rsidR="00910115" w:rsidRPr="008938D0" w:rsidRDefault="00910115" w:rsidP="00185B30">
      <w:pPr>
        <w:jc w:val="both"/>
        <w:rPr>
          <w:rFonts w:asciiTheme="minorHAnsi" w:hAnsiTheme="minorHAnsi" w:cstheme="minorHAnsi"/>
          <w:sz w:val="22"/>
          <w:szCs w:val="22"/>
        </w:rPr>
      </w:pPr>
      <w:permStart w:id="199837036" w:edGrp="everyone"/>
      <w:r w:rsidRPr="008938D0">
        <w:rPr>
          <w:rFonts w:asciiTheme="minorHAnsi" w:hAnsiTheme="minorHAnsi" w:cstheme="minorHAnsi"/>
          <w:sz w:val="22"/>
          <w:szCs w:val="22"/>
        </w:rPr>
        <w:t xml:space="preserve">We agree with all the CONS listed in the Call for evidence for option 2a and believe they are sufficiently significant that this option should not be considered further at this stage, until the effects of the changes recently introduced by </w:t>
      </w:r>
      <w:r w:rsidR="0063370E" w:rsidRPr="00A17481">
        <w:rPr>
          <w:rStyle w:val="normaltextrun"/>
          <w:rFonts w:asciiTheme="minorHAnsi" w:eastAsiaTheme="majorEastAsia" w:hAnsiTheme="minorHAnsi" w:cstheme="minorHAnsi"/>
          <w:sz w:val="22"/>
          <w:szCs w:val="22"/>
        </w:rPr>
        <w:t>EMIR</w:t>
      </w:r>
      <w:r w:rsidR="0063370E">
        <w:rPr>
          <w:rStyle w:val="normaltextrun"/>
          <w:rFonts w:asciiTheme="minorHAnsi" w:eastAsiaTheme="majorEastAsia" w:hAnsiTheme="minorHAnsi" w:cstheme="minorHAnsi"/>
          <w:sz w:val="22"/>
          <w:szCs w:val="22"/>
        </w:rPr>
        <w:t xml:space="preserve"> </w:t>
      </w:r>
      <w:r w:rsidRPr="008938D0">
        <w:rPr>
          <w:rFonts w:asciiTheme="minorHAnsi" w:hAnsiTheme="minorHAnsi" w:cstheme="minorHAnsi"/>
          <w:sz w:val="22"/>
          <w:szCs w:val="22"/>
        </w:rPr>
        <w:t>Refit have been assessed. </w:t>
      </w:r>
    </w:p>
    <w:permEnd w:id="199837036"/>
    <w:p w14:paraId="26E45EF4" w14:textId="263E2003"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68D965AD" w14:textId="69760B6A" w:rsidR="00FD22F6" w:rsidRPr="004A1A21" w:rsidRDefault="00FD22F6" w:rsidP="00185B30">
      <w:pPr>
        <w:jc w:val="both"/>
        <w:rPr>
          <w:rFonts w:asciiTheme="minorHAnsi" w:hAnsiTheme="minorHAnsi" w:cstheme="minorHAnsi"/>
          <w:sz w:val="22"/>
          <w:szCs w:val="22"/>
        </w:rPr>
      </w:pPr>
      <w:permStart w:id="2123508368" w:edGrp="everyone"/>
      <w:r w:rsidRPr="004A1A21">
        <w:rPr>
          <w:rFonts w:asciiTheme="minorHAnsi" w:hAnsiTheme="minorHAnsi" w:cstheme="minorHAnsi"/>
          <w:sz w:val="22"/>
          <w:szCs w:val="22"/>
        </w:rPr>
        <w:t>We propose to consider introducing option 2aa instead of 2a.  </w:t>
      </w:r>
    </w:p>
    <w:p w14:paraId="771E8DDD" w14:textId="77777777" w:rsidR="00FD22F6" w:rsidRPr="00FD22F6" w:rsidRDefault="00FD22F6" w:rsidP="00185B30">
      <w:pPr>
        <w:jc w:val="both"/>
        <w:rPr>
          <w:rFonts w:asciiTheme="minorHAnsi" w:hAnsiTheme="minorHAnsi" w:cstheme="minorHAnsi"/>
          <w:sz w:val="22"/>
          <w:szCs w:val="22"/>
        </w:rPr>
      </w:pPr>
      <w:r w:rsidRPr="00FD22F6">
        <w:rPr>
          <w:rFonts w:asciiTheme="minorHAnsi" w:hAnsiTheme="minorHAnsi" w:cstheme="minorHAnsi"/>
          <w:sz w:val="22"/>
          <w:szCs w:val="22"/>
        </w:rPr>
        <w:t> </w:t>
      </w:r>
    </w:p>
    <w:p w14:paraId="6A354654" w14:textId="77777777" w:rsidR="00FD22F6" w:rsidRPr="00FD22F6" w:rsidRDefault="00FD22F6" w:rsidP="00185B30">
      <w:pPr>
        <w:numPr>
          <w:ilvl w:val="0"/>
          <w:numId w:val="48"/>
        </w:numPr>
        <w:jc w:val="both"/>
        <w:rPr>
          <w:rFonts w:asciiTheme="minorHAnsi" w:hAnsiTheme="minorHAnsi" w:cstheme="minorHAnsi"/>
          <w:sz w:val="22"/>
          <w:szCs w:val="22"/>
          <w:lang w:val="pl-PL"/>
        </w:rPr>
      </w:pPr>
      <w:r w:rsidRPr="00FD22F6">
        <w:rPr>
          <w:rFonts w:asciiTheme="minorHAnsi" w:hAnsiTheme="minorHAnsi" w:cstheme="minorHAnsi"/>
          <w:b/>
          <w:bCs/>
          <w:sz w:val="22"/>
          <w:szCs w:val="22"/>
        </w:rPr>
        <w:t>Option 2aa: </w:t>
      </w:r>
      <w:r w:rsidRPr="00FD22F6">
        <w:rPr>
          <w:rFonts w:asciiTheme="minorHAnsi" w:hAnsiTheme="minorHAnsi" w:cstheme="minorHAnsi"/>
          <w:sz w:val="22"/>
          <w:szCs w:val="22"/>
        </w:rPr>
        <w:t>KDPW’s proposal:</w:t>
      </w:r>
      <w:r w:rsidRPr="00FD22F6">
        <w:rPr>
          <w:rFonts w:asciiTheme="minorHAnsi" w:hAnsiTheme="minorHAnsi" w:cstheme="minorHAnsi"/>
          <w:sz w:val="22"/>
          <w:szCs w:val="22"/>
          <w:lang w:val="pl-PL"/>
        </w:rPr>
        <w:t> </w:t>
      </w:r>
    </w:p>
    <w:p w14:paraId="18D7E5DA" w14:textId="77777777" w:rsidR="00FD22F6" w:rsidRPr="00FD22F6" w:rsidRDefault="00FD22F6" w:rsidP="00185B30">
      <w:pPr>
        <w:numPr>
          <w:ilvl w:val="0"/>
          <w:numId w:val="49"/>
        </w:numPr>
        <w:jc w:val="both"/>
        <w:rPr>
          <w:rFonts w:asciiTheme="minorHAnsi" w:hAnsiTheme="minorHAnsi" w:cstheme="minorHAnsi"/>
          <w:sz w:val="22"/>
          <w:szCs w:val="22"/>
        </w:rPr>
      </w:pPr>
      <w:r w:rsidRPr="00FD22F6">
        <w:rPr>
          <w:rFonts w:asciiTheme="minorHAnsi" w:hAnsiTheme="minorHAnsi" w:cstheme="minorHAnsi"/>
          <w:sz w:val="22"/>
          <w:szCs w:val="22"/>
        </w:rPr>
        <w:t>All the </w:t>
      </w:r>
      <w:proofErr w:type="spellStart"/>
      <w:r w:rsidRPr="00FD22F6">
        <w:rPr>
          <w:rFonts w:asciiTheme="minorHAnsi" w:hAnsiTheme="minorHAnsi" w:cstheme="minorHAnsi"/>
          <w:sz w:val="22"/>
          <w:szCs w:val="22"/>
        </w:rPr>
        <w:t>MiFIR</w:t>
      </w:r>
      <w:proofErr w:type="spellEnd"/>
      <w:r w:rsidRPr="00FD22F6">
        <w:rPr>
          <w:rFonts w:asciiTheme="minorHAnsi" w:hAnsiTheme="minorHAnsi" w:cstheme="minorHAnsi"/>
          <w:sz w:val="22"/>
          <w:szCs w:val="22"/>
        </w:rPr>
        <w:t>, EMIR and SFTR transactions are reported once under the existing or slightly modified templates as in the option 1aa (Q5)  to the entities currently authorised by ESMA (ARMs and TRs) to provide in the future both ARM and TR services, i.e. the entities should: </w:t>
      </w:r>
    </w:p>
    <w:p w14:paraId="2D998DCD" w14:textId="77777777" w:rsidR="00FD22F6" w:rsidRPr="00FD22F6" w:rsidRDefault="00FD22F6" w:rsidP="00185B30">
      <w:pPr>
        <w:numPr>
          <w:ilvl w:val="0"/>
          <w:numId w:val="50"/>
        </w:numPr>
        <w:tabs>
          <w:tab w:val="clear" w:pos="720"/>
          <w:tab w:val="num" w:pos="1418"/>
        </w:tabs>
        <w:ind w:left="1418" w:hanging="284"/>
        <w:jc w:val="both"/>
        <w:rPr>
          <w:rFonts w:asciiTheme="minorHAnsi" w:hAnsiTheme="minorHAnsi" w:cstheme="minorHAnsi"/>
          <w:sz w:val="22"/>
          <w:szCs w:val="22"/>
        </w:rPr>
      </w:pPr>
      <w:r w:rsidRPr="00FD22F6">
        <w:rPr>
          <w:rFonts w:asciiTheme="minorHAnsi" w:hAnsiTheme="minorHAnsi" w:cstheme="minorHAnsi"/>
          <w:sz w:val="22"/>
          <w:szCs w:val="22"/>
        </w:rPr>
        <w:t>provide all three services to participants, </w:t>
      </w:r>
    </w:p>
    <w:p w14:paraId="76E1AE63" w14:textId="77777777" w:rsidR="00FD22F6" w:rsidRPr="00FD22F6" w:rsidRDefault="00FD22F6" w:rsidP="00185B30">
      <w:pPr>
        <w:numPr>
          <w:ilvl w:val="0"/>
          <w:numId w:val="51"/>
        </w:numPr>
        <w:tabs>
          <w:tab w:val="clear" w:pos="720"/>
          <w:tab w:val="num" w:pos="1418"/>
        </w:tabs>
        <w:ind w:left="1418" w:hanging="284"/>
        <w:jc w:val="both"/>
        <w:rPr>
          <w:rFonts w:asciiTheme="minorHAnsi" w:hAnsiTheme="minorHAnsi" w:cstheme="minorHAnsi"/>
          <w:sz w:val="22"/>
          <w:szCs w:val="22"/>
        </w:rPr>
      </w:pPr>
      <w:r w:rsidRPr="00FD22F6">
        <w:rPr>
          <w:rFonts w:asciiTheme="minorHAnsi" w:hAnsiTheme="minorHAnsi" w:cstheme="minorHAnsi"/>
          <w:sz w:val="22"/>
          <w:szCs w:val="22"/>
        </w:rPr>
        <w:t>prepare aggregated reports and transmit them via the TRACE system to NCAs, and discontinue reporting of all transactions directly to the NCAs within the scope of </w:t>
      </w:r>
      <w:proofErr w:type="spellStart"/>
      <w:r w:rsidRPr="00FD22F6">
        <w:rPr>
          <w:rFonts w:asciiTheme="minorHAnsi" w:hAnsiTheme="minorHAnsi" w:cstheme="minorHAnsi"/>
          <w:sz w:val="22"/>
          <w:szCs w:val="22"/>
        </w:rPr>
        <w:t>MiFIR</w:t>
      </w:r>
      <w:proofErr w:type="spellEnd"/>
      <w:r w:rsidRPr="00FD22F6">
        <w:rPr>
          <w:rFonts w:asciiTheme="minorHAnsi" w:hAnsiTheme="minorHAnsi" w:cstheme="minorHAnsi"/>
          <w:sz w:val="22"/>
          <w:szCs w:val="22"/>
        </w:rPr>
        <w:t>, </w:t>
      </w:r>
    </w:p>
    <w:p w14:paraId="4AEBFFA7" w14:textId="6FEC4E2A" w:rsidR="00FD22F6" w:rsidRPr="004A1A21" w:rsidRDefault="00FD22F6" w:rsidP="00185B30">
      <w:pPr>
        <w:numPr>
          <w:ilvl w:val="0"/>
          <w:numId w:val="52"/>
        </w:numPr>
        <w:tabs>
          <w:tab w:val="clear" w:pos="720"/>
          <w:tab w:val="num" w:pos="1418"/>
        </w:tabs>
        <w:ind w:left="1418" w:hanging="284"/>
        <w:jc w:val="both"/>
        <w:rPr>
          <w:rFonts w:asciiTheme="minorHAnsi" w:hAnsiTheme="minorHAnsi" w:cstheme="minorHAnsi"/>
          <w:sz w:val="22"/>
          <w:szCs w:val="22"/>
        </w:rPr>
      </w:pPr>
      <w:r w:rsidRPr="00FD22F6">
        <w:rPr>
          <w:rFonts w:asciiTheme="minorHAnsi" w:hAnsiTheme="minorHAnsi" w:cstheme="minorHAnsi"/>
          <w:sz w:val="22"/>
          <w:szCs w:val="22"/>
        </w:rPr>
        <w:t>become more effective by elimination of operational</w:t>
      </w:r>
      <w:r w:rsidR="00185B30">
        <w:rPr>
          <w:rFonts w:asciiTheme="minorHAnsi" w:hAnsiTheme="minorHAnsi" w:cstheme="minorHAnsi"/>
          <w:sz w:val="22"/>
          <w:szCs w:val="22"/>
        </w:rPr>
        <w:t xml:space="preserve"> </w:t>
      </w:r>
      <w:r w:rsidRPr="00FD22F6">
        <w:rPr>
          <w:rFonts w:asciiTheme="minorHAnsi" w:hAnsiTheme="minorHAnsi" w:cstheme="minorHAnsi"/>
          <w:sz w:val="22"/>
          <w:szCs w:val="22"/>
        </w:rPr>
        <w:t>separation in </w:t>
      </w:r>
      <w:proofErr w:type="spellStart"/>
      <w:r w:rsidRPr="00FD22F6">
        <w:rPr>
          <w:rFonts w:asciiTheme="minorHAnsi" w:hAnsiTheme="minorHAnsi" w:cstheme="minorHAnsi"/>
          <w:sz w:val="22"/>
          <w:szCs w:val="22"/>
        </w:rPr>
        <w:t>MiFIR</w:t>
      </w:r>
      <w:proofErr w:type="spellEnd"/>
      <w:r w:rsidRPr="00FD22F6">
        <w:rPr>
          <w:rFonts w:asciiTheme="minorHAnsi" w:hAnsiTheme="minorHAnsi" w:cstheme="minorHAnsi"/>
          <w:sz w:val="22"/>
          <w:szCs w:val="22"/>
        </w:rPr>
        <w:t>/EMIR/SFTR reporting.</w:t>
      </w:r>
    </w:p>
    <w:p w14:paraId="62C7056A" w14:textId="1D7F63FA" w:rsidR="00FD22F6" w:rsidRPr="004A1A21" w:rsidRDefault="00797030" w:rsidP="00FD22F6">
      <w:pPr>
        <w:ind w:left="720"/>
        <w:rPr>
          <w:rFonts w:asciiTheme="minorHAnsi" w:hAnsiTheme="minorHAnsi" w:cstheme="minorHAnsi"/>
          <w:sz w:val="22"/>
          <w:szCs w:val="22"/>
        </w:rPr>
      </w:pPr>
      <w:r w:rsidRPr="00797030">
        <w:rPr>
          <w:rFonts w:asciiTheme="minorHAnsi" w:hAnsiTheme="minorHAnsi" w:cstheme="minorHAnsi"/>
          <w:noProof/>
          <w:sz w:val="22"/>
          <w:szCs w:val="22"/>
        </w:rPr>
        <w:lastRenderedPageBreak/>
        <w:drawing>
          <wp:inline distT="0" distB="0" distL="0" distR="0" wp14:anchorId="3B2B1F0D" wp14:editId="7B30801F">
            <wp:extent cx="5759450" cy="2719705"/>
            <wp:effectExtent l="0" t="0" r="0" b="4445"/>
            <wp:docPr id="1375527246" name="Obraz 1" descr="Obraz zawierający tekst, diagram, Plan, Równolegl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27246" name="Obraz 1" descr="Obraz zawierający tekst, diagram, Plan, Równolegle&#10;&#10;Zawartość wygenerowana przez AI może być niepoprawna."/>
                    <pic:cNvPicPr/>
                  </pic:nvPicPr>
                  <pic:blipFill>
                    <a:blip r:embed="rId20"/>
                    <a:stretch>
                      <a:fillRect/>
                    </a:stretch>
                  </pic:blipFill>
                  <pic:spPr>
                    <a:xfrm>
                      <a:off x="0" y="0"/>
                      <a:ext cx="5759450" cy="2719705"/>
                    </a:xfrm>
                    <a:prstGeom prst="rect">
                      <a:avLst/>
                    </a:prstGeom>
                  </pic:spPr>
                </pic:pic>
              </a:graphicData>
            </a:graphic>
          </wp:inline>
        </w:drawing>
      </w:r>
    </w:p>
    <w:p w14:paraId="577FE2D0" w14:textId="149A6F00" w:rsidR="004A1A21" w:rsidRPr="004A1A21" w:rsidRDefault="004A1A21" w:rsidP="004A1A21">
      <w:pPr>
        <w:ind w:left="720"/>
        <w:rPr>
          <w:rFonts w:asciiTheme="minorHAnsi" w:hAnsiTheme="minorHAnsi" w:cstheme="minorHAnsi"/>
          <w:sz w:val="22"/>
          <w:szCs w:val="22"/>
          <w:lang w:val="pl-PL"/>
        </w:rPr>
      </w:pPr>
      <w:r w:rsidRPr="004A1A21">
        <w:rPr>
          <w:rFonts w:asciiTheme="minorHAnsi" w:hAnsiTheme="minorHAnsi" w:cstheme="minorHAnsi"/>
          <w:sz w:val="22"/>
          <w:szCs w:val="22"/>
        </w:rPr>
        <w:t> </w:t>
      </w:r>
      <w:r w:rsidRPr="004A1A21">
        <w:rPr>
          <w:rFonts w:asciiTheme="minorHAnsi" w:hAnsiTheme="minorHAnsi" w:cstheme="minorHAnsi"/>
          <w:sz w:val="22"/>
          <w:szCs w:val="22"/>
          <w:lang w:val="pl-PL"/>
        </w:rPr>
        <w:t> </w:t>
      </w:r>
    </w:p>
    <w:p w14:paraId="602D2266" w14:textId="77777777" w:rsidR="004A1A21" w:rsidRPr="004A1A21" w:rsidRDefault="004A1A21" w:rsidP="006C6BE9">
      <w:pPr>
        <w:numPr>
          <w:ilvl w:val="0"/>
          <w:numId w:val="53"/>
        </w:numPr>
        <w:rPr>
          <w:rFonts w:asciiTheme="minorHAnsi" w:hAnsiTheme="minorHAnsi" w:cstheme="minorHAnsi"/>
          <w:sz w:val="22"/>
          <w:szCs w:val="22"/>
        </w:rPr>
      </w:pPr>
      <w:r w:rsidRPr="004A1A21">
        <w:rPr>
          <w:rFonts w:asciiTheme="minorHAnsi" w:hAnsiTheme="minorHAnsi" w:cstheme="minorHAnsi"/>
          <w:b/>
          <w:bCs/>
          <w:sz w:val="22"/>
          <w:szCs w:val="22"/>
        </w:rPr>
        <w:t>PROS for Option 2aa vs. Option 2a:</w:t>
      </w:r>
      <w:r w:rsidRPr="004A1A21">
        <w:rPr>
          <w:rFonts w:asciiTheme="minorHAnsi" w:hAnsiTheme="minorHAnsi" w:cstheme="minorHAnsi"/>
          <w:sz w:val="22"/>
          <w:szCs w:val="22"/>
        </w:rPr>
        <w:t> </w:t>
      </w:r>
    </w:p>
    <w:p w14:paraId="3E8D7EEB" w14:textId="77777777" w:rsidR="004A1A21" w:rsidRPr="004A1A21" w:rsidRDefault="004A1A21" w:rsidP="009955ED">
      <w:pPr>
        <w:numPr>
          <w:ilvl w:val="0"/>
          <w:numId w:val="54"/>
        </w:numPr>
        <w:jc w:val="both"/>
        <w:rPr>
          <w:rFonts w:asciiTheme="minorHAnsi" w:hAnsiTheme="minorHAnsi" w:cstheme="minorHAnsi"/>
          <w:sz w:val="22"/>
          <w:szCs w:val="22"/>
        </w:rPr>
      </w:pPr>
      <w:r w:rsidRPr="004A1A21">
        <w:rPr>
          <w:rFonts w:asciiTheme="minorHAnsi" w:hAnsiTheme="minorHAnsi" w:cstheme="minorHAnsi"/>
          <w:sz w:val="22"/>
          <w:szCs w:val="22"/>
        </w:rPr>
        <w:t>No need to introduce a very complex change involving the introduction of the "Report once principle" with a significant reduction of the costs of the entire reporting system, resulting from: </w:t>
      </w:r>
    </w:p>
    <w:p w14:paraId="554ACB5F" w14:textId="77777777" w:rsidR="004A1A21" w:rsidRPr="004A1A21" w:rsidRDefault="004A1A21" w:rsidP="009955ED">
      <w:pPr>
        <w:numPr>
          <w:ilvl w:val="0"/>
          <w:numId w:val="55"/>
        </w:numPr>
        <w:tabs>
          <w:tab w:val="clear" w:pos="720"/>
          <w:tab w:val="num" w:pos="1276"/>
        </w:tabs>
        <w:ind w:left="1276" w:hanging="283"/>
        <w:jc w:val="both"/>
        <w:rPr>
          <w:rFonts w:asciiTheme="minorHAnsi" w:hAnsiTheme="minorHAnsi" w:cstheme="minorHAnsi"/>
          <w:sz w:val="22"/>
          <w:szCs w:val="22"/>
        </w:rPr>
      </w:pPr>
      <w:r w:rsidRPr="004A1A21">
        <w:rPr>
          <w:rFonts w:asciiTheme="minorHAnsi" w:hAnsiTheme="minorHAnsi" w:cstheme="minorHAnsi"/>
          <w:sz w:val="22"/>
          <w:szCs w:val="22"/>
        </w:rPr>
        <w:t>No duplication of data and IT systems between at least 27 ARMs and 27 NCAs. Significant reduction of IT systems and hardware cost at 27 NCAs;  </w:t>
      </w:r>
    </w:p>
    <w:p w14:paraId="3168D8B9" w14:textId="77777777" w:rsidR="004A1A21" w:rsidRPr="004A1A21" w:rsidRDefault="004A1A21" w:rsidP="009955ED">
      <w:pPr>
        <w:numPr>
          <w:ilvl w:val="0"/>
          <w:numId w:val="56"/>
        </w:numPr>
        <w:tabs>
          <w:tab w:val="clear" w:pos="720"/>
          <w:tab w:val="num" w:pos="1276"/>
        </w:tabs>
        <w:ind w:left="1276" w:hanging="283"/>
        <w:jc w:val="both"/>
        <w:rPr>
          <w:rFonts w:asciiTheme="minorHAnsi" w:hAnsiTheme="minorHAnsi" w:cstheme="minorHAnsi"/>
          <w:sz w:val="22"/>
          <w:szCs w:val="22"/>
        </w:rPr>
      </w:pPr>
      <w:r w:rsidRPr="004A1A21">
        <w:rPr>
          <w:rFonts w:asciiTheme="minorHAnsi" w:hAnsiTheme="minorHAnsi" w:cstheme="minorHAnsi"/>
          <w:sz w:val="22"/>
          <w:szCs w:val="22"/>
        </w:rPr>
        <w:t>Possibility for participants to report to only one currently authorised entity by ESMA, providing all three services; </w:t>
      </w:r>
    </w:p>
    <w:p w14:paraId="1E4F098D" w14:textId="77777777" w:rsidR="004A1A21" w:rsidRPr="004A1A21" w:rsidRDefault="004A1A21" w:rsidP="009955ED">
      <w:pPr>
        <w:numPr>
          <w:ilvl w:val="0"/>
          <w:numId w:val="57"/>
        </w:numPr>
        <w:tabs>
          <w:tab w:val="clear" w:pos="720"/>
          <w:tab w:val="num" w:pos="1276"/>
        </w:tabs>
        <w:ind w:left="1276" w:hanging="283"/>
        <w:jc w:val="both"/>
        <w:rPr>
          <w:rFonts w:asciiTheme="minorHAnsi" w:hAnsiTheme="minorHAnsi" w:cstheme="minorHAnsi"/>
          <w:sz w:val="22"/>
          <w:szCs w:val="22"/>
        </w:rPr>
      </w:pPr>
      <w:r w:rsidRPr="004A1A21">
        <w:rPr>
          <w:rFonts w:asciiTheme="minorHAnsi" w:hAnsiTheme="minorHAnsi" w:cstheme="minorHAnsi"/>
          <w:sz w:val="22"/>
          <w:szCs w:val="22"/>
        </w:rPr>
        <w:t>Uniform use of the TRACE system for communication between authorized entities and NCAs; </w:t>
      </w:r>
    </w:p>
    <w:p w14:paraId="592E1F9E" w14:textId="77777777" w:rsidR="004A1A21" w:rsidRPr="004A1A21" w:rsidRDefault="004A1A21" w:rsidP="009955ED">
      <w:pPr>
        <w:numPr>
          <w:ilvl w:val="0"/>
          <w:numId w:val="58"/>
        </w:numPr>
        <w:tabs>
          <w:tab w:val="clear" w:pos="720"/>
          <w:tab w:val="num" w:pos="1276"/>
        </w:tabs>
        <w:ind w:left="1276" w:hanging="283"/>
        <w:jc w:val="both"/>
        <w:rPr>
          <w:rFonts w:asciiTheme="minorHAnsi" w:hAnsiTheme="minorHAnsi" w:cstheme="minorHAnsi"/>
          <w:sz w:val="22"/>
          <w:szCs w:val="22"/>
        </w:rPr>
      </w:pPr>
      <w:r w:rsidRPr="004A1A21">
        <w:rPr>
          <w:rFonts w:asciiTheme="minorHAnsi" w:hAnsiTheme="minorHAnsi" w:cstheme="minorHAnsi"/>
          <w:sz w:val="22"/>
          <w:szCs w:val="22"/>
        </w:rPr>
        <w:t>Increased competition between entities offering all three regulatory reporting services forcing constant efforts to improve the quality and efficiency of services ; </w:t>
      </w:r>
    </w:p>
    <w:p w14:paraId="597FCF7B" w14:textId="77777777" w:rsidR="004A1A21" w:rsidRPr="004A1A21" w:rsidRDefault="004A1A21" w:rsidP="009955ED">
      <w:pPr>
        <w:numPr>
          <w:ilvl w:val="0"/>
          <w:numId w:val="59"/>
        </w:numPr>
        <w:tabs>
          <w:tab w:val="clear" w:pos="720"/>
          <w:tab w:val="num" w:pos="1276"/>
        </w:tabs>
        <w:ind w:left="1276" w:hanging="283"/>
        <w:jc w:val="both"/>
        <w:rPr>
          <w:rFonts w:asciiTheme="minorHAnsi" w:hAnsiTheme="minorHAnsi" w:cstheme="minorHAnsi"/>
          <w:sz w:val="22"/>
          <w:szCs w:val="22"/>
        </w:rPr>
      </w:pPr>
      <w:r w:rsidRPr="004A1A21">
        <w:rPr>
          <w:rFonts w:asciiTheme="minorHAnsi" w:hAnsiTheme="minorHAnsi" w:cstheme="minorHAnsi"/>
          <w:sz w:val="22"/>
          <w:szCs w:val="22"/>
        </w:rPr>
        <w:t>More effective implementation of each subsequent regulatory change, which will mainly require the involvement of specialized authorized entities; </w:t>
      </w:r>
    </w:p>
    <w:p w14:paraId="17478EC8" w14:textId="77777777" w:rsidR="004A1A21" w:rsidRPr="004A1A21" w:rsidRDefault="004A1A21" w:rsidP="009955ED">
      <w:pPr>
        <w:numPr>
          <w:ilvl w:val="0"/>
          <w:numId w:val="60"/>
        </w:numPr>
        <w:jc w:val="both"/>
        <w:rPr>
          <w:rFonts w:asciiTheme="minorHAnsi" w:hAnsiTheme="minorHAnsi" w:cstheme="minorHAnsi"/>
          <w:sz w:val="22"/>
          <w:szCs w:val="22"/>
        </w:rPr>
      </w:pPr>
      <w:r w:rsidRPr="004A1A21">
        <w:rPr>
          <w:rFonts w:asciiTheme="minorHAnsi" w:hAnsiTheme="minorHAnsi" w:cstheme="minorHAnsi"/>
          <w:sz w:val="22"/>
          <w:szCs w:val="22"/>
        </w:rPr>
        <w:t>Better use of existing and complex reporting systems in 4 TRs and the use of their experience in maintaining huge databases, quick daily handling of complex processes and experience in serving many clients; </w:t>
      </w:r>
    </w:p>
    <w:p w14:paraId="2F3D541E" w14:textId="77777777" w:rsidR="004A1A21" w:rsidRPr="004A1A21" w:rsidRDefault="004A1A21" w:rsidP="009955ED">
      <w:pPr>
        <w:numPr>
          <w:ilvl w:val="0"/>
          <w:numId w:val="61"/>
        </w:numPr>
        <w:jc w:val="both"/>
        <w:rPr>
          <w:rFonts w:asciiTheme="minorHAnsi" w:hAnsiTheme="minorHAnsi" w:cstheme="minorHAnsi"/>
          <w:sz w:val="22"/>
          <w:szCs w:val="22"/>
        </w:rPr>
      </w:pPr>
      <w:r w:rsidRPr="004A1A21">
        <w:rPr>
          <w:rFonts w:asciiTheme="minorHAnsi" w:hAnsiTheme="minorHAnsi" w:cstheme="minorHAnsi"/>
          <w:sz w:val="22"/>
          <w:szCs w:val="22"/>
        </w:rPr>
        <w:t>Option 2aa is significantly cheaper, faster, and more effective in implementation than option 2a and brings significant relief for reporting entities in a relatively short period of time.  </w:t>
      </w:r>
    </w:p>
    <w:permEnd w:id="2123508368"/>
    <w:p w14:paraId="23BCC39D" w14:textId="43B6B72E"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0F2FDB03" w14:textId="77777777" w:rsidR="004A1A21" w:rsidRDefault="004A1A21" w:rsidP="009955ED">
      <w:pPr>
        <w:jc w:val="both"/>
        <w:rPr>
          <w:rFonts w:asciiTheme="majorHAnsi" w:hAnsiTheme="majorHAnsi" w:cstheme="majorHAnsi"/>
          <w:sz w:val="22"/>
          <w:szCs w:val="22"/>
        </w:rPr>
      </w:pPr>
      <w:permStart w:id="16780711" w:edGrp="everyone"/>
      <w:r w:rsidRPr="004A1A21">
        <w:rPr>
          <w:rFonts w:asciiTheme="majorHAnsi" w:hAnsiTheme="majorHAnsi" w:cstheme="majorHAnsi"/>
          <w:sz w:val="22"/>
          <w:szCs w:val="22"/>
        </w:rPr>
        <w:t>It is difficult to assess the benefits of option 2b at this stage due to the enormous complexity of the concept and the high uncertainty regarding the effectiveness of implementing this concept. </w:t>
      </w:r>
    </w:p>
    <w:permEnd w:id="16780711"/>
    <w:p w14:paraId="586717CC" w14:textId="38BB942A"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26DE880C" w14:textId="77777777" w:rsidR="002A5F2A" w:rsidRDefault="004A1A21" w:rsidP="009955ED">
      <w:pPr>
        <w:jc w:val="both"/>
      </w:pPr>
      <w:permStart w:id="1489376342" w:edGrp="everyone"/>
      <w:r w:rsidRPr="004A1A21">
        <w:rPr>
          <w:rFonts w:asciiTheme="minorHAnsi" w:hAnsiTheme="minorHAnsi" w:cstheme="minorHAnsi"/>
          <w:sz w:val="22"/>
          <w:szCs w:val="22"/>
        </w:rPr>
        <w:t>We agree with the serious CONS presented for option 2b in the Call for evidence and therefore recommend that this option not be pursued at this stage</w:t>
      </w:r>
      <w:r w:rsidRPr="004A1A21">
        <w:t>. </w:t>
      </w:r>
    </w:p>
    <w:permEnd w:id="1489376342"/>
    <w:p w14:paraId="68F5F79E" w14:textId="4BC02F2C"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E2FF210" w14:textId="763C78FD" w:rsidR="00F31B84" w:rsidRDefault="004A1A21" w:rsidP="00FD37CF">
      <w:pPr>
        <w:jc w:val="both"/>
        <w:rPr>
          <w:rFonts w:asciiTheme="minorHAnsi" w:hAnsiTheme="minorHAnsi" w:cstheme="minorHAnsi"/>
          <w:sz w:val="22"/>
          <w:szCs w:val="22"/>
        </w:rPr>
      </w:pPr>
      <w:permStart w:id="1849847968" w:edGrp="everyone"/>
      <w:r w:rsidRPr="004A1A21">
        <w:rPr>
          <w:rFonts w:asciiTheme="minorHAnsi" w:hAnsiTheme="minorHAnsi" w:cstheme="minorHAnsi"/>
          <w:sz w:val="22"/>
          <w:szCs w:val="22"/>
        </w:rPr>
        <w:t>We propose to consider solutions based on option 2aa (point Q11), under which, in addition to </w:t>
      </w:r>
      <w:proofErr w:type="spellStart"/>
      <w:r w:rsidRPr="004A1A21">
        <w:rPr>
          <w:rFonts w:asciiTheme="minorHAnsi" w:hAnsiTheme="minorHAnsi" w:cstheme="minorHAnsi"/>
          <w:sz w:val="22"/>
          <w:szCs w:val="22"/>
        </w:rPr>
        <w:t>MiFIR</w:t>
      </w:r>
      <w:proofErr w:type="spellEnd"/>
      <w:r w:rsidRPr="004A1A21">
        <w:rPr>
          <w:rFonts w:asciiTheme="minorHAnsi" w:hAnsiTheme="minorHAnsi" w:cstheme="minorHAnsi"/>
          <w:sz w:val="22"/>
          <w:szCs w:val="22"/>
        </w:rPr>
        <w:t>, </w:t>
      </w:r>
      <w:r w:rsidR="0063370E" w:rsidRPr="00A17481">
        <w:rPr>
          <w:rStyle w:val="normaltextrun"/>
          <w:rFonts w:asciiTheme="minorHAnsi" w:eastAsiaTheme="majorEastAsia" w:hAnsiTheme="minorHAnsi" w:cstheme="minorHAnsi"/>
          <w:sz w:val="22"/>
          <w:szCs w:val="22"/>
        </w:rPr>
        <w:t>EMIR</w:t>
      </w:r>
      <w:r w:rsidRPr="004A1A21">
        <w:rPr>
          <w:rFonts w:asciiTheme="minorHAnsi" w:hAnsiTheme="minorHAnsi" w:cstheme="minorHAnsi"/>
          <w:sz w:val="22"/>
          <w:szCs w:val="22"/>
        </w:rPr>
        <w:t>, and SFTR, other reporting requirements such as Solvency II or REMIT for the scope related to derivative transactions are reported once to market entities that can offer all mandatory reporting services under one roof with the removal of operational separation, in line with the current or slightly modified reporting requirements. </w:t>
      </w:r>
    </w:p>
    <w:permEnd w:id="1849847968"/>
    <w:p w14:paraId="754DFA86" w14:textId="51AEE910"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01407EB1" w14:textId="77777777" w:rsidR="004A1A21" w:rsidRDefault="004A1A21" w:rsidP="00FD37CF">
      <w:pPr>
        <w:jc w:val="both"/>
      </w:pPr>
      <w:permStart w:id="695482675" w:edGrp="everyone"/>
      <w:r w:rsidRPr="004A1A21">
        <w:rPr>
          <w:rFonts w:asciiTheme="minorHAnsi" w:hAnsiTheme="minorHAnsi" w:cstheme="minorHAnsi"/>
          <w:sz w:val="22"/>
          <w:szCs w:val="22"/>
        </w:rPr>
        <w:t>The implementation of the "report once" principle is probably related to a 10-year time horizon. Therefore, we believe that option 1aa, mentioned in point Q5, should be implemented as soon as possible, as it can achieve relatively rapid results in a short time and at a relatively low cost. We also believe that option 2aa, mentioned in point Q11, which is a natural extension of option 1aa, should be implemented, as soon as possible, voluntarily for those entities that choose to do so</w:t>
      </w:r>
      <w:r w:rsidRPr="004A1A21">
        <w:t>. </w:t>
      </w:r>
    </w:p>
    <w:permEnd w:id="695482675"/>
    <w:p w14:paraId="3F62887A" w14:textId="72BABF0E"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294E864B" w14:textId="77777777" w:rsidR="006C6BE9" w:rsidRPr="006C6BE9" w:rsidRDefault="006C6BE9" w:rsidP="00AA24A3">
      <w:pPr>
        <w:jc w:val="both"/>
        <w:rPr>
          <w:rFonts w:asciiTheme="minorHAnsi" w:hAnsiTheme="minorHAnsi" w:cstheme="minorHAnsi"/>
          <w:sz w:val="22"/>
          <w:szCs w:val="22"/>
        </w:rPr>
      </w:pPr>
      <w:permStart w:id="1784418006" w:edGrp="everyone"/>
      <w:r w:rsidRPr="006C6BE9">
        <w:rPr>
          <w:rFonts w:asciiTheme="minorHAnsi" w:hAnsiTheme="minorHAnsi" w:cstheme="minorHAnsi"/>
          <w:sz w:val="22"/>
          <w:szCs w:val="22"/>
        </w:rPr>
        <w:t>Yes, our proposals, i.e. option 1aa and option 2aa, are described in points Q5 and Q11, respectively. </w:t>
      </w:r>
    </w:p>
    <w:permEnd w:id="1784418006"/>
    <w:p w14:paraId="3AD06511" w14:textId="19BE018F"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44E6C882" w14:textId="44E12302" w:rsidR="006C6BE9" w:rsidRDefault="006C6BE9" w:rsidP="00AA24A3">
      <w:pPr>
        <w:jc w:val="both"/>
      </w:pPr>
      <w:permStart w:id="1438851636" w:edGrp="everyone"/>
      <w:r w:rsidRPr="006C6BE9">
        <w:rPr>
          <w:rFonts w:asciiTheme="minorHAnsi" w:hAnsiTheme="minorHAnsi" w:cstheme="minorHAnsi"/>
          <w:sz w:val="22"/>
          <w:szCs w:val="22"/>
        </w:rPr>
        <w:t>Option 1aa and 2aa presented in points Q5 and Q11 assume </w:t>
      </w:r>
      <w:proofErr w:type="spellStart"/>
      <w:r w:rsidRPr="006C6BE9">
        <w:rPr>
          <w:rFonts w:asciiTheme="minorHAnsi" w:hAnsiTheme="minorHAnsi" w:cstheme="minorHAnsi"/>
          <w:sz w:val="22"/>
          <w:szCs w:val="22"/>
        </w:rPr>
        <w:t>MiFIR</w:t>
      </w:r>
      <w:proofErr w:type="spellEnd"/>
      <w:r w:rsidRPr="006C6BE9">
        <w:rPr>
          <w:rFonts w:asciiTheme="minorHAnsi" w:hAnsiTheme="minorHAnsi" w:cstheme="minorHAnsi"/>
          <w:sz w:val="22"/>
          <w:szCs w:val="22"/>
        </w:rPr>
        <w:t>/</w:t>
      </w:r>
      <w:r w:rsidR="0063370E" w:rsidRPr="00A17481">
        <w:rPr>
          <w:rStyle w:val="normaltextrun"/>
          <w:rFonts w:asciiTheme="minorHAnsi" w:eastAsiaTheme="majorEastAsia" w:hAnsiTheme="minorHAnsi" w:cstheme="minorHAnsi"/>
          <w:sz w:val="22"/>
          <w:szCs w:val="22"/>
        </w:rPr>
        <w:t>EMIR</w:t>
      </w:r>
      <w:r w:rsidRPr="006C6BE9">
        <w:rPr>
          <w:rFonts w:asciiTheme="minorHAnsi" w:hAnsiTheme="minorHAnsi" w:cstheme="minorHAnsi"/>
          <w:sz w:val="22"/>
          <w:szCs w:val="22"/>
        </w:rPr>
        <w:t>/SFTR reporting to one market entity offering three services simultaneously in accordance with the current or slightly modified templates in order to avoid double reporting.  These options utilize the TRACE system exclusively for communication with supervisors, which will significantly reduce costs of daily communication between infrastructure entities and NCAs.</w:t>
      </w:r>
      <w:r w:rsidRPr="006C6BE9">
        <w:t> </w:t>
      </w:r>
    </w:p>
    <w:permEnd w:id="1438851636"/>
    <w:p w14:paraId="2C9A1A2C" w14:textId="4DAB6FA4"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4C0223DF" w14:textId="77777777" w:rsidR="004E5225" w:rsidRPr="00295BB7" w:rsidRDefault="004E5225" w:rsidP="00AA24A3">
      <w:pPr>
        <w:pStyle w:val="paragraph0"/>
        <w:spacing w:before="0" w:beforeAutospacing="0" w:after="0" w:afterAutospacing="0"/>
        <w:ind w:left="420"/>
        <w:textAlignment w:val="baseline"/>
        <w:rPr>
          <w:rFonts w:asciiTheme="minorHAnsi" w:hAnsiTheme="minorHAnsi" w:cstheme="minorHAnsi"/>
          <w:sz w:val="18"/>
          <w:szCs w:val="18"/>
          <w:lang w:val="en-GB"/>
        </w:rPr>
      </w:pPr>
      <w:permStart w:id="1962436404" w:edGrp="everyone"/>
      <w:r w:rsidRPr="00295BB7">
        <w:rPr>
          <w:rStyle w:val="normaltextrun"/>
          <w:rFonts w:asciiTheme="minorHAnsi" w:eastAsiaTheme="majorEastAsia" w:hAnsiTheme="minorHAnsi" w:cstheme="minorHAnsi"/>
          <w:sz w:val="22"/>
          <w:szCs w:val="22"/>
          <w:lang w:val="en-GB"/>
        </w:rPr>
        <w:t>Given the significant costs incurred by market participants and TRs in developing IT systems already adapted to the enormous complexity of the EMIR Refit requirements and TRs current experience in working with clients, it seems that increasing the number of entities (trading venues) to which only a portion of transactions (only on-venue) would be reported is pointless.</w:t>
      </w:r>
      <w:r w:rsidRPr="00295BB7">
        <w:rPr>
          <w:rStyle w:val="eop"/>
          <w:rFonts w:asciiTheme="minorHAnsi" w:eastAsiaTheme="majorEastAsia" w:hAnsiTheme="minorHAnsi" w:cstheme="minorHAnsi"/>
          <w:sz w:val="22"/>
          <w:szCs w:val="22"/>
          <w:lang w:val="en-GB"/>
        </w:rPr>
        <w:t> </w:t>
      </w:r>
    </w:p>
    <w:p w14:paraId="092709F1" w14:textId="77777777" w:rsidR="004E5225" w:rsidRPr="00295BB7" w:rsidRDefault="004E5225" w:rsidP="00AA24A3">
      <w:pPr>
        <w:pStyle w:val="paragraph0"/>
        <w:spacing w:before="0" w:beforeAutospacing="0" w:after="0" w:afterAutospacing="0"/>
        <w:ind w:left="420"/>
        <w:textAlignment w:val="baseline"/>
        <w:rPr>
          <w:rFonts w:asciiTheme="minorHAnsi" w:hAnsiTheme="minorHAnsi" w:cstheme="minorHAnsi"/>
          <w:sz w:val="18"/>
          <w:szCs w:val="18"/>
          <w:lang w:val="en-GB"/>
        </w:rPr>
      </w:pPr>
      <w:r w:rsidRPr="00295BB7">
        <w:rPr>
          <w:rStyle w:val="normaltextrun"/>
          <w:rFonts w:asciiTheme="minorHAnsi" w:eastAsiaTheme="majorEastAsia" w:hAnsiTheme="minorHAnsi" w:cstheme="minorHAnsi"/>
          <w:sz w:val="22"/>
          <w:szCs w:val="22"/>
          <w:lang w:val="en-GB"/>
        </w:rPr>
        <w:t>Currently, the biggest problem is not the entities to which transactions are reported, but the inconsistency of reporting regimes, duplicate reporting of transactions, large amounts of data in a transaction and complex transaction validation as well as reconciliation mechanisms.</w:t>
      </w:r>
      <w:r w:rsidRPr="00295BB7">
        <w:rPr>
          <w:rStyle w:val="eop"/>
          <w:rFonts w:asciiTheme="minorHAnsi" w:eastAsiaTheme="majorEastAsia" w:hAnsiTheme="minorHAnsi" w:cstheme="minorHAnsi"/>
          <w:sz w:val="22"/>
          <w:szCs w:val="22"/>
          <w:lang w:val="en-GB"/>
        </w:rPr>
        <w:t> </w:t>
      </w:r>
    </w:p>
    <w:p w14:paraId="39B5138E" w14:textId="77777777" w:rsidR="004E5225" w:rsidRPr="00295BB7" w:rsidRDefault="004E5225" w:rsidP="00AA24A3">
      <w:pPr>
        <w:pStyle w:val="paragraph0"/>
        <w:spacing w:before="0" w:beforeAutospacing="0" w:after="0" w:afterAutospacing="0"/>
        <w:ind w:left="420"/>
        <w:textAlignment w:val="baseline"/>
        <w:rPr>
          <w:rFonts w:asciiTheme="minorHAnsi" w:hAnsiTheme="minorHAnsi" w:cstheme="minorHAnsi"/>
          <w:sz w:val="18"/>
          <w:szCs w:val="18"/>
          <w:lang w:val="en-GB"/>
        </w:rPr>
      </w:pPr>
      <w:r w:rsidRPr="00295BB7">
        <w:rPr>
          <w:rStyle w:val="normaltextrun"/>
          <w:rFonts w:asciiTheme="minorHAnsi" w:eastAsiaTheme="majorEastAsia" w:hAnsiTheme="minorHAnsi" w:cstheme="minorHAnsi"/>
          <w:sz w:val="22"/>
          <w:szCs w:val="22"/>
          <w:lang w:val="en-GB"/>
        </w:rPr>
        <w:t>Furthermore, reporting ETD derivatives transactions also involves reporting positions created by CCPs and post-trade events, i.e. information that is not processed by trading venues.</w:t>
      </w:r>
      <w:r w:rsidRPr="00295BB7">
        <w:rPr>
          <w:rStyle w:val="eop"/>
          <w:rFonts w:asciiTheme="minorHAnsi" w:eastAsiaTheme="majorEastAsia" w:hAnsiTheme="minorHAnsi" w:cstheme="minorHAnsi"/>
          <w:sz w:val="22"/>
          <w:szCs w:val="22"/>
          <w:lang w:val="en-GB"/>
        </w:rPr>
        <w:t> </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784D531A" w14:textId="77777777" w:rsidR="00295BB7" w:rsidRPr="00B2496C" w:rsidRDefault="00295BB7" w:rsidP="002F7871">
      <w:pPr>
        <w:pStyle w:val="paragraph0"/>
        <w:spacing w:before="0" w:beforeAutospacing="0" w:after="0" w:afterAutospacing="0"/>
        <w:ind w:left="420"/>
        <w:jc w:val="both"/>
        <w:textAlignment w:val="baseline"/>
        <w:rPr>
          <w:rFonts w:asciiTheme="minorHAnsi" w:hAnsiTheme="minorHAnsi" w:cstheme="minorHAnsi"/>
          <w:sz w:val="18"/>
          <w:szCs w:val="18"/>
          <w:lang w:val="en-GB"/>
        </w:rPr>
      </w:pPr>
      <w:permStart w:id="105197077" w:edGrp="everyone"/>
      <w:r w:rsidRPr="00B2496C">
        <w:rPr>
          <w:rStyle w:val="normaltextrun"/>
          <w:rFonts w:asciiTheme="minorHAnsi" w:eastAsiaTheme="majorEastAsia" w:hAnsiTheme="minorHAnsi" w:cstheme="minorHAnsi"/>
          <w:sz w:val="22"/>
          <w:szCs w:val="22"/>
          <w:lang w:val="en-GB"/>
        </w:rPr>
        <w:t>It seems that enhancing ESMA's role as a data hub could pose a significant challenge (1) to the quality of service provided to a very large number of entities required to report, (2) for communication, including various languages used by large number of reporting entities, and (3) for the provision of value-added services that reduce reporting costs for reporting entities. Furthermore, there is a risk of damaging the reputation of ESMA, if it turns out that the quality of services provided by ESMA is lower than that of existing market players. Additionally, the proposed solution loses the experience and competences already gained in TRs, which are closer to the market and understand the needs and problems of entities obliged to report.</w:t>
      </w:r>
      <w:r w:rsidRPr="00B2496C">
        <w:rPr>
          <w:rStyle w:val="eop"/>
          <w:rFonts w:asciiTheme="minorHAnsi" w:eastAsiaTheme="majorEastAsia" w:hAnsiTheme="minorHAnsi" w:cstheme="minorHAnsi"/>
          <w:sz w:val="22"/>
          <w:szCs w:val="22"/>
          <w:lang w:val="en-GB"/>
        </w:rPr>
        <w:t> </w:t>
      </w:r>
    </w:p>
    <w:p w14:paraId="4979F6C5" w14:textId="7160066E" w:rsidR="00295BB7" w:rsidRPr="00B2496C" w:rsidRDefault="00295BB7" w:rsidP="002F7871">
      <w:pPr>
        <w:pStyle w:val="paragraph0"/>
        <w:spacing w:before="0" w:beforeAutospacing="0" w:after="0" w:afterAutospacing="0"/>
        <w:ind w:left="420"/>
        <w:jc w:val="both"/>
        <w:textAlignment w:val="baseline"/>
        <w:rPr>
          <w:rFonts w:asciiTheme="minorHAnsi" w:hAnsiTheme="minorHAnsi" w:cstheme="minorHAnsi"/>
          <w:sz w:val="18"/>
          <w:szCs w:val="18"/>
          <w:lang w:val="en-GB"/>
        </w:rPr>
      </w:pPr>
      <w:r w:rsidRPr="00B2496C">
        <w:rPr>
          <w:rStyle w:val="normaltextrun"/>
          <w:rFonts w:asciiTheme="minorHAnsi" w:eastAsiaTheme="majorEastAsia" w:hAnsiTheme="minorHAnsi" w:cstheme="minorHAnsi"/>
          <w:sz w:val="22"/>
          <w:szCs w:val="22"/>
          <w:lang w:val="en-GB"/>
        </w:rPr>
        <w:t xml:space="preserve">The already established effective communication channels between </w:t>
      </w:r>
      <w:r w:rsidR="00B2496C">
        <w:rPr>
          <w:rStyle w:val="normaltextrun"/>
          <w:rFonts w:asciiTheme="minorHAnsi" w:eastAsiaTheme="majorEastAsia" w:hAnsiTheme="minorHAnsi" w:cstheme="minorHAnsi"/>
          <w:sz w:val="22"/>
          <w:szCs w:val="22"/>
          <w:lang w:val="en-GB"/>
        </w:rPr>
        <w:t>TR</w:t>
      </w:r>
      <w:r w:rsidRPr="00B2496C">
        <w:rPr>
          <w:rStyle w:val="normaltextrun"/>
          <w:rFonts w:asciiTheme="minorHAnsi" w:eastAsiaTheme="majorEastAsia" w:hAnsiTheme="minorHAnsi" w:cstheme="minorHAnsi"/>
          <w:sz w:val="22"/>
          <w:szCs w:val="22"/>
          <w:lang w:val="en-GB"/>
        </w:rPr>
        <w:t xml:space="preserve">/ARM and reporting entities, infrastructure entities (markets, CCPs) and supervisors are fundamental to data quality. Maintaining these channels requires constant work related to ensuring security, effective adaptation to the needs of supervisors and the market, daily support </w:t>
      </w:r>
      <w:r w:rsidRPr="00B2496C">
        <w:rPr>
          <w:rStyle w:val="normaltextrun"/>
          <w:rFonts w:asciiTheme="minorHAnsi" w:eastAsiaTheme="majorEastAsia" w:hAnsiTheme="minorHAnsi" w:cstheme="minorHAnsi"/>
          <w:sz w:val="22"/>
          <w:szCs w:val="22"/>
          <w:lang w:val="en-GB"/>
        </w:rPr>
        <w:lastRenderedPageBreak/>
        <w:t>and training offered to participants. In the opinion of KDPW, such needs can be best met by already specialized authorized entities.</w:t>
      </w:r>
      <w:r w:rsidRPr="00B2496C">
        <w:rPr>
          <w:rStyle w:val="eop"/>
          <w:rFonts w:asciiTheme="minorHAnsi" w:eastAsiaTheme="majorEastAsia" w:hAnsiTheme="minorHAnsi" w:cstheme="minorHAnsi"/>
          <w:sz w:val="22"/>
          <w:szCs w:val="22"/>
          <w:lang w:val="en-GB"/>
        </w:rPr>
        <w:t> </w:t>
      </w:r>
    </w:p>
    <w:p w14:paraId="66FCB3D0" w14:textId="77777777" w:rsidR="00295BB7" w:rsidRPr="00B2496C" w:rsidRDefault="00295BB7" w:rsidP="002F7871">
      <w:pPr>
        <w:pStyle w:val="paragraph0"/>
        <w:spacing w:before="0" w:beforeAutospacing="0" w:after="0" w:afterAutospacing="0"/>
        <w:ind w:left="420"/>
        <w:jc w:val="both"/>
        <w:textAlignment w:val="baseline"/>
        <w:rPr>
          <w:rFonts w:asciiTheme="minorHAnsi" w:hAnsiTheme="minorHAnsi" w:cstheme="minorHAnsi"/>
          <w:sz w:val="18"/>
          <w:szCs w:val="18"/>
          <w:lang w:val="en-GB"/>
        </w:rPr>
      </w:pPr>
      <w:r w:rsidRPr="00B2496C">
        <w:rPr>
          <w:rStyle w:val="eop"/>
          <w:rFonts w:asciiTheme="minorHAnsi" w:eastAsiaTheme="majorEastAsia" w:hAnsiTheme="minorHAnsi" w:cstheme="minorHAnsi"/>
          <w:sz w:val="22"/>
          <w:szCs w:val="22"/>
          <w:lang w:val="en-GB"/>
        </w:rPr>
        <w:t> </w:t>
      </w:r>
    </w:p>
    <w:p w14:paraId="078B2103" w14:textId="08CA56CC" w:rsidR="00295BB7" w:rsidRPr="00B2496C" w:rsidRDefault="00295BB7" w:rsidP="002F7871">
      <w:pPr>
        <w:pStyle w:val="paragraph0"/>
        <w:spacing w:before="0" w:beforeAutospacing="0" w:after="0" w:afterAutospacing="0"/>
        <w:ind w:left="420"/>
        <w:jc w:val="both"/>
        <w:textAlignment w:val="baseline"/>
        <w:rPr>
          <w:rFonts w:asciiTheme="minorHAnsi" w:hAnsiTheme="minorHAnsi" w:cstheme="minorHAnsi"/>
          <w:sz w:val="18"/>
          <w:szCs w:val="18"/>
          <w:lang w:val="en-GB"/>
        </w:rPr>
      </w:pPr>
      <w:r w:rsidRPr="00B2496C">
        <w:rPr>
          <w:rStyle w:val="normaltextrun"/>
          <w:rFonts w:asciiTheme="minorHAnsi" w:eastAsiaTheme="majorEastAsia" w:hAnsiTheme="minorHAnsi" w:cstheme="minorHAnsi"/>
          <w:sz w:val="22"/>
          <w:szCs w:val="22"/>
          <w:lang w:val="en-GB"/>
        </w:rPr>
        <w:t>For the above reasons, the preferred solution seems to be the implementation of option 1aa (Q5) and then option 2aa (Q11), which do not carry an unfavourable risk of changes and are related to relatively low costs of introducing the change and low implementation risk.</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36B129A2" w14:textId="77777777" w:rsidR="00B2496C" w:rsidRPr="00B2496C" w:rsidRDefault="00B2496C" w:rsidP="00926BDA">
      <w:pPr>
        <w:rPr>
          <w:rFonts w:asciiTheme="minorHAnsi" w:hAnsiTheme="minorHAnsi" w:cstheme="minorHAnsi"/>
          <w:sz w:val="22"/>
          <w:szCs w:val="22"/>
        </w:rPr>
      </w:pPr>
      <w:permStart w:id="817709938" w:edGrp="everyone"/>
      <w:r w:rsidRPr="00B2496C">
        <w:rPr>
          <w:rFonts w:asciiTheme="minorHAnsi" w:hAnsiTheme="minorHAnsi" w:cstheme="minorHAnsi"/>
          <w:sz w:val="22"/>
          <w:szCs w:val="22"/>
        </w:rPr>
        <w:t>See the answer to the question Q18 and Q19. </w:t>
      </w:r>
    </w:p>
    <w:permEnd w:id="817709938"/>
    <w:p w14:paraId="7B80CF14" w14:textId="46B20686"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5A784436" w14:textId="77777777" w:rsidR="00B2496C" w:rsidRDefault="00B2496C" w:rsidP="00B2496C">
      <w:pPr>
        <w:pStyle w:val="paragraph0"/>
        <w:spacing w:before="0" w:beforeAutospacing="0" w:after="0" w:afterAutospacing="0"/>
        <w:jc w:val="both"/>
        <w:textAlignment w:val="baseline"/>
        <w:rPr>
          <w:rFonts w:ascii="Segoe UI" w:hAnsi="Segoe UI" w:cs="Segoe UI"/>
          <w:sz w:val="18"/>
          <w:szCs w:val="18"/>
        </w:rPr>
      </w:pPr>
      <w:permStart w:id="993723206" w:edGrp="everyone"/>
      <w:r>
        <w:rPr>
          <w:rStyle w:val="eop"/>
          <w:rFonts w:ascii="Calibri" w:eastAsiaTheme="majorEastAsia" w:hAnsi="Calibri" w:cs="Calibri"/>
          <w:sz w:val="22"/>
          <w:szCs w:val="22"/>
        </w:rPr>
        <w:t> </w:t>
      </w:r>
    </w:p>
    <w:p w14:paraId="52DDC034" w14:textId="77777777" w:rsidR="00B2496C" w:rsidRPr="0059116F" w:rsidRDefault="00B2496C" w:rsidP="00B2496C">
      <w:pPr>
        <w:pStyle w:val="paragraph0"/>
        <w:numPr>
          <w:ilvl w:val="0"/>
          <w:numId w:val="62"/>
        </w:numPr>
        <w:spacing w:before="0" w:beforeAutospacing="0" w:after="0" w:afterAutospacing="0"/>
        <w:ind w:firstLine="0"/>
        <w:jc w:val="both"/>
        <w:textAlignment w:val="baseline"/>
        <w:rPr>
          <w:rFonts w:asciiTheme="minorHAnsi" w:hAnsiTheme="minorHAnsi" w:cstheme="minorHAnsi"/>
          <w:sz w:val="22"/>
          <w:szCs w:val="22"/>
          <w:lang w:val="en-GB"/>
        </w:rPr>
      </w:pPr>
      <w:r w:rsidRPr="0059116F">
        <w:rPr>
          <w:rStyle w:val="normaltextrun"/>
          <w:rFonts w:asciiTheme="minorHAnsi" w:hAnsiTheme="minorHAnsi" w:cstheme="minorHAnsi"/>
          <w:sz w:val="22"/>
          <w:szCs w:val="22"/>
          <w:lang w:val="en-GB"/>
        </w:rPr>
        <w:t>Currently, the biggest problem is not the technology used by the entities to which transactions are reported, but the inconsistency of reporting regimes, duplicate reporting of transactions, large amounts of data in a transaction and complex transaction validation and reconciliation mechanisms. </w:t>
      </w:r>
      <w:r w:rsidRPr="0059116F">
        <w:rPr>
          <w:rStyle w:val="eop"/>
          <w:rFonts w:asciiTheme="minorHAnsi" w:eastAsiaTheme="majorEastAsia" w:hAnsiTheme="minorHAnsi" w:cstheme="minorHAnsi"/>
          <w:sz w:val="22"/>
          <w:szCs w:val="22"/>
          <w:lang w:val="en-GB"/>
        </w:rPr>
        <w:t> </w:t>
      </w:r>
    </w:p>
    <w:p w14:paraId="20237D02" w14:textId="77777777" w:rsidR="00B2496C" w:rsidRPr="0059116F" w:rsidRDefault="00B2496C" w:rsidP="00B2496C">
      <w:pPr>
        <w:pStyle w:val="paragraph0"/>
        <w:numPr>
          <w:ilvl w:val="0"/>
          <w:numId w:val="63"/>
        </w:numPr>
        <w:spacing w:before="0" w:beforeAutospacing="0" w:after="0" w:afterAutospacing="0"/>
        <w:ind w:firstLine="0"/>
        <w:jc w:val="both"/>
        <w:textAlignment w:val="baseline"/>
        <w:rPr>
          <w:rFonts w:asciiTheme="minorHAnsi" w:hAnsiTheme="minorHAnsi" w:cstheme="minorHAnsi"/>
          <w:sz w:val="22"/>
          <w:szCs w:val="22"/>
          <w:lang w:val="en-GB"/>
        </w:rPr>
      </w:pPr>
      <w:r w:rsidRPr="0059116F">
        <w:rPr>
          <w:rStyle w:val="normaltextrun"/>
          <w:rFonts w:asciiTheme="minorHAnsi" w:hAnsiTheme="minorHAnsi" w:cstheme="minorHAnsi"/>
          <w:sz w:val="22"/>
          <w:szCs w:val="22"/>
          <w:lang w:val="en-GB"/>
        </w:rPr>
        <w:t>Furthermore, currently DLT technology appears unsuitable for reporting very large amounts of transaction-related data due to the creation of interconnected transaction chain of blocks from the very beginning.</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6936234" w14:textId="3630F0E6" w:rsidR="0059116F" w:rsidRPr="0059116F" w:rsidRDefault="0059116F" w:rsidP="0059116F">
      <w:pPr>
        <w:rPr>
          <w:lang w:val="pl-PL"/>
        </w:rPr>
      </w:pPr>
      <w:permStart w:id="1652326327" w:edGrp="everyone"/>
      <w:r w:rsidRPr="0059116F">
        <w:rPr>
          <w:lang w:val="pl-PL"/>
        </w:rPr>
        <w:t> </w:t>
      </w:r>
    </w:p>
    <w:p w14:paraId="6F2B3FA0" w14:textId="77777777" w:rsidR="0059116F" w:rsidRPr="0059116F" w:rsidRDefault="0059116F" w:rsidP="002F7871">
      <w:pPr>
        <w:numPr>
          <w:ilvl w:val="0"/>
          <w:numId w:val="64"/>
        </w:numPr>
        <w:jc w:val="both"/>
        <w:rPr>
          <w:rFonts w:asciiTheme="minorHAnsi" w:hAnsiTheme="minorHAnsi" w:cstheme="minorHAnsi"/>
          <w:sz w:val="22"/>
          <w:szCs w:val="22"/>
        </w:rPr>
      </w:pPr>
      <w:r w:rsidRPr="0059116F">
        <w:rPr>
          <w:rFonts w:asciiTheme="minorHAnsi" w:hAnsiTheme="minorHAnsi" w:cstheme="minorHAnsi"/>
          <w:sz w:val="22"/>
          <w:szCs w:val="22"/>
        </w:rPr>
        <w:t xml:space="preserve">The potential elimination of dual sided reporting carries the risk of lowering the quality of data in reports submitted to the TRs. Experience gathered so far by the TRs demonstrates that, despite the use of reconciliation, reports are still insufficiently reconciled by reporting entities. The potential introduction of unilateral reporting could </w:t>
      </w:r>
      <w:r w:rsidRPr="0059116F">
        <w:rPr>
          <w:rFonts w:asciiTheme="minorHAnsi" w:hAnsiTheme="minorHAnsi" w:cstheme="minorHAnsi"/>
          <w:sz w:val="22"/>
          <w:szCs w:val="22"/>
        </w:rPr>
        <w:lastRenderedPageBreak/>
        <w:t>result in even less reconciliation between reporting entities than currently, which would reduce the quality and reliability of unilaterally submitted reports. The current experience of TRs shows that smaller entities place greater emphasis on reporting quality because the potential penalty fines may pose a relatively greater burden for them. For many large entities, the potential penalty is lower than the costs of adapting their IT systems to achieve higher data quality.  </w:t>
      </w:r>
    </w:p>
    <w:p w14:paraId="6934DC0D" w14:textId="77777777" w:rsidR="0059116F" w:rsidRPr="0059116F" w:rsidRDefault="0059116F" w:rsidP="002F7871">
      <w:pPr>
        <w:numPr>
          <w:ilvl w:val="0"/>
          <w:numId w:val="65"/>
        </w:numPr>
        <w:jc w:val="both"/>
        <w:rPr>
          <w:rFonts w:asciiTheme="minorHAnsi" w:hAnsiTheme="minorHAnsi" w:cstheme="minorHAnsi"/>
          <w:sz w:val="22"/>
          <w:szCs w:val="22"/>
        </w:rPr>
      </w:pPr>
      <w:r w:rsidRPr="0059116F">
        <w:rPr>
          <w:rFonts w:asciiTheme="minorHAnsi" w:hAnsiTheme="minorHAnsi" w:cstheme="minorHAnsi"/>
          <w:sz w:val="22"/>
          <w:szCs w:val="22"/>
        </w:rPr>
        <w:t>In addition, it should be underlined that the issue of dual sided reporting is not only about lower data quality. In other reporting regimes outside the EU (e.g. the U.S.), there is usually a single jurisdiction with one supervisory authority, which makes unilateral reporting less problematic. In contrast, in the EU we have 27 supervisory authorities. If for example, a transaction is concluded between a global bank from one Member State and a smaller bank from another Member State (but significant in the local market), and the trade is reported only by the global bank, then in case of reporting errors the supervisor from another Member State has very limited capacity to intervene and has no sanctioning power against the large entity outside its jurisdiction. This would materially reduce the data quality and effectiveness of supervision and the overall robustness of the EU reporting framework. Therefore, we propose the following solutions for consideration that, in our opinion, will reduce the burden on participants while minimizing the negative effects of providing lower quality reports.  </w:t>
      </w:r>
    </w:p>
    <w:p w14:paraId="2BEAD38A" w14:textId="77777777" w:rsidR="0059116F" w:rsidRPr="0059116F" w:rsidRDefault="0059116F" w:rsidP="002F7871">
      <w:pPr>
        <w:numPr>
          <w:ilvl w:val="0"/>
          <w:numId w:val="66"/>
        </w:numPr>
        <w:jc w:val="both"/>
        <w:rPr>
          <w:rFonts w:asciiTheme="minorHAnsi" w:hAnsiTheme="minorHAnsi" w:cstheme="minorHAnsi"/>
          <w:sz w:val="22"/>
          <w:szCs w:val="22"/>
        </w:rPr>
      </w:pPr>
      <w:r w:rsidRPr="0059116F">
        <w:rPr>
          <w:rFonts w:asciiTheme="minorHAnsi" w:hAnsiTheme="minorHAnsi" w:cstheme="minorHAnsi"/>
          <w:b/>
          <w:bCs/>
          <w:sz w:val="22"/>
          <w:szCs w:val="22"/>
        </w:rPr>
        <w:t>Proposal 1.</w:t>
      </w:r>
      <w:r w:rsidRPr="0059116F">
        <w:rPr>
          <w:rFonts w:asciiTheme="minorHAnsi" w:hAnsiTheme="minorHAnsi" w:cstheme="minorHAnsi"/>
          <w:sz w:val="22"/>
          <w:szCs w:val="22"/>
        </w:rPr>
        <w:t>  Double sided reporting without the need for reconciliation between TRs. Instead of reconciliation other supervisory measures, e.g. auditing measures can be applied with easy access by supervisors to all data in TRs; </w:t>
      </w:r>
    </w:p>
    <w:p w14:paraId="6AC20F6D" w14:textId="77777777" w:rsidR="0059116F" w:rsidRPr="0059116F" w:rsidRDefault="0059116F" w:rsidP="002F7871">
      <w:pPr>
        <w:numPr>
          <w:ilvl w:val="0"/>
          <w:numId w:val="67"/>
        </w:numPr>
        <w:jc w:val="both"/>
        <w:rPr>
          <w:rFonts w:asciiTheme="minorHAnsi" w:hAnsiTheme="minorHAnsi" w:cstheme="minorHAnsi"/>
          <w:sz w:val="22"/>
          <w:szCs w:val="22"/>
        </w:rPr>
      </w:pPr>
      <w:r w:rsidRPr="0059116F">
        <w:rPr>
          <w:rFonts w:asciiTheme="minorHAnsi" w:hAnsiTheme="minorHAnsi" w:cstheme="minorHAnsi"/>
          <w:b/>
          <w:bCs/>
          <w:sz w:val="22"/>
          <w:szCs w:val="22"/>
        </w:rPr>
        <w:t>Proposal 2.</w:t>
      </w:r>
      <w:r w:rsidRPr="0059116F">
        <w:rPr>
          <w:rFonts w:asciiTheme="minorHAnsi" w:hAnsiTheme="minorHAnsi" w:cstheme="minorHAnsi"/>
          <w:sz w:val="22"/>
          <w:szCs w:val="22"/>
        </w:rPr>
        <w:t> If the proposal were to be considered further it should be agreed with the UK and Switzerland to be able to report in the similar way under the 3 regimes; </w:t>
      </w:r>
    </w:p>
    <w:p w14:paraId="31D6AE94" w14:textId="77777777" w:rsidR="0059116F" w:rsidRPr="0059116F" w:rsidRDefault="0059116F" w:rsidP="002F7871">
      <w:pPr>
        <w:numPr>
          <w:ilvl w:val="0"/>
          <w:numId w:val="68"/>
        </w:numPr>
        <w:ind w:left="1276"/>
        <w:jc w:val="both"/>
        <w:rPr>
          <w:rFonts w:asciiTheme="minorHAnsi" w:hAnsiTheme="minorHAnsi" w:cstheme="minorHAnsi"/>
          <w:sz w:val="22"/>
          <w:szCs w:val="22"/>
        </w:rPr>
      </w:pPr>
      <w:r w:rsidRPr="0059116F">
        <w:rPr>
          <w:rFonts w:asciiTheme="minorHAnsi" w:hAnsiTheme="minorHAnsi" w:cstheme="minorHAnsi"/>
          <w:sz w:val="22"/>
          <w:szCs w:val="22"/>
        </w:rPr>
        <w:t>Single transaction reporting by a CCP, on behalf of entities obliged to report, in the case of central clearing of ETD and OTC transactions. To oblige entities with reporting obligations to submit relevant data to the CCP for unilateral reporting; </w:t>
      </w:r>
    </w:p>
    <w:p w14:paraId="13F41F69" w14:textId="77777777" w:rsidR="0059116F" w:rsidRPr="0059116F" w:rsidRDefault="0059116F" w:rsidP="002F7871">
      <w:pPr>
        <w:numPr>
          <w:ilvl w:val="0"/>
          <w:numId w:val="69"/>
        </w:numPr>
        <w:tabs>
          <w:tab w:val="clear" w:pos="720"/>
        </w:tabs>
        <w:ind w:left="1276"/>
        <w:jc w:val="both"/>
        <w:rPr>
          <w:rFonts w:asciiTheme="minorHAnsi" w:hAnsiTheme="minorHAnsi" w:cstheme="minorHAnsi"/>
          <w:sz w:val="22"/>
          <w:szCs w:val="22"/>
        </w:rPr>
      </w:pPr>
      <w:r w:rsidRPr="0059116F">
        <w:rPr>
          <w:rFonts w:asciiTheme="minorHAnsi" w:hAnsiTheme="minorHAnsi" w:cstheme="minorHAnsi"/>
          <w:sz w:val="22"/>
          <w:szCs w:val="22"/>
        </w:rPr>
        <w:t>Double sided reporting only for OTC derivatives cleared bilaterally: </w:t>
      </w:r>
    </w:p>
    <w:p w14:paraId="1765C91A" w14:textId="77777777" w:rsidR="0059116F" w:rsidRPr="0059116F" w:rsidRDefault="0059116F" w:rsidP="002F7871">
      <w:pPr>
        <w:numPr>
          <w:ilvl w:val="0"/>
          <w:numId w:val="70"/>
        </w:numPr>
        <w:jc w:val="both"/>
        <w:rPr>
          <w:rFonts w:asciiTheme="minorHAnsi" w:hAnsiTheme="minorHAnsi" w:cstheme="minorHAnsi"/>
          <w:sz w:val="22"/>
          <w:szCs w:val="22"/>
        </w:rPr>
      </w:pPr>
      <w:r w:rsidRPr="0059116F">
        <w:rPr>
          <w:rFonts w:asciiTheme="minorHAnsi" w:hAnsiTheme="minorHAnsi" w:cstheme="minorHAnsi"/>
          <w:sz w:val="22"/>
          <w:szCs w:val="22"/>
        </w:rPr>
        <w:t>without the need for reconciliation between TRs ; </w:t>
      </w:r>
    </w:p>
    <w:p w14:paraId="36E0A8A3" w14:textId="77777777" w:rsidR="0059116F" w:rsidRPr="0059116F" w:rsidRDefault="0059116F" w:rsidP="002F7871">
      <w:pPr>
        <w:numPr>
          <w:ilvl w:val="0"/>
          <w:numId w:val="71"/>
        </w:numPr>
        <w:jc w:val="both"/>
      </w:pPr>
      <w:r w:rsidRPr="0059116F">
        <w:rPr>
          <w:rFonts w:asciiTheme="minorHAnsi" w:hAnsiTheme="minorHAnsi" w:cstheme="minorHAnsi"/>
          <w:sz w:val="22"/>
          <w:szCs w:val="22"/>
        </w:rPr>
        <w:t>or alternatively with significant limitation of the number of fields subject to reconciliation</w:t>
      </w:r>
      <w:r w:rsidRPr="0059116F">
        <w:t>.</w:t>
      </w:r>
    </w:p>
    <w:p w14:paraId="6E39AACB" w14:textId="63B245E9" w:rsidR="00926BDA" w:rsidRDefault="00926BDA" w:rsidP="00926BDA"/>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295C4DCB" w:rsidR="00926BDA" w:rsidRPr="0059116F" w:rsidRDefault="0059116F" w:rsidP="002F7871">
      <w:pPr>
        <w:jc w:val="both"/>
        <w:rPr>
          <w:rFonts w:asciiTheme="minorHAnsi" w:hAnsiTheme="minorHAnsi" w:cstheme="minorHAnsi"/>
          <w:sz w:val="22"/>
          <w:szCs w:val="22"/>
        </w:rPr>
      </w:pPr>
      <w:permStart w:id="806124853" w:edGrp="everyone"/>
      <w:r w:rsidRPr="0059116F">
        <w:rPr>
          <w:rFonts w:asciiTheme="minorHAnsi" w:hAnsiTheme="minorHAnsi" w:cstheme="minorHAnsi"/>
          <w:sz w:val="22"/>
          <w:szCs w:val="22"/>
        </w:rPr>
        <w:t>Reporting in T+1, as currently, seems to be optimal from a TRs operational perspective. This deadline should not be shortened, as it would create a buildup of problems for all stakeholders, including market participants and TRs . </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100D73AA" w14:textId="77777777" w:rsidR="0059116F" w:rsidRPr="0059116F" w:rsidRDefault="0059116F" w:rsidP="002F7871">
      <w:pPr>
        <w:jc w:val="both"/>
        <w:rPr>
          <w:rFonts w:asciiTheme="minorHAnsi" w:hAnsiTheme="minorHAnsi" w:cstheme="minorHAnsi"/>
          <w:sz w:val="22"/>
          <w:szCs w:val="22"/>
        </w:rPr>
      </w:pPr>
      <w:permStart w:id="1360161894" w:edGrp="everyone"/>
      <w:r w:rsidRPr="0059116F">
        <w:rPr>
          <w:rFonts w:asciiTheme="minorHAnsi" w:hAnsiTheme="minorHAnsi" w:cstheme="minorHAnsi"/>
          <w:sz w:val="22"/>
          <w:szCs w:val="22"/>
        </w:rPr>
        <w:lastRenderedPageBreak/>
        <w:t>No opinion. Question more directed at reporting entities. </w:t>
      </w:r>
    </w:p>
    <w:permEnd w:id="1360161894"/>
    <w:p w14:paraId="0138C76D" w14:textId="1CCD6E4E"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44D77501"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lastRenderedPageBreak/>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6D4EDA3F" w14:textId="77777777" w:rsidR="00542E0D" w:rsidRPr="00542E0D" w:rsidRDefault="0059116F" w:rsidP="002F7871">
      <w:pPr>
        <w:jc w:val="both"/>
        <w:rPr>
          <w:rFonts w:asciiTheme="minorHAnsi" w:hAnsiTheme="minorHAnsi" w:cstheme="minorHAnsi"/>
          <w:sz w:val="22"/>
          <w:szCs w:val="22"/>
        </w:rPr>
      </w:pPr>
      <w:permStart w:id="34827801" w:edGrp="everyone"/>
      <w:r w:rsidRPr="00542E0D">
        <w:rPr>
          <w:rFonts w:asciiTheme="minorHAnsi" w:hAnsiTheme="minorHAnsi" w:cstheme="minorHAnsi"/>
          <w:sz w:val="22"/>
          <w:szCs w:val="22"/>
        </w:rPr>
        <w:t xml:space="preserve">We did not evaluate the anticipated and transition costs of Options 1a and 1b, or Options 2a and 2b. We believe that Options 1b and 2b should not be considered further. However, instead of Options 1a and 2a, we presented Options 1aa (Q5) and 2aa (Q11), respectively, which we believe are </w:t>
      </w:r>
      <w:r w:rsidRPr="00542E0D">
        <w:rPr>
          <w:rFonts w:asciiTheme="minorHAnsi" w:hAnsiTheme="minorHAnsi" w:cstheme="minorHAnsi"/>
          <w:sz w:val="20"/>
          <w:szCs w:val="20"/>
        </w:rPr>
        <w:t>cheaper</w:t>
      </w:r>
      <w:r w:rsidRPr="00542E0D">
        <w:rPr>
          <w:rFonts w:asciiTheme="minorHAnsi" w:hAnsiTheme="minorHAnsi" w:cstheme="minorHAnsi"/>
          <w:sz w:val="22"/>
          <w:szCs w:val="22"/>
        </w:rPr>
        <w:t>, faster, more effective in implementation and bring significant relief for reporting entities. </w:t>
      </w:r>
    </w:p>
    <w:permEnd w:id="34827801"/>
    <w:p w14:paraId="36BBCB63" w14:textId="72381A1E"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85AA" w14:textId="77777777" w:rsidR="00304374" w:rsidRDefault="00304374" w:rsidP="007E7997">
      <w:r>
        <w:separator/>
      </w:r>
    </w:p>
  </w:endnote>
  <w:endnote w:type="continuationSeparator" w:id="0">
    <w:p w14:paraId="49CAFD45" w14:textId="77777777" w:rsidR="00304374" w:rsidRDefault="00304374" w:rsidP="007E7997">
      <w:r>
        <w:continuationSeparator/>
      </w:r>
    </w:p>
  </w:endnote>
  <w:endnote w:type="continuationNotice" w:id="1">
    <w:p w14:paraId="72533D0E" w14:textId="77777777" w:rsidR="00304374" w:rsidRDefault="0030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Stopk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Stopk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Stopk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topk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9AF5" w14:textId="77777777" w:rsidR="00304374" w:rsidRDefault="00304374" w:rsidP="007E7997">
      <w:r>
        <w:separator/>
      </w:r>
    </w:p>
  </w:footnote>
  <w:footnote w:type="continuationSeparator" w:id="0">
    <w:p w14:paraId="71C8067A" w14:textId="77777777" w:rsidR="00304374" w:rsidRDefault="00304374" w:rsidP="007E7997">
      <w:r>
        <w:continuationSeparator/>
      </w:r>
    </w:p>
  </w:footnote>
  <w:footnote w:type="continuationNotice" w:id="1">
    <w:p w14:paraId="14DCD91F" w14:textId="77777777" w:rsidR="00304374" w:rsidRDefault="00304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Nagwek"/>
    </w:pPr>
  </w:p>
  <w:p w14:paraId="59FA3C9D" w14:textId="77777777" w:rsidR="00E36813" w:rsidRDefault="00E368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Nagwek"/>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Nagwek"/>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4810"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Nagwek"/>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Nagwek"/>
      <w:jc w:val="right"/>
      <w:rPr>
        <w:rFonts w:asciiTheme="minorHAnsi" w:hAnsiTheme="minorHAnsi" w:cstheme="minorHAnsi"/>
        <w:color w:val="2F5496" w:themeColor="accent5" w:themeShade="BF"/>
        <w:sz w:val="20"/>
      </w:rPr>
    </w:pPr>
  </w:p>
  <w:p w14:paraId="3E983FE8" w14:textId="71D87355" w:rsidR="00FA64BE" w:rsidRDefault="00FA64BE" w:rsidP="00FA64BE">
    <w:pPr>
      <w:pStyle w:val="Nagwek"/>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Nagwek"/>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Nagwek"/>
      <w:jc w:val="right"/>
      <w:rPr>
        <w:color w:val="2F5496" w:themeColor="accent5" w:themeShade="BF"/>
        <w:sz w:val="20"/>
      </w:rPr>
    </w:pPr>
  </w:p>
  <w:p w14:paraId="5EAB6EC6" w14:textId="77777777" w:rsidR="00E36813" w:rsidRPr="00B50534" w:rsidRDefault="00E36813" w:rsidP="00B50534">
    <w:pPr>
      <w:pStyle w:val="Nagwek"/>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296"/>
    <w:multiLevelType w:val="multilevel"/>
    <w:tmpl w:val="7452C6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94CAD"/>
    <w:multiLevelType w:val="multilevel"/>
    <w:tmpl w:val="BCC466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122F29"/>
    <w:multiLevelType w:val="multilevel"/>
    <w:tmpl w:val="D2B64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0EF0"/>
    <w:multiLevelType w:val="multilevel"/>
    <w:tmpl w:val="84AE9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C1069"/>
    <w:multiLevelType w:val="multilevel"/>
    <w:tmpl w:val="700275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4016C6"/>
    <w:multiLevelType w:val="multilevel"/>
    <w:tmpl w:val="986CDE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5D74A6"/>
    <w:multiLevelType w:val="multilevel"/>
    <w:tmpl w:val="CD2CA1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8EB1A21"/>
    <w:multiLevelType w:val="multilevel"/>
    <w:tmpl w:val="37F631A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 w15:restartNumberingAfterBreak="0">
    <w:nsid w:val="1AC81D77"/>
    <w:multiLevelType w:val="multilevel"/>
    <w:tmpl w:val="47CA7B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84244A"/>
    <w:multiLevelType w:val="multilevel"/>
    <w:tmpl w:val="AFA4B1C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CC30EA2"/>
    <w:multiLevelType w:val="multilevel"/>
    <w:tmpl w:val="37A8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861D7"/>
    <w:multiLevelType w:val="multilevel"/>
    <w:tmpl w:val="8334E4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DCD00D6"/>
    <w:multiLevelType w:val="multilevel"/>
    <w:tmpl w:val="638687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1945C2F"/>
    <w:multiLevelType w:val="multilevel"/>
    <w:tmpl w:val="8EC224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D06ABC"/>
    <w:multiLevelType w:val="multilevel"/>
    <w:tmpl w:val="E3DAA0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887070"/>
    <w:multiLevelType w:val="multilevel"/>
    <w:tmpl w:val="80746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640A46"/>
    <w:multiLevelType w:val="multilevel"/>
    <w:tmpl w:val="BD7E2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2DAA0238"/>
    <w:multiLevelType w:val="multilevel"/>
    <w:tmpl w:val="7C02D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4952BA"/>
    <w:multiLevelType w:val="multilevel"/>
    <w:tmpl w:val="E37C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D6AD6"/>
    <w:multiLevelType w:val="multilevel"/>
    <w:tmpl w:val="DBC4A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937FF"/>
    <w:multiLevelType w:val="multilevel"/>
    <w:tmpl w:val="EAA43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C321D8"/>
    <w:multiLevelType w:val="multilevel"/>
    <w:tmpl w:val="2B7A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8A7A4D"/>
    <w:multiLevelType w:val="multilevel"/>
    <w:tmpl w:val="44F4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7076B8"/>
    <w:multiLevelType w:val="multilevel"/>
    <w:tmpl w:val="9AA8A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477CA4"/>
    <w:multiLevelType w:val="multilevel"/>
    <w:tmpl w:val="02560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E0761A9"/>
    <w:multiLevelType w:val="multilevel"/>
    <w:tmpl w:val="9C782A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1ED66AF"/>
    <w:multiLevelType w:val="multilevel"/>
    <w:tmpl w:val="486237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F45E09"/>
    <w:multiLevelType w:val="multilevel"/>
    <w:tmpl w:val="95B84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874483"/>
    <w:multiLevelType w:val="multilevel"/>
    <w:tmpl w:val="46F459D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4215A30"/>
    <w:multiLevelType w:val="multilevel"/>
    <w:tmpl w:val="638679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93F43BD"/>
    <w:multiLevelType w:val="multilevel"/>
    <w:tmpl w:val="BB78A0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4B066A61"/>
    <w:multiLevelType w:val="multilevel"/>
    <w:tmpl w:val="AB2E8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D8639A"/>
    <w:multiLevelType w:val="multilevel"/>
    <w:tmpl w:val="BB7E5B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C5237B0"/>
    <w:multiLevelType w:val="multilevel"/>
    <w:tmpl w:val="34C844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81EA9"/>
    <w:multiLevelType w:val="multilevel"/>
    <w:tmpl w:val="41A231CA"/>
    <w:lvl w:ilvl="0">
      <w:start w:val="3"/>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D72A69"/>
    <w:multiLevelType w:val="multilevel"/>
    <w:tmpl w:val="5C8A703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F147F71"/>
    <w:multiLevelType w:val="multilevel"/>
    <w:tmpl w:val="D804D2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2A84384"/>
    <w:multiLevelType w:val="multilevel"/>
    <w:tmpl w:val="DAB2A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2EA1F39"/>
    <w:multiLevelType w:val="multilevel"/>
    <w:tmpl w:val="FA1000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63E5F54"/>
    <w:multiLevelType w:val="multilevel"/>
    <w:tmpl w:val="E716DE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596A6FD8"/>
    <w:multiLevelType w:val="multilevel"/>
    <w:tmpl w:val="EC6800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D3F1541"/>
    <w:multiLevelType w:val="multilevel"/>
    <w:tmpl w:val="382C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1D5594"/>
    <w:multiLevelType w:val="multilevel"/>
    <w:tmpl w:val="A98290A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17B7094"/>
    <w:multiLevelType w:val="multilevel"/>
    <w:tmpl w:val="634CD9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257786F"/>
    <w:multiLevelType w:val="multilevel"/>
    <w:tmpl w:val="0E6EFBBE"/>
    <w:lvl w:ilvl="0">
      <w:start w:val="1"/>
      <w:numFmt w:val="lowerRoman"/>
      <w:lvlText w:val="%1."/>
      <w:lvlJc w:val="right"/>
      <w:pPr>
        <w:tabs>
          <w:tab w:val="num" w:pos="872"/>
        </w:tabs>
        <w:ind w:left="872" w:hanging="360"/>
      </w:pPr>
    </w:lvl>
    <w:lvl w:ilvl="1" w:tentative="1">
      <w:start w:val="1"/>
      <w:numFmt w:val="lowerRoman"/>
      <w:lvlText w:val="%2."/>
      <w:lvlJc w:val="right"/>
      <w:pPr>
        <w:tabs>
          <w:tab w:val="num" w:pos="1592"/>
        </w:tabs>
        <w:ind w:left="1592" w:hanging="360"/>
      </w:pPr>
    </w:lvl>
    <w:lvl w:ilvl="2" w:tentative="1">
      <w:start w:val="1"/>
      <w:numFmt w:val="lowerRoman"/>
      <w:lvlText w:val="%3."/>
      <w:lvlJc w:val="right"/>
      <w:pPr>
        <w:tabs>
          <w:tab w:val="num" w:pos="2312"/>
        </w:tabs>
        <w:ind w:left="2312" w:hanging="360"/>
      </w:pPr>
    </w:lvl>
    <w:lvl w:ilvl="3" w:tentative="1">
      <w:start w:val="1"/>
      <w:numFmt w:val="lowerRoman"/>
      <w:lvlText w:val="%4."/>
      <w:lvlJc w:val="right"/>
      <w:pPr>
        <w:tabs>
          <w:tab w:val="num" w:pos="3032"/>
        </w:tabs>
        <w:ind w:left="3032" w:hanging="360"/>
      </w:pPr>
    </w:lvl>
    <w:lvl w:ilvl="4" w:tentative="1">
      <w:start w:val="1"/>
      <w:numFmt w:val="lowerRoman"/>
      <w:lvlText w:val="%5."/>
      <w:lvlJc w:val="right"/>
      <w:pPr>
        <w:tabs>
          <w:tab w:val="num" w:pos="3752"/>
        </w:tabs>
        <w:ind w:left="3752" w:hanging="360"/>
      </w:pPr>
    </w:lvl>
    <w:lvl w:ilvl="5" w:tentative="1">
      <w:start w:val="1"/>
      <w:numFmt w:val="lowerRoman"/>
      <w:lvlText w:val="%6."/>
      <w:lvlJc w:val="right"/>
      <w:pPr>
        <w:tabs>
          <w:tab w:val="num" w:pos="4472"/>
        </w:tabs>
        <w:ind w:left="4472" w:hanging="360"/>
      </w:pPr>
    </w:lvl>
    <w:lvl w:ilvl="6" w:tentative="1">
      <w:start w:val="1"/>
      <w:numFmt w:val="lowerRoman"/>
      <w:lvlText w:val="%7."/>
      <w:lvlJc w:val="right"/>
      <w:pPr>
        <w:tabs>
          <w:tab w:val="num" w:pos="5192"/>
        </w:tabs>
        <w:ind w:left="5192" w:hanging="360"/>
      </w:pPr>
    </w:lvl>
    <w:lvl w:ilvl="7" w:tentative="1">
      <w:start w:val="1"/>
      <w:numFmt w:val="lowerRoman"/>
      <w:lvlText w:val="%8."/>
      <w:lvlJc w:val="right"/>
      <w:pPr>
        <w:tabs>
          <w:tab w:val="num" w:pos="5912"/>
        </w:tabs>
        <w:ind w:left="5912" w:hanging="360"/>
      </w:pPr>
    </w:lvl>
    <w:lvl w:ilvl="8" w:tentative="1">
      <w:start w:val="1"/>
      <w:numFmt w:val="lowerRoman"/>
      <w:lvlText w:val="%9."/>
      <w:lvlJc w:val="right"/>
      <w:pPr>
        <w:tabs>
          <w:tab w:val="num" w:pos="6632"/>
        </w:tabs>
        <w:ind w:left="6632" w:hanging="360"/>
      </w:pPr>
    </w:lvl>
  </w:abstractNum>
  <w:abstractNum w:abstractNumId="53" w15:restartNumberingAfterBreak="0">
    <w:nsid w:val="62842F22"/>
    <w:multiLevelType w:val="multilevel"/>
    <w:tmpl w:val="D5522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03291B"/>
    <w:multiLevelType w:val="multilevel"/>
    <w:tmpl w:val="444C7D5C"/>
    <w:lvl w:ilvl="0">
      <w:start w:val="2"/>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5" w15:restartNumberingAfterBreak="0">
    <w:nsid w:val="63255453"/>
    <w:multiLevelType w:val="multilevel"/>
    <w:tmpl w:val="634A7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7B0CE0"/>
    <w:multiLevelType w:val="multilevel"/>
    <w:tmpl w:val="54AE1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4932E88"/>
    <w:multiLevelType w:val="multilevel"/>
    <w:tmpl w:val="81ECC3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654C5EE2"/>
    <w:multiLevelType w:val="multilevel"/>
    <w:tmpl w:val="7CFAF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7711A5B"/>
    <w:multiLevelType w:val="multilevel"/>
    <w:tmpl w:val="72A6E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7279FE"/>
    <w:multiLevelType w:val="multilevel"/>
    <w:tmpl w:val="AA8A1E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A3947EB"/>
    <w:multiLevelType w:val="multilevel"/>
    <w:tmpl w:val="67767F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3" w15:restartNumberingAfterBreak="0">
    <w:nsid w:val="6CF41DE6"/>
    <w:multiLevelType w:val="multilevel"/>
    <w:tmpl w:val="93E659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D8A140D"/>
    <w:multiLevelType w:val="multilevel"/>
    <w:tmpl w:val="E1C25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2F166CA"/>
    <w:multiLevelType w:val="multilevel"/>
    <w:tmpl w:val="46BE7D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7846676E"/>
    <w:multiLevelType w:val="multilevel"/>
    <w:tmpl w:val="5918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6D1101"/>
    <w:multiLevelType w:val="multilevel"/>
    <w:tmpl w:val="082821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9C36EBA"/>
    <w:multiLevelType w:val="multilevel"/>
    <w:tmpl w:val="383A85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C9D6639"/>
    <w:multiLevelType w:val="multilevel"/>
    <w:tmpl w:val="B068F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975619">
    <w:abstractNumId w:val="16"/>
  </w:num>
  <w:num w:numId="2" w16cid:durableId="1495532731">
    <w:abstractNumId w:val="16"/>
  </w:num>
  <w:num w:numId="3" w16cid:durableId="994409496">
    <w:abstractNumId w:val="62"/>
  </w:num>
  <w:num w:numId="4" w16cid:durableId="1880320868">
    <w:abstractNumId w:val="18"/>
  </w:num>
  <w:num w:numId="5" w16cid:durableId="290864581">
    <w:abstractNumId w:val="35"/>
  </w:num>
  <w:num w:numId="6" w16cid:durableId="765269892">
    <w:abstractNumId w:val="19"/>
  </w:num>
  <w:num w:numId="7" w16cid:durableId="1301960395">
    <w:abstractNumId w:val="25"/>
  </w:num>
  <w:num w:numId="8" w16cid:durableId="986476960">
    <w:abstractNumId w:val="50"/>
  </w:num>
  <w:num w:numId="9" w16cid:durableId="837424337">
    <w:abstractNumId w:val="45"/>
  </w:num>
  <w:num w:numId="10" w16cid:durableId="730466929">
    <w:abstractNumId w:val="32"/>
    <w:lvlOverride w:ilvl="0">
      <w:startOverride w:val="1"/>
    </w:lvlOverride>
  </w:num>
  <w:num w:numId="11" w16cid:durableId="291713911">
    <w:abstractNumId w:val="40"/>
  </w:num>
  <w:num w:numId="12" w16cid:durableId="860238216">
    <w:abstractNumId w:val="58"/>
  </w:num>
  <w:num w:numId="13" w16cid:durableId="721757429">
    <w:abstractNumId w:val="67"/>
  </w:num>
  <w:num w:numId="14" w16cid:durableId="1020086319">
    <w:abstractNumId w:val="0"/>
  </w:num>
  <w:num w:numId="15" w16cid:durableId="721683521">
    <w:abstractNumId w:val="61"/>
  </w:num>
  <w:num w:numId="16" w16cid:durableId="356544367">
    <w:abstractNumId w:val="15"/>
  </w:num>
  <w:num w:numId="17" w16cid:durableId="358554350">
    <w:abstractNumId w:val="31"/>
  </w:num>
  <w:num w:numId="18" w16cid:durableId="474614951">
    <w:abstractNumId w:val="44"/>
  </w:num>
  <w:num w:numId="19" w16cid:durableId="964775653">
    <w:abstractNumId w:val="12"/>
  </w:num>
  <w:num w:numId="20" w16cid:durableId="1453553414">
    <w:abstractNumId w:val="60"/>
  </w:num>
  <w:num w:numId="21" w16cid:durableId="1238858276">
    <w:abstractNumId w:val="65"/>
  </w:num>
  <w:num w:numId="22" w16cid:durableId="620303016">
    <w:abstractNumId w:val="5"/>
  </w:num>
  <w:num w:numId="23" w16cid:durableId="846210874">
    <w:abstractNumId w:val="51"/>
  </w:num>
  <w:num w:numId="24" w16cid:durableId="56516392">
    <w:abstractNumId w:val="13"/>
  </w:num>
  <w:num w:numId="25" w16cid:durableId="682392229">
    <w:abstractNumId w:val="37"/>
  </w:num>
  <w:num w:numId="26" w16cid:durableId="1859812556">
    <w:abstractNumId w:val="43"/>
  </w:num>
  <w:num w:numId="27" w16cid:durableId="1352998316">
    <w:abstractNumId w:val="57"/>
  </w:num>
  <w:num w:numId="28" w16cid:durableId="1443577305">
    <w:abstractNumId w:val="1"/>
  </w:num>
  <w:num w:numId="29" w16cid:durableId="542596464">
    <w:abstractNumId w:val="63"/>
  </w:num>
  <w:num w:numId="30" w16cid:durableId="317929308">
    <w:abstractNumId w:val="47"/>
  </w:num>
  <w:num w:numId="31" w16cid:durableId="1111896325">
    <w:abstractNumId w:val="4"/>
  </w:num>
  <w:num w:numId="32" w16cid:durableId="1226376744">
    <w:abstractNumId w:val="30"/>
  </w:num>
  <w:num w:numId="33" w16cid:durableId="1821650939">
    <w:abstractNumId w:val="55"/>
  </w:num>
  <w:num w:numId="34" w16cid:durableId="216740771">
    <w:abstractNumId w:val="56"/>
  </w:num>
  <w:num w:numId="35" w16cid:durableId="416290876">
    <w:abstractNumId w:val="34"/>
  </w:num>
  <w:num w:numId="36" w16cid:durableId="831676753">
    <w:abstractNumId w:val="48"/>
  </w:num>
  <w:num w:numId="37" w16cid:durableId="1863592171">
    <w:abstractNumId w:val="10"/>
  </w:num>
  <w:num w:numId="38" w16cid:durableId="1075593789">
    <w:abstractNumId w:val="69"/>
  </w:num>
  <w:num w:numId="39" w16cid:durableId="1611427764">
    <w:abstractNumId w:val="64"/>
  </w:num>
  <w:num w:numId="40" w16cid:durableId="1921675005">
    <w:abstractNumId w:val="3"/>
  </w:num>
  <w:num w:numId="41" w16cid:durableId="425275322">
    <w:abstractNumId w:val="29"/>
  </w:num>
  <w:num w:numId="42" w16cid:durableId="430395928">
    <w:abstractNumId w:val="14"/>
  </w:num>
  <w:num w:numId="43" w16cid:durableId="1957563757">
    <w:abstractNumId w:val="27"/>
  </w:num>
  <w:num w:numId="44" w16cid:durableId="1415277185">
    <w:abstractNumId w:val="22"/>
  </w:num>
  <w:num w:numId="45" w16cid:durableId="137378546">
    <w:abstractNumId w:val="20"/>
  </w:num>
  <w:num w:numId="46" w16cid:durableId="572661984">
    <w:abstractNumId w:val="11"/>
  </w:num>
  <w:num w:numId="47" w16cid:durableId="1884058177">
    <w:abstractNumId w:val="68"/>
  </w:num>
  <w:num w:numId="48" w16cid:durableId="1538159578">
    <w:abstractNumId w:val="21"/>
  </w:num>
  <w:num w:numId="49" w16cid:durableId="1067847969">
    <w:abstractNumId w:val="28"/>
  </w:num>
  <w:num w:numId="50" w16cid:durableId="703141090">
    <w:abstractNumId w:val="36"/>
  </w:num>
  <w:num w:numId="51" w16cid:durableId="834878733">
    <w:abstractNumId w:val="42"/>
  </w:num>
  <w:num w:numId="52" w16cid:durableId="1902255727">
    <w:abstractNumId w:val="41"/>
  </w:num>
  <w:num w:numId="53" w16cid:durableId="386269578">
    <w:abstractNumId w:val="2"/>
  </w:num>
  <w:num w:numId="54" w16cid:durableId="1722050143">
    <w:abstractNumId w:val="17"/>
  </w:num>
  <w:num w:numId="55" w16cid:durableId="1271888332">
    <w:abstractNumId w:val="6"/>
  </w:num>
  <w:num w:numId="56" w16cid:durableId="70929406">
    <w:abstractNumId w:val="38"/>
  </w:num>
  <w:num w:numId="57" w16cid:durableId="976255839">
    <w:abstractNumId w:val="9"/>
  </w:num>
  <w:num w:numId="58" w16cid:durableId="970285558">
    <w:abstractNumId w:val="33"/>
  </w:num>
  <w:num w:numId="59" w16cid:durableId="1990669780">
    <w:abstractNumId w:val="49"/>
  </w:num>
  <w:num w:numId="60" w16cid:durableId="911046847">
    <w:abstractNumId w:val="39"/>
  </w:num>
  <w:num w:numId="61" w16cid:durableId="583342990">
    <w:abstractNumId w:val="8"/>
  </w:num>
  <w:num w:numId="62" w16cid:durableId="2003968754">
    <w:abstractNumId w:val="24"/>
  </w:num>
  <w:num w:numId="63" w16cid:durableId="270016635">
    <w:abstractNumId w:val="53"/>
  </w:num>
  <w:num w:numId="64" w16cid:durableId="445122357">
    <w:abstractNumId w:val="66"/>
  </w:num>
  <w:num w:numId="65" w16cid:durableId="1547257874">
    <w:abstractNumId w:val="23"/>
  </w:num>
  <w:num w:numId="66" w16cid:durableId="31812080">
    <w:abstractNumId w:val="7"/>
  </w:num>
  <w:num w:numId="67" w16cid:durableId="1447387027">
    <w:abstractNumId w:val="54"/>
  </w:num>
  <w:num w:numId="68" w16cid:durableId="746532388">
    <w:abstractNumId w:val="52"/>
  </w:num>
  <w:num w:numId="69" w16cid:durableId="1225339611">
    <w:abstractNumId w:val="46"/>
  </w:num>
  <w:num w:numId="70" w16cid:durableId="523523446">
    <w:abstractNumId w:val="26"/>
  </w:num>
  <w:num w:numId="71" w16cid:durableId="1022131464">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proofState w:spelling="clean"/>
  <w:attachedTemplate r:id="rId1"/>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2C46"/>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430F"/>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011B"/>
    <w:rsid w:val="000B1615"/>
    <w:rsid w:val="000B2AAF"/>
    <w:rsid w:val="000B2E26"/>
    <w:rsid w:val="000B5D3D"/>
    <w:rsid w:val="000C0CE0"/>
    <w:rsid w:val="000C2400"/>
    <w:rsid w:val="000C299C"/>
    <w:rsid w:val="000C406A"/>
    <w:rsid w:val="000C5032"/>
    <w:rsid w:val="000C5ACC"/>
    <w:rsid w:val="000C5D73"/>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6F87"/>
    <w:rsid w:val="001075EC"/>
    <w:rsid w:val="00113D82"/>
    <w:rsid w:val="0011752D"/>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5B30"/>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CCA"/>
    <w:rsid w:val="00245D2E"/>
    <w:rsid w:val="00246E1D"/>
    <w:rsid w:val="002472F6"/>
    <w:rsid w:val="0025020D"/>
    <w:rsid w:val="00254991"/>
    <w:rsid w:val="00254CC2"/>
    <w:rsid w:val="00256CCC"/>
    <w:rsid w:val="002571B6"/>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6CD0"/>
    <w:rsid w:val="00287C8F"/>
    <w:rsid w:val="00290893"/>
    <w:rsid w:val="002911E7"/>
    <w:rsid w:val="002917B9"/>
    <w:rsid w:val="00291A55"/>
    <w:rsid w:val="0029394C"/>
    <w:rsid w:val="00295BB7"/>
    <w:rsid w:val="002A13B0"/>
    <w:rsid w:val="002A2A39"/>
    <w:rsid w:val="002A2C91"/>
    <w:rsid w:val="002A5F2A"/>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2425"/>
    <w:rsid w:val="002F6279"/>
    <w:rsid w:val="002F7871"/>
    <w:rsid w:val="00300F55"/>
    <w:rsid w:val="003013B7"/>
    <w:rsid w:val="00301993"/>
    <w:rsid w:val="00301E55"/>
    <w:rsid w:val="00304374"/>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5DEF"/>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2A4C"/>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2D78"/>
    <w:rsid w:val="003F35B0"/>
    <w:rsid w:val="003F39B1"/>
    <w:rsid w:val="003F6AAF"/>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6327"/>
    <w:rsid w:val="004171F5"/>
    <w:rsid w:val="00420FD4"/>
    <w:rsid w:val="00421302"/>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1A21"/>
    <w:rsid w:val="004A22F3"/>
    <w:rsid w:val="004A75F5"/>
    <w:rsid w:val="004B07B2"/>
    <w:rsid w:val="004B0955"/>
    <w:rsid w:val="004B1258"/>
    <w:rsid w:val="004B143D"/>
    <w:rsid w:val="004B1842"/>
    <w:rsid w:val="004B1D1B"/>
    <w:rsid w:val="004B25D0"/>
    <w:rsid w:val="004B3553"/>
    <w:rsid w:val="004B5E92"/>
    <w:rsid w:val="004B6859"/>
    <w:rsid w:val="004C08C8"/>
    <w:rsid w:val="004C0A30"/>
    <w:rsid w:val="004C357C"/>
    <w:rsid w:val="004C3D18"/>
    <w:rsid w:val="004C5635"/>
    <w:rsid w:val="004D19BD"/>
    <w:rsid w:val="004D2D3F"/>
    <w:rsid w:val="004D42B1"/>
    <w:rsid w:val="004D526F"/>
    <w:rsid w:val="004E0583"/>
    <w:rsid w:val="004E19C0"/>
    <w:rsid w:val="004E1C54"/>
    <w:rsid w:val="004E21FE"/>
    <w:rsid w:val="004E2C37"/>
    <w:rsid w:val="004E5225"/>
    <w:rsid w:val="004E5285"/>
    <w:rsid w:val="004F0CF3"/>
    <w:rsid w:val="004F5740"/>
    <w:rsid w:val="004F58C9"/>
    <w:rsid w:val="005028B9"/>
    <w:rsid w:val="00503A3F"/>
    <w:rsid w:val="00505E17"/>
    <w:rsid w:val="00511700"/>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2E0D"/>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16F"/>
    <w:rsid w:val="0059175F"/>
    <w:rsid w:val="00591AAC"/>
    <w:rsid w:val="00595234"/>
    <w:rsid w:val="00595F08"/>
    <w:rsid w:val="00595FBE"/>
    <w:rsid w:val="005A1C55"/>
    <w:rsid w:val="005A4636"/>
    <w:rsid w:val="005A5EF1"/>
    <w:rsid w:val="005B169D"/>
    <w:rsid w:val="005B467C"/>
    <w:rsid w:val="005B4A69"/>
    <w:rsid w:val="005B4ACA"/>
    <w:rsid w:val="005B6B12"/>
    <w:rsid w:val="005C19E9"/>
    <w:rsid w:val="005C2ACB"/>
    <w:rsid w:val="005C2DBC"/>
    <w:rsid w:val="005C5F13"/>
    <w:rsid w:val="005C65F9"/>
    <w:rsid w:val="005C6B0E"/>
    <w:rsid w:val="005C7E1F"/>
    <w:rsid w:val="005D1B9E"/>
    <w:rsid w:val="005D1F6B"/>
    <w:rsid w:val="005D2DE7"/>
    <w:rsid w:val="005D2FBC"/>
    <w:rsid w:val="005D331C"/>
    <w:rsid w:val="005D54DC"/>
    <w:rsid w:val="005D6355"/>
    <w:rsid w:val="005D7AAF"/>
    <w:rsid w:val="005E0C59"/>
    <w:rsid w:val="005E18DE"/>
    <w:rsid w:val="005E1DA3"/>
    <w:rsid w:val="005E306B"/>
    <w:rsid w:val="005E3669"/>
    <w:rsid w:val="005E53D0"/>
    <w:rsid w:val="005E5785"/>
    <w:rsid w:val="005E6098"/>
    <w:rsid w:val="005E6413"/>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07B49"/>
    <w:rsid w:val="00613BF6"/>
    <w:rsid w:val="00616D27"/>
    <w:rsid w:val="00622856"/>
    <w:rsid w:val="006234FE"/>
    <w:rsid w:val="00623840"/>
    <w:rsid w:val="006255EC"/>
    <w:rsid w:val="00625A25"/>
    <w:rsid w:val="0062736A"/>
    <w:rsid w:val="0063370E"/>
    <w:rsid w:val="0063565E"/>
    <w:rsid w:val="00636E02"/>
    <w:rsid w:val="006372FE"/>
    <w:rsid w:val="00640691"/>
    <w:rsid w:val="00641DB1"/>
    <w:rsid w:val="00642297"/>
    <w:rsid w:val="00644382"/>
    <w:rsid w:val="00644A34"/>
    <w:rsid w:val="00650DB1"/>
    <w:rsid w:val="006513EE"/>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0636"/>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3C76"/>
    <w:rsid w:val="006C5BF8"/>
    <w:rsid w:val="006C6BE9"/>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3EC8"/>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35C5"/>
    <w:rsid w:val="0073454F"/>
    <w:rsid w:val="00735C00"/>
    <w:rsid w:val="007364C6"/>
    <w:rsid w:val="00740BF3"/>
    <w:rsid w:val="00741D5C"/>
    <w:rsid w:val="0074352F"/>
    <w:rsid w:val="0074368B"/>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030"/>
    <w:rsid w:val="00797E0C"/>
    <w:rsid w:val="007A160F"/>
    <w:rsid w:val="007A223D"/>
    <w:rsid w:val="007A48BC"/>
    <w:rsid w:val="007A51D4"/>
    <w:rsid w:val="007B0BC1"/>
    <w:rsid w:val="007B354B"/>
    <w:rsid w:val="007B4FC3"/>
    <w:rsid w:val="007B73F3"/>
    <w:rsid w:val="007B7EE5"/>
    <w:rsid w:val="007C1C28"/>
    <w:rsid w:val="007C2A2C"/>
    <w:rsid w:val="007C3577"/>
    <w:rsid w:val="007C570E"/>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460"/>
    <w:rsid w:val="008249A1"/>
    <w:rsid w:val="00825C4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66B7C"/>
    <w:rsid w:val="00871163"/>
    <w:rsid w:val="00871241"/>
    <w:rsid w:val="008712BF"/>
    <w:rsid w:val="00872209"/>
    <w:rsid w:val="008731EB"/>
    <w:rsid w:val="00873656"/>
    <w:rsid w:val="00880140"/>
    <w:rsid w:val="008842F7"/>
    <w:rsid w:val="00885B94"/>
    <w:rsid w:val="0089075A"/>
    <w:rsid w:val="00890F80"/>
    <w:rsid w:val="00892BFD"/>
    <w:rsid w:val="0089338A"/>
    <w:rsid w:val="008938D0"/>
    <w:rsid w:val="00894199"/>
    <w:rsid w:val="008948BE"/>
    <w:rsid w:val="00896D1F"/>
    <w:rsid w:val="00896D5B"/>
    <w:rsid w:val="00896F06"/>
    <w:rsid w:val="008A1E27"/>
    <w:rsid w:val="008A2C86"/>
    <w:rsid w:val="008A6000"/>
    <w:rsid w:val="008A70A8"/>
    <w:rsid w:val="008A7FAC"/>
    <w:rsid w:val="008B1FD9"/>
    <w:rsid w:val="008B2AF1"/>
    <w:rsid w:val="008B5191"/>
    <w:rsid w:val="008B710D"/>
    <w:rsid w:val="008B7CA1"/>
    <w:rsid w:val="008C0177"/>
    <w:rsid w:val="008C0389"/>
    <w:rsid w:val="008C07EE"/>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0577"/>
    <w:rsid w:val="008F1993"/>
    <w:rsid w:val="008F3386"/>
    <w:rsid w:val="008F3AD9"/>
    <w:rsid w:val="008F4642"/>
    <w:rsid w:val="008F4C29"/>
    <w:rsid w:val="008F4E00"/>
    <w:rsid w:val="008F6163"/>
    <w:rsid w:val="008F761D"/>
    <w:rsid w:val="00900D44"/>
    <w:rsid w:val="00902520"/>
    <w:rsid w:val="00906DC4"/>
    <w:rsid w:val="00910115"/>
    <w:rsid w:val="00911A61"/>
    <w:rsid w:val="00914478"/>
    <w:rsid w:val="0091457F"/>
    <w:rsid w:val="0091729E"/>
    <w:rsid w:val="0092516D"/>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278F"/>
    <w:rsid w:val="00994303"/>
    <w:rsid w:val="00995019"/>
    <w:rsid w:val="0099526D"/>
    <w:rsid w:val="009955ED"/>
    <w:rsid w:val="00996C8B"/>
    <w:rsid w:val="009A0054"/>
    <w:rsid w:val="009A0F6E"/>
    <w:rsid w:val="009A2D9C"/>
    <w:rsid w:val="009A38D9"/>
    <w:rsid w:val="009A5548"/>
    <w:rsid w:val="009A72CC"/>
    <w:rsid w:val="009B21FA"/>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58A0"/>
    <w:rsid w:val="009F7BE9"/>
    <w:rsid w:val="00A02199"/>
    <w:rsid w:val="00A026A4"/>
    <w:rsid w:val="00A04044"/>
    <w:rsid w:val="00A055DD"/>
    <w:rsid w:val="00A11D0C"/>
    <w:rsid w:val="00A16579"/>
    <w:rsid w:val="00A17481"/>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268C"/>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629"/>
    <w:rsid w:val="00A96F81"/>
    <w:rsid w:val="00A9709D"/>
    <w:rsid w:val="00A973A8"/>
    <w:rsid w:val="00AA054E"/>
    <w:rsid w:val="00AA0A10"/>
    <w:rsid w:val="00AA2094"/>
    <w:rsid w:val="00AA24A3"/>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D79F9"/>
    <w:rsid w:val="00AE0286"/>
    <w:rsid w:val="00AE247F"/>
    <w:rsid w:val="00AE4A24"/>
    <w:rsid w:val="00AE4FC7"/>
    <w:rsid w:val="00AE66E8"/>
    <w:rsid w:val="00AE7235"/>
    <w:rsid w:val="00AF01E3"/>
    <w:rsid w:val="00AF23AE"/>
    <w:rsid w:val="00AF2EF7"/>
    <w:rsid w:val="00AF3741"/>
    <w:rsid w:val="00AF37D2"/>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496C"/>
    <w:rsid w:val="00B26EBB"/>
    <w:rsid w:val="00B27499"/>
    <w:rsid w:val="00B335C4"/>
    <w:rsid w:val="00B3369E"/>
    <w:rsid w:val="00B33D9A"/>
    <w:rsid w:val="00B36094"/>
    <w:rsid w:val="00B40D81"/>
    <w:rsid w:val="00B424F5"/>
    <w:rsid w:val="00B43167"/>
    <w:rsid w:val="00B435BE"/>
    <w:rsid w:val="00B43A9D"/>
    <w:rsid w:val="00B467B0"/>
    <w:rsid w:val="00B46B18"/>
    <w:rsid w:val="00B47F9B"/>
    <w:rsid w:val="00B50534"/>
    <w:rsid w:val="00B51FCB"/>
    <w:rsid w:val="00B5289B"/>
    <w:rsid w:val="00B52E10"/>
    <w:rsid w:val="00B5331D"/>
    <w:rsid w:val="00B543D6"/>
    <w:rsid w:val="00B556B0"/>
    <w:rsid w:val="00B56736"/>
    <w:rsid w:val="00B57687"/>
    <w:rsid w:val="00B578E3"/>
    <w:rsid w:val="00B57CE5"/>
    <w:rsid w:val="00B6001D"/>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B4E1D"/>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E76AE"/>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56B3E"/>
    <w:rsid w:val="00C61B1A"/>
    <w:rsid w:val="00C62817"/>
    <w:rsid w:val="00C62A53"/>
    <w:rsid w:val="00C709F9"/>
    <w:rsid w:val="00C70FF7"/>
    <w:rsid w:val="00C7364C"/>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24D3"/>
    <w:rsid w:val="00CE49F8"/>
    <w:rsid w:val="00CE4E1E"/>
    <w:rsid w:val="00CE66B5"/>
    <w:rsid w:val="00CF2D77"/>
    <w:rsid w:val="00CF52DF"/>
    <w:rsid w:val="00CF5832"/>
    <w:rsid w:val="00CF5911"/>
    <w:rsid w:val="00CF7221"/>
    <w:rsid w:val="00CF724E"/>
    <w:rsid w:val="00D03B72"/>
    <w:rsid w:val="00D059F5"/>
    <w:rsid w:val="00D117F5"/>
    <w:rsid w:val="00D11B30"/>
    <w:rsid w:val="00D13661"/>
    <w:rsid w:val="00D142BD"/>
    <w:rsid w:val="00D146DE"/>
    <w:rsid w:val="00D17FEC"/>
    <w:rsid w:val="00D200E7"/>
    <w:rsid w:val="00D21427"/>
    <w:rsid w:val="00D22164"/>
    <w:rsid w:val="00D22271"/>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284"/>
    <w:rsid w:val="00DB1B8D"/>
    <w:rsid w:val="00DB2693"/>
    <w:rsid w:val="00DB377C"/>
    <w:rsid w:val="00DB3DEA"/>
    <w:rsid w:val="00DB40BD"/>
    <w:rsid w:val="00DB4B8E"/>
    <w:rsid w:val="00DB4F4B"/>
    <w:rsid w:val="00DC070F"/>
    <w:rsid w:val="00DC3462"/>
    <w:rsid w:val="00DC3858"/>
    <w:rsid w:val="00DC3A57"/>
    <w:rsid w:val="00DC77C4"/>
    <w:rsid w:val="00DC7A95"/>
    <w:rsid w:val="00DD1CA1"/>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1DDB"/>
    <w:rsid w:val="00E61E56"/>
    <w:rsid w:val="00E63745"/>
    <w:rsid w:val="00E64343"/>
    <w:rsid w:val="00E66134"/>
    <w:rsid w:val="00E6699F"/>
    <w:rsid w:val="00E67845"/>
    <w:rsid w:val="00E67B40"/>
    <w:rsid w:val="00E703AE"/>
    <w:rsid w:val="00E72373"/>
    <w:rsid w:val="00E72C92"/>
    <w:rsid w:val="00E74A40"/>
    <w:rsid w:val="00E76AF9"/>
    <w:rsid w:val="00E81238"/>
    <w:rsid w:val="00E84EF0"/>
    <w:rsid w:val="00E8649C"/>
    <w:rsid w:val="00E87886"/>
    <w:rsid w:val="00E87CDE"/>
    <w:rsid w:val="00E91330"/>
    <w:rsid w:val="00E91FC1"/>
    <w:rsid w:val="00E9289C"/>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0CDD"/>
    <w:rsid w:val="00F22013"/>
    <w:rsid w:val="00F22356"/>
    <w:rsid w:val="00F226E0"/>
    <w:rsid w:val="00F2522F"/>
    <w:rsid w:val="00F25B7F"/>
    <w:rsid w:val="00F30180"/>
    <w:rsid w:val="00F31A29"/>
    <w:rsid w:val="00F31B84"/>
    <w:rsid w:val="00F3279A"/>
    <w:rsid w:val="00F37236"/>
    <w:rsid w:val="00F44634"/>
    <w:rsid w:val="00F45473"/>
    <w:rsid w:val="00F4606C"/>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6503"/>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1E24"/>
    <w:rsid w:val="00FC3B26"/>
    <w:rsid w:val="00FC6384"/>
    <w:rsid w:val="00FC6733"/>
    <w:rsid w:val="00FD224E"/>
    <w:rsid w:val="00FD22F6"/>
    <w:rsid w:val="00FD2677"/>
    <w:rsid w:val="00FD28B8"/>
    <w:rsid w:val="00FD37CF"/>
    <w:rsid w:val="00FD4D00"/>
    <w:rsid w:val="00FD583F"/>
    <w:rsid w:val="00FD6ACF"/>
    <w:rsid w:val="00FE0BD8"/>
    <w:rsid w:val="00FE1709"/>
    <w:rsid w:val="00FE1FC9"/>
    <w:rsid w:val="00FE74F4"/>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6"/>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aliases w:val="Text,Emphase pâle,Diskret betoning"/>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qFormat/>
    <w:rsid w:val="007E7997"/>
    <w:pPr>
      <w:tabs>
        <w:tab w:val="center" w:pos="4536"/>
        <w:tab w:val="right" w:pos="9072"/>
      </w:tabs>
    </w:pPr>
  </w:style>
  <w:style w:type="character" w:customStyle="1" w:styleId="NagwekZnak">
    <w:name w:val="Nagłówek Znak"/>
    <w:basedOn w:val="Domylnaczcionkaakapitu"/>
    <w:link w:val="Nagwek"/>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871163"/>
    <w:pPr>
      <w:numPr>
        <w:numId w:val="7"/>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omylnaczcionkaakapitu"/>
    <w:link w:val="Questionstyle"/>
    <w:rsid w:val="00871163"/>
    <w:rPr>
      <w:rFonts w:eastAsia="Times New Roman" w:cstheme="minorHAnsi"/>
      <w:b/>
      <w:bCs/>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semiHidden/>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next w:val="Tabela-Siatk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Pogrubienie"/>
    <w:uiPriority w:val="1"/>
    <w:qFormat/>
    <w:rsid w:val="00FA64BE"/>
    <w:rPr>
      <w:b w:val="0"/>
      <w:bCs/>
      <w:caps/>
      <w:smallCaps w:val="0"/>
      <w:color w:val="70AD47" w:themeColor="accent6"/>
      <w:sz w:val="22"/>
    </w:rPr>
  </w:style>
  <w:style w:type="paragraph" w:customStyle="1" w:styleId="Paragraph">
    <w:name w:val="Paragraph"/>
    <w:basedOn w:val="Akapitzlist"/>
    <w:link w:val="ParagraphChar"/>
    <w:qFormat/>
    <w:rsid w:val="00CB0C0C"/>
    <w:pPr>
      <w:numPr>
        <w:numId w:val="10"/>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omylnaczcionkaakapitu"/>
    <w:link w:val="Paragraph"/>
    <w:rsid w:val="00CB0C0C"/>
    <w:rPr>
      <w:rFonts w:ascii="Arial" w:hAnsi="Arial" w:cs="Arial"/>
      <w:color w:val="1A1A1A" w:themeColor="background1" w:themeShade="1A"/>
      <w:sz w:val="22"/>
      <w:szCs w:val="22"/>
      <w:lang w:val="en-GB" w:eastAsia="en-GB"/>
    </w:rPr>
  </w:style>
  <w:style w:type="paragraph" w:customStyle="1" w:styleId="paragraph0">
    <w:name w:val="paragraph"/>
    <w:basedOn w:val="Normalny"/>
    <w:rsid w:val="003F6AAF"/>
    <w:pPr>
      <w:spacing w:before="100" w:beforeAutospacing="1" w:after="100" w:afterAutospacing="1"/>
    </w:pPr>
    <w:rPr>
      <w:lang w:val="pl-PL" w:eastAsia="pl-PL"/>
    </w:rPr>
  </w:style>
  <w:style w:type="character" w:customStyle="1" w:styleId="normaltextrun">
    <w:name w:val="normaltextrun"/>
    <w:basedOn w:val="Domylnaczcionkaakapitu"/>
    <w:rsid w:val="003F6AAF"/>
  </w:style>
  <w:style w:type="character" w:customStyle="1" w:styleId="eop">
    <w:name w:val="eop"/>
    <w:basedOn w:val="Domylnaczcionkaakapitu"/>
    <w:rsid w:val="003F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17</Pages>
  <Words>4991</Words>
  <Characters>29951</Characters>
  <Application>Microsoft Office Word</Application>
  <DocSecurity>8</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ESMA</Company>
  <LinksUpToDate>false</LinksUpToDate>
  <CharactersWithSpaces>34873</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Zając Sławomir</cp:lastModifiedBy>
  <cp:revision>2</cp:revision>
  <cp:lastPrinted>2017-07-24T14:47:00Z</cp:lastPrinted>
  <dcterms:created xsi:type="dcterms:W3CDTF">2025-09-19T14:40:00Z</dcterms:created>
  <dcterms:modified xsi:type="dcterms:W3CDTF">2025-09-19T14:40:00Z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