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berschrift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9716"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096238EA" w:rsidR="00C85C8B" w:rsidRPr="00B16706" w:rsidRDefault="00531F73" w:rsidP="00C85C8B">
                <w:pPr>
                  <w:rPr>
                    <w:rFonts w:ascii="Arial" w:hAnsi="Arial" w:cs="Arial"/>
                    <w:color w:val="808080"/>
                    <w:sz w:val="16"/>
                    <w:szCs w:val="20"/>
                    <w:lang w:eastAsia="de-DE"/>
                  </w:rPr>
                </w:pPr>
                <w:r w:rsidRPr="00FC3263">
                  <w:rPr>
                    <w:rFonts w:ascii="Arial" w:hAnsi="Arial" w:cs="Arial"/>
                    <w:color w:val="808080"/>
                    <w:sz w:val="16"/>
                    <w:szCs w:val="20"/>
                    <w:lang w:eastAsia="de-DE"/>
                  </w:rPr>
                  <w:t>Austrian Federal Economic Chamber, Division Bank and Insurance</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311F36CE"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A6107">
                  <w:rPr>
                    <w:rFonts w:ascii="Arial" w:hAnsi="Arial" w:cs="Arial"/>
                    <w:sz w:val="16"/>
                    <w:szCs w:val="20"/>
                    <w:lang w:eastAsia="de-DE"/>
                  </w:rPr>
                  <w:t>Banking sector</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1A21B646" w:rsidR="00C85C8B" w:rsidRPr="00B16706" w:rsidRDefault="00EA6107"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098BE736" w:rsidR="00C85C8B" w:rsidRPr="00B16706" w:rsidRDefault="00EA6107" w:rsidP="00C85C8B">
                <w:pPr>
                  <w:rPr>
                    <w:rFonts w:ascii="Arial" w:hAnsi="Arial" w:cs="Arial"/>
                    <w:sz w:val="16"/>
                    <w:szCs w:val="20"/>
                    <w:lang w:eastAsia="de-DE"/>
                  </w:rPr>
                </w:pPr>
                <w:r>
                  <w:rPr>
                    <w:rFonts w:ascii="Arial" w:hAnsi="Arial" w:cs="Arial"/>
                    <w:sz w:val="16"/>
                    <w:szCs w:val="20"/>
                    <w:lang w:eastAsia="de-DE"/>
                  </w:rPr>
                  <w:t>Austria</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04AB355E" w14:textId="71AF156E" w:rsidR="00502D5D" w:rsidRPr="00502D5D" w:rsidRDefault="00502D5D" w:rsidP="00502D5D">
      <w:pPr>
        <w:rPr>
          <w:lang w:val="en-US"/>
        </w:rPr>
      </w:pPr>
      <w:permStart w:id="785210304" w:edGrp="everyone"/>
      <w:r w:rsidRPr="00502D5D">
        <w:rPr>
          <w:lang w:val="en-US"/>
        </w:rPr>
        <w:t xml:space="preserve">In </w:t>
      </w:r>
      <w:r w:rsidR="00980C38">
        <w:rPr>
          <w:lang w:val="en-US"/>
        </w:rPr>
        <w:t>g</w:t>
      </w:r>
      <w:r w:rsidRPr="00502D5D">
        <w:rPr>
          <w:lang w:val="en-US"/>
        </w:rPr>
        <w:t xml:space="preserve">eneral, we agree with the description of the key challenges and </w:t>
      </w:r>
      <w:r w:rsidRPr="00502D5D">
        <w:t xml:space="preserve">consider the </w:t>
      </w:r>
      <w:proofErr w:type="spellStart"/>
      <w:r w:rsidRPr="00502D5D">
        <w:t>CfE's</w:t>
      </w:r>
      <w:proofErr w:type="spellEnd"/>
      <w:r w:rsidRPr="00502D5D">
        <w:t xml:space="preserve"> approach to consolidation, optimisation and cost reduction </w:t>
      </w:r>
      <w:proofErr w:type="gramStart"/>
      <w:r w:rsidRPr="00502D5D">
        <w:t>in the area of</w:t>
      </w:r>
      <w:proofErr w:type="gramEnd"/>
      <w:r w:rsidRPr="00502D5D">
        <w:t xml:space="preserve"> reporting regimes to be sensible and necessary. </w:t>
      </w:r>
    </w:p>
    <w:p w14:paraId="372B1A83" w14:textId="77777777" w:rsidR="00502D5D" w:rsidRPr="00502D5D" w:rsidRDefault="00502D5D" w:rsidP="00502D5D"/>
    <w:p w14:paraId="0BA4D262" w14:textId="77777777" w:rsidR="00502D5D" w:rsidRPr="00502D5D" w:rsidRDefault="00502D5D" w:rsidP="00502D5D">
      <w:r w:rsidRPr="00502D5D">
        <w:t xml:space="preserve">In addition to the points mentioned, we assume that this ‘holistic review’ will lead to an improvement in quality and greater transparency for the relevant supervisory authorities if implementation steps are taken. </w:t>
      </w:r>
    </w:p>
    <w:p w14:paraId="4D27B552" w14:textId="77777777" w:rsidR="00502D5D" w:rsidRPr="00502D5D" w:rsidRDefault="00502D5D" w:rsidP="00502D5D"/>
    <w:p w14:paraId="0763DBB7" w14:textId="77777777" w:rsidR="00502D5D" w:rsidRPr="00502D5D" w:rsidRDefault="00502D5D" w:rsidP="00502D5D">
      <w:r w:rsidRPr="00502D5D">
        <w:t xml:space="preserve">The monitoring approach appears to be sufficient in our view. </w:t>
      </w:r>
    </w:p>
    <w:p w14:paraId="1CF0B58D" w14:textId="77777777" w:rsidR="00502D5D" w:rsidRPr="00502D5D" w:rsidRDefault="00502D5D" w:rsidP="00502D5D"/>
    <w:p w14:paraId="5971B34B" w14:textId="77777777" w:rsidR="00502D5D" w:rsidRPr="00502D5D" w:rsidRDefault="00502D5D" w:rsidP="00502D5D">
      <w:r w:rsidRPr="00502D5D">
        <w:t xml:space="preserve">In our opinion, the </w:t>
      </w:r>
      <w:r w:rsidRPr="00502D5D">
        <w:rPr>
          <w:b/>
        </w:rPr>
        <w:t>main cost drivers</w:t>
      </w:r>
      <w:r w:rsidRPr="00502D5D">
        <w:t xml:space="preserve"> in the present ranking are: </w:t>
      </w:r>
    </w:p>
    <w:p w14:paraId="79F8329D" w14:textId="6BA5F115" w:rsidR="00502D5D" w:rsidRPr="00C54EF1" w:rsidRDefault="00502D5D"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 xml:space="preserve">Obligation to report positions for ETD, </w:t>
      </w:r>
    </w:p>
    <w:p w14:paraId="41BAA03B" w14:textId="26DC473F" w:rsidR="00502D5D" w:rsidRPr="00C54EF1" w:rsidRDefault="00502D5D"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 xml:space="preserve">Non-standardised data fields, </w:t>
      </w:r>
    </w:p>
    <w:p w14:paraId="2FA1C031" w14:textId="34752D27" w:rsidR="00502D5D" w:rsidRPr="00C54EF1" w:rsidRDefault="00502D5D"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Reporting redundancies</w:t>
      </w:r>
      <w:r w:rsidR="00002F0E" w:rsidRPr="00C54EF1">
        <w:rPr>
          <w:rFonts w:ascii="Times New Roman" w:hAnsi="Times New Roman" w:cs="Times New Roman"/>
          <w:sz w:val="24"/>
          <w:szCs w:val="24"/>
        </w:rPr>
        <w:t>,</w:t>
      </w:r>
    </w:p>
    <w:p w14:paraId="6B56D996" w14:textId="3E1C83CB" w:rsidR="00502D5D" w:rsidRPr="00C54EF1" w:rsidRDefault="00502D5D"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 xml:space="preserve">Multiple recipients (trade repository and supervisory authority), </w:t>
      </w:r>
    </w:p>
    <w:p w14:paraId="7DE63BC3" w14:textId="72D6610B" w:rsidR="00502D5D" w:rsidRPr="00C54EF1" w:rsidRDefault="00502D5D"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High frequency of regulatory changes</w:t>
      </w:r>
      <w:r w:rsidR="00002F0E" w:rsidRPr="00C54EF1">
        <w:rPr>
          <w:rFonts w:ascii="Times New Roman" w:hAnsi="Times New Roman" w:cs="Times New Roman"/>
          <w:sz w:val="24"/>
          <w:szCs w:val="24"/>
        </w:rPr>
        <w:t>.</w:t>
      </w:r>
    </w:p>
    <w:p w14:paraId="048F93D1" w14:textId="77777777" w:rsidR="00502D5D" w:rsidRPr="00502D5D" w:rsidRDefault="00502D5D" w:rsidP="00502D5D"/>
    <w:p w14:paraId="132662AA" w14:textId="77777777" w:rsidR="00502D5D" w:rsidRPr="00502D5D" w:rsidRDefault="00502D5D" w:rsidP="00502D5D">
      <w:pPr>
        <w:rPr>
          <w:lang w:val="en-US"/>
        </w:rPr>
      </w:pPr>
      <w:r w:rsidRPr="00502D5D">
        <w:rPr>
          <w:b/>
          <w:lang w:val="en-US"/>
        </w:rPr>
        <w:t>Ad 18 frequent regulatory changes</w:t>
      </w:r>
      <w:r w:rsidRPr="00502D5D">
        <w:rPr>
          <w:lang w:val="en-US"/>
        </w:rPr>
        <w:t>: This is indeed a key issue, which however does not appear to be sufficiently addressed by the measures proposed later in the document. There is a risk that, instead of moderately frequent changes across several reports, we may face very frequent changes to one large, consolidated report. To mitigate this risk, it could be helpful to introduce clear governance mechanisms, such as fixed implementation cycles or minimum lead times for regulatory changes, ensuring predictability and reducing the overall adjustment burden for reporting entities.</w:t>
      </w:r>
    </w:p>
    <w:p w14:paraId="42A3CDE7" w14:textId="77777777" w:rsidR="00502D5D" w:rsidRPr="00502D5D" w:rsidRDefault="00502D5D" w:rsidP="00502D5D">
      <w:pPr>
        <w:rPr>
          <w:lang w:val="en-US"/>
        </w:rPr>
      </w:pPr>
    </w:p>
    <w:p w14:paraId="211EEEF6" w14:textId="77777777" w:rsidR="00502D5D" w:rsidRPr="00502D5D" w:rsidRDefault="00502D5D" w:rsidP="00502D5D">
      <w:pPr>
        <w:rPr>
          <w:lang w:val="en-US"/>
        </w:rPr>
      </w:pPr>
      <w:r w:rsidRPr="00502D5D">
        <w:rPr>
          <w:b/>
          <w:lang w:val="en-US"/>
        </w:rPr>
        <w:t>Ad 19 different terminology</w:t>
      </w:r>
      <w:r w:rsidRPr="00502D5D">
        <w:rPr>
          <w:lang w:val="en-US"/>
        </w:rPr>
        <w:t xml:space="preserve">: In our view, the key challenge in this area lies less in the use of different field names and more in the varying underlying business definitions across regimes. For instance, ETDs are defined differently under EMIR compared to </w:t>
      </w:r>
      <w:proofErr w:type="spellStart"/>
      <w:r w:rsidRPr="00502D5D">
        <w:rPr>
          <w:lang w:val="en-US"/>
        </w:rPr>
        <w:t>MiFIR</w:t>
      </w:r>
      <w:proofErr w:type="spellEnd"/>
      <w:r w:rsidRPr="00502D5D">
        <w:rPr>
          <w:lang w:val="en-US"/>
        </w:rPr>
        <w:t>. To address this, we would suggest establishing an independent, regulation-agnostic definitions dictionary, which could serve as a common reference point for core concepts across all reporting frameworks.</w:t>
      </w:r>
    </w:p>
    <w:p w14:paraId="3AC21741" w14:textId="77777777" w:rsidR="00502D5D" w:rsidRPr="00502D5D" w:rsidRDefault="00502D5D" w:rsidP="00502D5D">
      <w:pPr>
        <w:rPr>
          <w:lang w:val="en-US"/>
        </w:rPr>
      </w:pPr>
    </w:p>
    <w:p w14:paraId="4302E1D2" w14:textId="77777777" w:rsidR="00502D5D" w:rsidRPr="00502D5D" w:rsidRDefault="00502D5D" w:rsidP="00502D5D">
      <w:pPr>
        <w:rPr>
          <w:lang w:val="en-US"/>
        </w:rPr>
      </w:pPr>
      <w:r w:rsidRPr="00502D5D">
        <w:rPr>
          <w:b/>
          <w:lang w:val="en-US"/>
        </w:rPr>
        <w:t>Ad 21 dual-sided reporting</w:t>
      </w:r>
      <w:r w:rsidRPr="00502D5D">
        <w:rPr>
          <w:lang w:val="en-US"/>
        </w:rPr>
        <w:t xml:space="preserve">: We consider dual-sided reporting at least under </w:t>
      </w:r>
      <w:proofErr w:type="spellStart"/>
      <w:r w:rsidRPr="00502D5D">
        <w:rPr>
          <w:lang w:val="en-US"/>
        </w:rPr>
        <w:t>MiFIR</w:t>
      </w:r>
      <w:proofErr w:type="spellEnd"/>
      <w:r w:rsidRPr="00502D5D">
        <w:rPr>
          <w:lang w:val="en-US"/>
        </w:rPr>
        <w:t xml:space="preserve"> to be justified, as it concerns data points that are currently not shared with the counterparty. </w:t>
      </w:r>
      <w:r w:rsidRPr="00502D5D">
        <w:rPr>
          <w:lang w:val="en-US"/>
        </w:rPr>
        <w:lastRenderedPageBreak/>
        <w:t>Enabling single-sided reporting in this context would require a significantly expanded data exchange with trading venues and counterparties, including the transmission of sensitive client information. This would not only necessitate additional safeguards for data protection but would also run counter to the objective of streamlining and consolidating reporting channels (24).</w:t>
      </w:r>
    </w:p>
    <w:p w14:paraId="609DFA85" w14:textId="77777777" w:rsidR="00502D5D" w:rsidRPr="00502D5D" w:rsidRDefault="00502D5D" w:rsidP="00502D5D">
      <w:pPr>
        <w:rPr>
          <w:lang w:val="en-US"/>
        </w:rPr>
      </w:pPr>
    </w:p>
    <w:p w14:paraId="3867BD88" w14:textId="2408FAE3" w:rsidR="00926BDA" w:rsidRDefault="00502D5D" w:rsidP="00926BDA">
      <w:r w:rsidRPr="00502D5D">
        <w:rPr>
          <w:lang w:val="en-US"/>
        </w:rPr>
        <w:t>Furthermore, we believe that the point referenced in footnote 29</w:t>
      </w:r>
      <w:r w:rsidRPr="00502D5D">
        <w:rPr>
          <w:i/>
          <w:lang w:val="en-US"/>
        </w:rPr>
        <w:t xml:space="preserve"> (“Gaps should be assessed and addressed, based on actual use of data </w:t>
      </w:r>
      <w:r w:rsidR="00556C01">
        <w:rPr>
          <w:i/>
          <w:lang w:val="en-US"/>
        </w:rPr>
        <w:t xml:space="preserve">– </w:t>
      </w:r>
      <w:r w:rsidRPr="00502D5D">
        <w:rPr>
          <w:i/>
          <w:lang w:val="en-US"/>
        </w:rPr>
        <w:t>i.e., data that is costly to produce and not used should not be collected”)</w:t>
      </w:r>
      <w:r w:rsidRPr="00502D5D">
        <w:rPr>
          <w:lang w:val="en-US"/>
        </w:rPr>
        <w:t xml:space="preserve"> should be given a more prominent role in the overall approach. Supervisory authorities should systematically assess which data is truly required, both in terms of reportable fields and reportable transactions. On the field level, for example, we question the necessity of Field 35 (net amount) under </w:t>
      </w:r>
      <w:proofErr w:type="spellStart"/>
      <w:r w:rsidRPr="00502D5D">
        <w:rPr>
          <w:lang w:val="en-US"/>
        </w:rPr>
        <w:t>MiFIR</w:t>
      </w:r>
      <w:proofErr w:type="spellEnd"/>
      <w:r w:rsidRPr="00502D5D">
        <w:rPr>
          <w:lang w:val="en-US"/>
        </w:rPr>
        <w:t xml:space="preserve">. This is defined as clean price multiplied by nominal value plus accrued interest. As both price and nominal value are already reported in separate fields, and accrued interest does not appear to have a direct link to market abuse detection, we see limited value in collecting this field </w:t>
      </w:r>
      <w:r w:rsidR="00556C01">
        <w:rPr>
          <w:lang w:val="en-US"/>
        </w:rPr>
        <w:t xml:space="preserve">– </w:t>
      </w:r>
      <w:r w:rsidRPr="00502D5D">
        <w:rPr>
          <w:lang w:val="en-US"/>
        </w:rPr>
        <w:t>especially since accrued interest can be calculated independently based on the bond’s reference data.</w:t>
      </w:r>
      <w:r w:rsidRPr="00502D5D">
        <w:t xml:space="preserve">) </w:t>
      </w:r>
      <w:permEnd w:id="785210304"/>
      <w:r w:rsidR="00926BDA">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EB3A59D" w14:textId="77777777" w:rsidR="00291393" w:rsidRDefault="00291393" w:rsidP="00291393">
      <w:permStart w:id="545925079" w:edGrp="everyone"/>
      <w:r w:rsidRPr="008B5FC3">
        <w:t>The principles formulated are sound and adequate.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46CA419A" w14:textId="77777777" w:rsidR="00E57C73" w:rsidRDefault="00E57C73" w:rsidP="00E57C73">
      <w:permStart w:id="666895774" w:edGrp="everyone"/>
      <w:r>
        <w:t xml:space="preserve">We think that the adjustment of EMIR reporting from ETD reporting (exclusively in MIFIR) and the elimination of MIFIR reporting for OTC derivatives would be quick to implement for financial institutions. The effort involved in ETDs (valuations, positions, etc.) would be shifted to a central location, with the advantage of uniform determination. </w:t>
      </w:r>
    </w:p>
    <w:p w14:paraId="584398DF" w14:textId="09DE8D45" w:rsidR="00E57C73" w:rsidRPr="00C54EF1" w:rsidRDefault="00E57C73"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Initial costs Focus on CCP and centralised supervision</w:t>
      </w:r>
    </w:p>
    <w:p w14:paraId="344C7A61" w14:textId="1CAFE41F" w:rsidR="00E57C73" w:rsidRPr="00C54EF1" w:rsidRDefault="00E57C73"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Uniform determination of valuation, position, etc.</w:t>
      </w:r>
    </w:p>
    <w:p w14:paraId="74FFAD22" w14:textId="003C289D" w:rsidR="00E57C73" w:rsidRPr="00C54EF1" w:rsidRDefault="00E57C73"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C54EF1">
        <w:rPr>
          <w:rFonts w:ascii="Times New Roman" w:hAnsi="Times New Roman" w:cs="Times New Roman"/>
          <w:sz w:val="24"/>
          <w:szCs w:val="24"/>
        </w:rPr>
        <w:t>Reduction of redundancy in ETD.</w:t>
      </w:r>
    </w:p>
    <w:p w14:paraId="0FA1DFA6" w14:textId="47DFB651" w:rsidR="00E57C73" w:rsidRDefault="00E57C73" w:rsidP="00C54EF1">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pPr>
      <w:r w:rsidRPr="00C54EF1">
        <w:rPr>
          <w:rFonts w:ascii="Times New Roman" w:hAnsi="Times New Roman" w:cs="Times New Roman"/>
          <w:sz w:val="24"/>
          <w:szCs w:val="24"/>
        </w:rPr>
        <w:t>Critical: How is the determination in point 3 carried out by the CCPs? Where does the information come from? We fear that the CCP</w:t>
      </w:r>
      <w:r>
        <w:t xml:space="preserve"> does not have sufficient data available.</w:t>
      </w:r>
    </w:p>
    <w:p w14:paraId="500DA52A" w14:textId="77777777" w:rsidR="00E57C73" w:rsidRDefault="00E57C73" w:rsidP="00E57C73"/>
    <w:p w14:paraId="36862F80" w14:textId="77777777" w:rsidR="00E57C73" w:rsidRPr="00FE124D" w:rsidRDefault="00E57C73" w:rsidP="00E57C73">
      <w:r w:rsidRPr="00A34B46">
        <w:t xml:space="preserve">More </w:t>
      </w:r>
      <w:r w:rsidRPr="00FE124D">
        <w:t xml:space="preserve">specifically on the key advantages of Option 1a: </w:t>
      </w:r>
    </w:p>
    <w:p w14:paraId="54D902E9" w14:textId="77777777" w:rsidR="00E57C73" w:rsidRPr="00FE124D" w:rsidRDefault="00E57C73" w:rsidP="00E57C73">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FE124D">
        <w:rPr>
          <w:rFonts w:ascii="Times New Roman" w:hAnsi="Times New Roman" w:cs="Times New Roman"/>
          <w:sz w:val="24"/>
          <w:szCs w:val="24"/>
        </w:rPr>
        <w:t>A unique reporting regime for every financial instrument</w:t>
      </w:r>
    </w:p>
    <w:p w14:paraId="24519471" w14:textId="77777777" w:rsidR="00E57C73" w:rsidRPr="00FE124D" w:rsidRDefault="00E57C73" w:rsidP="00E57C73">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FE124D">
        <w:rPr>
          <w:rFonts w:ascii="Times New Roman" w:hAnsi="Times New Roman" w:cs="Times New Roman"/>
          <w:sz w:val="24"/>
          <w:szCs w:val="24"/>
        </w:rPr>
        <w:t xml:space="preserve">Reduction of costs, at least in the short term: costs are lowered if compared to other options, however the reduction of costs is relative as changes always carries (additional) costs. </w:t>
      </w:r>
    </w:p>
    <w:p w14:paraId="68B866D3" w14:textId="77777777" w:rsidR="00E57C73" w:rsidRPr="00FE124D" w:rsidRDefault="00E57C73" w:rsidP="00E57C73">
      <w:pPr>
        <w:pStyle w:val="Listenabsatz"/>
        <w:numPr>
          <w:ilvl w:val="0"/>
          <w:numId w:val="37"/>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FE124D">
        <w:rPr>
          <w:rFonts w:ascii="Times New Roman" w:hAnsi="Times New Roman" w:cs="Times New Roman"/>
          <w:sz w:val="24"/>
          <w:szCs w:val="24"/>
        </w:rPr>
        <w:t xml:space="preserve">We also agree with the proposal to report the listed derivatives (ETD’s) only under MIFIR and limit EMIR transaction reporting to OTC derivatives. To our opinion it </w:t>
      </w:r>
      <w:r w:rsidRPr="00FE124D">
        <w:rPr>
          <w:rFonts w:ascii="Times New Roman" w:hAnsi="Times New Roman" w:cs="Times New Roman"/>
          <w:sz w:val="24"/>
          <w:szCs w:val="24"/>
        </w:rPr>
        <w:lastRenderedPageBreak/>
        <w:t xml:space="preserve">should be clearly stipulated in EMIR that it is only applicable on OTC derivatives (cleared or not cleared). </w:t>
      </w:r>
      <w:proofErr w:type="gramStart"/>
      <w:r w:rsidRPr="00FE124D">
        <w:rPr>
          <w:rFonts w:ascii="Times New Roman" w:hAnsi="Times New Roman" w:cs="Times New Roman"/>
          <w:sz w:val="24"/>
          <w:szCs w:val="24"/>
        </w:rPr>
        <w:t>Therefore</w:t>
      </w:r>
      <w:proofErr w:type="gramEnd"/>
      <w:r w:rsidRPr="00FE124D">
        <w:rPr>
          <w:rFonts w:ascii="Times New Roman" w:hAnsi="Times New Roman" w:cs="Times New Roman"/>
          <w:sz w:val="24"/>
          <w:szCs w:val="24"/>
        </w:rPr>
        <w:t xml:space="preserve"> the definition of OTC derivative in article 2, paragraph 7 should be amended. Derivatives traded on an OTF or MTF or on a third country trading venue, should be excluded from the definition of OTC derivatives and should be seen as ETD’s. This would avoid a lot of confusion. And where necessary reporting of ETD’s should be done under MIFIR.</w:t>
      </w:r>
    </w:p>
    <w:p w14:paraId="4305B54B" w14:textId="77777777" w:rsidR="00E57C73" w:rsidRPr="00FE124D" w:rsidRDefault="00E57C73" w:rsidP="00E57C73">
      <w:pPr>
        <w:pStyle w:val="Listenabsatz"/>
        <w:numPr>
          <w:ilvl w:val="0"/>
          <w:numId w:val="0"/>
        </w:numPr>
        <w:tabs>
          <w:tab w:val="clear" w:pos="0"/>
          <w:tab w:val="clear" w:pos="142"/>
          <w:tab w:val="clear" w:pos="284"/>
          <w:tab w:val="clear" w:pos="567"/>
        </w:tabs>
        <w:autoSpaceDE/>
        <w:autoSpaceDN/>
        <w:adjustRightInd/>
        <w:spacing w:line="240" w:lineRule="auto"/>
        <w:ind w:left="720"/>
        <w:contextualSpacing/>
        <w:jc w:val="left"/>
        <w:rPr>
          <w:rFonts w:ascii="Times New Roman" w:hAnsi="Times New Roman" w:cs="Times New Roman"/>
          <w:sz w:val="24"/>
          <w:szCs w:val="24"/>
        </w:rPr>
      </w:pPr>
    </w:p>
    <w:p w14:paraId="10B78F54" w14:textId="054D9A34" w:rsidR="00926BDA" w:rsidRDefault="00E57C73" w:rsidP="00E57C73">
      <w:r w:rsidRPr="00A34B46">
        <w:t>Furthermore, apart from reporting efforts for ETDs under EMIR, clients also face additional administrative burdens resulting from the current treatment. Particularly, because article 9 EMIR is scoped on derivatives (so both OTC and ETD) and the mandatory delegation of transaction reporting by NFC- to FC is scoped on OTC derivatives. This requires FCs and their NFC- clients to make alternative arrangements for delegated reporting of ETDs (e.g. retail equity options). This does not only provide a reporting burden on FCs but also an administrative burden at retail clients. The difference in treatment has e.g. resulted in clients needing to actively inform the TR of their FC that the FC is delegated to report on their behalf ETD transactions, while TRs assume this delegation to be in place for OTC transactions. Where the client does not do this, ETD transactions reported by the FC on behalf of the NFC- client are rejected by the TR leading to unnecessary data issues.</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50419BA1" w:rsidR="00926BDA" w:rsidRDefault="00BB18A7" w:rsidP="00926BDA">
      <w:permStart w:id="1901729855" w:edGrp="everyone"/>
      <w:r w:rsidRPr="00BB18A7">
        <w:t>Overall, we welcome the approach of eliminating duplications in current frameworks, a long-standing issue in the financial sector. Adopting the EMIR template is expected to incur costs that should remain manageable, especially when compared to the implementation costs of Option 2, which is more complex and expensive. However, we are concerned that this approach could merely shift data fields from one template to another, which would run counter to the objective of simplification. For genuine simplification, redundant data fields should be eliminated, and data fields across different reporting templates should be standardised to minimise complexity and administrative burden.</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B1813BB" w14:textId="73FCF526" w:rsidR="00992D03" w:rsidRPr="00992D03" w:rsidRDefault="00992D03" w:rsidP="00992D03">
      <w:permStart w:id="1034637762" w:edGrp="everyone"/>
      <w:r w:rsidRPr="00500EE5">
        <w:t xml:space="preserve">If </w:t>
      </w:r>
      <w:r>
        <w:t>possible</w:t>
      </w:r>
      <w:r w:rsidRPr="00500EE5">
        <w:t>, the complete elimination of the ETD message should be considered in the interests of global standardisation</w:t>
      </w:r>
      <w:r>
        <w:t xml:space="preserve">. Furthermore, the following important components should be </w:t>
      </w:r>
      <w:r w:rsidRPr="00992D03">
        <w:t>adequately addressed:</w:t>
      </w:r>
    </w:p>
    <w:p w14:paraId="05B9B518" w14:textId="77777777" w:rsidR="00992D03" w:rsidRPr="00992D03" w:rsidRDefault="00992D03" w:rsidP="00992D03">
      <w:pPr>
        <w:pStyle w:val="Listenabsatz"/>
        <w:numPr>
          <w:ilvl w:val="0"/>
          <w:numId w:val="38"/>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992D03">
        <w:rPr>
          <w:rFonts w:ascii="Times New Roman" w:hAnsi="Times New Roman" w:cs="Times New Roman"/>
          <w:sz w:val="24"/>
          <w:szCs w:val="24"/>
        </w:rPr>
        <w:lastRenderedPageBreak/>
        <w:t>Frequent regulatory changes, different terminology, fragmented reporting channels and duplicative IT systems -all key cost drivers- are not adequately addressed in Option 1a.</w:t>
      </w:r>
    </w:p>
    <w:p w14:paraId="40650A1F" w14:textId="35BC7772" w:rsidR="00992D03" w:rsidRPr="00992D03" w:rsidRDefault="00992D03" w:rsidP="00992D03">
      <w:pPr>
        <w:pStyle w:val="Listenabsatz"/>
        <w:numPr>
          <w:ilvl w:val="0"/>
          <w:numId w:val="38"/>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992D03">
        <w:rPr>
          <w:rFonts w:ascii="Times New Roman" w:hAnsi="Times New Roman" w:cs="Times New Roman"/>
          <w:sz w:val="24"/>
          <w:szCs w:val="24"/>
        </w:rPr>
        <w:t>It lacks a proper cost-benefit analysis of reporting fields</w:t>
      </w:r>
      <w:r w:rsidR="00C47F6D">
        <w:rPr>
          <w:rFonts w:ascii="Times New Roman" w:hAnsi="Times New Roman" w:cs="Times New Roman"/>
          <w:sz w:val="24"/>
          <w:szCs w:val="24"/>
        </w:rPr>
        <w:t>.</w:t>
      </w:r>
      <w:r w:rsidRPr="00992D03">
        <w:rPr>
          <w:rFonts w:ascii="Times New Roman" w:hAnsi="Times New Roman" w:cs="Times New Roman"/>
          <w:sz w:val="24"/>
          <w:szCs w:val="24"/>
        </w:rPr>
        <w:t xml:space="preserve"> </w:t>
      </w:r>
    </w:p>
    <w:p w14:paraId="7F422E22" w14:textId="04D9E1EA" w:rsidR="00992D03" w:rsidRPr="00992D03" w:rsidRDefault="00992D03" w:rsidP="00992D03">
      <w:pPr>
        <w:pStyle w:val="Listenabsatz"/>
        <w:numPr>
          <w:ilvl w:val="0"/>
          <w:numId w:val="38"/>
        </w:numPr>
        <w:tabs>
          <w:tab w:val="clear" w:pos="0"/>
          <w:tab w:val="clear" w:pos="142"/>
          <w:tab w:val="clear" w:pos="284"/>
          <w:tab w:val="clear" w:pos="567"/>
        </w:tabs>
        <w:autoSpaceDE/>
        <w:autoSpaceDN/>
        <w:adjustRightInd/>
        <w:spacing w:line="240" w:lineRule="auto"/>
        <w:contextualSpacing/>
        <w:jc w:val="left"/>
        <w:rPr>
          <w:rFonts w:ascii="Times New Roman" w:hAnsi="Times New Roman" w:cs="Times New Roman"/>
          <w:sz w:val="24"/>
          <w:szCs w:val="24"/>
        </w:rPr>
      </w:pPr>
      <w:r w:rsidRPr="00992D03">
        <w:rPr>
          <w:rFonts w:ascii="Times New Roman" w:hAnsi="Times New Roman" w:cs="Times New Roman"/>
          <w:sz w:val="24"/>
          <w:szCs w:val="24"/>
        </w:rPr>
        <w:t>The definition of OTC derivatives under EMIR (Article 2(7)) should be clarified</w:t>
      </w:r>
      <w:r w:rsidR="00C47F6D">
        <w:rPr>
          <w:rFonts w:ascii="Times New Roman" w:hAnsi="Times New Roman" w:cs="Times New Roman"/>
          <w:sz w:val="24"/>
          <w:szCs w:val="24"/>
        </w:rPr>
        <w:t>.</w:t>
      </w:r>
    </w:p>
    <w:p w14:paraId="1F27D03C" w14:textId="55DE563C" w:rsidR="00926BDA" w:rsidRDefault="00992D03" w:rsidP="00DB540E">
      <w:pPr>
        <w:pStyle w:val="Listenabsatz"/>
        <w:numPr>
          <w:ilvl w:val="0"/>
          <w:numId w:val="38"/>
        </w:numPr>
        <w:tabs>
          <w:tab w:val="clear" w:pos="0"/>
          <w:tab w:val="clear" w:pos="142"/>
          <w:tab w:val="clear" w:pos="284"/>
          <w:tab w:val="clear" w:pos="567"/>
        </w:tabs>
        <w:autoSpaceDE/>
        <w:autoSpaceDN/>
        <w:adjustRightInd/>
        <w:spacing w:line="240" w:lineRule="auto"/>
        <w:contextualSpacing/>
        <w:jc w:val="left"/>
      </w:pPr>
      <w:r w:rsidRPr="00992D03">
        <w:rPr>
          <w:rFonts w:ascii="Times New Roman" w:hAnsi="Times New Roman" w:cs="Times New Roman"/>
          <w:sz w:val="24"/>
          <w:szCs w:val="24"/>
        </w:rPr>
        <w:t xml:space="preserve">Finally, adapting EMIR to capture data currently reported under </w:t>
      </w:r>
      <w:proofErr w:type="spellStart"/>
      <w:r w:rsidRPr="00992D03">
        <w:rPr>
          <w:rFonts w:ascii="Times New Roman" w:hAnsi="Times New Roman" w:cs="Times New Roman"/>
          <w:sz w:val="24"/>
          <w:szCs w:val="24"/>
        </w:rPr>
        <w:t>MiFIR</w:t>
      </w:r>
      <w:proofErr w:type="spellEnd"/>
      <w:r w:rsidRPr="00992D03">
        <w:rPr>
          <w:rFonts w:ascii="Times New Roman" w:hAnsi="Times New Roman" w:cs="Times New Roman"/>
          <w:sz w:val="24"/>
          <w:szCs w:val="24"/>
        </w:rPr>
        <w:t xml:space="preserve"> would be inefficient. EMIR and </w:t>
      </w:r>
      <w:proofErr w:type="spellStart"/>
      <w:r w:rsidRPr="00992D03">
        <w:rPr>
          <w:rFonts w:ascii="Times New Roman" w:hAnsi="Times New Roman" w:cs="Times New Roman"/>
          <w:sz w:val="24"/>
          <w:szCs w:val="24"/>
        </w:rPr>
        <w:t>MiFIR</w:t>
      </w:r>
      <w:proofErr w:type="spellEnd"/>
      <w:r w:rsidRPr="00992D03">
        <w:rPr>
          <w:rFonts w:ascii="Times New Roman" w:hAnsi="Times New Roman" w:cs="Times New Roman"/>
          <w:sz w:val="24"/>
          <w:szCs w:val="24"/>
        </w:rPr>
        <w:t xml:space="preserve"> were designed with different objectives and data </w:t>
      </w:r>
      <w:proofErr w:type="gramStart"/>
      <w:r w:rsidRPr="00992D03">
        <w:rPr>
          <w:rFonts w:ascii="Times New Roman" w:hAnsi="Times New Roman" w:cs="Times New Roman"/>
          <w:sz w:val="24"/>
          <w:szCs w:val="24"/>
        </w:rPr>
        <w:t>models;</w:t>
      </w:r>
      <w:proofErr w:type="gramEnd"/>
      <w:r w:rsidRPr="00992D03">
        <w:rPr>
          <w:rFonts w:ascii="Times New Roman" w:hAnsi="Times New Roman" w:cs="Times New Roman"/>
          <w:sz w:val="24"/>
          <w:szCs w:val="24"/>
        </w:rPr>
        <w:t xml:space="preserve"> merging their scopes risks blurring distinctions, reintroducing overlaps, and ultimately increasing costs and uncertainty rather than reducing them</w:t>
      </w:r>
      <w:r>
        <w:rPr>
          <w:rFonts w:ascii="Times New Roman" w:hAnsi="Times New Roman" w:cs="Times New Roman"/>
          <w:sz w:val="24"/>
          <w:szCs w:val="24"/>
        </w:rPr>
        <w:t>.</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09E013AB" w:rsidR="00926BDA" w:rsidRDefault="008560B2" w:rsidP="00926BDA">
      <w:permStart w:id="276758894" w:edGrp="everyone"/>
      <w:r w:rsidRPr="008560B2">
        <w:t>We do not see any advantage over 1a. The change mentioned would result in additional work without any discernible added value. Given the product focus of SFTR (mainly repo/lending), we do not believe that integration into MIFIR or EMIR would be appropriate. The resulting information gap would have to be closed again through further measures, which would not be conducive to the intended objectives.</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6D8B514E" w:rsidR="00926BDA" w:rsidRDefault="002C6CD9" w:rsidP="00926BDA">
      <w:permStart w:id="1327239170" w:edGrp="everyone"/>
      <w:r w:rsidRPr="002C6CD9">
        <w:t xml:space="preserve">We believe that adopting this approach could lead to even greater ‘interdependence’ between </w:t>
      </w:r>
      <w:proofErr w:type="spellStart"/>
      <w:r w:rsidRPr="002C6CD9">
        <w:t>MiFIR</w:t>
      </w:r>
      <w:proofErr w:type="spellEnd"/>
      <w:r w:rsidRPr="002C6CD9">
        <w:t xml:space="preserve"> and EMIR, if information on the same product or transaction would need to be reported in both systems. Content and timing would then have to be coordinated across two systems with different recipients. Option 1b could only appears to offer more tangible benefits and may be easier to implement than Option 1a, when it does not result in an expansion of the </w:t>
      </w:r>
      <w:proofErr w:type="spellStart"/>
      <w:r w:rsidRPr="002C6CD9">
        <w:t>MiFIR</w:t>
      </w:r>
      <w:proofErr w:type="spellEnd"/>
      <w:r w:rsidRPr="002C6CD9">
        <w:t xml:space="preserve"> reporting template and it would not integrate SFTR in MIFIR or EMIR Template. Under this assumption, it is unclear why the implementation costs would be higher than for Option 1a, since no changes would be required in </w:t>
      </w:r>
      <w:proofErr w:type="spellStart"/>
      <w:proofErr w:type="gramStart"/>
      <w:r w:rsidRPr="002C6CD9">
        <w:t>MiFIR</w:t>
      </w:r>
      <w:proofErr w:type="spellEnd"/>
      <w:proofErr w:type="gramEnd"/>
      <w:r w:rsidRPr="002C6CD9">
        <w:t xml:space="preserve"> and transactions would no longer need to be reported under EMIR.</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77777777" w:rsidR="00926BDA" w:rsidRDefault="00926BDA" w:rsidP="00926BDA">
      <w:permStart w:id="275065348" w:edGrp="everyone"/>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lastRenderedPageBreak/>
        <w:t>&lt;ESMA_QUESTION_CASR_9&gt;</w:t>
      </w:r>
    </w:p>
    <w:p w14:paraId="78A8A707" w14:textId="77777777" w:rsidR="00AF11FE" w:rsidRPr="00AF11FE" w:rsidRDefault="00AF11FE" w:rsidP="00AF11FE">
      <w:permStart w:id="1249454344" w:edGrp="everyone"/>
      <w:r w:rsidRPr="00AF11FE">
        <w:t>Obviously, the advantage would be the technical focus on one reporting system. However, we are concerned that the high level of complexity could negate this advantage in the long term (break-even) due to the technical and resource costs involved.</w:t>
      </w:r>
    </w:p>
    <w:p w14:paraId="791CAB14" w14:textId="77777777" w:rsidR="00AF11FE" w:rsidRPr="00AF11FE" w:rsidRDefault="00AF11FE" w:rsidP="00AF11FE"/>
    <w:p w14:paraId="5BDC2210" w14:textId="77777777" w:rsidR="00AF11FE" w:rsidRPr="00AF11FE" w:rsidRDefault="00AF11FE" w:rsidP="00AF11FE">
      <w:r w:rsidRPr="00AF11FE">
        <w:t xml:space="preserve">Option 2a is seen as the most promising and future-oriented approach, as it directly tackles the structural shortcomings of the current reporting framework. </w:t>
      </w:r>
      <w:proofErr w:type="gramStart"/>
      <w:r w:rsidRPr="00AF11FE">
        <w:t>In particular, it</w:t>
      </w:r>
      <w:proofErr w:type="gramEnd"/>
      <w:r w:rsidRPr="00AF11FE">
        <w:t xml:space="preserve"> would:</w:t>
      </w:r>
    </w:p>
    <w:p w14:paraId="2713AD22" w14:textId="690769D9" w:rsidR="00AF11FE" w:rsidRPr="00AF11FE" w:rsidRDefault="00F93287" w:rsidP="00AF11FE">
      <w:pPr>
        <w:numPr>
          <w:ilvl w:val="0"/>
          <w:numId w:val="39"/>
        </w:numPr>
      </w:pPr>
      <w:r>
        <w:t>e</w:t>
      </w:r>
      <w:r w:rsidR="00AF11FE" w:rsidRPr="00AF11FE">
        <w:t xml:space="preserve">stablish one single reporting regime for all financial instruments under EMIR, </w:t>
      </w:r>
      <w:proofErr w:type="spellStart"/>
      <w:r w:rsidR="00AF11FE" w:rsidRPr="00AF11FE">
        <w:t>MiFIR</w:t>
      </w:r>
      <w:proofErr w:type="spellEnd"/>
      <w:r w:rsidR="00AF11FE" w:rsidRPr="00AF11FE">
        <w:t xml:space="preserve"> and SFTR, thereby eliminating the constant discussion of which regime applies and reducing uncertainty.</w:t>
      </w:r>
    </w:p>
    <w:p w14:paraId="38E5CBB7" w14:textId="01C0378D" w:rsidR="00AF11FE" w:rsidRPr="00AF11FE" w:rsidRDefault="00F93287" w:rsidP="00AF11FE">
      <w:pPr>
        <w:numPr>
          <w:ilvl w:val="0"/>
          <w:numId w:val="39"/>
        </w:numPr>
      </w:pPr>
      <w:r>
        <w:t>r</w:t>
      </w:r>
      <w:r w:rsidR="00AF11FE" w:rsidRPr="00AF11FE">
        <w:t>educe regulatory change burdens by centralising adjustments around one regime, which could also integrate future reporting needs in a consistent way.</w:t>
      </w:r>
    </w:p>
    <w:p w14:paraId="62C50791" w14:textId="4C44E527" w:rsidR="00AF11FE" w:rsidRPr="00AF11FE" w:rsidRDefault="00F93287" w:rsidP="00AF11FE">
      <w:pPr>
        <w:numPr>
          <w:ilvl w:val="0"/>
          <w:numId w:val="39"/>
        </w:numPr>
      </w:pPr>
      <w:r>
        <w:t>r</w:t>
      </w:r>
      <w:r w:rsidR="00AF11FE" w:rsidRPr="00AF11FE">
        <w:t>emove the need for multiple IT systems and reporting channels, while ensuring aligned and unambiguous terminology across instruments.</w:t>
      </w:r>
    </w:p>
    <w:p w14:paraId="3BC02895" w14:textId="77777777" w:rsidR="00AF11FE" w:rsidRPr="00AF11FE" w:rsidRDefault="00AF11FE" w:rsidP="00AF11FE"/>
    <w:p w14:paraId="55E1ACFA" w14:textId="77777777" w:rsidR="00AF11FE" w:rsidRPr="00AF11FE" w:rsidRDefault="00AF11FE" w:rsidP="00AF11FE">
      <w:r w:rsidRPr="00AF11FE">
        <w:t xml:space="preserve">A good and efficient solution, as stressed in previous responses, would be to structure the reporting system in such a way that reporting responsibilities are assigned to the entities that hold/generate the data. This would imply, for example, that trading venues report transaction-level data, CCPs report position-level data, and clearing members report client-related data. Such a source-based “report once” approach would enhance accuracy, reduce reconciliation burdens, and strengthen accountability by ensuring that data is reported by the entity with direct operational control. It would also improve supervisory usability, as data streams would be more coherent and less prone to duplication. </w:t>
      </w:r>
    </w:p>
    <w:p w14:paraId="4DB5CC49" w14:textId="77777777" w:rsidR="00AF11FE" w:rsidRPr="00AF11FE" w:rsidRDefault="00AF11FE" w:rsidP="00AF11FE"/>
    <w:p w14:paraId="5A8801BA" w14:textId="364E6395" w:rsidR="00926BDA" w:rsidRDefault="00AF11FE" w:rsidP="00AF11FE">
      <w:r w:rsidRPr="00AF11FE">
        <w:t xml:space="preserve">As regards the content of the reports, ensuring that the data fields remain fit for purpose and aligned with the actual characteristics of the respective financial products is key. For example, derivative-related information should not be forced into templates primarily designed for securities </w:t>
      </w:r>
      <w:r w:rsidR="00632320">
        <w:t xml:space="preserve">– </w:t>
      </w:r>
      <w:r w:rsidRPr="00AF11FE">
        <w:t>a practice that is conceptually flawed and often leads to inconsistencies and inefficiencies. Such a structure would prevent overlaps between reports, since each product type would be reported in a targeted and appropriate way.</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67DAF999" w14:textId="77777777" w:rsidR="00227814" w:rsidRDefault="00227814" w:rsidP="00227814">
      <w:permStart w:id="199837036" w:edGrp="everyone"/>
      <w:r>
        <w:t>The change would incur considerable costs. Due to the complexity of the report (all fields of the regime in one report), analyses and adjustments would be very time-consuming.</w:t>
      </w:r>
    </w:p>
    <w:p w14:paraId="56A66422" w14:textId="77777777" w:rsidR="00227814" w:rsidRDefault="00227814" w:rsidP="00227814">
      <w:r>
        <w:t>Risk: Potential additional costs may arise from ESMA measures to determine necessary further information.</w:t>
      </w:r>
    </w:p>
    <w:p w14:paraId="485C485D" w14:textId="77777777" w:rsidR="00227814" w:rsidRDefault="00227814" w:rsidP="00227814"/>
    <w:p w14:paraId="1750F3BA" w14:textId="2A5635C8" w:rsidR="00227814" w:rsidRDefault="00227814" w:rsidP="00227814">
      <w:pPr>
        <w:rPr>
          <w:lang w:val="en-US"/>
        </w:rPr>
      </w:pPr>
      <w:r w:rsidRPr="00540050">
        <w:rPr>
          <w:lang w:val="en-US"/>
        </w:rPr>
        <w:t xml:space="preserve">If we were starting from scratch, this would likely be the optimal approach. However, given that the current reporting frameworks are already fully implemented, this option would mainly result in additional costs for </w:t>
      </w:r>
      <w:r w:rsidR="005023EB">
        <w:rPr>
          <w:lang w:val="en-US"/>
        </w:rPr>
        <w:t>the industry</w:t>
      </w:r>
      <w:r w:rsidRPr="00540050">
        <w:rPr>
          <w:lang w:val="en-US"/>
        </w:rPr>
        <w:t>, with only limited potential for savings. In any case, implementing this option would first require a thorough analysis and reduction of fields and transaction types that are not actively used or monitored in practice. The same considerations apply to Option 2b.</w:t>
      </w:r>
    </w:p>
    <w:p w14:paraId="17A2D52E" w14:textId="77777777" w:rsidR="00227814" w:rsidRDefault="00227814" w:rsidP="00227814">
      <w:pPr>
        <w:rPr>
          <w:lang w:val="en-US"/>
        </w:rPr>
      </w:pPr>
    </w:p>
    <w:p w14:paraId="5CD8F870" w14:textId="77777777" w:rsidR="00227814" w:rsidRDefault="00227814" w:rsidP="00227814">
      <w:r>
        <w:rPr>
          <w:lang w:val="en-US"/>
        </w:rPr>
        <w:t>W</w:t>
      </w:r>
      <w:proofErr w:type="spellStart"/>
      <w:r w:rsidRPr="00772102">
        <w:t>hile</w:t>
      </w:r>
      <w:proofErr w:type="spellEnd"/>
      <w:r w:rsidRPr="00772102">
        <w:t xml:space="preserve"> generally recognising that Option 2a holds a significant potential for long-term simplification, it also entails important risks and limitations that would need to be carefully managed. </w:t>
      </w:r>
      <w:proofErr w:type="gramStart"/>
      <w:r w:rsidRPr="00772102">
        <w:t>In particular, as</w:t>
      </w:r>
      <w:proofErr w:type="gramEnd"/>
      <w:r w:rsidRPr="00772102">
        <w:t xml:space="preserve"> this would represent a major transformation, implementation efforts and costs will be substantially higher compared to Options 1a and 1b. Careful legislative planning from the outset is essential, otherwise further changes may be required shortly after implementation, which would undermine stability and predictability.</w:t>
      </w:r>
    </w:p>
    <w:p w14:paraId="0ABFB968" w14:textId="77777777" w:rsidR="00227814" w:rsidRDefault="00227814" w:rsidP="00227814"/>
    <w:p w14:paraId="783880A7" w14:textId="68B1CCA8" w:rsidR="00227814" w:rsidRDefault="00227814" w:rsidP="00227814">
      <w:r w:rsidRPr="00772102">
        <w:t>Another risk</w:t>
      </w:r>
      <w:r w:rsidR="0042322C">
        <w:t xml:space="preserve">, </w:t>
      </w:r>
      <w:r w:rsidRPr="00772102">
        <w:t>which</w:t>
      </w:r>
      <w:r w:rsidR="0042322C">
        <w:t xml:space="preserve"> </w:t>
      </w:r>
      <w:r w:rsidRPr="00772102">
        <w:t xml:space="preserve">we have highlighted previously in this response, is that if all reporting fields are simply carried over in the new regime </w:t>
      </w:r>
      <w:r w:rsidR="00632320">
        <w:t xml:space="preserve">– </w:t>
      </w:r>
      <w:r w:rsidRPr="00772102">
        <w:t>without an adequate assessment of the reporting fields and their contents</w:t>
      </w:r>
      <w:r>
        <w:t xml:space="preserve"> </w:t>
      </w:r>
      <w:r w:rsidR="00632320">
        <w:t xml:space="preserve">– </w:t>
      </w:r>
      <w:r w:rsidRPr="00772102">
        <w:t xml:space="preserve">the transaction reporting may become more complex.  This would be the case, as previously stated, for ETDs reporting: currently under EMIR and </w:t>
      </w:r>
      <w:proofErr w:type="spellStart"/>
      <w:r w:rsidRPr="00772102">
        <w:t>MiFIR</w:t>
      </w:r>
      <w:proofErr w:type="spellEnd"/>
      <w:r w:rsidRPr="00772102">
        <w:t xml:space="preserve"> regimes it is required respectively an active LEI and a passive LEI, hence, should the EMIR reporting be abolished we strongly recommend preventing the introduction of an active LEI requirement for MIFIR.</w:t>
      </w:r>
    </w:p>
    <w:p w14:paraId="2AAC7783" w14:textId="77777777" w:rsidR="00227814" w:rsidRDefault="00227814" w:rsidP="00227814"/>
    <w:p w14:paraId="56C38C26" w14:textId="3A5F3631" w:rsidR="00926BDA" w:rsidRDefault="00227814" w:rsidP="00926BDA">
      <w:r w:rsidRPr="00772102">
        <w:t xml:space="preserve">In addition, where a major revision of multiple reporting requirements is upcoming, it should be clarified what is expected in terms of maintenance and further improvements efforts on systems used for the current reporting regimes. Remediation/enhancement efforts based on to be replaced requirements may provide for undue costs with limited/only </w:t>
      </w:r>
      <w:r w:rsidR="00047430" w:rsidRPr="00772102">
        <w:t>short-term</w:t>
      </w:r>
      <w:r w:rsidRPr="00772102">
        <w:t xml:space="preserve"> benefits, as those efforts will need to be revisited again for the new regime. Such clarification should, based on proportionality, also apply to situations where reporting under current regimes may not meet the standards currently expected. Supervisory expectations should be proportionate to the issue identified and the remaining time until entry into force of the new regime, where this is not clarified (and harmonized) at an early stage it may cause for divergence on how entities and NCAs approach this</w:t>
      </w:r>
      <w:r>
        <w:t>.</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589EE7DF" w14:textId="499C0959" w:rsidR="002A5847" w:rsidRPr="002A5847" w:rsidRDefault="002A5847" w:rsidP="002A5847">
      <w:permStart w:id="2123508368" w:edGrp="everyone"/>
      <w:r w:rsidRPr="002A5847">
        <w:t>We fear that, in addition to the high initial costs, the complexity of the option will also increase the running costs.</w:t>
      </w:r>
      <w:r>
        <w:t xml:space="preserve"> </w:t>
      </w:r>
      <w:r w:rsidRPr="002A5847">
        <w:t>Furthermore, the following important components should be adequately addressed:</w:t>
      </w:r>
    </w:p>
    <w:p w14:paraId="63324E0C" w14:textId="3708331E" w:rsidR="002A5847" w:rsidRPr="002A5847" w:rsidRDefault="002A5847" w:rsidP="002A5847">
      <w:pPr>
        <w:numPr>
          <w:ilvl w:val="0"/>
          <w:numId w:val="40"/>
        </w:numPr>
      </w:pPr>
      <w:r w:rsidRPr="002A5847">
        <w:t xml:space="preserve">The implementation of Option 2a </w:t>
      </w:r>
      <w:r w:rsidR="00865FBE">
        <w:t xml:space="preserve">– </w:t>
      </w:r>
      <w:r w:rsidRPr="002A5847">
        <w:t xml:space="preserve">a fully integrated “report once” regime across </w:t>
      </w:r>
      <w:proofErr w:type="spellStart"/>
      <w:r w:rsidRPr="002A5847">
        <w:t>MiFIR</w:t>
      </w:r>
      <w:proofErr w:type="spellEnd"/>
      <w:r w:rsidRPr="002A5847">
        <w:t xml:space="preserve">, EMIR and SFTR </w:t>
      </w:r>
      <w:r w:rsidR="00865FBE">
        <w:t xml:space="preserve">– </w:t>
      </w:r>
      <w:r w:rsidRPr="002A5847">
        <w:t>must be approached as a structured, transparent and collaborative transformation process. This process should actively involve the reporting industry throughout the entire journey toward the new regime.</w:t>
      </w:r>
    </w:p>
    <w:p w14:paraId="1BE8FBC0" w14:textId="6506CCEF" w:rsidR="002A5847" w:rsidRPr="002A5847" w:rsidRDefault="002A5847" w:rsidP="002A5847">
      <w:pPr>
        <w:numPr>
          <w:ilvl w:val="0"/>
          <w:numId w:val="40"/>
        </w:numPr>
      </w:pPr>
      <w:r w:rsidRPr="002A5847">
        <w:t>Establishing a dedicated supervisory</w:t>
      </w:r>
      <w:r w:rsidR="00F146B6">
        <w:t>-</w:t>
      </w:r>
      <w:r w:rsidRPr="002A5847">
        <w:t xml:space="preserve">industry dialogue that goes beyond existing consultation formats, with clear supervisory objectives communicated from the outset. Said process should be: </w:t>
      </w:r>
    </w:p>
    <w:p w14:paraId="540EC2F9" w14:textId="766E0793" w:rsidR="002A5847" w:rsidRPr="002A5847" w:rsidRDefault="002A5847" w:rsidP="002A5847">
      <w:pPr>
        <w:numPr>
          <w:ilvl w:val="1"/>
          <w:numId w:val="40"/>
        </w:numPr>
      </w:pPr>
      <w:r w:rsidRPr="002A5847">
        <w:t>goal-driven, with supervisory objectives clearly defined and communicated from the outset</w:t>
      </w:r>
      <w:r w:rsidR="0095619C">
        <w:t>.</w:t>
      </w:r>
    </w:p>
    <w:p w14:paraId="555ABC92" w14:textId="70E460BE" w:rsidR="002A5847" w:rsidRPr="002A5847" w:rsidRDefault="002A5847" w:rsidP="002A5847">
      <w:pPr>
        <w:numPr>
          <w:ilvl w:val="1"/>
          <w:numId w:val="40"/>
        </w:numPr>
      </w:pPr>
      <w:r w:rsidRPr="002A5847">
        <w:lastRenderedPageBreak/>
        <w:t>iterative,</w:t>
      </w:r>
      <w:r w:rsidRPr="002A5847">
        <w:rPr>
          <w:b/>
          <w:bCs/>
        </w:rPr>
        <w:t xml:space="preserve"> </w:t>
      </w:r>
      <w:r w:rsidRPr="002A5847">
        <w:t xml:space="preserve">featured with structured engagement with market participants </w:t>
      </w:r>
      <w:r w:rsidR="00865FBE">
        <w:t xml:space="preserve">– </w:t>
      </w:r>
      <w:r w:rsidRPr="002A5847">
        <w:t>not only via written consultations, but also through technical workshops, working groups and bilateral exchanges.</w:t>
      </w:r>
    </w:p>
    <w:p w14:paraId="7ABDAB0B" w14:textId="77777777" w:rsidR="0095619C" w:rsidRDefault="0095619C" w:rsidP="002A5847">
      <w:pPr>
        <w:numPr>
          <w:ilvl w:val="1"/>
          <w:numId w:val="40"/>
        </w:numPr>
      </w:pPr>
      <w:r>
        <w:t>f</w:t>
      </w:r>
      <w:r w:rsidR="002A5847" w:rsidRPr="002A5847">
        <w:t>ocussed on jointly identifying critical data elements, assessing their actual supervisory use, and aligning them with what is realistically reportable in practice.</w:t>
      </w:r>
    </w:p>
    <w:p w14:paraId="04BEB89B" w14:textId="13D3CE47" w:rsidR="00926BDA" w:rsidRDefault="0095619C" w:rsidP="002A5847">
      <w:pPr>
        <w:numPr>
          <w:ilvl w:val="1"/>
          <w:numId w:val="40"/>
        </w:numPr>
      </w:pPr>
      <w:r>
        <w:t>u</w:t>
      </w:r>
      <w:r w:rsidR="002A5847" w:rsidRPr="002A5847">
        <w:t>nder an implementation viewpoint phased</w:t>
      </w:r>
      <w:r w:rsidR="002A5847" w:rsidRPr="0095619C">
        <w:rPr>
          <w:b/>
          <w:bCs/>
        </w:rPr>
        <w:t xml:space="preserve">, </w:t>
      </w:r>
      <w:r w:rsidR="002A5847" w:rsidRPr="002A5847">
        <w:t>with realistic timelines, transitional arrangements, and early testing of reporting logic and infrastructure.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6C295668" w:rsidR="00926BDA" w:rsidRDefault="004712E3" w:rsidP="00926BDA">
      <w:permStart w:id="16780711" w:edGrp="everyone"/>
      <w:r w:rsidRPr="004712E3">
        <w:t>As a financial institution, we see no advantages compared to 2a. Consequently, Option 2a should be considered for further analysis, as Option 2b does not represent a feasible alternative.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07E883A3" w:rsidR="00926BDA" w:rsidRDefault="00FA3068" w:rsidP="00926BDA">
      <w:permStart w:id="1489376342" w:edGrp="everyone"/>
      <w:r w:rsidRPr="00FA3068">
        <w:t xml:space="preserve">We expect this to result in high financial and resource costs and, from a financial institution's perspective, different objectives, as regimes that are not relevant to us, Solvency II and REMIT, would have to be </w:t>
      </w:r>
      <w:proofErr w:type="gramStart"/>
      <w:r w:rsidRPr="00FA3068">
        <w:t>taken into account</w:t>
      </w:r>
      <w:proofErr w:type="gramEnd"/>
      <w:r w:rsidRPr="00FA3068">
        <w:t xml:space="preserve"> (from the perspective of the fields not to be considered).</w:t>
      </w:r>
      <w:r>
        <w:t xml:space="preserve"> </w:t>
      </w:r>
      <w:r w:rsidRPr="00FA3068">
        <w:t>A huge reporting file that, depending on the relevant regimes, would contain many empty fields that would still have to be analysed.</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77777777" w:rsidR="00926BDA" w:rsidRDefault="00926BDA" w:rsidP="00926BDA">
      <w:permStart w:id="1849847968" w:edGrp="everyone"/>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03B87D6F" w:rsidR="00926BDA" w:rsidRDefault="009211CB" w:rsidP="00926BDA">
      <w:permStart w:id="695482675" w:edGrp="everyone"/>
      <w:r w:rsidRPr="009211CB">
        <w:t xml:space="preserve">First, we want to note that the concept of simplifying supervisory reporting is strongly welcomed by the financial sector. There is general agreement that the reporting framework </w:t>
      </w:r>
      <w:r w:rsidRPr="009211CB">
        <w:lastRenderedPageBreak/>
        <w:t xml:space="preserve">should be fundamentally </w:t>
      </w:r>
      <w:r w:rsidR="00A0425A" w:rsidRPr="009211CB">
        <w:t>simplified,</w:t>
      </w:r>
      <w:r w:rsidRPr="009211CB">
        <w:t xml:space="preserve"> and that meaningful reduction of duplication is essential. However, the options presented by ESMA are not yet fully detailed with respect to implementation. Consequently, at this stage, it is difficult for institutions to prefer for one of the proposed options. In this context </w:t>
      </w:r>
      <w:r w:rsidRPr="009211CB">
        <w:rPr>
          <w:b/>
          <w:bCs/>
        </w:rPr>
        <w:t xml:space="preserve">Option 2a </w:t>
      </w:r>
      <w:r w:rsidRPr="009211CB">
        <w:t xml:space="preserve">and </w:t>
      </w:r>
      <w:r w:rsidRPr="009211CB">
        <w:rPr>
          <w:b/>
          <w:bCs/>
        </w:rPr>
        <w:t xml:space="preserve">Option 1a are identified </w:t>
      </w:r>
      <w:r w:rsidRPr="008804EB">
        <w:rPr>
          <w:b/>
        </w:rPr>
        <w:t xml:space="preserve">as the most promising approaches. </w:t>
      </w:r>
      <w:r w:rsidRPr="009211CB">
        <w:t xml:space="preserve">Option 1a is likely to be easier to implement compared with Option 2a. While the "report-once" concept appears promising long-term-oriented approach, there is concern that this approach could result in an excessively large and complex unified template - potentially with thousands of pages of guidelines - undermining the objective of simplification and providing limited practical benefit compared to the high initial implementing effort and costs. As mentioned in ESMA </w:t>
      </w:r>
      <w:r w:rsidR="00D37741">
        <w:t>c</w:t>
      </w:r>
      <w:r w:rsidRPr="009211CB">
        <w:t>onsultation</w:t>
      </w:r>
      <w:r w:rsidR="00D37741">
        <w:t xml:space="preserve"> </w:t>
      </w:r>
      <w:r w:rsidRPr="009211CB">
        <w:t xml:space="preserve">paper, the “report-once” principle represents the highest level of ambition and should therefore be thoroughly analysed. Although recognising that - if pursued – initial costs of Option 2a will be higher, if compared with other options, </w:t>
      </w:r>
      <w:r w:rsidRPr="009211CB">
        <w:rPr>
          <w:lang w:val="en-US"/>
        </w:rPr>
        <w:t xml:space="preserve">a ‘report once’ principle </w:t>
      </w:r>
      <w:proofErr w:type="gramStart"/>
      <w:r w:rsidRPr="009211CB">
        <w:rPr>
          <w:lang w:val="en-US"/>
        </w:rPr>
        <w:t>has the opportunity to</w:t>
      </w:r>
      <w:proofErr w:type="gramEnd"/>
      <w:r w:rsidRPr="009211CB">
        <w:rPr>
          <w:lang w:val="en-US"/>
        </w:rPr>
        <w:t xml:space="preserve"> significantly reduce the </w:t>
      </w:r>
      <w:r w:rsidR="00CD1B3F">
        <w:rPr>
          <w:lang w:val="en-US"/>
        </w:rPr>
        <w:t xml:space="preserve">reporting </w:t>
      </w:r>
      <w:r w:rsidRPr="009211CB">
        <w:rPr>
          <w:lang w:val="en-US"/>
        </w:rPr>
        <w:t>burden for the industry as well as the supervisors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F5EB16F" w14:textId="0A4BE817" w:rsidR="0043251D" w:rsidRPr="0043251D" w:rsidRDefault="0043251D" w:rsidP="0043251D">
      <w:permStart w:id="1784418006" w:edGrp="everyone"/>
      <w:proofErr w:type="gramStart"/>
      <w:r w:rsidRPr="0043251D">
        <w:t>In light of</w:t>
      </w:r>
      <w:proofErr w:type="gramEnd"/>
      <w:r w:rsidRPr="0043251D">
        <w:t xml:space="preserve"> our previous answers, </w:t>
      </w:r>
      <w:r w:rsidRPr="0043251D">
        <w:rPr>
          <w:lang w:val="en-US"/>
        </w:rPr>
        <w:t xml:space="preserve">we would consider a phased approach as the most appropriate solution. </w:t>
      </w:r>
      <w:r w:rsidRPr="0043251D">
        <w:t>As a first step towards the 'report-once' principle and in line with Option 1a, the existing reporting templates should be simplified quickly, particularly by removing unnecessary and redundant data fields</w:t>
      </w:r>
      <w:r w:rsidRPr="0043251D">
        <w:rPr>
          <w:lang w:val="en-US"/>
        </w:rPr>
        <w:t xml:space="preserve"> to secure an immediate and much-needed relief from existing issues</w:t>
      </w:r>
      <w:r w:rsidRPr="0043251D">
        <w:t xml:space="preserve">. We would like to see a critical examination of the fields currently available in the reports </w:t>
      </w:r>
      <w:proofErr w:type="gramStart"/>
      <w:r w:rsidRPr="0043251D">
        <w:t>with regard to</w:t>
      </w:r>
      <w:proofErr w:type="gramEnd"/>
      <w:r w:rsidRPr="0043251D">
        <w:t xml:space="preserve"> their usefulness (e.g. granularity of timestamps and existing verification rules) and standardisation of field contents within and between the </w:t>
      </w:r>
      <w:r w:rsidR="008424FB">
        <w:t>r</w:t>
      </w:r>
      <w:r w:rsidRPr="0043251D">
        <w:t>eports.</w:t>
      </w:r>
    </w:p>
    <w:p w14:paraId="3EC9AC64" w14:textId="77777777" w:rsidR="0043251D" w:rsidRPr="0043251D" w:rsidRDefault="0043251D" w:rsidP="0043251D"/>
    <w:p w14:paraId="59E75397" w14:textId="50D05D88" w:rsidR="0043251D" w:rsidRPr="0043251D" w:rsidRDefault="0043251D" w:rsidP="0043251D">
      <w:r w:rsidRPr="0043251D">
        <w:t>Option 1a is likely easier to implement than Option 2a; however, it may only shift data fields between different templates without providing a long-lasting simplification. Option 2a (</w:t>
      </w:r>
      <w:r w:rsidR="009D2767">
        <w:t>r</w:t>
      </w:r>
      <w:r w:rsidRPr="0043251D">
        <w:t>eport-once) is not a straightforward project</w:t>
      </w:r>
      <w:r w:rsidR="009D2767">
        <w:t xml:space="preserve"> and i</w:t>
      </w:r>
      <w:r w:rsidRPr="0043251D">
        <w:t>ts implementation requires several key components to ensure that financial institutions are ready to move forward with this option:</w:t>
      </w:r>
    </w:p>
    <w:p w14:paraId="1A7EAAD7" w14:textId="77777777" w:rsidR="0043251D" w:rsidRPr="0043251D" w:rsidRDefault="0043251D" w:rsidP="0043251D">
      <w:pPr>
        <w:numPr>
          <w:ilvl w:val="0"/>
          <w:numId w:val="41"/>
        </w:numPr>
        <w:rPr>
          <w:lang w:val="en-US"/>
        </w:rPr>
      </w:pPr>
      <w:r w:rsidRPr="0043251D">
        <w:rPr>
          <w:lang w:val="en-US"/>
        </w:rPr>
        <w:t xml:space="preserve">A </w:t>
      </w:r>
      <w:r w:rsidRPr="0043251D">
        <w:t xml:space="preserve">regulatory </w:t>
      </w:r>
      <w:r w:rsidRPr="0043251D">
        <w:rPr>
          <w:lang w:val="en-US"/>
        </w:rPr>
        <w:t>pause should be introduced to ensure that no new obligations, reviews, or requirements are imposed during the implementation/preparation phase.</w:t>
      </w:r>
    </w:p>
    <w:p w14:paraId="086CAB90" w14:textId="77777777" w:rsidR="0043251D" w:rsidRPr="0043251D" w:rsidRDefault="0043251D" w:rsidP="0043251D">
      <w:pPr>
        <w:numPr>
          <w:ilvl w:val="0"/>
          <w:numId w:val="41"/>
        </w:numPr>
        <w:rPr>
          <w:lang w:val="en-US"/>
        </w:rPr>
      </w:pPr>
      <w:r w:rsidRPr="0043251D">
        <w:t>Institutions must have legal certainty to ensure that continuous reviews do not lead to repeated modifications in the implemented systems</w:t>
      </w:r>
      <w:r w:rsidRPr="0043251D">
        <w:rPr>
          <w:lang w:val="en-US"/>
        </w:rPr>
        <w:t>.</w:t>
      </w:r>
      <w:r w:rsidRPr="0043251D">
        <w:t xml:space="preserve"> </w:t>
      </w:r>
      <w:r w:rsidRPr="0043251D">
        <w:rPr>
          <w:lang w:val="en-US"/>
        </w:rPr>
        <w:t>Realistic implementation periods are essential.</w:t>
      </w:r>
    </w:p>
    <w:p w14:paraId="4BFE624B" w14:textId="77777777" w:rsidR="0043251D" w:rsidRPr="0043251D" w:rsidRDefault="0043251D" w:rsidP="0043251D">
      <w:pPr>
        <w:numPr>
          <w:ilvl w:val="0"/>
          <w:numId w:val="41"/>
        </w:numPr>
        <w:rPr>
          <w:lang w:val="en-US"/>
        </w:rPr>
      </w:pPr>
      <w:r w:rsidRPr="0043251D">
        <w:rPr>
          <w:lang w:val="en-US"/>
        </w:rPr>
        <w:t>A step-by-step approach towards the "report-once" principle is welcomed:</w:t>
      </w:r>
    </w:p>
    <w:p w14:paraId="790DACD0" w14:textId="77777777" w:rsidR="0043251D" w:rsidRPr="0043251D" w:rsidRDefault="0043251D" w:rsidP="0043251D">
      <w:pPr>
        <w:numPr>
          <w:ilvl w:val="1"/>
          <w:numId w:val="41"/>
        </w:numPr>
        <w:rPr>
          <w:lang w:val="en-US"/>
        </w:rPr>
      </w:pPr>
      <w:r w:rsidRPr="0043251D">
        <w:t xml:space="preserve">A comprehensive analysis regarding the scope of data to be reported in different templates should be conducted as a first step to determine which information is </w:t>
      </w:r>
      <w:proofErr w:type="gramStart"/>
      <w:r w:rsidRPr="0043251D">
        <w:t>actually required</w:t>
      </w:r>
      <w:proofErr w:type="gramEnd"/>
      <w:r w:rsidRPr="0043251D">
        <w:t xml:space="preserve"> by the authorities.</w:t>
      </w:r>
      <w:r w:rsidRPr="0043251D">
        <w:rPr>
          <w:lang w:val="en-US"/>
        </w:rPr>
        <w:t xml:space="preserve"> Supervisory authorities should systematically assess which data is truly required, both in terms of reportable fields and reportable transactions.</w:t>
      </w:r>
    </w:p>
    <w:p w14:paraId="1CAB920A" w14:textId="77777777" w:rsidR="0043251D" w:rsidRPr="0043251D" w:rsidRDefault="0043251D" w:rsidP="0043251D">
      <w:pPr>
        <w:numPr>
          <w:ilvl w:val="1"/>
          <w:numId w:val="41"/>
        </w:numPr>
        <w:rPr>
          <w:lang w:val="en-US"/>
        </w:rPr>
      </w:pPr>
      <w:r w:rsidRPr="0043251D">
        <w:lastRenderedPageBreak/>
        <w:t>Unnecessary data fields should be eliminated to ensure they are not included in the development of a unified reporting template under the 'report-once' principle.</w:t>
      </w:r>
    </w:p>
    <w:p w14:paraId="07469BB7" w14:textId="1D0F14E2" w:rsidR="00926BDA" w:rsidRDefault="0043251D" w:rsidP="005523DF">
      <w:pPr>
        <w:numPr>
          <w:ilvl w:val="0"/>
          <w:numId w:val="41"/>
        </w:numPr>
      </w:pPr>
      <w:r w:rsidRPr="0043251D">
        <w:rPr>
          <w:lang w:val="en-US"/>
        </w:rPr>
        <w:t>Every effort should be made to keep complexity to a minimum; ongoing reporting obligations are already very complex and must not become even more burdensome</w:t>
      </w:r>
      <w:r w:rsidR="005523DF">
        <w:rPr>
          <w:lang w:val="en-US"/>
        </w:rPr>
        <w:t>.</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0045E5EF" w:rsidR="00926BDA" w:rsidRDefault="00306F86" w:rsidP="00926BDA">
      <w:permStart w:id="1438851636" w:edGrp="everyone"/>
      <w:r w:rsidRPr="00507D04">
        <w:t xml:space="preserve">The answer to this question must consider </w:t>
      </w:r>
      <w:proofErr w:type="gramStart"/>
      <w:r w:rsidRPr="00507D04">
        <w:t>a large number of</w:t>
      </w:r>
      <w:proofErr w:type="gramEnd"/>
      <w:r w:rsidRPr="00507D04">
        <w:t xml:space="preserve"> infrastructural dependencies, such as existing institutions, contracts and technical structures. We expect that implementing this would involve a great deal of effor</w:t>
      </w:r>
      <w:r>
        <w:t>t.</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510C5317" w:rsidR="00926BDA" w:rsidRDefault="00F166A7" w:rsidP="00926BDA">
      <w:permStart w:id="1962436404" w:edGrp="everyone"/>
      <w:r w:rsidRPr="00F166A7">
        <w:t xml:space="preserve">The entire chain of parties up to the end customer would have to be transmitted. </w:t>
      </w:r>
      <w:r w:rsidRPr="00F166A7">
        <w:rPr>
          <w:lang w:val="en-US"/>
        </w:rPr>
        <w:t xml:space="preserve">The current order book requirements are not sufficient to transfer the reporting of on-venue transactions to trading venues. Additional data would need to be provided to all trading venues, each of which maintains its own interface specifications. As a result </w:t>
      </w:r>
      <w:r>
        <w:rPr>
          <w:lang w:val="en-US"/>
        </w:rPr>
        <w:t xml:space="preserve">– </w:t>
      </w:r>
      <w:r w:rsidRPr="00F166A7">
        <w:rPr>
          <w:lang w:val="en-US"/>
        </w:rPr>
        <w:t xml:space="preserve">and as already noted in our response to Q1 regarding dual-sided reporting </w:t>
      </w:r>
      <w:r>
        <w:rPr>
          <w:lang w:val="en-US"/>
        </w:rPr>
        <w:t xml:space="preserve">– </w:t>
      </w:r>
      <w:r w:rsidRPr="00F166A7">
        <w:rPr>
          <w:lang w:val="en-US"/>
        </w:rPr>
        <w:t xml:space="preserve">this approach would likely create more complexity and operational burden than the current dual-sided reporting model. </w:t>
      </w:r>
      <w:r w:rsidRPr="00F166A7">
        <w:t xml:space="preserve">Among other things, there would also be problems with consolidated orders. </w:t>
      </w:r>
      <w:r w:rsidRPr="00F166A7">
        <w:rPr>
          <w:lang w:val="en-US"/>
        </w:rPr>
        <w:t>Therefore, we would not support this transfer under the current circumstances.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75BE166A" w14:textId="77777777" w:rsidR="00B85D95" w:rsidRPr="00B85D95" w:rsidRDefault="00B85D95" w:rsidP="00B85D95">
      <w:permStart w:id="105197077" w:edGrp="everyone"/>
      <w:r w:rsidRPr="00B85D95">
        <w:t>We currently consider the system of reporting to the Trade Repository or the National Competent Authority to be well established. If ESMA were to take on this role directly, we would not expect any disadvantages, but possibly an increase in implementation speed and a reduction in costs.</w:t>
      </w:r>
    </w:p>
    <w:p w14:paraId="186ED519" w14:textId="77777777" w:rsidR="00B85D95" w:rsidRPr="00B85D95" w:rsidRDefault="00B85D95" w:rsidP="00B85D95"/>
    <w:p w14:paraId="1A3BE8DE" w14:textId="6FB7A4EC" w:rsidR="00926BDA" w:rsidRPr="00B85D95" w:rsidRDefault="00B85D95" w:rsidP="00926BDA">
      <w:pPr>
        <w:rPr>
          <w:lang w:val="en-US"/>
        </w:rPr>
      </w:pPr>
      <w:r w:rsidRPr="00B85D95">
        <w:rPr>
          <w:lang w:val="en-US"/>
        </w:rPr>
        <w:lastRenderedPageBreak/>
        <w:t xml:space="preserve">In practice, most market participants use middleware solutions for regulatory reporting. These tools check data against validation rules prior to submission, handle the transmission, track the status, and provide processing functionalities. Whether this middleware sends data to the NCA or to ESMA is not relevant from our perspective. However, if ESMA were to develop a platform that offers the same functionalities as our current middleware and could effectively replace it </w:t>
      </w:r>
      <w:r w:rsidR="00D90A9B">
        <w:rPr>
          <w:lang w:val="en-US"/>
        </w:rPr>
        <w:t>–</w:t>
      </w:r>
      <w:r w:rsidRPr="00B85D95">
        <w:rPr>
          <w:lang w:val="en-US"/>
        </w:rPr>
        <w:t xml:space="preserve"> we would welcome such an initiative.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6FD0AC06" w:rsidR="00926BDA" w:rsidRDefault="00112E1D" w:rsidP="00926BDA">
      <w:permStart w:id="817709938" w:edGrp="everyone"/>
      <w:r w:rsidRPr="00112E1D">
        <w:t>Potentially, ESMA implementation could be faster and more targeted than decentralised implementation by trade repositories. The disadvantage would be the need to rebuild technical data communication. A big risk lies in the scope of the initial implementation.</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1E85F6A9" w14:textId="3ED58518" w:rsidR="00926BDA" w:rsidRDefault="00EB6565" w:rsidP="00926BDA">
      <w:permStart w:id="993723206" w:edGrp="everyone"/>
      <w:r w:rsidRPr="00EB6565">
        <w:t>It could be possible in the future. Right now, we think the industry doesn't have enough experience to think about using it anytime soon.</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39AACB" w14:textId="6294A30A" w:rsidR="00926BDA" w:rsidRDefault="003349CA" w:rsidP="00926BDA">
      <w:permStart w:id="1652326327" w:edGrp="everyone"/>
      <w:r w:rsidRPr="003349CA">
        <w:t>The lack of standardisation of field contents and the sometimes, individual interpretation by large institutions leads to problems with mandatory matching. Our suggestion would be to reduce the reconciliation to basic business data. This would also reduce the amount of work involved.</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311B75F8" w:rsidR="00926BDA" w:rsidRDefault="00D420D0" w:rsidP="00926BDA">
      <w:permStart w:id="806124853" w:edGrp="everyone"/>
      <w:r w:rsidRPr="00D420D0">
        <w:t xml:space="preserve">It would only be advantageous if, for example, </w:t>
      </w:r>
      <w:proofErr w:type="gramStart"/>
      <w:r w:rsidRPr="00D420D0">
        <w:t>in the area of</w:t>
      </w:r>
      <w:proofErr w:type="gramEnd"/>
      <w:r w:rsidRPr="00D420D0">
        <w:t xml:space="preserve"> valuation, an assessment is required only once a week. In our opinion, collecting reports over </w:t>
      </w:r>
      <w:proofErr w:type="gramStart"/>
      <w:r w:rsidRPr="00D420D0">
        <w:t>a period of time</w:t>
      </w:r>
      <w:proofErr w:type="gramEnd"/>
      <w:r w:rsidRPr="00D420D0">
        <w:t xml:space="preserve"> does not result in any improvement.</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0354C6B6" w:rsidR="00926BDA" w:rsidRDefault="008E797C" w:rsidP="00926BDA">
      <w:permStart w:id="1181963014" w:edGrp="everyone"/>
      <w:r w:rsidRPr="008E797C">
        <w:t>Implementation EMIR 2 and EMIR REFIT at a cost of several million euros.</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52BD69EF" w:rsidR="00926BDA" w:rsidRDefault="004210A6" w:rsidP="00926BDA">
      <w:permStart w:id="1743740379" w:edGrp="everyone"/>
      <w:r w:rsidRPr="004210A6">
        <w:t>Because of the consolidated statement, it is not possible to provide an exact amount.</w:t>
      </w:r>
      <w:r>
        <w:t xml:space="preserve"> </w:t>
      </w:r>
      <w:r w:rsidRPr="004210A6">
        <w:t>Furthermore, there are to consider licenses for UPI, CFI and comparable components of the reporting.</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 xml:space="preserve">Question for reporting entities under MiFIR: what is the one-off cost of implementing mifir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47DD4FF9" w:rsidR="00926BDA" w:rsidRDefault="0009456C" w:rsidP="00926BDA">
      <w:permStart w:id="1172965324" w:edGrp="everyone"/>
      <w:r w:rsidRPr="0009456C">
        <w:t>As mentioned above, licence costs for additional data feeds (CFI, UPI) and, currently, the additional expenses arising from EMIR reconciliation.</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64BDD61E" w:rsidR="00926BDA" w:rsidRDefault="00CB7E7C" w:rsidP="00926BDA">
      <w:permStart w:id="34827801" w:edGrp="everyone"/>
      <w:r w:rsidRPr="00CB7E7C">
        <w:t>We assume that we could implement 1a at a cost of several hundred thousand euros. In the case of 1b, as mentioned above, we suspect that there would be a cost transfer to central processors that we cannot calculate. For options 2a and 2b, we fear costs in the six-figure euro range.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F039" w14:textId="77777777" w:rsidR="00BC3453" w:rsidRDefault="00BC3453" w:rsidP="007E7997">
      <w:r>
        <w:separator/>
      </w:r>
    </w:p>
  </w:endnote>
  <w:endnote w:type="continuationSeparator" w:id="0">
    <w:p w14:paraId="5214E4A2" w14:textId="77777777" w:rsidR="00BC3453" w:rsidRDefault="00BC3453" w:rsidP="007E7997">
      <w:r>
        <w:continuationSeparator/>
      </w:r>
    </w:p>
  </w:endnote>
  <w:endnote w:type="continuationNotice" w:id="1">
    <w:p w14:paraId="78D6712A" w14:textId="77777777" w:rsidR="00BC3453" w:rsidRDefault="00BC3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0E47" w14:textId="77777777" w:rsidR="00BC3453" w:rsidRDefault="00BC3453" w:rsidP="007E7997">
      <w:r>
        <w:separator/>
      </w:r>
    </w:p>
  </w:footnote>
  <w:footnote w:type="continuationSeparator" w:id="0">
    <w:p w14:paraId="223D73FA" w14:textId="77777777" w:rsidR="00BC3453" w:rsidRDefault="00BC3453" w:rsidP="007E7997">
      <w:r>
        <w:continuationSeparator/>
      </w:r>
    </w:p>
  </w:footnote>
  <w:footnote w:type="continuationNotice" w:id="1">
    <w:p w14:paraId="7C7A195B" w14:textId="77777777" w:rsidR="00BC3453" w:rsidRDefault="00BC3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282D"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09F"/>
    <w:multiLevelType w:val="hybridMultilevel"/>
    <w:tmpl w:val="1DCECE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992C38"/>
    <w:multiLevelType w:val="hybridMultilevel"/>
    <w:tmpl w:val="2CBC75A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57C3CE9"/>
    <w:multiLevelType w:val="hybridMultilevel"/>
    <w:tmpl w:val="D8467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77C6801"/>
    <w:multiLevelType w:val="hybridMultilevel"/>
    <w:tmpl w:val="752A38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9" w15:restartNumberingAfterBreak="0">
    <w:nsid w:val="6CBA6FFC"/>
    <w:multiLevelType w:val="multilevel"/>
    <w:tmpl w:val="D478A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6"/>
  </w:num>
  <w:num w:numId="2" w16cid:durableId="1495532731">
    <w:abstractNumId w:val="6"/>
  </w:num>
  <w:num w:numId="3" w16cid:durableId="994409496">
    <w:abstractNumId w:val="28"/>
  </w:num>
  <w:num w:numId="4" w16cid:durableId="1880320868">
    <w:abstractNumId w:val="7"/>
  </w:num>
  <w:num w:numId="5" w16cid:durableId="290864581">
    <w:abstractNumId w:val="17"/>
  </w:num>
  <w:num w:numId="6" w16cid:durableId="952590553">
    <w:abstractNumId w:val="31"/>
  </w:num>
  <w:num w:numId="7" w16cid:durableId="1159686949">
    <w:abstractNumId w:val="16"/>
  </w:num>
  <w:num w:numId="8" w16cid:durableId="765269892">
    <w:abstractNumId w:val="9"/>
  </w:num>
  <w:num w:numId="9" w16cid:durableId="1301960395">
    <w:abstractNumId w:val="12"/>
  </w:num>
  <w:num w:numId="10" w16cid:durableId="1228616548">
    <w:abstractNumId w:val="11"/>
  </w:num>
  <w:num w:numId="11" w16cid:durableId="2051027016">
    <w:abstractNumId w:val="10"/>
  </w:num>
  <w:num w:numId="12" w16cid:durableId="8338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2"/>
  </w:num>
  <w:num w:numId="15" w16cid:durableId="986476960">
    <w:abstractNumId w:val="25"/>
  </w:num>
  <w:num w:numId="16" w16cid:durableId="398749299">
    <w:abstractNumId w:val="30"/>
  </w:num>
  <w:num w:numId="17" w16cid:durableId="1407611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6"/>
  </w:num>
  <w:num w:numId="19" w16cid:durableId="558588771">
    <w:abstractNumId w:val="31"/>
  </w:num>
  <w:num w:numId="20" w16cid:durableId="1306933315">
    <w:abstractNumId w:val="14"/>
  </w:num>
  <w:num w:numId="21" w16cid:durableId="1623876054">
    <w:abstractNumId w:val="27"/>
  </w:num>
  <w:num w:numId="22" w16cid:durableId="783383837">
    <w:abstractNumId w:val="18"/>
  </w:num>
  <w:num w:numId="23" w16cid:durableId="2112964618">
    <w:abstractNumId w:val="24"/>
  </w:num>
  <w:num w:numId="24" w16cid:durableId="1958565453">
    <w:abstractNumId w:val="1"/>
  </w:num>
  <w:num w:numId="25" w16cid:durableId="1372725395">
    <w:abstractNumId w:val="22"/>
  </w:num>
  <w:num w:numId="26" w16cid:durableId="1686445133">
    <w:abstractNumId w:val="20"/>
  </w:num>
  <w:num w:numId="27" w16cid:durableId="1247768697">
    <w:abstractNumId w:val="13"/>
  </w:num>
  <w:num w:numId="28" w16cid:durableId="954170948">
    <w:abstractNumId w:val="2"/>
  </w:num>
  <w:num w:numId="29" w16cid:durableId="837424337">
    <w:abstractNumId w:val="21"/>
  </w:num>
  <w:num w:numId="30" w16cid:durableId="299657983">
    <w:abstractNumId w:val="8"/>
  </w:num>
  <w:num w:numId="31" w16cid:durableId="699822250">
    <w:abstractNumId w:val="19"/>
  </w:num>
  <w:num w:numId="32" w16cid:durableId="730466929">
    <w:abstractNumId w:val="15"/>
    <w:lvlOverride w:ilvl="0">
      <w:startOverride w:val="1"/>
    </w:lvlOverride>
  </w:num>
  <w:num w:numId="33" w16cid:durableId="552498262">
    <w:abstractNumId w:val="23"/>
  </w:num>
  <w:num w:numId="34" w16cid:durableId="1829132647">
    <w:abstractNumId w:val="15"/>
    <w:lvlOverride w:ilvl="0">
      <w:startOverride w:val="1"/>
    </w:lvlOverride>
  </w:num>
  <w:num w:numId="35" w16cid:durableId="1915964461">
    <w:abstractNumId w:val="15"/>
    <w:lvlOverride w:ilvl="0">
      <w:startOverride w:val="1"/>
    </w:lvlOverride>
  </w:num>
  <w:num w:numId="36" w16cid:durableId="1385182617">
    <w:abstractNumId w:val="15"/>
    <w:lvlOverride w:ilvl="0">
      <w:startOverride w:val="1"/>
    </w:lvlOverride>
  </w:num>
  <w:num w:numId="37" w16cid:durableId="1357389725">
    <w:abstractNumId w:val="0"/>
  </w:num>
  <w:num w:numId="38" w16cid:durableId="1978412105">
    <w:abstractNumId w:val="4"/>
  </w:num>
  <w:num w:numId="39" w16cid:durableId="900290776">
    <w:abstractNumId w:val="5"/>
  </w:num>
  <w:num w:numId="40" w16cid:durableId="2092583064">
    <w:abstractNumId w:val="3"/>
  </w:num>
  <w:num w:numId="41" w16cid:durableId="1908756839">
    <w:abstractNumId w:val="29"/>
  </w:num>
  <w:num w:numId="42" w16cid:durableId="1392389472">
    <w:abstractNumId w:val="9"/>
  </w:num>
  <w:num w:numId="43" w16cid:durableId="32829233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2F0E"/>
    <w:rsid w:val="0000380B"/>
    <w:rsid w:val="00005505"/>
    <w:rsid w:val="000058B6"/>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430"/>
    <w:rsid w:val="00047C57"/>
    <w:rsid w:val="00054E00"/>
    <w:rsid w:val="00057BF0"/>
    <w:rsid w:val="00061B2B"/>
    <w:rsid w:val="000627C5"/>
    <w:rsid w:val="0006448C"/>
    <w:rsid w:val="0006449B"/>
    <w:rsid w:val="000655AD"/>
    <w:rsid w:val="00066FD1"/>
    <w:rsid w:val="00072BF9"/>
    <w:rsid w:val="00073DF9"/>
    <w:rsid w:val="00076741"/>
    <w:rsid w:val="0007767E"/>
    <w:rsid w:val="0007796D"/>
    <w:rsid w:val="000830DA"/>
    <w:rsid w:val="00083FBB"/>
    <w:rsid w:val="00086F71"/>
    <w:rsid w:val="000921E6"/>
    <w:rsid w:val="00092D6C"/>
    <w:rsid w:val="00093239"/>
    <w:rsid w:val="0009456C"/>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2E1D"/>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465E"/>
    <w:rsid w:val="002156A3"/>
    <w:rsid w:val="00217478"/>
    <w:rsid w:val="00220938"/>
    <w:rsid w:val="00224806"/>
    <w:rsid w:val="00227814"/>
    <w:rsid w:val="00232F8E"/>
    <w:rsid w:val="00233071"/>
    <w:rsid w:val="00235E99"/>
    <w:rsid w:val="00241290"/>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393"/>
    <w:rsid w:val="002917B9"/>
    <w:rsid w:val="00291A55"/>
    <w:rsid w:val="0029394C"/>
    <w:rsid w:val="002A13B0"/>
    <w:rsid w:val="002A2A39"/>
    <w:rsid w:val="002A2C91"/>
    <w:rsid w:val="002A5847"/>
    <w:rsid w:val="002A6C21"/>
    <w:rsid w:val="002A780E"/>
    <w:rsid w:val="002B144C"/>
    <w:rsid w:val="002B53F3"/>
    <w:rsid w:val="002C03FD"/>
    <w:rsid w:val="002C044D"/>
    <w:rsid w:val="002C1AA5"/>
    <w:rsid w:val="002C2A46"/>
    <w:rsid w:val="002C3048"/>
    <w:rsid w:val="002C6CD9"/>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6F86"/>
    <w:rsid w:val="00307397"/>
    <w:rsid w:val="003101EF"/>
    <w:rsid w:val="00312BDD"/>
    <w:rsid w:val="00314117"/>
    <w:rsid w:val="00317EDF"/>
    <w:rsid w:val="00322B55"/>
    <w:rsid w:val="003279E7"/>
    <w:rsid w:val="00327B62"/>
    <w:rsid w:val="00331FE9"/>
    <w:rsid w:val="0033324D"/>
    <w:rsid w:val="003349CA"/>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10A6"/>
    <w:rsid w:val="0042322C"/>
    <w:rsid w:val="004242B3"/>
    <w:rsid w:val="00424A4F"/>
    <w:rsid w:val="00426D62"/>
    <w:rsid w:val="00427A89"/>
    <w:rsid w:val="00430C5B"/>
    <w:rsid w:val="00431968"/>
    <w:rsid w:val="0043251D"/>
    <w:rsid w:val="00433936"/>
    <w:rsid w:val="0043475E"/>
    <w:rsid w:val="00435FE9"/>
    <w:rsid w:val="00436279"/>
    <w:rsid w:val="0044199E"/>
    <w:rsid w:val="0044206D"/>
    <w:rsid w:val="00444803"/>
    <w:rsid w:val="00445696"/>
    <w:rsid w:val="00446E5F"/>
    <w:rsid w:val="00450C4E"/>
    <w:rsid w:val="00455577"/>
    <w:rsid w:val="00456795"/>
    <w:rsid w:val="004578B3"/>
    <w:rsid w:val="0046102A"/>
    <w:rsid w:val="0046150E"/>
    <w:rsid w:val="00461CC8"/>
    <w:rsid w:val="00462B2F"/>
    <w:rsid w:val="00462E09"/>
    <w:rsid w:val="00465EAA"/>
    <w:rsid w:val="004708CA"/>
    <w:rsid w:val="004709E7"/>
    <w:rsid w:val="00470ADE"/>
    <w:rsid w:val="004712C7"/>
    <w:rsid w:val="004712E3"/>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3EB"/>
    <w:rsid w:val="005028B9"/>
    <w:rsid w:val="00502D5D"/>
    <w:rsid w:val="00503A3F"/>
    <w:rsid w:val="00505E17"/>
    <w:rsid w:val="00511A59"/>
    <w:rsid w:val="00511C3B"/>
    <w:rsid w:val="00513DA2"/>
    <w:rsid w:val="00514440"/>
    <w:rsid w:val="005166C3"/>
    <w:rsid w:val="00520F7C"/>
    <w:rsid w:val="00523974"/>
    <w:rsid w:val="00526E5D"/>
    <w:rsid w:val="00527517"/>
    <w:rsid w:val="00531432"/>
    <w:rsid w:val="00531F73"/>
    <w:rsid w:val="00532BC8"/>
    <w:rsid w:val="005333E8"/>
    <w:rsid w:val="00534912"/>
    <w:rsid w:val="005370E7"/>
    <w:rsid w:val="005409B7"/>
    <w:rsid w:val="00545E62"/>
    <w:rsid w:val="00551070"/>
    <w:rsid w:val="005523DF"/>
    <w:rsid w:val="00552C8A"/>
    <w:rsid w:val="00555156"/>
    <w:rsid w:val="0055535B"/>
    <w:rsid w:val="00556C01"/>
    <w:rsid w:val="00560A96"/>
    <w:rsid w:val="005619CB"/>
    <w:rsid w:val="00561B71"/>
    <w:rsid w:val="00561F98"/>
    <w:rsid w:val="00564607"/>
    <w:rsid w:val="00565193"/>
    <w:rsid w:val="005664AB"/>
    <w:rsid w:val="005725BD"/>
    <w:rsid w:val="005730B0"/>
    <w:rsid w:val="00575DCC"/>
    <w:rsid w:val="00576AAD"/>
    <w:rsid w:val="005821B0"/>
    <w:rsid w:val="005851BC"/>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2320"/>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2502"/>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24FB"/>
    <w:rsid w:val="00843A1A"/>
    <w:rsid w:val="00846433"/>
    <w:rsid w:val="008472C2"/>
    <w:rsid w:val="00850B43"/>
    <w:rsid w:val="008510D9"/>
    <w:rsid w:val="00851EE3"/>
    <w:rsid w:val="00853121"/>
    <w:rsid w:val="008555E4"/>
    <w:rsid w:val="008560B2"/>
    <w:rsid w:val="00864124"/>
    <w:rsid w:val="00864E60"/>
    <w:rsid w:val="00865FBE"/>
    <w:rsid w:val="00866A09"/>
    <w:rsid w:val="00871163"/>
    <w:rsid w:val="00871241"/>
    <w:rsid w:val="008712BF"/>
    <w:rsid w:val="00872209"/>
    <w:rsid w:val="008731EB"/>
    <w:rsid w:val="00873656"/>
    <w:rsid w:val="00880140"/>
    <w:rsid w:val="008804EB"/>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97C"/>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11CB"/>
    <w:rsid w:val="00926BDA"/>
    <w:rsid w:val="00931615"/>
    <w:rsid w:val="0093261E"/>
    <w:rsid w:val="00937B82"/>
    <w:rsid w:val="0094008E"/>
    <w:rsid w:val="00941C0C"/>
    <w:rsid w:val="009437F2"/>
    <w:rsid w:val="00943B3E"/>
    <w:rsid w:val="0094528B"/>
    <w:rsid w:val="0095619C"/>
    <w:rsid w:val="00960A8B"/>
    <w:rsid w:val="00965128"/>
    <w:rsid w:val="00967068"/>
    <w:rsid w:val="00967304"/>
    <w:rsid w:val="00973F43"/>
    <w:rsid w:val="0097785D"/>
    <w:rsid w:val="0098011D"/>
    <w:rsid w:val="00980C38"/>
    <w:rsid w:val="00981912"/>
    <w:rsid w:val="009819C0"/>
    <w:rsid w:val="009835AD"/>
    <w:rsid w:val="00987A75"/>
    <w:rsid w:val="00990C72"/>
    <w:rsid w:val="00991A8A"/>
    <w:rsid w:val="00991BED"/>
    <w:rsid w:val="00992611"/>
    <w:rsid w:val="00992D03"/>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2767"/>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425A"/>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11FE"/>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5D95"/>
    <w:rsid w:val="00B86BB5"/>
    <w:rsid w:val="00B8751D"/>
    <w:rsid w:val="00B91072"/>
    <w:rsid w:val="00B91B6E"/>
    <w:rsid w:val="00B94B2C"/>
    <w:rsid w:val="00B96F7D"/>
    <w:rsid w:val="00B970D0"/>
    <w:rsid w:val="00BA49F4"/>
    <w:rsid w:val="00BA5C41"/>
    <w:rsid w:val="00BA6ACA"/>
    <w:rsid w:val="00BA7232"/>
    <w:rsid w:val="00BA7809"/>
    <w:rsid w:val="00BB18A7"/>
    <w:rsid w:val="00BB29AA"/>
    <w:rsid w:val="00BB449C"/>
    <w:rsid w:val="00BB44D7"/>
    <w:rsid w:val="00BC2561"/>
    <w:rsid w:val="00BC3453"/>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322B2"/>
    <w:rsid w:val="00C36D7F"/>
    <w:rsid w:val="00C40053"/>
    <w:rsid w:val="00C4294D"/>
    <w:rsid w:val="00C444C8"/>
    <w:rsid w:val="00C452DD"/>
    <w:rsid w:val="00C45856"/>
    <w:rsid w:val="00C46603"/>
    <w:rsid w:val="00C47F6D"/>
    <w:rsid w:val="00C5320B"/>
    <w:rsid w:val="00C54316"/>
    <w:rsid w:val="00C54EF1"/>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B7E7C"/>
    <w:rsid w:val="00CC11DF"/>
    <w:rsid w:val="00CC1A6E"/>
    <w:rsid w:val="00CC3F62"/>
    <w:rsid w:val="00CC536E"/>
    <w:rsid w:val="00CC59DD"/>
    <w:rsid w:val="00CC7FC6"/>
    <w:rsid w:val="00CD1B3F"/>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42D4"/>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741"/>
    <w:rsid w:val="00D378C9"/>
    <w:rsid w:val="00D37B9F"/>
    <w:rsid w:val="00D40FA1"/>
    <w:rsid w:val="00D41425"/>
    <w:rsid w:val="00D41EFF"/>
    <w:rsid w:val="00D420D0"/>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0A9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57C73"/>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A6107"/>
    <w:rsid w:val="00EB0C86"/>
    <w:rsid w:val="00EB0E16"/>
    <w:rsid w:val="00EB1A57"/>
    <w:rsid w:val="00EB236F"/>
    <w:rsid w:val="00EB237E"/>
    <w:rsid w:val="00EB6565"/>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6"/>
    <w:rsid w:val="00F146BE"/>
    <w:rsid w:val="00F166A7"/>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3287"/>
    <w:rsid w:val="00F94BD0"/>
    <w:rsid w:val="00F95403"/>
    <w:rsid w:val="00F954EE"/>
    <w:rsid w:val="00F96705"/>
    <w:rsid w:val="00F96750"/>
    <w:rsid w:val="00F9704D"/>
    <w:rsid w:val="00FA0166"/>
    <w:rsid w:val="00FA2400"/>
    <w:rsid w:val="00FA3068"/>
    <w:rsid w:val="00FA33E9"/>
    <w:rsid w:val="00FA55C8"/>
    <w:rsid w:val="00FA64BE"/>
    <w:rsid w:val="00FA74C6"/>
    <w:rsid w:val="00FB039C"/>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24D"/>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paragraph" w:customStyle="1" w:styleId="Paragraph">
    <w:name w:val="Paragraph"/>
    <w:basedOn w:val="Listenabsatz"/>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Absatz-Standardschriftar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5ab0b9-9e47-47b6-b39f-5e3488f4e7b6">
      <Value>2</Value>
      <Value>1</Value>
    </TaxCatchAll>
    <_dlc_DocId xmlns="f65ab0b9-9e47-47b6-b39f-5e3488f4e7b6">XH5EUD7TK63X-761220546-21342</_dlc_DocId>
    <_dlc_DocIdUrl xmlns="f65ab0b9-9e47-47b6-b39f-5e3488f4e7b6">
      <Url>https://wkonline.sharepoint.com/sites/wkoe-dms-oe-14267/_layouts/15/DocIdRedir.aspx?ID=XH5EUD7TK63X-761220546-21342</Url>
      <Description>XH5EUD7TK63X-761220546-21342</Description>
    </_dlc_DocIdUrl>
    <StartdatumDSGVOBehaltefrist xmlns="15909d5e-1b51-4d5f-bae6-f3544bb622d4" xsi:nil="true"/>
    <adb01814530d4a76be6be121858c6344 xmlns="f65ab0b9-9e47-47b6-b39f-5e3488f4e7b6">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adb01814530d4a76be6be121858c6344>
    <EigeneReferenz xmlns="f65ab0b9-9e47-47b6-b39f-5e3488f4e7b6" xsi:nil="true"/>
    <Kundenreferenz xmlns="f65ab0b9-9e47-47b6-b39f-5e3488f4e7b6" xsi:nil="true"/>
    <LöschdatumDSGVO xmlns="15909d5e-1b51-4d5f-bae6-f3544bb622d4" xsi:nil="true"/>
    <lcf76f155ced4ddcb4097134ff3c332f xmlns="278e675d-6e1c-4d64-89a5-3871735db4d9">
      <Terms xmlns="http://schemas.microsoft.com/office/infopath/2007/PartnerControls"/>
    </lcf76f155ced4ddcb4097134ff3c332f>
    <FreiesMetadatenfeld xmlns="f65ab0b9-9e47-47b6-b39f-5e3488f4e7b6" xsi:nil="true"/>
    <Poststelle xmlns="f65ab0b9-9e47-47b6-b39f-5e3488f4e7b6" xsi:nil="true"/>
    <Fremdsystemreferenzen xmlns="f65ab0b9-9e47-47b6-b39f-5e3488f4e7b6" xsi:nil="true"/>
    <h5927df9607c4b57b3c5ccec4d2f2726 xmlns="f65ab0b9-9e47-47b6-b39f-5e3488f4e7b6">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h5927df9607c4b57b3c5ccec4d2f2726>
    <Dokumentgueltigbis xmlns="15909d5e-1b51-4d5f-bae6-f3544bb622d4" xsi:nil="true"/>
    <Dokumentgueltigvon xmlns="15909d5e-1b51-4d5f-bae6-f3544bb622d4" xsi:nil="true"/>
    <Vertraulichkeit xmlns="f65ab0b9-9e47-47b6-b39f-5e3488f4e7b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KOE DMS" ma:contentTypeID="0x010100D785B336E477FE4DBBDE5CE8624DEB3C00E84165CF0EB98F478A5B2C49D490310A" ma:contentTypeVersion="22" ma:contentTypeDescription="Content Type for DMS" ma:contentTypeScope="" ma:versionID="36848daba6169b935213d980e5710e9c">
  <xsd:schema xmlns:xsd="http://www.w3.org/2001/XMLSchema" xmlns:xs="http://www.w3.org/2001/XMLSchema" xmlns:p="http://schemas.microsoft.com/office/2006/metadata/properties" xmlns:ns2="15909d5e-1b51-4d5f-bae6-f3544bb622d4" xmlns:ns3="f65ab0b9-9e47-47b6-b39f-5e3488f4e7b6" xmlns:ns4="278e675d-6e1c-4d64-89a5-3871735db4d9" targetNamespace="http://schemas.microsoft.com/office/2006/metadata/properties" ma:root="true" ma:fieldsID="ecb613edaf897ac46b5d4daf944184a4" ns2:_="" ns3:_="" ns4:_="">
    <xsd:import namespace="15909d5e-1b51-4d5f-bae6-f3544bb622d4"/>
    <xsd:import namespace="f65ab0b9-9e47-47b6-b39f-5e3488f4e7b6"/>
    <xsd:import namespace="278e675d-6e1c-4d64-89a5-3871735db4d9"/>
    <xsd:element name="properties">
      <xsd:complexType>
        <xsd:sequence>
          <xsd:element name="documentManagement">
            <xsd:complexType>
              <xsd:all>
                <xsd:element ref="ns2:StartdatumDSGVOBehaltefrist" minOccurs="0"/>
                <xsd:element ref="ns2:LöschdatumDSGVO" minOccurs="0"/>
                <xsd:element ref="ns3:adb01814530d4a76be6be121858c6344" minOccurs="0"/>
                <xsd:element ref="ns3:TaxCatchAll" minOccurs="0"/>
                <xsd:element ref="ns3:TaxCatchAllLabel" minOccurs="0"/>
                <xsd:element ref="ns3:h5927df9607c4b57b3c5ccec4d2f2726"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5ab0b9-9e47-47b6-b39f-5e3488f4e7b6" elementFormDefault="qualified">
    <xsd:import namespace="http://schemas.microsoft.com/office/2006/documentManagement/types"/>
    <xsd:import namespace="http://schemas.microsoft.com/office/infopath/2007/PartnerControls"/>
    <xsd:element name="adb01814530d4a76be6be121858c6344" ma:index="10" nillable="true" ma:taxonomy="true" ma:internalName="adb01814530d4a76be6be121858c6344" ma:taxonomyFieldName="Taetigkeitsbereich" ma:displayName="Tätigkeitsbereich" ma:fieldId="{adb01814-530d-4a76-be6b-e121858c634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ea9605d-bf4f-4681-96f1-22a918c47f1f}" ma:internalName="TaxCatchAll" ma:showField="CatchAllData" ma:web="f65ab0b9-9e47-47b6-b39f-5e3488f4e7b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ea9605d-bf4f-4681-96f1-22a918c47f1f}" ma:internalName="TaxCatchAllLabel" ma:readOnly="true" ma:showField="CatchAllDataLabel" ma:web="f65ab0b9-9e47-47b6-b39f-5e3488f4e7b6">
      <xsd:complexType>
        <xsd:complexContent>
          <xsd:extension base="dms:MultiChoiceLookup">
            <xsd:sequence>
              <xsd:element name="Value" type="dms:Lookup" maxOccurs="unbounded" minOccurs="0" nillable="true"/>
            </xsd:sequence>
          </xsd:extension>
        </xsd:complexContent>
      </xsd:complexType>
    </xsd:element>
    <xsd:element name="h5927df9607c4b57b3c5ccec4d2f2726" ma:index="14" nillable="true" ma:taxonomy="true" ma:internalName="h5927df9607c4b57b3c5ccec4d2f2726" ma:taxonomyFieldName="Dokumentenart" ma:displayName="Dokumentenart" ma:fieldId="{15927df9-607c-4b57-b3c5-ccec4d2f2726}"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8e675d-6e1c-4d64-89a5-3871735db4d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f65ab0b9-9e47-47b6-b39f-5e3488f4e7b6"/>
    <ds:schemaRef ds:uri="15909d5e-1b51-4d5f-bae6-f3544bb622d4"/>
    <ds:schemaRef ds:uri="278e675d-6e1c-4d64-89a5-3871735db4d9"/>
  </ds:schemaRefs>
</ds:datastoreItem>
</file>

<file path=customXml/itemProps2.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59873B53-9774-45D9-8679-1D4973AC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f65ab0b9-9e47-47b6-b39f-5e3488f4e7b6"/>
    <ds:schemaRef ds:uri="278e675d-6e1c-4d64-89a5-3871735db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16</Pages>
  <Words>4697</Words>
  <Characters>29592</Characters>
  <Application>Microsoft Office Word</Application>
  <DocSecurity>8</DocSecurity>
  <Lines>246</Lines>
  <Paragraphs>68</Paragraphs>
  <ScaleCrop>false</ScaleCrop>
  <Company>ESMA</Company>
  <LinksUpToDate>false</LinksUpToDate>
  <CharactersWithSpaces>34221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Aslan Tugce | WKOE</cp:lastModifiedBy>
  <cp:revision>54</cp:revision>
  <cp:lastPrinted>2017-07-24T14:47:00Z</cp:lastPrinted>
  <dcterms:created xsi:type="dcterms:W3CDTF">2025-09-19T11:47:00Z</dcterms:created>
  <dcterms:modified xsi:type="dcterms:W3CDTF">2025-09-19T12:32:00Z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0x010100D785B336E477FE4DBBDE5CE8624DEB3C00E84165CF0EB98F478A5B2C49D490310A</vt:lpwstr>
  </property>
  <property fmtid="{D5CDD505-2E9C-101B-9397-08002B2CF9AE}" pid="5" name="_dlc_DocIdItemGuid">
    <vt:lpwstr>27389ada-bcc9-42fa-8b9e-360f2f509208</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Taetigkeitsbereich">
    <vt:lpwstr>1;#Allgemein|4c264b77-3718-4103-ae5e-af42e791c13f</vt:lpwstr>
  </property>
  <property fmtid="{D5CDD505-2E9C-101B-9397-08002B2CF9AE}" pid="30" name="MediaServiceImageTags">
    <vt:lpwstr/>
  </property>
  <property fmtid="{D5CDD505-2E9C-101B-9397-08002B2CF9AE}" pid="31" name="ComplianceAssetId">
    <vt:lpwstr/>
  </property>
  <property fmtid="{D5CDD505-2E9C-101B-9397-08002B2CF9AE}" pid="32" name="_ExtendedDescription">
    <vt:lpwstr/>
  </property>
  <property fmtid="{D5CDD505-2E9C-101B-9397-08002B2CF9AE}" pid="33" name="Dokumentenart">
    <vt:lpwstr>2;#Allgemeines Dokument|256c25dd-d6b9-4889-8d4b-4a032cb12aef</vt:lpwstr>
  </property>
  <property fmtid="{D5CDD505-2E9C-101B-9397-08002B2CF9AE}" pid="34" name="TriggerFlowInfo">
    <vt:lpwstr/>
  </property>
</Properties>
</file>